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08" w:rsidRDefault="00E3601E" w:rsidP="00E3601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1042F1A6A0E4FF2ABC0884299BEBBC0" style="width:450.75pt;height:408.75pt">
            <v:imagedata r:id="rId12" o:title=""/>
          </v:shape>
        </w:pict>
      </w:r>
    </w:p>
    <w:p w:rsidR="006C0808" w:rsidRDefault="006C0808">
      <w:pPr>
        <w:rPr>
          <w:noProof/>
        </w:rPr>
        <w:sectPr w:rsidR="006C0808" w:rsidSect="00E3601E">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6C0808" w:rsidRDefault="00E3601E">
      <w:pPr>
        <w:pStyle w:val="Exposdesmotifstitre"/>
        <w:rPr>
          <w:noProof/>
        </w:rPr>
      </w:pPr>
      <w:bookmarkStart w:id="0" w:name="_Toc455736242"/>
      <w:bookmarkStart w:id="1" w:name="_Toc455740694"/>
      <w:bookmarkStart w:id="2" w:name="_Toc455740869"/>
      <w:bookmarkStart w:id="3" w:name="_Toc455741952"/>
      <w:bookmarkStart w:id="4" w:name="_Toc455743777"/>
      <w:bookmarkStart w:id="5" w:name="_Toc455749663"/>
      <w:bookmarkStart w:id="6" w:name="_Toc455750897"/>
      <w:bookmarkStart w:id="7" w:name="_Toc455751132"/>
      <w:bookmarkStart w:id="8" w:name="_Toc455751307"/>
      <w:bookmarkStart w:id="9" w:name="_Toc455751849"/>
      <w:bookmarkStart w:id="10" w:name="_Toc455752323"/>
      <w:bookmarkStart w:id="11" w:name="_Toc455752858"/>
      <w:bookmarkStart w:id="12" w:name="_Toc455753128"/>
      <w:bookmarkStart w:id="13" w:name="_Toc455754001"/>
      <w:bookmarkStart w:id="14" w:name="_Toc455754656"/>
      <w:bookmarkStart w:id="15" w:name="_Toc455754667"/>
      <w:bookmarkStart w:id="16" w:name="_Toc455755017"/>
      <w:bookmarkStart w:id="17" w:name="_Toc455755192"/>
      <w:bookmarkStart w:id="18" w:name="_Toc455755830"/>
      <w:bookmarkStart w:id="19" w:name="_Toc455756255"/>
      <w:bookmarkStart w:id="20" w:name="_Toc455756609"/>
      <w:bookmarkStart w:id="21" w:name="_Toc455756759"/>
      <w:bookmarkStart w:id="22" w:name="_Toc455756934"/>
      <w:bookmarkStart w:id="23" w:name="_Toc455757491"/>
      <w:bookmarkStart w:id="24" w:name="_Toc455757780"/>
      <w:bookmarkStart w:id="25" w:name="_Toc455758563"/>
      <w:bookmarkStart w:id="26" w:name="_Toc455759141"/>
      <w:bookmarkStart w:id="27" w:name="_Toc455759887"/>
      <w:bookmarkStart w:id="28" w:name="_Toc455760062"/>
      <w:bookmarkStart w:id="29" w:name="_Toc455757955"/>
      <w:bookmarkStart w:id="30"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noProof/>
        </w:rPr>
        <w:lastRenderedPageBreak/>
        <w:t>OBRAZLOŽENJE</w:t>
      </w:r>
    </w:p>
    <w:p w:rsidR="006C0808" w:rsidRDefault="00E3601E">
      <w:pPr>
        <w:pStyle w:val="ManualHeading1"/>
        <w:rPr>
          <w:noProof/>
        </w:rPr>
      </w:pPr>
      <w:r>
        <w:rPr>
          <w:noProof/>
        </w:rPr>
        <w:t>1.</w:t>
      </w:r>
      <w:r>
        <w:rPr>
          <w:noProof/>
        </w:rPr>
        <w:tab/>
        <w:t>KONTEKST PRIJEDLOGA</w:t>
      </w:r>
    </w:p>
    <w:p w:rsidR="006C0808" w:rsidRDefault="00E3601E">
      <w:pPr>
        <w:pStyle w:val="ManualHeading2"/>
        <w:rPr>
          <w:rFonts w:eastAsia="Arial Unicode MS"/>
          <w:noProof/>
        </w:rPr>
      </w:pPr>
      <w:r>
        <w:rPr>
          <w:noProof/>
          <w:color w:val="000000"/>
          <w:u w:color="000000"/>
          <w:bdr w:val="nil"/>
        </w:rPr>
        <w:t>•</w:t>
      </w:r>
      <w:r>
        <w:rPr>
          <w:noProof/>
        </w:rPr>
        <w:tab/>
        <w:t>Razlozi i ciljevi prijedloga</w:t>
      </w:r>
    </w:p>
    <w:p w:rsidR="006C0808" w:rsidRDefault="00E3601E">
      <w:pPr>
        <w:spacing w:before="0"/>
        <w:rPr>
          <w:noProof/>
        </w:rPr>
      </w:pPr>
      <w:r>
        <w:rPr>
          <w:noProof/>
        </w:rPr>
        <w:t xml:space="preserve">U Komunikaciji od svibnja 2015., </w:t>
      </w:r>
      <w:r>
        <w:rPr>
          <w:noProof/>
        </w:rPr>
        <w:t>„Strategija jedinstvenog digitalnog tržišta za Europu”</w:t>
      </w:r>
      <w:r>
        <w:rPr>
          <w:rStyle w:val="FootnoteReference"/>
          <w:noProof/>
        </w:rPr>
        <w:footnoteReference w:id="1"/>
      </w:r>
      <w:r>
        <w:rPr>
          <w:noProof/>
        </w:rPr>
        <w:t xml:space="preserve"> („strategija DSM”), Komisija je za 2016. predvidjela iznošenje prijedloga korjenitih izmjena regulatornog okvira za elektroničke komunikacije. Cilj je tih izmjena, među ostalim, osiguranje učinkovitij</w:t>
      </w:r>
      <w:r>
        <w:rPr>
          <w:noProof/>
        </w:rPr>
        <w:t>eg regulatornog institucionalnog okvira da bi telekomunikacijska pravila bila primjerena u sklopu stvaranja pravih uvjeta za jedinstveno digitalno tržište. To uključuje uvođenje mreža vrlo velikoga kapaciteta povezivosti, usklađenije upravljanje radiofrekv</w:t>
      </w:r>
      <w:r>
        <w:rPr>
          <w:noProof/>
        </w:rPr>
        <w:t>encijskim spektrom za bežične mreže i stvaranje jednakih uvjeta natjecanja za napredne digitalne mreže i inovativne usluge. Komunikacijom je naglašeno da je zbog promjena na tržištu i u tehnološkom okruženju nužno jačanjem uloge Tijela europskih regulatora</w:t>
      </w:r>
      <w:r>
        <w:rPr>
          <w:noProof/>
        </w:rPr>
        <w:t xml:space="preserve"> za elektroničke komunikacije (BEREC) ojačati institucionalni okvir.</w:t>
      </w:r>
    </w:p>
    <w:p w:rsidR="006C0808" w:rsidRDefault="00E3601E">
      <w:pPr>
        <w:spacing w:before="0"/>
        <w:rPr>
          <w:noProof/>
        </w:rPr>
      </w:pPr>
      <w:r>
        <w:rPr>
          <w:noProof/>
        </w:rPr>
        <w:t>U Rezoluciji „Ususret digitalnom jedinstvenom tržištu”</w:t>
      </w:r>
      <w:r>
        <w:rPr>
          <w:rStyle w:val="FootnoteReference"/>
          <w:noProof/>
        </w:rPr>
        <w:footnoteReference w:id="2"/>
      </w:r>
      <w:r>
        <w:rPr>
          <w:noProof/>
        </w:rPr>
        <w:t xml:space="preserve"> Europski parlament pozvao je Komisiju da osiguravanjem učinkovitijeg institucionalnog okvira još bolje integrira jedinstveno digita</w:t>
      </w:r>
      <w:r>
        <w:rPr>
          <w:noProof/>
        </w:rPr>
        <w:t>lno tržište. Može to ostvariti jačanjem uloge BEREC-a, njegovih kapaciteta i ovlasti u odlučivanju kako bi mu se omogućilo da i. potiče dosljednu provedbu regulatornog okvira za elektroničke komunikacije, ii. omogući učinkovit nadzor BEREC-a nad razvojem j</w:t>
      </w:r>
      <w:r>
        <w:rPr>
          <w:noProof/>
        </w:rPr>
        <w:t>edinstvenog tržišta te iii. pomogne u rješavanju prekograničnih sporova. Europski parlament također je u tom pogledu naglasio potrebu poboljšanja financijskih i ljudskih resursa te daljnjeg jačanja upravljačke strukture BEREC-a.</w:t>
      </w:r>
    </w:p>
    <w:p w:rsidR="006C0808" w:rsidRDefault="00E3601E">
      <w:pPr>
        <w:spacing w:before="0"/>
        <w:rPr>
          <w:noProof/>
        </w:rPr>
      </w:pPr>
      <w:r>
        <w:rPr>
          <w:noProof/>
        </w:rPr>
        <w:t>Ovaj prijedlog treba tumači</w:t>
      </w:r>
      <w:r>
        <w:rPr>
          <w:noProof/>
        </w:rPr>
        <w:t>ti zajedno s prijedlogom Direktive Europskog parlamenta i Vijeća o osnivanju Europskog zakonika o elektroničkim komunikacijama („Direktiva”). Tim su prijedlogom BEREC-u povjerene dodatne zadaće kako bi se osigurala dosljedna provedba regulatornog okvira. Z</w:t>
      </w:r>
      <w:r>
        <w:rPr>
          <w:noProof/>
        </w:rPr>
        <w:t>auzvrat, time bi se potaknuo razvoj tržišta elektroničkih komunikacija u cijeloj Uniji. Nadalje, BEREC bi također pridonio promicanju pristupa podatkovnoj povezivosti vrlo velikoga kapaciteta i njezinoj upotrebi, tržišnog natjecanja u pružanju mreža i uslu</w:t>
      </w:r>
      <w:r>
        <w:rPr>
          <w:noProof/>
        </w:rPr>
        <w:t>ga elektroničkih komunikacija te promicanju interesa građana Unije. Cilj je ovog prijedloga osnaživanje institucionalne uloge BEREC-a te, preobrazbom BEREC-a u agenciju, jačanje njegove upravljačke strukture kako bi bio prikladan za potrebe obavljanja budu</w:t>
      </w:r>
      <w:r>
        <w:rPr>
          <w:noProof/>
        </w:rPr>
        <w:t>ćih zadaća.</w:t>
      </w:r>
    </w:p>
    <w:p w:rsidR="006C0808" w:rsidRDefault="00E3601E">
      <w:pPr>
        <w:spacing w:before="0"/>
        <w:rPr>
          <w:noProof/>
        </w:rPr>
      </w:pPr>
      <w:r>
        <w:rPr>
          <w:noProof/>
        </w:rPr>
        <w:t>Otkako je 2010. počeo s radom, a 2011. postao potpuno funkcionalan, BEREC i Ured BEREC-a („Ured BEREC-a”) daju pozitivan doprinos dosljednoj provedbi regulatornog okvira. Nacionalnim regulatornim tijelima i institucijama EU-a oni pružaju i vrij</w:t>
      </w:r>
      <w:r>
        <w:rPr>
          <w:noProof/>
        </w:rPr>
        <w:t>edna stručna znanja. Uredbom (EU) br. 2015/2120 nedavno su navedene dodatne zadaće BEREC-a. Riječ je o izdavanju smjernica za ispunjavanje obveza nacionalnih regulatornih tijela u odnosu na pristup otvorenom internetu, o izdavanju mišljenja o nacrtu proved</w:t>
      </w:r>
      <w:r>
        <w:rPr>
          <w:noProof/>
        </w:rPr>
        <w:t>benih akata koje donosi Komisija u vezi s roamingom na razini Unije te o određenim obvezama izvješćivanja. Prijedlogom direktive uz ovaj Prijedlog BEREC-u je povjereno još novih zadaća, primjerice važnija uloga u savjetodavnome mehanizmu za korektivne mjer</w:t>
      </w:r>
      <w:r>
        <w:rPr>
          <w:noProof/>
        </w:rPr>
        <w:t>e u reguliranju tržišta, pružanje smjernica nacionalnim regulatornim tijelima o geografskim ispitivanjima, razvoj zajedničkih pristupa udovoljavanju potražnje transnacionalnih krajnjih korisnika, davanje mišljenja o nacrtu nacionalnih mjera o dodjeli prava</w:t>
      </w:r>
      <w:r>
        <w:rPr>
          <w:noProof/>
        </w:rPr>
        <w:t xml:space="preserve"> uporabe radiofrekvencijskog spektra (stručna revizija radiofrekvencijskog spektra) te osnivanje registra o izvanteritorijalnoj </w:t>
      </w:r>
      <w:r>
        <w:rPr>
          <w:noProof/>
        </w:rPr>
        <w:lastRenderedPageBreak/>
        <w:t>uporabi brojeva i prekograničnim dogovorima te registra o pružateljima elektroničkih komunikacijskih mreža i usluga.</w:t>
      </w:r>
    </w:p>
    <w:p w:rsidR="006C0808" w:rsidRDefault="00E3601E">
      <w:pPr>
        <w:spacing w:before="0"/>
        <w:rPr>
          <w:noProof/>
        </w:rPr>
      </w:pPr>
      <w:r>
        <w:rPr>
          <w:noProof/>
        </w:rPr>
        <w:t>Uloga BEREC</w:t>
      </w:r>
      <w:r>
        <w:rPr>
          <w:noProof/>
        </w:rPr>
        <w:t>-a i Ureda BEREC-a bitno se povećala, posebice u prekograničnim pitanjima (kao što su usluge komunikacije uređaja (M2M) ili transnacionalna potražnja za poslovne korisnike) i stekli su iskustvo u osiguravanju dosljedne provedbe regulatornog okvira. Čini se</w:t>
      </w:r>
      <w:r>
        <w:rPr>
          <w:noProof/>
        </w:rPr>
        <w:t xml:space="preserve"> prikladnim i potrebnim iskoristiti to iskustvo i ujediniti ta dva tijela u potpuno djelotvornu Agenciju. Nova agencija koja će imati širi mandat trebala bi nastaviti rad BEREC-a te nastaviti udruživanje stručnog znanja nacionalnih regulatornih tijela. Bud</w:t>
      </w:r>
      <w:r>
        <w:rPr>
          <w:noProof/>
        </w:rPr>
        <w:t>ući da je BEREC već dobro poznato ime, a kanimo graditi na njegovim temeljima te u svjetlu nezanemarivih troškova mijenjanja imena, nova bi agencija trebala zadržati naziv BEREC.</w:t>
      </w:r>
    </w:p>
    <w:p w:rsidR="006C0808" w:rsidRDefault="00E3601E">
      <w:pPr>
        <w:pBdr>
          <w:top w:val="nil"/>
          <w:left w:val="nil"/>
          <w:bottom w:val="nil"/>
          <w:right w:val="nil"/>
          <w:between w:val="nil"/>
          <w:bar w:val="nil"/>
        </w:pBdr>
        <w:spacing w:before="0" w:after="240"/>
        <w:rPr>
          <w:rFonts w:eastAsia="Arial Unicode MS"/>
          <w:noProof/>
        </w:rPr>
      </w:pPr>
      <w:r>
        <w:rPr>
          <w:noProof/>
        </w:rPr>
        <w:t>Jačanjem uloge BEREC-a u području elektroničkih komunikacija i nastojanjem da</w:t>
      </w:r>
      <w:r>
        <w:rPr>
          <w:noProof/>
        </w:rPr>
        <w:t xml:space="preserve"> se njegove strukture i upravljanje, rad, programiranje i odgovornost usklade sa Zajedničkom izjavom Europskog parlamenta, Vijeća i Komisije o decentraliziranim agencijama od 19. srpnja 2012. („Zajednički pristup”)</w:t>
      </w:r>
      <w:r>
        <w:rPr>
          <w:rStyle w:val="FootnoteReference"/>
          <w:noProof/>
        </w:rPr>
        <w:footnoteReference w:id="3"/>
      </w:r>
      <w:r>
        <w:rPr>
          <w:noProof/>
        </w:rPr>
        <w:t>, osiguravamo da Prijedlog služi podupira</w:t>
      </w:r>
      <w:r>
        <w:rPr>
          <w:noProof/>
        </w:rPr>
        <w:t>nju prioriteta Unije.</w:t>
      </w:r>
    </w:p>
    <w:p w:rsidR="006C0808" w:rsidRDefault="00E3601E">
      <w:pPr>
        <w:pStyle w:val="ManualHeading2"/>
        <w:rPr>
          <w:rFonts w:eastAsia="Arial Unicode MS"/>
          <w:noProof/>
          <w:color w:val="000000"/>
          <w:u w:color="000000"/>
          <w:bdr w:val="nil"/>
        </w:rPr>
      </w:pPr>
      <w:r>
        <w:rPr>
          <w:noProof/>
          <w:color w:val="000000"/>
          <w:u w:color="000000"/>
          <w:bdr w:val="nil"/>
        </w:rPr>
        <w:t>•</w:t>
      </w:r>
      <w:r>
        <w:rPr>
          <w:noProof/>
        </w:rPr>
        <w:tab/>
        <w:t>Usklađenost s postojećim odredbama politike u tom području politike</w:t>
      </w:r>
    </w:p>
    <w:p w:rsidR="006C0808" w:rsidRDefault="00E3601E">
      <w:pPr>
        <w:rPr>
          <w:noProof/>
        </w:rPr>
      </w:pPr>
      <w:r>
        <w:rPr>
          <w:noProof/>
        </w:rPr>
        <w:t xml:space="preserve">Jasni ciljevi BEREC-a dovode ovaj Prijedlog u snažnu sinergiju s drugim inicijativama iz strategije DSM. Tomu je razlog činjenica da usluge povezivanja putem </w:t>
      </w:r>
      <w:r>
        <w:rPr>
          <w:noProof/>
        </w:rPr>
        <w:t>elektroničkih komunikacijskih mreža služe kao temelj za distribuciju digitalnih proizvoda i usluga.</w:t>
      </w:r>
    </w:p>
    <w:p w:rsidR="006C0808" w:rsidRDefault="00E3601E">
      <w:pPr>
        <w:rPr>
          <w:rFonts w:eastAsia="Calibri"/>
          <w:bCs/>
          <w:noProof/>
          <w:szCs w:val="24"/>
        </w:rPr>
      </w:pPr>
      <w:r>
        <w:rPr>
          <w:noProof/>
        </w:rPr>
        <w:t>Prijedlogom se dopunjuje postojeća sektorska regulativa. Predložene zadaće BEREC-a u području radiofrekvencijskog spektra uzimaju u obzir postojeće instrume</w:t>
      </w:r>
      <w:r>
        <w:rPr>
          <w:noProof/>
        </w:rPr>
        <w:t>nte u tom području, posebno Odluku o radiofrekvencijskom spektru 676/2002/EZ, Odluka o osnivanju Skupine za politiku radiofrekvencijskog spektra 2002/622/EZ i Odluku br. 243/2012/EU o uspostavljanju višegodišnjeg programa za politiku radiofrekvencijskog sp</w:t>
      </w:r>
      <w:r>
        <w:rPr>
          <w:noProof/>
        </w:rPr>
        <w:t>ektra.</w:t>
      </w:r>
    </w:p>
    <w:p w:rsidR="006C0808" w:rsidRDefault="00E3601E">
      <w:pPr>
        <w:rPr>
          <w:rFonts w:eastAsia="Calibri"/>
          <w:bCs/>
          <w:noProof/>
          <w:szCs w:val="24"/>
        </w:rPr>
      </w:pPr>
      <w:r>
        <w:rPr>
          <w:noProof/>
        </w:rPr>
        <w:t>U Uredbu o BEREC-u uključuju se i zadaće dodijeljene BEREC-u nedavno donesenom Uredbom (EU) 2015/2120 kojom se utvrđuju pravila za osiguravanje otvorenog interneta i ukidanje naknada za roaming.</w:t>
      </w:r>
    </w:p>
    <w:p w:rsidR="006C0808" w:rsidRDefault="00E3601E">
      <w:pPr>
        <w:rPr>
          <w:noProof/>
        </w:rPr>
      </w:pPr>
      <w:r>
        <w:rPr>
          <w:noProof/>
        </w:rPr>
        <w:t>Očekuje se da Komisija do kraja 2016. predstavi prijed</w:t>
      </w:r>
      <w:r>
        <w:rPr>
          <w:noProof/>
        </w:rPr>
        <w:t>log preispitivanja Direktive o privatnosti i elektroničkim komunikacijama</w:t>
      </w:r>
      <w:hyperlink r:id="rId19" w:anchor="ntr8-L_2009337EN.01000101-E0008">
        <w:r>
          <w:rPr>
            <w:rStyle w:val="FootnoteReference"/>
            <w:noProof/>
          </w:rPr>
          <w:footnoteReference w:id="4"/>
        </w:r>
      </w:hyperlink>
      <w:r>
        <w:rPr>
          <w:noProof/>
        </w:rPr>
        <w:t xml:space="preserve">. Područje primjene ovog Prijedloga uredbe možda će biti potrebno prilagoditi u svjetlu ishoda budućeg prijedloga preispitivanja. </w:t>
      </w:r>
    </w:p>
    <w:p w:rsidR="006C0808" w:rsidRDefault="00E3601E">
      <w:pPr>
        <w:rPr>
          <w:rFonts w:eastAsia="Calibri"/>
          <w:bCs/>
          <w:noProof/>
          <w:szCs w:val="24"/>
        </w:rPr>
      </w:pPr>
      <w:r>
        <w:rPr>
          <w:noProof/>
        </w:rPr>
        <w:t xml:space="preserve">Cilj je ovog Prijedloga osigurati BEREC-u prikladnu i djelotvornu upravljačku strukturu, mandat i sredstva s pomoću kojih će </w:t>
      </w:r>
      <w:r>
        <w:rPr>
          <w:noProof/>
        </w:rPr>
        <w:t>osigurati dosljednu provedbu regulatornog okvira. U tom pogledu on dopunjuje pravne i političke instrumente drugih elektroničkih komunikacija.</w:t>
      </w:r>
    </w:p>
    <w:p w:rsidR="006C0808" w:rsidRDefault="00E3601E">
      <w:pPr>
        <w:pBdr>
          <w:top w:val="nil"/>
          <w:left w:val="nil"/>
          <w:bottom w:val="nil"/>
          <w:right w:val="nil"/>
          <w:between w:val="nil"/>
          <w:bar w:val="nil"/>
        </w:pBdr>
        <w:spacing w:before="0" w:after="240"/>
        <w:rPr>
          <w:rFonts w:eastAsia="Arial Unicode MS"/>
          <w:noProof/>
        </w:rPr>
      </w:pPr>
      <w:r>
        <w:rPr>
          <w:noProof/>
        </w:rPr>
        <w:t>BEREC prema potrebi može obavljati svoje zadaće u suradnji s drugim tijelima, agencijama, uredima i savjetodavnim</w:t>
      </w:r>
      <w:r>
        <w:rPr>
          <w:noProof/>
        </w:rPr>
        <w:t xml:space="preserve"> skupinama Unije, posebno sa Skupinom za politiku radiofrekvencijskog spektra, Europskim odborom za zaštitu podataka, Europskom skupinom regulatora za audiovizualne medijske usluge i Europskom agencijom za sigurnost mreže i informacija; kao i s postojećim </w:t>
      </w:r>
      <w:r>
        <w:rPr>
          <w:noProof/>
        </w:rPr>
        <w:t>odborima (poput Odbora za komunikacije i Odbora za radiofrekvencijski spektar).</w:t>
      </w:r>
    </w:p>
    <w:p w:rsidR="006C0808" w:rsidRDefault="00E3601E">
      <w:pPr>
        <w:pStyle w:val="ManualHeading2"/>
        <w:rPr>
          <w:rFonts w:eastAsia="Arial Unicode MS"/>
          <w:noProof/>
        </w:rPr>
      </w:pPr>
      <w:r>
        <w:rPr>
          <w:noProof/>
          <w:color w:val="000000"/>
          <w:u w:color="000000"/>
          <w:bdr w:val="nil"/>
        </w:rPr>
        <w:t>•</w:t>
      </w:r>
      <w:r>
        <w:rPr>
          <w:noProof/>
        </w:rPr>
        <w:tab/>
        <w:t>Usklađenost s drugim politikama Unije</w:t>
      </w:r>
    </w:p>
    <w:p w:rsidR="006C0808" w:rsidRDefault="00E3601E">
      <w:pPr>
        <w:widowControl w:val="0"/>
        <w:tabs>
          <w:tab w:val="left" w:pos="298"/>
        </w:tabs>
        <w:spacing w:before="0"/>
        <w:ind w:right="20"/>
        <w:rPr>
          <w:noProof/>
          <w:szCs w:val="24"/>
        </w:rPr>
      </w:pPr>
      <w:r>
        <w:rPr>
          <w:noProof/>
        </w:rPr>
        <w:t>Strategija DSM jedan je od 10 prioriteta nove Komisije iz 2014. Ovaj je prijedlog također u skladu s drugim glavnim prioritetima Komisij</w:t>
      </w:r>
      <w:r>
        <w:rPr>
          <w:noProof/>
        </w:rPr>
        <w:t xml:space="preserve">e, posebno drugim inicijativama da unutarnje </w:t>
      </w:r>
      <w:r>
        <w:rPr>
          <w:noProof/>
        </w:rPr>
        <w:lastRenderedPageBreak/>
        <w:t>tržište postane dublje i pravednije te da potiče ulaganja, stvaranje radnih mjesta i održivi rast.</w:t>
      </w:r>
    </w:p>
    <w:p w:rsidR="006C0808" w:rsidRDefault="00E3601E">
      <w:pPr>
        <w:widowControl w:val="0"/>
        <w:tabs>
          <w:tab w:val="left" w:pos="298"/>
        </w:tabs>
        <w:spacing w:before="0"/>
        <w:ind w:right="20"/>
        <w:rPr>
          <w:noProof/>
          <w:szCs w:val="24"/>
        </w:rPr>
      </w:pPr>
      <w:r>
        <w:rPr>
          <w:noProof/>
        </w:rPr>
        <w:t xml:space="preserve">Neke se BEREC-ove zadaće u nekoliko područja temelje na postojećem zakonodavstvu Unije i dopunjuju ga. Jedna je </w:t>
      </w:r>
      <w:r>
        <w:rPr>
          <w:noProof/>
        </w:rPr>
        <w:t>takva zadaća osigurati mišljenja o nacrtima nacionalnih mjera povezanih s postupcima unutarnjeg tržišta za regulaciju tržišta. Oni se i dalje temelje na načelima prava tržišnog natjecanja. Druga je takva zadaća osigurati smjernice o geografskim ispitivanji</w:t>
      </w:r>
      <w:r>
        <w:rPr>
          <w:noProof/>
        </w:rPr>
        <w:t>ma uvođenja mreža. Time se pružaju i korisni podaci za državne potpore jer se poboljšava koherentnost između dviju politika.</w:t>
      </w:r>
    </w:p>
    <w:p w:rsidR="006C0808" w:rsidRDefault="00E3601E">
      <w:pPr>
        <w:widowControl w:val="0"/>
        <w:tabs>
          <w:tab w:val="left" w:pos="298"/>
        </w:tabs>
        <w:spacing w:before="0"/>
        <w:ind w:right="20"/>
        <w:rPr>
          <w:noProof/>
        </w:rPr>
      </w:pPr>
      <w:r>
        <w:rPr>
          <w:noProof/>
        </w:rPr>
        <w:t>Nadalje, cilj je prijedloga da BEREC postane decentralizirana agencija Unije usklađena s načelima zajedničkog pristupa.</w:t>
      </w:r>
    </w:p>
    <w:p w:rsidR="006C0808" w:rsidRDefault="00E3601E">
      <w:pPr>
        <w:pStyle w:val="ManualHeading2"/>
        <w:rPr>
          <w:rFonts w:eastAsia="Arial Unicode MS"/>
          <w:noProof/>
          <w:color w:val="000000"/>
          <w:szCs w:val="24"/>
          <w:u w:color="000000"/>
          <w:bdr w:val="nil"/>
        </w:rPr>
      </w:pPr>
      <w:r>
        <w:rPr>
          <w:noProof/>
        </w:rPr>
        <w:t>Dosljednost</w:t>
      </w:r>
      <w:r>
        <w:rPr>
          <w:noProof/>
        </w:rPr>
        <w:t xml:space="preserve"> </w:t>
      </w:r>
      <w:r>
        <w:rPr>
          <w:noProof/>
          <w:color w:val="000000"/>
          <w:u w:color="000000"/>
          <w:bdr w:val="nil"/>
        </w:rPr>
        <w:t>u odnosu na obveze međunarodnog prava</w:t>
      </w:r>
    </w:p>
    <w:p w:rsidR="006C0808" w:rsidRDefault="00E3601E">
      <w:pPr>
        <w:widowControl w:val="0"/>
        <w:tabs>
          <w:tab w:val="left" w:pos="298"/>
        </w:tabs>
        <w:spacing w:before="0"/>
        <w:ind w:right="20"/>
        <w:rPr>
          <w:noProof/>
          <w:szCs w:val="24"/>
        </w:rPr>
      </w:pPr>
      <w:r>
        <w:rPr>
          <w:noProof/>
        </w:rPr>
        <w:t xml:space="preserve">Ako je potrebno, pri provođenju zadaća BEREC može surađivati s nadležnim tijelima trećih zemalja i/ili s međunarodnim organizacijama. Ta bi se suradnja trebala temeljiti na radnim dogovorima koji bi trebali poštovati </w:t>
      </w:r>
      <w:r>
        <w:rPr>
          <w:noProof/>
        </w:rPr>
        <w:t>međunarodne odnose Unije i ne bi smjeli Uniji i njezinim državama članicama stvarati zakonske obveze.</w:t>
      </w:r>
    </w:p>
    <w:p w:rsidR="006C0808" w:rsidRDefault="00E3601E">
      <w:pPr>
        <w:pStyle w:val="ManualHeading1"/>
        <w:rPr>
          <w:noProof/>
        </w:rPr>
      </w:pPr>
      <w:r>
        <w:rPr>
          <w:noProof/>
        </w:rPr>
        <w:t>2.</w:t>
      </w:r>
      <w:r>
        <w:rPr>
          <w:noProof/>
        </w:rPr>
        <w:tab/>
        <w:t>PRAVNA OSNOVA, SUPSIDIJARNOST I PROPORCIONALNOST</w:t>
      </w:r>
    </w:p>
    <w:p w:rsidR="006C0808" w:rsidRDefault="00E3601E">
      <w:pPr>
        <w:pStyle w:val="ManualHeading2"/>
        <w:rPr>
          <w:rFonts w:eastAsia="Arial Unicode MS"/>
          <w:noProof/>
          <w:u w:color="000000"/>
          <w:bdr w:val="nil"/>
        </w:rPr>
      </w:pPr>
      <w:r>
        <w:rPr>
          <w:noProof/>
        </w:rPr>
        <w:t>•</w:t>
      </w:r>
      <w:r>
        <w:rPr>
          <w:noProof/>
        </w:rPr>
        <w:tab/>
        <w:t>Pravna osnova</w:t>
      </w:r>
    </w:p>
    <w:p w:rsidR="006C0808" w:rsidRDefault="00E3601E">
      <w:pPr>
        <w:widowControl w:val="0"/>
        <w:tabs>
          <w:tab w:val="left" w:pos="298"/>
        </w:tabs>
        <w:spacing w:before="0"/>
        <w:ind w:right="20"/>
        <w:rPr>
          <w:rFonts w:eastAsia="Arial Unicode MS"/>
          <w:noProof/>
        </w:rPr>
      </w:pPr>
      <w:r>
        <w:rPr>
          <w:noProof/>
        </w:rPr>
        <w:t>Prijedlog se temelji na članku 114. Ugovora jer se odnosi na razvoj i funkcioniranje u</w:t>
      </w:r>
      <w:r>
        <w:rPr>
          <w:noProof/>
        </w:rPr>
        <w:t>nutarnjeg tržišta za elektroničke komunikacije.</w:t>
      </w:r>
    </w:p>
    <w:p w:rsidR="006C0808" w:rsidRDefault="00E3601E">
      <w:pPr>
        <w:pStyle w:val="ManualHeading2"/>
        <w:rPr>
          <w:rFonts w:eastAsia="Arial Unicode MS"/>
          <w:noProof/>
          <w:u w:color="000000"/>
          <w:bdr w:val="nil"/>
        </w:rPr>
      </w:pPr>
      <w:r>
        <w:rPr>
          <w:noProof/>
        </w:rPr>
        <w:t>•</w:t>
      </w:r>
      <w:r>
        <w:rPr>
          <w:noProof/>
        </w:rPr>
        <w:tab/>
        <w:t>Supsidijarnost (za neisključivu nadležnost)</w:t>
      </w:r>
    </w:p>
    <w:p w:rsidR="006C0808" w:rsidRDefault="00E3601E">
      <w:pPr>
        <w:pStyle w:val="CommentText"/>
        <w:rPr>
          <w:noProof/>
          <w:sz w:val="24"/>
          <w:szCs w:val="24"/>
        </w:rPr>
      </w:pPr>
      <w:r>
        <w:rPr>
          <w:noProof/>
          <w:sz w:val="24"/>
        </w:rPr>
        <w:t>Unija treba djelovati radi rješavanja nedosljednosti u primjeni trenutačnog okvira te nedostataka postojećeg institucionalnog ustroja kao i nedosljednosti u raspo</w:t>
      </w:r>
      <w:r>
        <w:rPr>
          <w:noProof/>
          <w:sz w:val="24"/>
        </w:rPr>
        <w:t>djeli odgovornosti između država članica, nacionalnih regulatornih tijela i Komisije. Za rascjepkanost tržišta nije odgovoran samo postojeći regulatorni ustroj Unije. Međutim, tijekom proteklih nekoliko godina postalo je očito da je nedostatak dosljednosti</w:t>
      </w:r>
      <w:r>
        <w:rPr>
          <w:noProof/>
          <w:sz w:val="24"/>
        </w:rPr>
        <w:t xml:space="preserve"> u telekomunikacijskom zakonodavstvu, barem djelomično, rezultat postojećeg institucionalnog ustroja i načina na koji različiti institucionalni sudionici (uglavnom nacionalna regulatorna tijela, BEREC i Komisija) komuniciraju i mogu utjecati na regulatorni</w:t>
      </w:r>
      <w:r>
        <w:rPr>
          <w:noProof/>
          <w:sz w:val="24"/>
        </w:rPr>
        <w:t xml:space="preserve"> ishod. Veće ovlasti BEREC-a u području </w:t>
      </w:r>
      <w:r>
        <w:rPr>
          <w:i/>
          <w:noProof/>
          <w:sz w:val="24"/>
        </w:rPr>
        <w:t>ex ante</w:t>
      </w:r>
      <w:r>
        <w:rPr>
          <w:noProof/>
          <w:sz w:val="24"/>
        </w:rPr>
        <w:t xml:space="preserve"> regulacije tržišta povećat će pravnu sigurnost i pridonijeti regulatornoj dosljednosti.</w:t>
      </w:r>
    </w:p>
    <w:p w:rsidR="006C0808" w:rsidRDefault="00E3601E">
      <w:pPr>
        <w:pStyle w:val="CommentText"/>
        <w:rPr>
          <w:noProof/>
          <w:sz w:val="24"/>
          <w:szCs w:val="24"/>
        </w:rPr>
      </w:pPr>
      <w:r>
        <w:rPr>
          <w:noProof/>
          <w:sz w:val="24"/>
        </w:rPr>
        <w:t>Tržišni i tehnološki razvoj također znače da postoji niz prekograničnih aspekata koji zahtijevaju regulatornu dosljednos</w:t>
      </w:r>
      <w:r>
        <w:rPr>
          <w:noProof/>
          <w:sz w:val="24"/>
        </w:rPr>
        <w:t>t među državama članicama. Tijelo Unije može se bolje nositi s tim aspektima od pojedinačnih država članica. To se osobito odnosi na usluge poput M2M. Te usluge trebalo bi pružati tako da se ne osjeća prijelaz nacionalnih granica. Osim toga, i dalje postoj</w:t>
      </w:r>
      <w:r>
        <w:rPr>
          <w:noProof/>
          <w:sz w:val="24"/>
        </w:rPr>
        <w:t>e nacionalne prepreke pri pružanju prekograničnih poslovnih komunikacijskih usluga. To je važna propuštena prilika za funkcioniranje i razvoj unutarnjeg tržišta.</w:t>
      </w:r>
    </w:p>
    <w:p w:rsidR="006C0808" w:rsidRDefault="00E3601E">
      <w:pPr>
        <w:pStyle w:val="CommentText"/>
        <w:rPr>
          <w:rFonts w:eastAsia="Arial Unicode MS"/>
          <w:noProof/>
        </w:rPr>
      </w:pPr>
      <w:r>
        <w:rPr>
          <w:noProof/>
          <w:sz w:val="24"/>
        </w:rPr>
        <w:t>Zajednički je interes osigurati usklađenu, dosljednu i učinkovitu provedbu regulatornog okvira</w:t>
      </w:r>
      <w:r>
        <w:rPr>
          <w:noProof/>
          <w:sz w:val="24"/>
        </w:rPr>
        <w:t xml:space="preserve"> uz potporu BEREC-a. Države članice stoga ne mogu dostatno ostvariti ciljeve ovog prijedloga. Oni se mogu bolje ostvariti na razini Unije. Stoga Zajednica može donijeti mjere u skladu s načelom supsidijarnosti iz članka 5. Ugovora.</w:t>
      </w:r>
    </w:p>
    <w:p w:rsidR="006C0808" w:rsidRDefault="00E3601E">
      <w:pPr>
        <w:pStyle w:val="ManualHeading2"/>
        <w:rPr>
          <w:rFonts w:eastAsia="Arial Unicode MS"/>
          <w:noProof/>
          <w:u w:color="000000"/>
          <w:bdr w:val="nil"/>
        </w:rPr>
      </w:pPr>
      <w:r>
        <w:rPr>
          <w:noProof/>
        </w:rPr>
        <w:t>•</w:t>
      </w:r>
      <w:r>
        <w:rPr>
          <w:noProof/>
        </w:rPr>
        <w:tab/>
        <w:t>Proporcionalnost</w:t>
      </w:r>
    </w:p>
    <w:p w:rsidR="006C0808" w:rsidRDefault="00E3601E">
      <w:pPr>
        <w:pStyle w:val="CommentText"/>
        <w:rPr>
          <w:noProof/>
          <w:sz w:val="24"/>
          <w:szCs w:val="24"/>
        </w:rPr>
      </w:pPr>
      <w:r>
        <w:rPr>
          <w:noProof/>
          <w:sz w:val="24"/>
        </w:rPr>
        <w:t>Prijedlog je u skladu s načelom proporcionalnosti, posebno s obzirom na ciljeve i zadaće BEREC-a. Njegov je cilj osigurati dosljednu provedbu regulatornog okvira, pridonoseći razvoju tržišta elektroničkih komunikacija u cijeloj Uniji, promicanju pristupa f</w:t>
      </w:r>
      <w:r>
        <w:rPr>
          <w:noProof/>
          <w:sz w:val="24"/>
        </w:rPr>
        <w:t xml:space="preserve">iksnoj i mobilnoj podatkovnoj povezivosti vrlo visokoga kapaciteta i njezine uporabe, tržišnom natjecanju u pružanju mreža i usluga elektroničkih komunikacija i interesu građana Unije. BEREC bi trebao pomagati Komisiji i nacionalnim regulatornim tijelima; </w:t>
      </w:r>
      <w:r>
        <w:rPr>
          <w:noProof/>
          <w:sz w:val="24"/>
        </w:rPr>
        <w:t>pružati smjernice kako bi se osigurala dosljednost mjera nacionalnih regulatornih tijela; putem učinkovitih postupaka unutarnjeg tržišta davati mišljenja o nacrtu nacionalnih mjera; voditi registre mreža i pružatelja usluga te brojeva s upotrebom izvanteri</w:t>
      </w:r>
      <w:r>
        <w:rPr>
          <w:noProof/>
          <w:sz w:val="24"/>
        </w:rPr>
        <w:t>torijalnosti; donositi obvezujuće odluke o dvama prekograničnim pitanjima: utvrđivanje transnacionalnih tržišta i obrasca sažetka ugovora. BEREC bi imao poluobvezujuće ovlasti u odnosu na postupke unutarnjeg tržišta za nacrte nacionalnih mjera za regulacij</w:t>
      </w:r>
      <w:r>
        <w:rPr>
          <w:noProof/>
          <w:sz w:val="24"/>
        </w:rPr>
        <w:t>u tržišta (mehanizam „dvostruke zaštite”) i uspostavu jedinstvene najveće cijene završavanja poziva na razini Unije.</w:t>
      </w:r>
    </w:p>
    <w:p w:rsidR="006C0808" w:rsidRDefault="00E3601E">
      <w:pPr>
        <w:pStyle w:val="CommentText"/>
        <w:rPr>
          <w:noProof/>
          <w:sz w:val="24"/>
          <w:szCs w:val="24"/>
        </w:rPr>
      </w:pPr>
      <w:r>
        <w:rPr>
          <w:noProof/>
          <w:sz w:val="24"/>
        </w:rPr>
        <w:t xml:space="preserve">Nova agencija trebala bi nastaviti rad BEREC-a te nastaviti udruživanje stručnog znanja nacionalnih regulatornih tijela koja ostaju u </w:t>
      </w:r>
      <w:r>
        <w:rPr>
          <w:noProof/>
          <w:sz w:val="24"/>
        </w:rPr>
        <w:t>središtu rada Agencije i članovi su upravnog odbora. Nacionalna regulatorna tijela i dalje će obavljati većinu posla koji se odnosi na provedbu regulatornog okvira.</w:t>
      </w:r>
    </w:p>
    <w:p w:rsidR="006C0808" w:rsidRDefault="00E3601E">
      <w:pPr>
        <w:pStyle w:val="Text1"/>
        <w:ind w:left="0"/>
        <w:rPr>
          <w:noProof/>
          <w:szCs w:val="24"/>
        </w:rPr>
      </w:pPr>
      <w:r>
        <w:rPr>
          <w:noProof/>
        </w:rPr>
        <w:t>Posebno u pogledu regulacije pristupa, nacionalna regulatorna tijela ostaju nadležna kako b</w:t>
      </w:r>
      <w:r>
        <w:rPr>
          <w:noProof/>
        </w:rPr>
        <w:t>i osigurala da se tržišni propusti rješavaju prikladnim mjerama te da propisi pomažu u ostvarivanju ciljeva zajedničke politike. Predložena pravila regulatorima pružaju dodatne alate za rješavanje trenutačnih izazova povezivosti, ali način na koji će se on</w:t>
      </w:r>
      <w:r>
        <w:rPr>
          <w:noProof/>
        </w:rPr>
        <w:t xml:space="preserve">a koristiti ovisi o nacionalnim okolnostima koje će ocjenjivati nacionalni regulatori. Razlog ciljanog jačanja regulatornog nadzora, uglavnom davanjem BEREC-u snažnije uloge u takvom nadzoru, očiti je nedostatak dosljednosti u primjeni postojećih pravila, </w:t>
      </w:r>
      <w:r>
        <w:rPr>
          <w:noProof/>
        </w:rPr>
        <w:t>a usklađenost je ključna za pravilno funkcioniranje unutarnjeg tržišta.</w:t>
      </w:r>
    </w:p>
    <w:p w:rsidR="006C0808" w:rsidRDefault="00E3601E">
      <w:pPr>
        <w:pStyle w:val="Text1"/>
        <w:ind w:left="0"/>
        <w:rPr>
          <w:noProof/>
          <w:szCs w:val="24"/>
        </w:rPr>
      </w:pPr>
      <w:r>
        <w:rPr>
          <w:noProof/>
        </w:rPr>
        <w:t>Upravljanje radiofrekvencijskim spektrom i dalje je u nadležnosti država članica. Predložena pravila osiguravaju opći okvir za dosljedno upravljanje radiofrekvencijskim spektrom diljem</w:t>
      </w:r>
      <w:r>
        <w:rPr>
          <w:noProof/>
        </w:rPr>
        <w:t xml:space="preserve"> Unije, iako države članice ta pravila mogu primijeniti uzimajući u obzir nacionalne okolnosti. S obzirom na snažan prekogranični utjecaj upravljanja radiofrekvencijskim spektrom i širi utjecaj na povezivost na unutarnjem tržištu, nužni su određeni postupc</w:t>
      </w:r>
      <w:r>
        <w:rPr>
          <w:noProof/>
        </w:rPr>
        <w:t>i koordinacije na razini Unije.</w:t>
      </w:r>
    </w:p>
    <w:p w:rsidR="006C0808" w:rsidRDefault="00E3601E">
      <w:pPr>
        <w:pStyle w:val="CommentText"/>
        <w:rPr>
          <w:noProof/>
          <w:sz w:val="24"/>
          <w:szCs w:val="24"/>
        </w:rPr>
      </w:pPr>
      <w:r>
        <w:rPr>
          <w:noProof/>
          <w:sz w:val="24"/>
        </w:rPr>
        <w:t>Kao uredba, predloženi instrument izravno će se primjenjivati u Uniji. Financijsko i administrativno opterećenje za Uniju, nacionalne vlade i gospodarske subjekte tako će se svesti na minimum i biti proporcionalan cilju prij</w:t>
      </w:r>
      <w:r>
        <w:rPr>
          <w:noProof/>
          <w:sz w:val="24"/>
        </w:rPr>
        <w:t>edloga. Tako se povećava proporcionalnost trenutačne situacije u kojoj se agencija Unije osniva uglavnom radi potpore BEREC-u. Njome se jamči da nova agencija osigura veću dodanu vrijednost i bude usklađena s političkim prioritetima Unije, posebno strategi</w:t>
      </w:r>
      <w:r>
        <w:rPr>
          <w:noProof/>
          <w:sz w:val="24"/>
        </w:rPr>
        <w:t>jom DSM.</w:t>
      </w:r>
    </w:p>
    <w:p w:rsidR="006C0808" w:rsidRDefault="00E3601E">
      <w:pPr>
        <w:pBdr>
          <w:top w:val="nil"/>
          <w:left w:val="nil"/>
          <w:bottom w:val="nil"/>
          <w:right w:val="nil"/>
          <w:between w:val="nil"/>
          <w:bar w:val="nil"/>
        </w:pBdr>
        <w:spacing w:before="0" w:after="240"/>
        <w:rPr>
          <w:rFonts w:eastAsia="Arial Unicode MS"/>
          <w:noProof/>
        </w:rPr>
      </w:pPr>
      <w:r>
        <w:rPr>
          <w:noProof/>
        </w:rPr>
        <w:t>S obzirom na ciljeve i u skladu s načelom proporcionalnosti kako je utvrđeno člankom 5. Ugovora o Europskoj uniji, ova Uredba ne prelazi ono što je potrebno za ostvarivanje tih ciljeva.</w:t>
      </w:r>
    </w:p>
    <w:p w:rsidR="006C0808" w:rsidRDefault="00E3601E">
      <w:pPr>
        <w:pStyle w:val="ManualHeading2"/>
        <w:rPr>
          <w:rFonts w:eastAsia="Arial Unicode MS"/>
          <w:noProof/>
          <w:u w:color="000000"/>
          <w:bdr w:val="nil"/>
        </w:rPr>
      </w:pPr>
      <w:r>
        <w:rPr>
          <w:noProof/>
        </w:rPr>
        <w:t>•</w:t>
      </w:r>
      <w:r>
        <w:rPr>
          <w:noProof/>
        </w:rPr>
        <w:tab/>
        <w:t>Odabir instrumenta</w:t>
      </w:r>
    </w:p>
    <w:p w:rsidR="006C0808" w:rsidRDefault="00E3601E">
      <w:pPr>
        <w:pBdr>
          <w:top w:val="nil"/>
          <w:left w:val="nil"/>
          <w:bottom w:val="nil"/>
          <w:right w:val="nil"/>
          <w:between w:val="nil"/>
          <w:bar w:val="nil"/>
        </w:pBdr>
        <w:spacing w:before="0" w:after="240"/>
        <w:rPr>
          <w:noProof/>
          <w:szCs w:val="24"/>
        </w:rPr>
      </w:pPr>
      <w:r>
        <w:rPr>
          <w:noProof/>
        </w:rPr>
        <w:t>Samo Uredba s izravnom primjenom može os</w:t>
      </w:r>
      <w:r>
        <w:rPr>
          <w:noProof/>
        </w:rPr>
        <w:t>igurati osnivanje decentralizirane agencije Unije te utvrđivanje njezinih zadataka i ciljeva, čime bi se osigurao potreban stupanj učinkovitosti i ujednačenosti nužan za provedbu regulatornog okvira.</w:t>
      </w:r>
    </w:p>
    <w:p w:rsidR="006C0808" w:rsidRDefault="00E3601E">
      <w:pPr>
        <w:pBdr>
          <w:top w:val="nil"/>
          <w:left w:val="nil"/>
          <w:bottom w:val="nil"/>
          <w:right w:val="nil"/>
          <w:between w:val="nil"/>
          <w:bar w:val="nil"/>
        </w:pBdr>
        <w:spacing w:before="0" w:after="240"/>
        <w:rPr>
          <w:noProof/>
          <w:szCs w:val="24"/>
        </w:rPr>
      </w:pPr>
      <w:r>
        <w:rPr>
          <w:noProof/>
        </w:rPr>
        <w:t>Isti je pravni instrument bio odabran za osnivanje BEREC</w:t>
      </w:r>
      <w:r>
        <w:rPr>
          <w:noProof/>
        </w:rPr>
        <w:t>-a i Ureda (Uredba (EZ) br. 1211/2009). Cilj je ove Uredbe izmijeniti i proširiti odredbe Uredbe (EZ) br. 1211/2009. Budući da je potrebno provesti opsežne izmjene, taj bi akt radi jasnoće trebalo zamijeniti i staviti izvan snage.</w:t>
      </w:r>
    </w:p>
    <w:p w:rsidR="006C0808" w:rsidRDefault="00E3601E">
      <w:pPr>
        <w:pStyle w:val="ManualHeading1"/>
        <w:rPr>
          <w:noProof/>
        </w:rPr>
      </w:pPr>
      <w:r>
        <w:rPr>
          <w:noProof/>
        </w:rPr>
        <w:t>3.</w:t>
      </w:r>
      <w:r>
        <w:rPr>
          <w:noProof/>
        </w:rPr>
        <w:tab/>
        <w:t xml:space="preserve">REZULTATI </w:t>
      </w:r>
      <w:r>
        <w:rPr>
          <w:i/>
          <w:noProof/>
        </w:rPr>
        <w:t>EX POST</w:t>
      </w:r>
      <w:r>
        <w:rPr>
          <w:noProof/>
        </w:rPr>
        <w:t xml:space="preserve"> OCJE</w:t>
      </w:r>
      <w:r>
        <w:rPr>
          <w:noProof/>
        </w:rPr>
        <w:t>NJIVANJA, SAVJETOVANJA S DIONICIMA I PROCJENE UČINAKA</w:t>
      </w:r>
    </w:p>
    <w:p w:rsidR="006C0808" w:rsidRDefault="00E3601E">
      <w:pPr>
        <w:pStyle w:val="ManualHeading2"/>
        <w:rPr>
          <w:rFonts w:eastAsia="Arial Unicode MS"/>
          <w:noProof/>
          <w:u w:color="000000"/>
          <w:bdr w:val="nil"/>
        </w:rPr>
      </w:pPr>
      <w:r>
        <w:rPr>
          <w:noProof/>
        </w:rPr>
        <w:t>•</w:t>
      </w:r>
      <w:r>
        <w:rPr>
          <w:noProof/>
        </w:rPr>
        <w:tab/>
      </w:r>
      <w:r>
        <w:rPr>
          <w:i/>
          <w:noProof/>
        </w:rPr>
        <w:t>Ex post</w:t>
      </w:r>
      <w:r>
        <w:rPr>
          <w:noProof/>
        </w:rPr>
        <w:t xml:space="preserve"> ocjenjivanje/provjera prikladnosti postojećeg zakonodavstva</w:t>
      </w:r>
    </w:p>
    <w:p w:rsidR="006C0808" w:rsidRDefault="00E3601E">
      <w:pPr>
        <w:pBdr>
          <w:top w:val="nil"/>
          <w:left w:val="nil"/>
          <w:bottom w:val="nil"/>
          <w:right w:val="nil"/>
          <w:between w:val="nil"/>
          <w:bar w:val="nil"/>
        </w:pBdr>
        <w:spacing w:before="0" w:after="240"/>
        <w:rPr>
          <w:noProof/>
          <w:szCs w:val="24"/>
        </w:rPr>
      </w:pPr>
      <w:r>
        <w:rPr>
          <w:noProof/>
        </w:rPr>
        <w:t xml:space="preserve">Komisija je provela </w:t>
      </w:r>
      <w:r>
        <w:rPr>
          <w:i/>
          <w:noProof/>
        </w:rPr>
        <w:t>ex post</w:t>
      </w:r>
      <w:r>
        <w:rPr>
          <w:noProof/>
        </w:rPr>
        <w:t xml:space="preserve"> ocjenjivanje („REFIT”) kojim su Uredba o BEREC-u i drugi dijelovi regulatornog okvira ocijenjeni u pogle</w:t>
      </w:r>
      <w:r>
        <w:rPr>
          <w:noProof/>
        </w:rPr>
        <w:t>du djelotvornosti, učinkovitosti, relevantnosti, dosljednosti i dodane vrijednosti EU-a. Njime su utvrđena područja u kojima postoji mogućnost pojednostavnjenja, a da se ne ugrožavaju njihovi ciljevi. Prethodno ocjenjivanje BEREC-a i Ureda</w:t>
      </w:r>
      <w:r>
        <w:rPr>
          <w:rStyle w:val="FootnoteReference"/>
          <w:noProof/>
        </w:rPr>
        <w:footnoteReference w:id="5"/>
      </w:r>
      <w:r>
        <w:rPr>
          <w:noProof/>
        </w:rPr>
        <w:t xml:space="preserve"> također je izvr</w:t>
      </w:r>
      <w:r>
        <w:rPr>
          <w:noProof/>
        </w:rPr>
        <w:t xml:space="preserve">šeno u razdoblju 2012. – 2013. u skladu s člankom 15. Uredbe (EZ) br. 1211/2009. Njezini rezultati uključeni su u </w:t>
      </w:r>
      <w:r>
        <w:rPr>
          <w:i/>
          <w:noProof/>
        </w:rPr>
        <w:t>ex post</w:t>
      </w:r>
      <w:r>
        <w:rPr>
          <w:noProof/>
        </w:rPr>
        <w:t xml:space="preserve"> ocjenjivanje.</w:t>
      </w:r>
    </w:p>
    <w:p w:rsidR="006C0808" w:rsidRDefault="00E3601E">
      <w:pPr>
        <w:rPr>
          <w:noProof/>
          <w:szCs w:val="24"/>
        </w:rPr>
      </w:pPr>
      <w:r>
        <w:rPr>
          <w:noProof/>
        </w:rPr>
        <w:t>Općenito, radnim dokumentom službi kojim se prati prijedlog i ocjenjuje prikladnost trenutačnih pravila zaključeno je da</w:t>
      </w:r>
      <w:r>
        <w:rPr>
          <w:noProof/>
        </w:rPr>
        <w:t xml:space="preserve"> je regulatorni okvir za elektroničke komunikacije uglavnom ostvario svoj opći cilj osiguranja konkurentnog sektora koji krajnjim korisnicima pruža znatne pogodnosti. I dalje su relevantni njegovi glavni specifični ciljevi – promicanje tržišnog natjecanja,</w:t>
      </w:r>
      <w:r>
        <w:rPr>
          <w:noProof/>
        </w:rPr>
        <w:t xml:space="preserve"> razvoj unutarnjeg tržišta i njegovanje interesa krajnjih korisnika. Međutim, čini se potrebnim preispitati regulatorni okvir, uključujući Uredbu o BEREC-u, radi rješavanja rastuće potrebe za boljom povezanošću jedinstvenog digitalnog tržišta te radi pojed</w:t>
      </w:r>
      <w:r>
        <w:rPr>
          <w:noProof/>
        </w:rPr>
        <w:t>nostavnjivanja odredaba uzimajući u obzir tržišni i tehnološki razvoj.</w:t>
      </w:r>
    </w:p>
    <w:p w:rsidR="006C0808" w:rsidRDefault="00E3601E">
      <w:pPr>
        <w:rPr>
          <w:noProof/>
          <w:szCs w:val="24"/>
        </w:rPr>
      </w:pPr>
      <w:r>
        <w:rPr>
          <w:noProof/>
        </w:rPr>
        <w:t>Rezultati, u skladu s posebnim kriterijima ocjenjivanja, mogu se sažeti kako slijedi.</w:t>
      </w:r>
    </w:p>
    <w:p w:rsidR="006C0808" w:rsidRDefault="00E3601E">
      <w:pPr>
        <w:rPr>
          <w:noProof/>
          <w:szCs w:val="24"/>
        </w:rPr>
      </w:pPr>
      <w:r>
        <w:rPr>
          <w:b/>
          <w:noProof/>
        </w:rPr>
        <w:t>Relevantnost</w:t>
      </w:r>
      <w:r>
        <w:rPr>
          <w:noProof/>
        </w:rPr>
        <w:t> – kad su u pitanju uloga i rad drugih važnih institucionalnih činitelja, BEREC mora, u</w:t>
      </w:r>
      <w:r>
        <w:rPr>
          <w:noProof/>
        </w:rPr>
        <w:t xml:space="preserve"> skladu s važećim odredbama, težiti ostvarenju ciljeva iz tog okvira. Posebno mora osigurati dosljednu provedbu regulatornog okvira kako bi pridonio razvoju i boljem funkcioniranju unutarnjeg tržišta. S tim ciljem, a sa proširenim mandatom, relevantnost BE</w:t>
      </w:r>
      <w:r>
        <w:rPr>
          <w:noProof/>
        </w:rPr>
        <w:t>REC-a raste iako u javnoj raspravi nije postignut konsenzus o tome kako regulativom pratiti to proširenje.</w:t>
      </w:r>
    </w:p>
    <w:p w:rsidR="006C0808" w:rsidRDefault="00E3601E">
      <w:pPr>
        <w:rPr>
          <w:noProof/>
        </w:rPr>
      </w:pPr>
      <w:r>
        <w:rPr>
          <w:b/>
          <w:noProof/>
        </w:rPr>
        <w:t>Djelotvornost</w:t>
      </w:r>
      <w:r>
        <w:rPr>
          <w:noProof/>
        </w:rPr>
        <w:t> – u javnoj raspravi o reviziji telekomunikacija bilo je različitih mišljenja u pogledu učinkovitosti BEREC-ove uloge u održavanju doslj</w:t>
      </w:r>
      <w:r>
        <w:rPr>
          <w:noProof/>
        </w:rPr>
        <w:t>ednih rezultata. Neki dionici BEREC-ove neovisne stručne savjete i njegovu ulogu u postupku preispitivanja tržišta smatraju pozitivnima. Ostali misle da njegova struktura kao skupine nacionalnih regulatornih tijela bez pravne osobnosti BEREC-u umanjuje pot</w:t>
      </w:r>
      <w:r>
        <w:rPr>
          <w:noProof/>
        </w:rPr>
        <w:t>icaj na rad na ostvarenju ciljeva unutarnjeg tržišta za razliku od pojedinačnih ili zajedničkih ciljeva nacionalnih članova. Ispitanici kažu da BEREC treba biti proaktivniji u odnosu na ključne teme. Kažu i da zbog svojeg trenutačnog institucijskog ustroja</w:t>
      </w:r>
      <w:r>
        <w:rPr>
          <w:noProof/>
        </w:rPr>
        <w:t xml:space="preserve"> BEREC često odabire veću fleksibilnost ili najmanji zajednički nazivnik umjesto da prihvati usklađeni pristup jedinstvenom tržištu.</w:t>
      </w:r>
    </w:p>
    <w:p w:rsidR="006C0808" w:rsidRDefault="00E3601E">
      <w:pPr>
        <w:rPr>
          <w:noProof/>
        </w:rPr>
      </w:pPr>
      <w:r>
        <w:rPr>
          <w:noProof/>
        </w:rPr>
        <w:t>S obzirom na trenutačne zadaće te s obzirom na mišljenje o preispitivanju regulatornog okvira EU-a za elektroničke komunika</w:t>
      </w:r>
      <w:r>
        <w:rPr>
          <w:noProof/>
        </w:rPr>
        <w:t>cije</w:t>
      </w:r>
      <w:r>
        <w:rPr>
          <w:rStyle w:val="FootnoteReference"/>
          <w:noProof/>
        </w:rPr>
        <w:footnoteReference w:id="6"/>
      </w:r>
      <w:r>
        <w:rPr>
          <w:noProof/>
        </w:rPr>
        <w:t>, BEREC je utvrdio nekoliko područja u kojima može igrati važniju ulogu. Na primjer, šire područje primjene mišljenjâ BEREC-a iz članka 7. i 7.a, pitanja prekogranične prirode (kao što su međunarodni roaming), određivanje mjerila kvalitete usluga pris</w:t>
      </w:r>
      <w:r>
        <w:rPr>
          <w:noProof/>
        </w:rPr>
        <w:t>tupa internetu na razini Unije te razvoj tehničkih smjernica.</w:t>
      </w:r>
    </w:p>
    <w:p w:rsidR="006C0808" w:rsidRDefault="00E3601E">
      <w:pPr>
        <w:rPr>
          <w:rFonts w:eastAsia="Calibri"/>
          <w:bCs/>
          <w:noProof/>
        </w:rPr>
      </w:pPr>
      <w:r>
        <w:rPr>
          <w:noProof/>
        </w:rPr>
        <w:t xml:space="preserve">U pogledu usklađivanja ciljeva Ureda BEREC-a kao agencije Unije s trenutačnim prioritetima Unije, ocjenjivanjem je zaključeno da bi pružanjem potpore BEREC-u sadašnja djelatnost Ureda BEREC-a u </w:t>
      </w:r>
      <w:r>
        <w:rPr>
          <w:noProof/>
        </w:rPr>
        <w:t>konačnici trebala pridonijeti razvoju jedinstvenog tržišta i dosljednoj provedbi pravila. No riječ je o jedinstvenoj situaciji u kojoj je agencija osnovana isključivo radi pružanja potpore drugom regulatornom tijelu osnovanom u skladu s pravom Unije. To pr</w:t>
      </w:r>
      <w:r>
        <w:rPr>
          <w:noProof/>
        </w:rPr>
        <w:t>edstavlja određeni izazov jer unatoč relativno ograničenoj djelatnosti, Ured BEREC-a mora slijediti ista detaljna pravila koja se primjenjuju na sve decentralizirane agencije Unije (financijska pravila, pravila o osoblju/provedbena pravila, nabava, izvješć</w:t>
      </w:r>
      <w:r>
        <w:rPr>
          <w:noProof/>
        </w:rPr>
        <w:t>ivanje, itd.).</w:t>
      </w:r>
    </w:p>
    <w:p w:rsidR="006C0808" w:rsidRDefault="00E3601E">
      <w:pPr>
        <w:rPr>
          <w:noProof/>
          <w:szCs w:val="24"/>
        </w:rPr>
      </w:pPr>
      <w:r>
        <w:rPr>
          <w:b/>
          <w:noProof/>
        </w:rPr>
        <w:t>Učinkovitost</w:t>
      </w:r>
      <w:r>
        <w:rPr>
          <w:noProof/>
        </w:rPr>
        <w:t> – nije bilo moguće provesti precizan izračun troškova, ali ocjenjivanje je pokazalo da koristi od okvira  – za većinu subjekata, krajnje korisnike te društvo u cjelini – uvelike premašuju troškove njegove provedbe.</w:t>
      </w:r>
    </w:p>
    <w:p w:rsidR="006C0808" w:rsidRDefault="00E3601E">
      <w:pPr>
        <w:rPr>
          <w:noProof/>
          <w:szCs w:val="24"/>
        </w:rPr>
      </w:pPr>
      <w:r>
        <w:rPr>
          <w:noProof/>
        </w:rPr>
        <w:t>U mnogim aspe</w:t>
      </w:r>
      <w:r>
        <w:rPr>
          <w:noProof/>
        </w:rPr>
        <w:t>ktima Ured BEREC-a nije u skladu s načelima zajedničkog pristupa. Ograničene zadaće i veličina ureda u usporedbi s drugim agencijama Unije imaju negativne posljedice kad je riječ o privlačenju i zadržavanju osoblja te o organizacijskim aspektima. Trenutačn</w:t>
      </w:r>
      <w:r>
        <w:rPr>
          <w:noProof/>
        </w:rPr>
        <w:t>a dvojna struktura također dovodi do neučinkovitosti. Iako je takve neučinkovitosti teško mjeriti, dvojna struktura komplicira stvari i stvara administrativna opterećenja; naprimjer, potrebno je donijeti dva odvojena godišnja izvješća i dva programa rada –</w:t>
      </w:r>
      <w:r>
        <w:rPr>
          <w:noProof/>
        </w:rPr>
        <w:t> jedan Odbora regulatora za BEREC, a drugi Upravnog odbora Ureda.</w:t>
      </w:r>
    </w:p>
    <w:p w:rsidR="006C0808" w:rsidRDefault="00E3601E">
      <w:pPr>
        <w:rPr>
          <w:noProof/>
        </w:rPr>
      </w:pPr>
      <w:r>
        <w:rPr>
          <w:noProof/>
        </w:rPr>
        <w:t xml:space="preserve">Ocjenjivanjem su prepoznata brojna pitanja koja se mogu pojednostavniti i usmjeriti (delegiranje ovlasti tijela za imenovanja, duži ili produljivi mandati predsjednika, odlučivanje većinom </w:t>
      </w:r>
      <w:r>
        <w:rPr>
          <w:noProof/>
        </w:rPr>
        <w:t>glasova, odgovarajuća sredstva, organiziranje upravljačkog odbora te dulja razdoblja savjetovanja ili dvostupanjski postupak savjetovanja za ključne politike).</w:t>
      </w:r>
    </w:p>
    <w:p w:rsidR="006C0808" w:rsidRDefault="00E3601E">
      <w:pPr>
        <w:rPr>
          <w:rFonts w:eastAsia="Calibri"/>
          <w:bCs/>
          <w:noProof/>
        </w:rPr>
      </w:pPr>
      <w:r>
        <w:rPr>
          <w:b/>
          <w:noProof/>
        </w:rPr>
        <w:t>Dodana vrijednost za EU</w:t>
      </w:r>
      <w:r>
        <w:rPr>
          <w:noProof/>
        </w:rPr>
        <w:t xml:space="preserve"> – dodana vrijednost za EU temeljem osnivanja BEREC-a, osobito u pogledu </w:t>
      </w:r>
      <w:r>
        <w:rPr>
          <w:noProof/>
        </w:rPr>
        <w:t>njegova savjetovanja institucija EU-a, povezana je s djelovanjem unutarnjeg tržišta za elektroničke komunikacije. Na to se općenito gleda s odobravanjem, ali se povremeno u pitanje dovodi učinkovitost BEREC-a. Veća bi mu učinkovitost povećala dodanu vrijed</w:t>
      </w:r>
      <w:r>
        <w:rPr>
          <w:noProof/>
        </w:rPr>
        <w:t>nost. Dodana vrijednost Ureda kao agencije Unije koja podupire BEREC drugi je bitan aspekt.</w:t>
      </w:r>
    </w:p>
    <w:p w:rsidR="006C0808" w:rsidRDefault="00E3601E">
      <w:pPr>
        <w:pBdr>
          <w:top w:val="nil"/>
          <w:left w:val="nil"/>
          <w:bottom w:val="nil"/>
          <w:right w:val="nil"/>
          <w:between w:val="nil"/>
          <w:bar w:val="nil"/>
        </w:pBdr>
        <w:spacing w:before="0" w:after="240"/>
        <w:rPr>
          <w:rFonts w:eastAsia="Arial Unicode MS"/>
          <w:noProof/>
        </w:rPr>
      </w:pPr>
      <w:r>
        <w:rPr>
          <w:b/>
          <w:noProof/>
        </w:rPr>
        <w:t>Dosljednost</w:t>
      </w:r>
      <w:r>
        <w:rPr>
          <w:noProof/>
        </w:rPr>
        <w:t> – općenito, razni instrumenti koji čine regulatorni okvir međusobno se dopunjuju. Međutim, ocjenjivanjem je utvrđen ograničen broj unutarnjih nedosljedn</w:t>
      </w:r>
      <w:r>
        <w:rPr>
          <w:noProof/>
        </w:rPr>
        <w:t>osti, kao što je neusklađenost između zadaća neovisnih nacionalnih regulatornih tijela i BEREC-ovih zadaća. To je stoga što se katkad od BEREC-a očekuje da izda mišljenje na europskoj razini u područjima za koja sva neovisna nacionalna regulatorna tijela k</w:t>
      </w:r>
      <w:r>
        <w:rPr>
          <w:noProof/>
        </w:rPr>
        <w:t>oja su mu članovi nisu nadležna na nacionalnoj razini. Ocjenjivanje je pokazalo i da je u pojedinim slučajevima bilo problema u koordinaciji između BEREC-a i Komisije. To je bio slučaj u vezi s pružanjem i dobivanjem informacija od BEREC-a i Ureda o cijena</w:t>
      </w:r>
      <w:r>
        <w:rPr>
          <w:noProof/>
        </w:rPr>
        <w:t>ma završavanja poziva i roamingu. To treba popraviti kako bi svaka organizacija mogla učinkovito obavljati svoje zadaće.</w:t>
      </w:r>
    </w:p>
    <w:p w:rsidR="006C0808" w:rsidRDefault="00E3601E">
      <w:pPr>
        <w:pStyle w:val="ManualHeading2"/>
        <w:rPr>
          <w:rFonts w:eastAsia="Arial Unicode MS"/>
          <w:noProof/>
          <w:u w:color="000000"/>
          <w:bdr w:val="nil"/>
        </w:rPr>
      </w:pPr>
      <w:r>
        <w:rPr>
          <w:noProof/>
        </w:rPr>
        <w:t>•</w:t>
      </w:r>
      <w:r>
        <w:rPr>
          <w:noProof/>
        </w:rPr>
        <w:tab/>
        <w:t>Savjetovanja s dionicima</w:t>
      </w:r>
    </w:p>
    <w:p w:rsidR="006C0808" w:rsidRDefault="00E3601E">
      <w:pPr>
        <w:spacing w:after="200"/>
        <w:rPr>
          <w:noProof/>
          <w:szCs w:val="24"/>
        </w:rPr>
      </w:pPr>
      <w:r>
        <w:rPr>
          <w:noProof/>
        </w:rPr>
        <w:t xml:space="preserve">Otvorena javna rasprava u trajanju od 12 tjedana počela je 11. rujna 2015. s ciljem dobivanja podataka za </w:t>
      </w:r>
      <w:r>
        <w:rPr>
          <w:noProof/>
        </w:rPr>
        <w:t>postupak ocjenjivanja, procjenu postojećih pravila te traženje mišljenja o mogućim prilagodbama okvira u svjetlu tržišnog i tehnološkog razvoja. Njome su obuhvaćeni opće ocjenjivanje postojećeg okvira i detaljno ocjenjivanje i preispitivanje posebnih dijel</w:t>
      </w:r>
      <w:r>
        <w:rPr>
          <w:noProof/>
        </w:rPr>
        <w:t>ova okvira. To su:</w:t>
      </w:r>
    </w:p>
    <w:p w:rsidR="006C0808" w:rsidRDefault="00E3601E">
      <w:pPr>
        <w:pStyle w:val="Bullet0"/>
        <w:numPr>
          <w:ilvl w:val="0"/>
          <w:numId w:val="21"/>
        </w:numPr>
        <w:rPr>
          <w:noProof/>
        </w:rPr>
      </w:pPr>
      <w:r>
        <w:rPr>
          <w:noProof/>
        </w:rPr>
        <w:t xml:space="preserve">regulativa o pristupu mreži, </w:t>
      </w:r>
    </w:p>
    <w:p w:rsidR="006C0808" w:rsidRDefault="00E3601E">
      <w:pPr>
        <w:pStyle w:val="Bullet0"/>
        <w:rPr>
          <w:noProof/>
        </w:rPr>
      </w:pPr>
      <w:r>
        <w:rPr>
          <w:noProof/>
        </w:rPr>
        <w:t>upravljanje radiofrekvencijskim spektrom i bežična povezivost,</w:t>
      </w:r>
    </w:p>
    <w:p w:rsidR="006C0808" w:rsidRDefault="00E3601E">
      <w:pPr>
        <w:pStyle w:val="Bullet0"/>
        <w:rPr>
          <w:noProof/>
        </w:rPr>
      </w:pPr>
      <w:r>
        <w:rPr>
          <w:noProof/>
        </w:rPr>
        <w:t>sektorska regulativa komunikacijskih usluga,</w:t>
      </w:r>
    </w:p>
    <w:p w:rsidR="006C0808" w:rsidRDefault="00E3601E">
      <w:pPr>
        <w:pStyle w:val="Bullet0"/>
        <w:rPr>
          <w:noProof/>
        </w:rPr>
      </w:pPr>
      <w:r>
        <w:rPr>
          <w:noProof/>
        </w:rPr>
        <w:t xml:space="preserve">pravila o univerzalnoj usluzi, </w:t>
      </w:r>
    </w:p>
    <w:p w:rsidR="006C0808" w:rsidRDefault="00E3601E">
      <w:pPr>
        <w:pStyle w:val="Bullet0"/>
        <w:rPr>
          <w:noProof/>
        </w:rPr>
      </w:pPr>
      <w:r>
        <w:rPr>
          <w:noProof/>
        </w:rPr>
        <w:t>institucionalni ustroj i upravljanje.</w:t>
      </w:r>
    </w:p>
    <w:p w:rsidR="006C0808" w:rsidRDefault="00E3601E">
      <w:pPr>
        <w:spacing w:before="0" w:after="200"/>
        <w:rPr>
          <w:noProof/>
          <w:szCs w:val="24"/>
        </w:rPr>
      </w:pPr>
      <w:r>
        <w:rPr>
          <w:noProof/>
        </w:rPr>
        <w:t>Javna je rasprava bila i širo</w:t>
      </w:r>
      <w:r>
        <w:rPr>
          <w:noProof/>
        </w:rPr>
        <w:t>ka i detaljna, opsežni podaci dobiveni su od potrošača, davatelja elektroničkih komunikacijskih mreža i usluga, nacionalnih i europskih udruženja operatora, organizacija civilnog društva, radiotelevizijskih kuća, pružatelja tehnoloških usluga, pružatelja i</w:t>
      </w:r>
      <w:r>
        <w:rPr>
          <w:noProof/>
        </w:rPr>
        <w:t>nternetskih i mrežnih usluga, poduzeća koja se oslanjaju na povezivost i aktera šireg digitalnog gospodarstva, nacionalnih tijela na svim razinama, nacionalnih regulatornih tijela i drugih zainteresiranih dionika. Podaci su dobiveni od dionika na koje ta p</w:t>
      </w:r>
      <w:r>
        <w:rPr>
          <w:noProof/>
        </w:rPr>
        <w:t>olitika utječe, koji je moraju provesti i koji imaju izražen interes u tu politiku. Na javnu raspravu stigla su ukupno 244 odgovora u elektroničkom obliku, koje su poslali dionici iz svih država članica i izvan Unije. Na polovici razdoblja savjetovanja, 11</w:t>
      </w:r>
      <w:r>
        <w:rPr>
          <w:noProof/>
        </w:rPr>
        <w:t>. studenoga 2015. održano je javno saslušanje.</w:t>
      </w:r>
    </w:p>
    <w:p w:rsidR="006C0808" w:rsidRDefault="00E3601E">
      <w:pPr>
        <w:spacing w:before="0" w:after="200"/>
        <w:rPr>
          <w:noProof/>
          <w:szCs w:val="24"/>
        </w:rPr>
      </w:pPr>
      <w:r>
        <w:rPr>
          <w:noProof/>
        </w:rPr>
        <w:t>Uz javno savjetovanje BEREC je sam pridonio ocjenjivanju i postupku preispitivanja te je u prosincu 2015. objavio svoje mišljenje</w:t>
      </w:r>
      <w:r>
        <w:rPr>
          <w:rStyle w:val="FootnoteReference"/>
          <w:noProof/>
        </w:rPr>
        <w:footnoteReference w:id="7"/>
      </w:r>
      <w:r>
        <w:rPr>
          <w:noProof/>
        </w:rPr>
        <w:t>. I Skupina za politiku radiofrekvencijskog spektra dala je svoje mišljenje o s</w:t>
      </w:r>
      <w:r>
        <w:rPr>
          <w:noProof/>
        </w:rPr>
        <w:t>trategiji DSM i Okvirnom preispitivanju</w:t>
      </w:r>
      <w:r>
        <w:rPr>
          <w:rStyle w:val="FootnoteReference"/>
          <w:noProof/>
        </w:rPr>
        <w:footnoteReference w:id="8"/>
      </w:r>
      <w:r>
        <w:rPr>
          <w:noProof/>
        </w:rPr>
        <w:t>.</w:t>
      </w:r>
    </w:p>
    <w:p w:rsidR="006C0808" w:rsidRDefault="00E3601E">
      <w:pPr>
        <w:spacing w:after="200"/>
        <w:rPr>
          <w:noProof/>
          <w:szCs w:val="24"/>
        </w:rPr>
      </w:pPr>
      <w:r>
        <w:rPr>
          <w:noProof/>
        </w:rPr>
        <w:t>Postupak javne rasprave rezultirao je sljedećim trendovima.</w:t>
      </w:r>
    </w:p>
    <w:p w:rsidR="006C0808" w:rsidRDefault="00E3601E">
      <w:pPr>
        <w:pStyle w:val="Bullet0"/>
        <w:numPr>
          <w:ilvl w:val="0"/>
          <w:numId w:val="17"/>
        </w:numPr>
        <w:rPr>
          <w:noProof/>
        </w:rPr>
      </w:pPr>
      <w:r>
        <w:rPr>
          <w:noProof/>
        </w:rPr>
        <w:t xml:space="preserve">Dobra povezivost smatra se preduvjetom jedinstvenoga digitalnog tržišta. Mnogi ispitanici naglasili su potrebu za mjerama politike i mogućim prilagodbama </w:t>
      </w:r>
      <w:r>
        <w:rPr>
          <w:noProof/>
        </w:rPr>
        <w:t>sadašnje politike i regulatornih instrumenata kako bi se podupro razvoj infrastrukture u skladu s budućim potrebama.</w:t>
      </w:r>
    </w:p>
    <w:p w:rsidR="006C0808" w:rsidRDefault="00E3601E">
      <w:pPr>
        <w:pStyle w:val="Bullet0"/>
        <w:rPr>
          <w:noProof/>
        </w:rPr>
      </w:pPr>
      <w:r>
        <w:rPr>
          <w:noProof/>
        </w:rPr>
        <w:t>Velik broj ispitanika izjavio je da postojeći regulatorni okvir ne koristi mnogo unutarnjem tržištu. Postoji opći dojam da regulatorni okvi</w:t>
      </w:r>
      <w:r>
        <w:rPr>
          <w:noProof/>
        </w:rPr>
        <w:t>r treba prilagoditi sadašnjoj tržišnoj dinamici. Međutim, mnogi ispitanici priznali su da se liberalizacijom telekomunikacijskog tržišta stanje poboljšalo, osobito u pogledu pogodnosti za krajnje korisnike i tržišnog natjecanja u većini nacionalnih tržišta</w:t>
      </w:r>
      <w:r>
        <w:rPr>
          <w:noProof/>
        </w:rPr>
        <w:t>.</w:t>
      </w:r>
    </w:p>
    <w:p w:rsidR="006C0808" w:rsidRDefault="00E3601E">
      <w:pPr>
        <w:pStyle w:val="Bullet0"/>
        <w:rPr>
          <w:noProof/>
        </w:rPr>
      </w:pPr>
      <w:r>
        <w:rPr>
          <w:noProof/>
        </w:rPr>
        <w:t>S obzirom na radiofrekvencijski spektar, ispitanici su prepoznali važnost bežične povezivosti i bežične širokopojasne komunikacije. Općenito, industrija, koja se zalaže za usklađeniji pristup, traži dodatnu sigurnost za ulaganja i mogućnosti razvoja novi</w:t>
      </w:r>
      <w:r>
        <w:rPr>
          <w:noProof/>
        </w:rPr>
        <w:t>h bežičnih i mobilnih komunikacija, uključujući 5G, diljem Unije.</w:t>
      </w:r>
    </w:p>
    <w:p w:rsidR="006C0808" w:rsidRDefault="00E3601E">
      <w:pPr>
        <w:pStyle w:val="Bullet0"/>
        <w:rPr>
          <w:noProof/>
        </w:rPr>
      </w:pPr>
      <w:r>
        <w:rPr>
          <w:noProof/>
        </w:rPr>
        <w:t>Iako je trajna uloga nacionalnih regulatornih tijela i tijela za upravljanje radiofrekvencijskim spektrom općenito priznata, gotovo polovica ispitanika naglasila je da bi institucionalni ust</w:t>
      </w:r>
      <w:r>
        <w:rPr>
          <w:noProof/>
        </w:rPr>
        <w:t>roj na razini Unije trebalo prilagoditi kako bi se osigurala bolja pravna sigurnost i odgovornost. Zagovaraju sljedeće promjene:</w:t>
      </w:r>
    </w:p>
    <w:p w:rsidR="006C0808" w:rsidRDefault="00E3601E">
      <w:pPr>
        <w:pStyle w:val="Bullet1"/>
        <w:numPr>
          <w:ilvl w:val="0"/>
          <w:numId w:val="20"/>
        </w:numPr>
        <w:rPr>
          <w:noProof/>
        </w:rPr>
      </w:pPr>
      <w:r>
        <w:rPr>
          <w:noProof/>
        </w:rPr>
        <w:t>jasniju podjelu ovlasti između različitih institucija (da bi se izbjeglo preklapanje),</w:t>
      </w:r>
    </w:p>
    <w:p w:rsidR="006C0808" w:rsidRDefault="00E3601E">
      <w:pPr>
        <w:pStyle w:val="Bullet1"/>
        <w:numPr>
          <w:ilvl w:val="0"/>
          <w:numId w:val="20"/>
        </w:numPr>
        <w:rPr>
          <w:noProof/>
        </w:rPr>
      </w:pPr>
      <w:r>
        <w:rPr>
          <w:noProof/>
        </w:rPr>
        <w:t xml:space="preserve">nužnost da institucije budu politički i </w:t>
      </w:r>
      <w:r>
        <w:rPr>
          <w:noProof/>
        </w:rPr>
        <w:t>pravno odgovorne za svoje odluke,</w:t>
      </w:r>
    </w:p>
    <w:p w:rsidR="006C0808" w:rsidRDefault="00E3601E">
      <w:pPr>
        <w:pStyle w:val="Bullet1"/>
        <w:numPr>
          <w:ilvl w:val="0"/>
          <w:numId w:val="20"/>
        </w:numPr>
        <w:rPr>
          <w:noProof/>
        </w:rPr>
      </w:pPr>
      <w:r>
        <w:rPr>
          <w:noProof/>
        </w:rPr>
        <w:t>visoku razinu transparentnosti u donošenju odluka (veće sudjelovanje dionika).</w:t>
      </w:r>
    </w:p>
    <w:p w:rsidR="006C0808" w:rsidRDefault="00E3601E">
      <w:pPr>
        <w:spacing w:after="200"/>
        <w:rPr>
          <w:noProof/>
          <w:szCs w:val="24"/>
        </w:rPr>
      </w:pPr>
      <w:r>
        <w:rPr>
          <w:noProof/>
        </w:rPr>
        <w:t xml:space="preserve">Kao dio postupka ocjenjivanja Komisija je naručila i veći broj studija. One su obuhvaćale i javne radionice na kojima su dionici mogli dati </w:t>
      </w:r>
      <w:r>
        <w:rPr>
          <w:noProof/>
        </w:rPr>
        <w:t>primjedbe i dostaviti povratne informacije o tekućem ocjenjivanju.</w:t>
      </w:r>
    </w:p>
    <w:p w:rsidR="006C0808" w:rsidRDefault="00E3601E">
      <w:pPr>
        <w:pStyle w:val="Bullet0"/>
        <w:rPr>
          <w:noProof/>
        </w:rPr>
      </w:pPr>
      <w:r>
        <w:rPr>
          <w:noProof/>
        </w:rPr>
        <w:t>Javna radionica održana je 6. travnja 2016. radi potvrde privremenih rezultata studije koju su o „regulatornim, posebno pristupnim, režimima modela za ulaganje u mrežu u Europi” (SMART 2015</w:t>
      </w:r>
      <w:r>
        <w:rPr>
          <w:noProof/>
        </w:rPr>
        <w:t>/0002) proveli WIK, IDATE i Deloitte.</w:t>
      </w:r>
    </w:p>
    <w:p w:rsidR="006C0808" w:rsidRDefault="00E3601E">
      <w:pPr>
        <w:pStyle w:val="Bullet0"/>
        <w:rPr>
          <w:noProof/>
        </w:rPr>
      </w:pPr>
      <w:r>
        <w:rPr>
          <w:noProof/>
        </w:rPr>
        <w:t xml:space="preserve">Dana 2. svibnja 2016. održana je javna radionica radi potvrde privremenih rezultata studije koju su proveli WIK, CRIDS i Cullen o temi „Materijalna pitanja za preispitivanje u područjima ulaska na tržište, upravljanja </w:t>
      </w:r>
      <w:r>
        <w:rPr>
          <w:noProof/>
        </w:rPr>
        <w:t>oskudnim resursima i općim pitanjima potrošača” (SMART 2015/0003).</w:t>
      </w:r>
    </w:p>
    <w:p w:rsidR="006C0808" w:rsidRDefault="00E3601E">
      <w:pPr>
        <w:pStyle w:val="ManualHeading2"/>
        <w:rPr>
          <w:rFonts w:eastAsia="Arial Unicode MS"/>
          <w:noProof/>
          <w:u w:color="000000"/>
          <w:bdr w:val="nil"/>
        </w:rPr>
      </w:pPr>
      <w:r>
        <w:rPr>
          <w:noProof/>
        </w:rPr>
        <w:t>•</w:t>
      </w:r>
      <w:r>
        <w:rPr>
          <w:noProof/>
        </w:rPr>
        <w:tab/>
        <w:t>Prikupljanje i primjena stručnog znanja</w:t>
      </w:r>
    </w:p>
    <w:p w:rsidR="006C0808" w:rsidRDefault="00E3601E">
      <w:pPr>
        <w:spacing w:after="200"/>
        <w:rPr>
          <w:noProof/>
          <w:szCs w:val="24"/>
        </w:rPr>
      </w:pPr>
      <w:r>
        <w:rPr>
          <w:noProof/>
        </w:rPr>
        <w:t>Komisija se poslužila sljedećim vanjskim stručnim savjetima:</w:t>
      </w:r>
    </w:p>
    <w:p w:rsidR="006C0808" w:rsidRDefault="00E3601E">
      <w:pPr>
        <w:pStyle w:val="Bullet0"/>
        <w:rPr>
          <w:noProof/>
        </w:rPr>
      </w:pPr>
      <w:r>
        <w:rPr>
          <w:noProof/>
        </w:rPr>
        <w:t>– preporuke o politikama drugih institucija EU-a, posebno Europski parlament</w:t>
      </w:r>
      <w:r>
        <w:rPr>
          <w:rStyle w:val="FootnoteReference"/>
          <w:noProof/>
        </w:rPr>
        <w:footnoteReference w:id="9"/>
      </w:r>
      <w:r>
        <w:rPr>
          <w:rStyle w:val="FootnoteReference"/>
          <w:noProof/>
        </w:rPr>
        <w:t xml:space="preserve"> </w:t>
      </w:r>
      <w:r>
        <w:rPr>
          <w:noProof/>
        </w:rPr>
        <w:t>i Europs</w:t>
      </w:r>
      <w:r>
        <w:rPr>
          <w:noProof/>
        </w:rPr>
        <w:t>ko vijeće</w:t>
      </w:r>
      <w:r>
        <w:rPr>
          <w:rStyle w:val="FootnoteReference"/>
          <w:noProof/>
        </w:rPr>
        <w:footnoteReference w:id="10"/>
      </w:r>
      <w:r>
        <w:rPr>
          <w:noProof/>
        </w:rPr>
        <w:t>.</w:t>
      </w:r>
    </w:p>
    <w:p w:rsidR="006C0808" w:rsidRDefault="00E3601E">
      <w:pPr>
        <w:pStyle w:val="Bullet0"/>
        <w:rPr>
          <w:noProof/>
        </w:rPr>
      </w:pPr>
      <w:r>
        <w:rPr>
          <w:noProof/>
        </w:rPr>
        <w:t>– tri studije za preispitivanje</w:t>
      </w:r>
    </w:p>
    <w:p w:rsidR="006C0808" w:rsidRDefault="00E3601E">
      <w:pPr>
        <w:pStyle w:val="Tiret1"/>
        <w:numPr>
          <w:ilvl w:val="0"/>
          <w:numId w:val="18"/>
        </w:numPr>
        <w:rPr>
          <w:noProof/>
        </w:rPr>
      </w:pPr>
      <w:r>
        <w:rPr>
          <w:noProof/>
        </w:rPr>
        <w:t>„Potpora pripremi procjene učinka uz preispitivanje regulatornog okvira za elektroničke komunikacije” (SMART 2015/0005).</w:t>
      </w:r>
    </w:p>
    <w:p w:rsidR="006C0808" w:rsidRDefault="00E3601E">
      <w:pPr>
        <w:pStyle w:val="Tiret1"/>
        <w:rPr>
          <w:noProof/>
        </w:rPr>
      </w:pPr>
      <w:r>
        <w:rPr>
          <w:noProof/>
        </w:rPr>
        <w:t>„Regulatorni, posebno pristupni, režimi modela za ulaganje u mrežu u Europi” (SMART 2015/00</w:t>
      </w:r>
      <w:r>
        <w:rPr>
          <w:noProof/>
        </w:rPr>
        <w:t>02).</w:t>
      </w:r>
    </w:p>
    <w:p w:rsidR="006C0808" w:rsidRDefault="00E3601E">
      <w:pPr>
        <w:pStyle w:val="Tiret1"/>
        <w:rPr>
          <w:noProof/>
        </w:rPr>
      </w:pPr>
      <w:r>
        <w:rPr>
          <w:noProof/>
        </w:rPr>
        <w:t>„Bitna pitanja za preispitivanje u područjima ulaska na tržište, upravljanja oskudnim resursima i općim pitanjima potrošača” (SMART 2015/0003).</w:t>
      </w:r>
    </w:p>
    <w:p w:rsidR="006C0808" w:rsidRDefault="00E3601E">
      <w:pPr>
        <w:pStyle w:val="Bullet0"/>
        <w:rPr>
          <w:noProof/>
        </w:rPr>
      </w:pPr>
      <w:r>
        <w:rPr>
          <w:noProof/>
        </w:rPr>
        <w:t>– usto, brojne druge studije pružile su podatke za postupak preispitivanja. Te su studije navedene u odjelj</w:t>
      </w:r>
      <w:r>
        <w:rPr>
          <w:noProof/>
        </w:rPr>
        <w:t>ku 6.1.4. procjene učinka.</w:t>
      </w:r>
    </w:p>
    <w:p w:rsidR="006C0808" w:rsidRDefault="00E3601E">
      <w:pPr>
        <w:pStyle w:val="Bullet0"/>
        <w:rPr>
          <w:noProof/>
        </w:rPr>
      </w:pPr>
      <w:r>
        <w:rPr>
          <w:noProof/>
        </w:rPr>
        <w:t>– stručno povjerenstvo na visokoj razini kao dio studije SMART 2015/0005</w:t>
      </w:r>
      <w:r>
        <w:rPr>
          <w:rStyle w:val="FootnoteReference"/>
          <w:noProof/>
        </w:rPr>
        <w:footnoteReference w:id="11"/>
      </w:r>
      <w:r>
        <w:rPr>
          <w:rStyle w:val="FootnoteReference"/>
          <w:noProof/>
          <w:vertAlign w:val="baseline"/>
        </w:rPr>
        <w:t>.</w:t>
      </w:r>
    </w:p>
    <w:p w:rsidR="006C0808" w:rsidRDefault="00E3601E">
      <w:pPr>
        <w:pStyle w:val="ManualHeading2"/>
        <w:rPr>
          <w:rFonts w:eastAsia="Arial Unicode MS"/>
          <w:noProof/>
          <w:u w:color="000000"/>
          <w:bdr w:val="nil"/>
        </w:rPr>
      </w:pPr>
      <w:r>
        <w:rPr>
          <w:noProof/>
        </w:rPr>
        <w:t>•</w:t>
      </w:r>
      <w:r>
        <w:rPr>
          <w:noProof/>
        </w:rPr>
        <w:tab/>
        <w:t>Procjena učinka</w:t>
      </w:r>
    </w:p>
    <w:p w:rsidR="006C0808" w:rsidRDefault="00E3601E">
      <w:pPr>
        <w:rPr>
          <w:rFonts w:eastAsia="Calibri"/>
          <w:noProof/>
          <w:szCs w:val="24"/>
        </w:rPr>
      </w:pPr>
      <w:r>
        <w:rPr>
          <w:noProof/>
        </w:rPr>
        <w:t xml:space="preserve">Sažetak procjene učinka i pozitivno mišljenje Odbora za nadzor regulative možete pronaći na </w:t>
      </w:r>
      <w:r>
        <w:rPr>
          <w:i/>
          <w:noProof/>
        </w:rPr>
        <w:t>web-</w:t>
      </w:r>
      <w:r>
        <w:rPr>
          <w:noProof/>
        </w:rPr>
        <w:t>mjestu Komisije</w:t>
      </w:r>
      <w:r>
        <w:rPr>
          <w:rStyle w:val="FootnoteReference"/>
          <w:noProof/>
        </w:rPr>
        <w:footnoteReference w:id="12"/>
      </w:r>
      <w:r>
        <w:rPr>
          <w:noProof/>
        </w:rPr>
        <w:t>.</w:t>
      </w:r>
    </w:p>
    <w:p w:rsidR="006C0808" w:rsidRDefault="00E3601E">
      <w:pPr>
        <w:rPr>
          <w:rFonts w:eastAsia="Calibri"/>
          <w:noProof/>
          <w:szCs w:val="24"/>
        </w:rPr>
      </w:pPr>
      <w:r>
        <w:rPr>
          <w:noProof/>
        </w:rPr>
        <w:t>Razmotrene su sljedeće</w:t>
      </w:r>
      <w:r>
        <w:rPr>
          <w:noProof/>
        </w:rPr>
        <w:t xml:space="preserve"> mogućnosti za upravljanje. Preferira se Opcija 3., iako je usklađivanje strukture BEREC-a sa zajedničkim pristupom razmotreno i u Opciji 2.</w:t>
      </w:r>
      <w:r>
        <w:rPr>
          <w:rStyle w:val="FootnoteReference"/>
          <w:noProof/>
        </w:rPr>
        <w:footnoteReference w:id="13"/>
      </w:r>
    </w:p>
    <w:p w:rsidR="006C0808" w:rsidRDefault="00E3601E">
      <w:pPr>
        <w:spacing w:before="240" w:after="240"/>
        <w:rPr>
          <w:rFonts w:eastAsia="Calibri"/>
          <w:b/>
          <w:i/>
          <w:noProof/>
          <w:szCs w:val="24"/>
        </w:rPr>
      </w:pPr>
      <w:r>
        <w:rPr>
          <w:b/>
          <w:i/>
          <w:noProof/>
        </w:rPr>
        <w:t>Opcija 1. – Bez promjena – osnovni scenarij</w:t>
      </w:r>
    </w:p>
    <w:p w:rsidR="006C0808" w:rsidRDefault="00E3601E">
      <w:pPr>
        <w:rPr>
          <w:rFonts w:eastAsia="Calibri"/>
          <w:noProof/>
          <w:szCs w:val="24"/>
        </w:rPr>
      </w:pPr>
      <w:r>
        <w:rPr>
          <w:noProof/>
        </w:rPr>
        <w:t>Ova opcija temelji se na postojećim odredbama. Primjetan je utjecaj sa</w:t>
      </w:r>
      <w:r>
        <w:rPr>
          <w:noProof/>
        </w:rPr>
        <w:t>dašnjega manjka odgovarajuće usklađenosti nadležnosti nacionalnih regulatornih tijela. Razlog tomu jest činjenica da je zakonodavac BEREC-u dao ulogu u područjima u kojima nadležnost na nacionalnoj razini nije usklađena za njegove članove, poput rješavanja</w:t>
      </w:r>
      <w:r>
        <w:rPr>
          <w:noProof/>
        </w:rPr>
        <w:t xml:space="preserve"> prekograničnih sporova.</w:t>
      </w:r>
    </w:p>
    <w:p w:rsidR="006C0808" w:rsidRDefault="00E3601E">
      <w:pPr>
        <w:spacing w:before="240" w:after="240"/>
        <w:rPr>
          <w:rFonts w:eastAsia="Calibri"/>
          <w:b/>
          <w:i/>
          <w:noProof/>
          <w:szCs w:val="24"/>
        </w:rPr>
      </w:pPr>
      <w:r>
        <w:rPr>
          <w:b/>
          <w:i/>
          <w:noProof/>
        </w:rPr>
        <w:t>Opcija 2. – Pojačana savjetodavna uloga i jačanje nadležnosti</w:t>
      </w:r>
    </w:p>
    <w:p w:rsidR="006C0808" w:rsidRDefault="00E3601E">
      <w:pPr>
        <w:rPr>
          <w:rFonts w:eastAsia="Calibri"/>
          <w:noProof/>
          <w:szCs w:val="24"/>
        </w:rPr>
      </w:pPr>
      <w:r>
        <w:rPr>
          <w:noProof/>
        </w:rPr>
        <w:t>Ta opcija predviđa neke prilagodbe postojećih pravila na temelju iskustva provedbe okvira posljednjih godina te REFIT-a, osobito jačanjem uloge neovisnih nacionalnih reg</w:t>
      </w:r>
      <w:r>
        <w:rPr>
          <w:noProof/>
        </w:rPr>
        <w:t>ulatornih tijela utvrđivanjem minimalne nadležnosti za nacionalna regulatorna tijela diljem Unije.</w:t>
      </w:r>
    </w:p>
    <w:p w:rsidR="006C0808" w:rsidRDefault="00E3601E">
      <w:pPr>
        <w:rPr>
          <w:rFonts w:eastAsia="Calibri"/>
          <w:noProof/>
          <w:szCs w:val="24"/>
        </w:rPr>
      </w:pPr>
      <w:r>
        <w:rPr>
          <w:noProof/>
        </w:rPr>
        <w:t>Na razini Unije, BEREC bi trebao proširiti svoju savjetodavnu ulogu na područja u kojima su nadležna neovisna nacionalna regulatorna tijela, kako bi uskladio</w:t>
      </w:r>
      <w:r>
        <w:rPr>
          <w:noProof/>
        </w:rPr>
        <w:t xml:space="preserve"> zadaće sa zadaćama nacionalnih regulatornih tijela. Međutim, da bi BEREC postao učinkovitiji i osigurao stabilnije upravljanje, strukture upravljanja prilagodile bi se radi usklađivanja sa zajedničkim pristupom. To znači da bi tijelo s pravnom osobnošću p</w:t>
      </w:r>
      <w:r>
        <w:rPr>
          <w:noProof/>
        </w:rPr>
        <w:t>rovodilo regulatornu djelatnost pod okriljem BEREC-a.</w:t>
      </w:r>
    </w:p>
    <w:p w:rsidR="006C0808" w:rsidRDefault="00E3601E">
      <w:pPr>
        <w:rPr>
          <w:rFonts w:eastAsia="Calibri"/>
          <w:noProof/>
          <w:szCs w:val="24"/>
        </w:rPr>
      </w:pPr>
      <w:r>
        <w:rPr>
          <w:noProof/>
        </w:rPr>
        <w:t>Uspostavit će se novi Upravni odbor radi nadgledanja općih smjernica za aktivnosti Agencije, i zamijenit će postojeći Odbor regulatora i Upravljački odbor. Stabilnija upravljačka struktura predviđena je</w:t>
      </w:r>
      <w:r>
        <w:rPr>
          <w:noProof/>
        </w:rPr>
        <w:t xml:space="preserve"> imenovanjem predsjednika (koji se bira iz redova članova Upravnog odbora) za na dulji mandat (trenutačno je godinu dana). Izvršni direktor imat će više ovlasti od sadašnjeg Upravitelja ureda i bit će odabran s popisa kandidata koje je predložila Komisija </w:t>
      </w:r>
      <w:r>
        <w:rPr>
          <w:noProof/>
        </w:rPr>
        <w:t>nakon otvorenog postupka odabira kako je predviđeno zajedničkim pristupom i kako je u drugim agencijama.</w:t>
      </w:r>
    </w:p>
    <w:p w:rsidR="006C0808" w:rsidRDefault="00E3601E">
      <w:pPr>
        <w:spacing w:before="240" w:after="240"/>
        <w:rPr>
          <w:rFonts w:eastAsia="Calibri"/>
          <w:b/>
          <w:i/>
          <w:noProof/>
          <w:szCs w:val="24"/>
        </w:rPr>
      </w:pPr>
      <w:r>
        <w:rPr>
          <w:b/>
          <w:i/>
          <w:noProof/>
        </w:rPr>
        <w:t>Opcija 3. – Savjetodavna uloga s određenim prednormativnim ovlastima i boljim tržišnim postupkom preispitivanja i dodjele prava uporabe radiofrekvencij</w:t>
      </w:r>
      <w:r>
        <w:rPr>
          <w:b/>
          <w:i/>
          <w:noProof/>
        </w:rPr>
        <w:t>skog spektra</w:t>
      </w:r>
    </w:p>
    <w:p w:rsidR="006C0808" w:rsidRDefault="00E3601E">
      <w:pPr>
        <w:rPr>
          <w:rFonts w:eastAsia="Calibri"/>
          <w:noProof/>
          <w:szCs w:val="24"/>
        </w:rPr>
      </w:pPr>
      <w:r>
        <w:rPr>
          <w:noProof/>
        </w:rPr>
        <w:t>Ova opcija sadržava većinu aspekata Opcije 2., posebno minimalni skup usklađenih nadležnosti (što uključuje nadležnost za utvrđivanje aspekata koji oblikuju tržište i regulatornih aspekata dodjeljivanja prava uporabe radiofrekvencijskog spektr</w:t>
      </w:r>
      <w:r>
        <w:rPr>
          <w:noProof/>
        </w:rPr>
        <w:t>a elektroničkim komunikacijskim mrežama i uslugama) te usklađivanje zadaća nacionalnih regulatornih tijela i BEREC-a, kao i znatno usklađivanje upravljačke strukture BEREC-a sa zajedničkim pristupom.</w:t>
      </w:r>
    </w:p>
    <w:p w:rsidR="006C0808" w:rsidRDefault="00E3601E">
      <w:pPr>
        <w:rPr>
          <w:rFonts w:eastAsia="Calibri"/>
          <w:noProof/>
          <w:szCs w:val="24"/>
        </w:rPr>
      </w:pPr>
      <w:r>
        <w:rPr>
          <w:noProof/>
        </w:rPr>
        <w:t xml:space="preserve">BEREC će dobiti neke dodatne zadaće, kao što su ovlasti </w:t>
      </w:r>
      <w:r>
        <w:rPr>
          <w:noProof/>
        </w:rPr>
        <w:t>za donošenje obvezujućih odluka o utvrđivanju međudržavnih tržišta i o obrasca sažetka ugovora; poluobvezujuće ovlasti u odnosu na postupke unutarnjeg tržišta za izradu nacrta nacionalnih mjera za regulaciju tržišta (mehanizam „dvostruke zaštite” – vidjeti</w:t>
      </w:r>
      <w:r>
        <w:rPr>
          <w:noProof/>
        </w:rPr>
        <w:t xml:space="preserve"> niže) i uspostavu jedinstvene najveće cijene završavanja poziva na razini Unije; te izdavanje smjernica u brojnim područjima: geografska istraživanja, zajednički pristup zadovoljavanju transnacionalne potražnje, minimalni kriteriji za referentne ponude, z</w:t>
      </w:r>
      <w:r>
        <w:rPr>
          <w:noProof/>
        </w:rPr>
        <w:t>ajednički kriteriji za upravljanje resursima za dodjelu brojeva, pokazatelji kakvoće usluge, primjenjive metode mjerenja te tehničke pojedinosti troškovnog modela koji primjenjuju nacionalna regulatorna tijela kad određuju najviše simetrične cijene završav</w:t>
      </w:r>
      <w:r>
        <w:rPr>
          <w:noProof/>
        </w:rPr>
        <w:t>anja poziva. Dobit će i ovlast da zatraži informacije izravno od operatora.</w:t>
      </w:r>
    </w:p>
    <w:p w:rsidR="006C0808" w:rsidRDefault="00E3601E">
      <w:pPr>
        <w:rPr>
          <w:rFonts w:eastAsia="Calibri"/>
          <w:noProof/>
          <w:szCs w:val="24"/>
        </w:rPr>
      </w:pPr>
      <w:r>
        <w:rPr>
          <w:noProof/>
        </w:rPr>
        <w:t>BEREC će biti nadležan i za uspostavu registra za izvanteritorijalnu uporabu brojeva te prekogranične dogovore kao i još jednog registra pružatelja elektroničkih komunikacijskih mr</w:t>
      </w:r>
      <w:r>
        <w:rPr>
          <w:noProof/>
        </w:rPr>
        <w:t>eža i usluga. Također će surađivati s Komisijom i nacionalnim regulatornim tijelima u području normizacije i pomagati im da utvrde prijetnju povezivosti s kraja na kraj ili učinkovitu pristupu hitnim službama. To se može postići provođenjem postojećih i do</w:t>
      </w:r>
      <w:r>
        <w:rPr>
          <w:noProof/>
        </w:rPr>
        <w:t>nošenjem novih standarda.</w:t>
      </w:r>
    </w:p>
    <w:p w:rsidR="006C0808" w:rsidRDefault="00E3601E">
      <w:pPr>
        <w:rPr>
          <w:rFonts w:eastAsia="Calibri"/>
          <w:noProof/>
          <w:szCs w:val="24"/>
        </w:rPr>
      </w:pPr>
      <w:r>
        <w:rPr>
          <w:noProof/>
        </w:rPr>
        <w:t xml:space="preserve">Za poboljšanje trenutačnog stanja u kojem Komisija i BEREC imaju samo neobvezujuće ovlasti u vezi s mjerama, predlaže se sustav „dvostruke zaštite”. U takvom sustavu, ako BEREC-a i Komisije usuglase stajalište o nacrtu mjera što </w:t>
      </w:r>
      <w:r>
        <w:rPr>
          <w:noProof/>
        </w:rPr>
        <w:t>ih predloži nacionalno regulatorno tijelo, Komisija može zahtijevati od nacionalnog regulatornog tijela da izmijeni ili povuče nacrt mjere i da, prema potrebi, ponovno prijavi tu analizu tržišta. Stručna revizija sustava unutar BEREC-a uvest će se kao novi</w:t>
      </w:r>
      <w:r>
        <w:rPr>
          <w:noProof/>
        </w:rPr>
        <w:t xml:space="preserve"> koordinacijski mehanizam za poboljšanje učinkovitosti i dosljednosti među državama članicama u pogledu regulatornih tržišnih aspekata dodjele prava na uporabu radiofrekvencijskog spektra.</w:t>
      </w:r>
    </w:p>
    <w:p w:rsidR="006C0808" w:rsidRDefault="00E3601E">
      <w:pPr>
        <w:spacing w:before="240" w:after="240"/>
        <w:rPr>
          <w:rFonts w:eastAsia="Calibri"/>
          <w:b/>
          <w:i/>
          <w:noProof/>
          <w:szCs w:val="24"/>
        </w:rPr>
      </w:pPr>
      <w:r>
        <w:rPr>
          <w:b/>
          <w:i/>
          <w:noProof/>
        </w:rPr>
        <w:t>Opcija 4. – Europsko regulatorno tijelo s određenim provedbenim/izv</w:t>
      </w:r>
      <w:r>
        <w:rPr>
          <w:b/>
          <w:i/>
          <w:noProof/>
        </w:rPr>
        <w:t>ršnim ovlastima</w:t>
      </w:r>
    </w:p>
    <w:p w:rsidR="006C0808" w:rsidRDefault="00E3601E">
      <w:pPr>
        <w:rPr>
          <w:rFonts w:eastAsia="Calibri"/>
          <w:noProof/>
          <w:szCs w:val="24"/>
        </w:rPr>
      </w:pPr>
      <w:r>
        <w:rPr>
          <w:noProof/>
        </w:rPr>
        <w:t>Ovom se opcijom razmatra osnivanje europskog regulatornog tijela, ojačane agencije s potrebnim sredstvima za prijenos provedbenih ovlasti, uključujući nadzorne i izvršne ovlasti. Moglo bi imati obvezujuće ovlasti u područjima u kojima je po</w:t>
      </w:r>
      <w:r>
        <w:rPr>
          <w:noProof/>
        </w:rPr>
        <w:t>trebno osigurati ujednačenu provedbu pravila EU-a. Takvo su područje nove paneuropske ili globalne usluge, trenutačno uglavnom neregulirane ili podložne nejasnom regulatornom okviru (M2M , OTT i ostala područja od velike važnosti za Uniju, poput roaminga i</w:t>
      </w:r>
      <w:r>
        <w:rPr>
          <w:noProof/>
        </w:rPr>
        <w:t>li transnacionalnih tržišta).</w:t>
      </w:r>
    </w:p>
    <w:p w:rsidR="006C0808" w:rsidRDefault="00E3601E">
      <w:pPr>
        <w:pBdr>
          <w:top w:val="nil"/>
          <w:left w:val="nil"/>
          <w:bottom w:val="nil"/>
          <w:right w:val="nil"/>
          <w:between w:val="nil"/>
          <w:bar w:val="nil"/>
        </w:pBdr>
        <w:spacing w:before="0" w:after="240"/>
        <w:rPr>
          <w:rFonts w:eastAsia="Arial Unicode MS"/>
          <w:noProof/>
        </w:rPr>
      </w:pPr>
      <w:r>
        <w:rPr>
          <w:noProof/>
        </w:rPr>
        <w:t>S obzirom na radiofrekvencijski spektar, postojat će i mehanizam preliminarnog stručnog pregleda u kojem će sudjelovati europsko regulatorno tijelo, a Komisija bi mogla imati pravo veta. Europsko regulatorno tijelo moglo bi ko</w:t>
      </w:r>
      <w:r>
        <w:rPr>
          <w:noProof/>
        </w:rPr>
        <w:t>ordinirati i obvezujuće paneuropske postupke dodjele za posebne frekvencijske pojaseve. Naposljetku, s pomoću agencije institucionalizirale bi se i dobre usluge službe za posredovanje za prekogranične smetnje i regulatorna pitanja.</w:t>
      </w:r>
    </w:p>
    <w:p w:rsidR="006C0808" w:rsidRDefault="00E3601E">
      <w:pPr>
        <w:pStyle w:val="ManualHeading2"/>
        <w:rPr>
          <w:rFonts w:eastAsia="Arial Unicode MS"/>
          <w:noProof/>
          <w:u w:color="000000"/>
          <w:bdr w:val="nil"/>
        </w:rPr>
      </w:pPr>
      <w:r>
        <w:rPr>
          <w:noProof/>
        </w:rPr>
        <w:t>•</w:t>
      </w:r>
      <w:r>
        <w:rPr>
          <w:noProof/>
        </w:rPr>
        <w:tab/>
        <w:t>Primjerenost propisa i</w:t>
      </w:r>
      <w:r>
        <w:rPr>
          <w:noProof/>
        </w:rPr>
        <w:t xml:space="preserve"> pojednostavnjivanje</w:t>
      </w:r>
    </w:p>
    <w:p w:rsidR="006C0808" w:rsidRDefault="00E3601E">
      <w:pPr>
        <w:rPr>
          <w:noProof/>
          <w:szCs w:val="24"/>
        </w:rPr>
      </w:pPr>
      <w:r>
        <w:rPr>
          <w:noProof/>
        </w:rPr>
        <w:t>Mjere politike predložene u najpoželjnijoj opciji u skladu su s programom REFIT jer im je cilj pojednostavniti i umanjiti administrativno opterećenje u skladu s rezultatima ocjenjivanja potencijala REFIT-a u okviru preispitivanja. Cilj</w:t>
      </w:r>
      <w:r>
        <w:rPr>
          <w:noProof/>
        </w:rPr>
        <w:t xml:space="preserve"> je nekoliko predloženih izmjena u upravljanju i drugim područjima politike da pravila postanu jasna; da strane s lakoćom shvate svoja prava i obveze; te da se izbjegne pretjerano reguliranje i administrativno opterećenje.</w:t>
      </w:r>
    </w:p>
    <w:p w:rsidR="006C0808" w:rsidRDefault="00E3601E">
      <w:pPr>
        <w:rPr>
          <w:noProof/>
        </w:rPr>
      </w:pPr>
      <w:r>
        <w:rPr>
          <w:noProof/>
        </w:rPr>
        <w:t>Za učinkovitiji i ujednačeniji in</w:t>
      </w:r>
      <w:r>
        <w:rPr>
          <w:noProof/>
        </w:rPr>
        <w:t xml:space="preserve">stitucionalni okvir, a uzimajući u obzir ocjenjivanje REFIT-a, prijedlog sadržava brojne promjene koje bi BEREC uskladile sa zajedničkim pristupom i strukturom ostalih agencija Unije. Prijedlogom da BEREC postane decentralizirana agencija Unije trebalo bi </w:t>
      </w:r>
      <w:r>
        <w:rPr>
          <w:noProof/>
        </w:rPr>
        <w:t>ostvariti određenu razinu poboljšanja učinkovitosti i sinergijâ kako bi se djelomično uklonila potreba za dodatnim sredstvima za izvršavanje novih poslova povjerenih BEREC-u.</w:t>
      </w:r>
    </w:p>
    <w:p w:rsidR="006C0808" w:rsidRDefault="00E3601E">
      <w:pPr>
        <w:tabs>
          <w:tab w:val="left" w:pos="720"/>
        </w:tabs>
        <w:spacing w:before="0" w:after="240"/>
        <w:rPr>
          <w:noProof/>
        </w:rPr>
      </w:pPr>
      <w:r>
        <w:rPr>
          <w:noProof/>
        </w:rPr>
        <w:t>– Decentralizirana agencija Unije imat će odgovarajuću strukturu i upravljanje, m</w:t>
      </w:r>
      <w:r>
        <w:rPr>
          <w:noProof/>
        </w:rPr>
        <w:t xml:space="preserve">andat i ovlasti. Njome će se ojačati pravna i politička odgovornost jer će se sve odluke (regulatorne, administrativne, financijske, itd.) sada donositi pod okriljem agencije Unije s pravnom osobnošću. </w:t>
      </w:r>
    </w:p>
    <w:p w:rsidR="006C0808" w:rsidRDefault="00E3601E">
      <w:pPr>
        <w:tabs>
          <w:tab w:val="left" w:pos="720"/>
        </w:tabs>
        <w:spacing w:before="0" w:after="240"/>
        <w:rPr>
          <w:noProof/>
        </w:rPr>
      </w:pPr>
      <w:r>
        <w:rPr>
          <w:noProof/>
        </w:rPr>
        <w:t>– Upravljačka struktura bit će pojednostavnjena zamje</w:t>
      </w:r>
      <w:r>
        <w:rPr>
          <w:noProof/>
        </w:rPr>
        <w:t>nom dviju sadašnjih upravljačkih struktura (Odbor regulatora za regulatorne odluke i Upravni odbor za administrativne i financijske odluke) jedinstvenim upravnim odborom. Administrativno opterećenje smanjit će se prestankom sadašnjeg dupliciranja zadaća, p</w:t>
      </w:r>
      <w:r>
        <w:rPr>
          <w:noProof/>
        </w:rPr>
        <w:t>rograma rada, godišnjih izvješća, registara dokumenata, imenovanja članova itd.</w:t>
      </w:r>
    </w:p>
    <w:p w:rsidR="006C0808" w:rsidRDefault="00E3601E">
      <w:pPr>
        <w:tabs>
          <w:tab w:val="left" w:pos="720"/>
        </w:tabs>
        <w:spacing w:before="0" w:after="240"/>
        <w:rPr>
          <w:noProof/>
        </w:rPr>
      </w:pPr>
      <w:r>
        <w:rPr>
          <w:noProof/>
        </w:rPr>
        <w:t>– Na čelo agencije bit će imenovan izvršni direktor koji će biti pravni zastupnik BEREC-a i odgovoran za obavljanje poslova dodijeljenih Agenciji. Točnije, njemu će biti dodije</w:t>
      </w:r>
      <w:r>
        <w:rPr>
          <w:noProof/>
        </w:rPr>
        <w:t>ljene „ovlasti tijela za imenovanja”. Time bi upravljanje osobljem Agencije postalo učinkovitije (prema važećoj uredbi o BEREC-u te su ovlasti dodijeljene potpredsjedniku čiji mandat traje jednu godinu i ne mogu se prenijeti dalje).</w:t>
      </w:r>
    </w:p>
    <w:p w:rsidR="006C0808" w:rsidRDefault="00E3601E">
      <w:pPr>
        <w:tabs>
          <w:tab w:val="left" w:pos="720"/>
        </w:tabs>
        <w:spacing w:before="0" w:after="240"/>
        <w:rPr>
          <w:noProof/>
        </w:rPr>
      </w:pPr>
      <w:r>
        <w:rPr>
          <w:noProof/>
        </w:rPr>
        <w:t xml:space="preserve">– Predsjednik upravnog </w:t>
      </w:r>
      <w:r>
        <w:rPr>
          <w:noProof/>
        </w:rPr>
        <w:t>odbora (četiri godine s mogućnošću reizbora, trenutačno jedna godina) i izvršni direktor (pet godina s mogućnošću reizbora, trenutačno tri godine s mogućnošću reizbora) imat će dulji mandat radi osiguranja potrebnog kontinuiteta i stabilnosti.</w:t>
      </w:r>
    </w:p>
    <w:p w:rsidR="006C0808" w:rsidRDefault="00E3601E">
      <w:pPr>
        <w:pBdr>
          <w:top w:val="nil"/>
          <w:left w:val="nil"/>
          <w:bottom w:val="nil"/>
          <w:right w:val="nil"/>
          <w:between w:val="nil"/>
          <w:bar w:val="nil"/>
        </w:pBdr>
        <w:spacing w:before="0" w:after="240"/>
        <w:rPr>
          <w:rFonts w:eastAsia="Arial Unicode MS"/>
          <w:noProof/>
        </w:rPr>
      </w:pPr>
      <w:r>
        <w:rPr>
          <w:noProof/>
        </w:rPr>
        <w:t>Zaključno, B</w:t>
      </w:r>
      <w:r>
        <w:rPr>
          <w:noProof/>
        </w:rPr>
        <w:t>EREC bi bio bolje opremljen za pomoć Komisiji i nacionalnim regulatornim tijelima, uz ostvarenje učinkovitosti dobivene iz prethodno navedenih područja. Ovaj prijedlog pridonosi učinkovitosti sustava regulatornih tijela Unije na jedinstvenom digitalnom trž</w:t>
      </w:r>
      <w:r>
        <w:rPr>
          <w:noProof/>
        </w:rPr>
        <w:t>ištu i trebao bi pružiti potrebnu potporu učinkovitoj provedbi revidiranog telekomunikacijskog okvira.</w:t>
      </w:r>
    </w:p>
    <w:p w:rsidR="006C0808" w:rsidRDefault="00E3601E">
      <w:pPr>
        <w:pStyle w:val="ManualHeading2"/>
        <w:rPr>
          <w:rFonts w:eastAsia="Arial Unicode MS"/>
          <w:noProof/>
          <w:u w:color="000000"/>
          <w:bdr w:val="nil"/>
        </w:rPr>
      </w:pPr>
      <w:r>
        <w:rPr>
          <w:noProof/>
        </w:rPr>
        <w:t>•</w:t>
      </w:r>
      <w:r>
        <w:rPr>
          <w:noProof/>
        </w:rPr>
        <w:tab/>
        <w:t>Temeljna prava</w:t>
      </w:r>
    </w:p>
    <w:p w:rsidR="006C0808" w:rsidRDefault="00E3601E">
      <w:pPr>
        <w:pBdr>
          <w:top w:val="nil"/>
          <w:left w:val="nil"/>
          <w:bottom w:val="nil"/>
          <w:right w:val="nil"/>
          <w:between w:val="nil"/>
          <w:bar w:val="nil"/>
        </w:pBdr>
        <w:spacing w:before="0" w:after="240"/>
        <w:rPr>
          <w:noProof/>
        </w:rPr>
      </w:pPr>
      <w:r>
        <w:rPr>
          <w:rStyle w:val="None"/>
          <w:noProof/>
        </w:rPr>
        <w:t xml:space="preserve">Prijedlogom se uzimaju u obzir temeljna prava i načela priznata Poveljom Europske unije o temeljnim pravima. Posebno, </w:t>
      </w:r>
      <w:r>
        <w:rPr>
          <w:noProof/>
        </w:rPr>
        <w:t>predloženim mjeram</w:t>
      </w:r>
      <w:r>
        <w:rPr>
          <w:noProof/>
        </w:rPr>
        <w:t>a, uključujući uspostavu BEREC-a, nastoji se povećati povezivost modernijim skupom pravila o zaštiti krajnjih korisnika. To će zauzvrat osigurati nediskriminatoran pristup bilo kojem sadržaju i uslugama, uključujući javne usluge. Pomoći će i u promicanju s</w:t>
      </w:r>
      <w:r>
        <w:rPr>
          <w:noProof/>
        </w:rPr>
        <w:t>lobode izražavanja i poslovanja te državama članicama omogućiti usklađenost s Poveljom uz puno niže troškove u budućnosti.</w:t>
      </w:r>
    </w:p>
    <w:p w:rsidR="006C0808" w:rsidRDefault="00E3601E">
      <w:pPr>
        <w:pStyle w:val="ManualHeading1"/>
        <w:rPr>
          <w:noProof/>
        </w:rPr>
      </w:pPr>
      <w:r>
        <w:rPr>
          <w:noProof/>
        </w:rPr>
        <w:t>4.</w:t>
      </w:r>
      <w:r>
        <w:rPr>
          <w:noProof/>
        </w:rPr>
        <w:tab/>
        <w:t>UTJECAJ NA PRORAČUN</w:t>
      </w:r>
    </w:p>
    <w:p w:rsidR="006C0808" w:rsidRDefault="00E3601E">
      <w:pPr>
        <w:autoSpaceDE w:val="0"/>
        <w:autoSpaceDN w:val="0"/>
        <w:adjustRightInd w:val="0"/>
        <w:spacing w:before="0" w:after="0"/>
        <w:rPr>
          <w:noProof/>
          <w:szCs w:val="24"/>
        </w:rPr>
      </w:pPr>
      <w:r>
        <w:rPr>
          <w:noProof/>
        </w:rPr>
        <w:t xml:space="preserve">BEREC-u, koji se osniva na temelju postojećeg BEREC-a i Ureda BEREC-a, dodijeljeno je nekoliko zadaća koje se </w:t>
      </w:r>
      <w:r>
        <w:rPr>
          <w:noProof/>
        </w:rPr>
        <w:t xml:space="preserve">odnose na osiguravanje dosljedne provedbe regulatornog okvira, čime se pridonosi razvoju tržišta elektroničkih komunikacija diljem Unije, promicanju pristupa podatkovnoj povezivosti vrlo velikoga kapaciteta te njezinoj upotrebi za sve građane i poduzeća u </w:t>
      </w:r>
      <w:r>
        <w:rPr>
          <w:noProof/>
        </w:rPr>
        <w:t>Uniji, promicanju tržišnog natjecanja u području pružanja mreža i usluga elektroničkih komunikacija te promicanju interesa građana Unije.</w:t>
      </w:r>
    </w:p>
    <w:p w:rsidR="006C0808" w:rsidRDefault="006C0808">
      <w:pPr>
        <w:autoSpaceDE w:val="0"/>
        <w:autoSpaceDN w:val="0"/>
        <w:adjustRightInd w:val="0"/>
        <w:spacing w:before="0" w:after="0"/>
        <w:rPr>
          <w:noProof/>
          <w:szCs w:val="24"/>
        </w:rPr>
      </w:pPr>
    </w:p>
    <w:p w:rsidR="006C0808" w:rsidRDefault="00E3601E">
      <w:pPr>
        <w:autoSpaceDE w:val="0"/>
        <w:autoSpaceDN w:val="0"/>
        <w:adjustRightInd w:val="0"/>
        <w:spacing w:before="0" w:after="240"/>
        <w:rPr>
          <w:noProof/>
          <w:szCs w:val="24"/>
        </w:rPr>
      </w:pPr>
      <w:r>
        <w:rPr>
          <w:noProof/>
        </w:rPr>
        <w:t>Ukupna financijska sredstva nužna da bi BEREC mogao ostvariti svoju misiju iznose 14,135 milijuna EUR za razdoblje 20</w:t>
      </w:r>
      <w:r>
        <w:rPr>
          <w:noProof/>
        </w:rPr>
        <w:t>19. – 2020.</w:t>
      </w:r>
      <w:r>
        <w:rPr>
          <w:rStyle w:val="FootnoteReference"/>
          <w:noProof/>
        </w:rPr>
        <w:footnoteReference w:id="14"/>
      </w:r>
      <w:r>
        <w:rPr>
          <w:noProof/>
        </w:rPr>
        <w:t xml:space="preserve"> Osim doprinosa Unije, BEREC može prikupljati sredstva od publikacija i ostalih pruženih usluga, doprinosa trećih zemalja ili regulatornih tijela nadležnih za elektroničke komunikacije trećih zemalja koje sudjeluju u radu BEREC-a i dobrovoljnih</w:t>
      </w:r>
      <w:r>
        <w:rPr>
          <w:noProof/>
        </w:rPr>
        <w:t xml:space="preserve"> doprinosa država članica i nacionalnih regulatornih tijela</w:t>
      </w:r>
      <w:r>
        <w:rPr>
          <w:rStyle w:val="FootnoteReference"/>
          <w:noProof/>
        </w:rPr>
        <w:footnoteReference w:id="15"/>
      </w:r>
      <w:r>
        <w:rPr>
          <w:noProof/>
        </w:rPr>
        <w:t xml:space="preserve">. </w:t>
      </w:r>
    </w:p>
    <w:p w:rsidR="006C0808" w:rsidRDefault="00E3601E">
      <w:pPr>
        <w:pBdr>
          <w:top w:val="nil"/>
          <w:left w:val="nil"/>
          <w:bottom w:val="nil"/>
          <w:right w:val="nil"/>
          <w:between w:val="nil"/>
          <w:bar w:val="nil"/>
        </w:pBdr>
        <w:spacing w:before="0" w:after="240"/>
        <w:rPr>
          <w:noProof/>
          <w:sz w:val="22"/>
        </w:rPr>
      </w:pPr>
      <w:r>
        <w:rPr>
          <w:noProof/>
        </w:rPr>
        <w:t xml:space="preserve">Od nove agencije očekuje se da u budućnosti nastavi aktualne sporazume o uslugama s Komisijom (računovodstveni službenik i upotreba određenih aplikacija i alata) i s ostalim agencijama Unije </w:t>
      </w:r>
      <w:r>
        <w:rPr>
          <w:noProof/>
        </w:rPr>
        <w:t>(osobito s ENISA-om u pogledu vanjskog pohranjivanja sigurnosne kopije podataka i koordinatora za unutarnju kontrolu), koji se mogu dodatno proširiti na nova područja radi dodatnog povećanja učinkovitosti i sinergija.</w:t>
      </w:r>
    </w:p>
    <w:p w:rsidR="006C0808" w:rsidRDefault="00E3601E">
      <w:pPr>
        <w:pBdr>
          <w:top w:val="nil"/>
          <w:left w:val="nil"/>
          <w:bottom w:val="nil"/>
          <w:right w:val="nil"/>
          <w:between w:val="nil"/>
          <w:bar w:val="nil"/>
        </w:pBdr>
        <w:spacing w:before="0" w:after="240"/>
        <w:rPr>
          <w:rFonts w:eastAsia="Arial Unicode MS"/>
          <w:noProof/>
        </w:rPr>
      </w:pPr>
      <w:r>
        <w:rPr>
          <w:noProof/>
        </w:rPr>
        <w:t>Uz postojeći broj zaposlenika BEREC mo</w:t>
      </w:r>
      <w:r>
        <w:rPr>
          <w:noProof/>
        </w:rPr>
        <w:t>že računati na dodatnih 11 ugovornih djelatnika i 7 upućenih nacionalnih stručnjaka, što znači da će ukupni broj članova osoblja iznositi 44 do kraja razdoblja 2019. – 2020.</w:t>
      </w:r>
      <w:r>
        <w:rPr>
          <w:rStyle w:val="FootnoteReference"/>
          <w:noProof/>
        </w:rPr>
        <w:footnoteReference w:id="16"/>
      </w:r>
      <w:r>
        <w:rPr>
          <w:noProof/>
        </w:rPr>
        <w:t xml:space="preserve"> Na temelju procjene učinaka i ne dovodeći u pitanje sljedeći VFO, ukupan broj dod</w:t>
      </w:r>
      <w:r>
        <w:rPr>
          <w:noProof/>
        </w:rPr>
        <w:t>atnih radnih mjesta koja su BEREC-u potrebna za izvršavanje novih zadaća u okviru proširenih ovlasti procjenjuje se na 34 ekvivalenta punog radnog vremena, odnosno predviđeni ukupni iznos članova osoblja jest 60 ekvivalenata punog radnog vremena na završet</w:t>
      </w:r>
      <w:r>
        <w:rPr>
          <w:noProof/>
        </w:rPr>
        <w:t>ku razdoblja provedbe 2019. – 2022.</w:t>
      </w:r>
    </w:p>
    <w:p w:rsidR="006C0808" w:rsidRDefault="00E3601E">
      <w:pPr>
        <w:pStyle w:val="ManualHeading1"/>
        <w:rPr>
          <w:noProof/>
        </w:rPr>
      </w:pPr>
      <w:r>
        <w:rPr>
          <w:noProof/>
        </w:rPr>
        <w:t>5.</w:t>
      </w:r>
      <w:r>
        <w:rPr>
          <w:noProof/>
        </w:rPr>
        <w:tab/>
        <w:t>OSTALI DIJELOVI</w:t>
      </w:r>
    </w:p>
    <w:p w:rsidR="006C0808" w:rsidRDefault="00E3601E">
      <w:pPr>
        <w:pStyle w:val="ManualHeading2"/>
        <w:rPr>
          <w:rFonts w:eastAsia="Arial Unicode MS"/>
          <w:noProof/>
          <w:u w:color="000000"/>
          <w:bdr w:val="nil"/>
        </w:rPr>
      </w:pPr>
      <w:r>
        <w:rPr>
          <w:noProof/>
        </w:rPr>
        <w:t>•</w:t>
      </w:r>
      <w:r>
        <w:rPr>
          <w:noProof/>
        </w:rPr>
        <w:tab/>
        <w:t>Planovi provedbe i mehanizmi praćenja, ocjene i izvješćivanja</w:t>
      </w:r>
    </w:p>
    <w:p w:rsidR="006C0808" w:rsidRDefault="00E3601E">
      <w:pPr>
        <w:tabs>
          <w:tab w:val="left" w:pos="720"/>
        </w:tabs>
        <w:spacing w:before="0" w:after="240"/>
        <w:rPr>
          <w:noProof/>
        </w:rPr>
      </w:pPr>
      <w:r>
        <w:rPr>
          <w:noProof/>
        </w:rPr>
        <w:t>U skladu sa zajedničkim pristupom aktualnim je prijedlogom predviđeno da u roku od pet godina od datuma stupanja na snagu ove Uredbe te s</w:t>
      </w:r>
      <w:r>
        <w:rPr>
          <w:noProof/>
        </w:rPr>
        <w:t>vakih pet godina nakon toga Komisija obavlja ocjenjivanje u skladu sa svojim smjernicama kako bi procijenila uspješnost djelovanja BEREC-a u odnosu na njegove ciljeve, ovlasti, zadaće i lokaciju (lokacije). Ocjenjivanje bi posebno trebalo biti usmjereno na</w:t>
      </w:r>
      <w:r>
        <w:rPr>
          <w:noProof/>
        </w:rPr>
        <w:t xml:space="preserve"> moguću potrebu za izmjenom ovlasti BEREC-a i na financijske učinke takve izmjene. Ako Komisija bude smatrala da daljnje postojanje BEREC-a više nije opravdano s obzirom na ciljeve i zadatke koji su mu dodijeljeni, ona može sukladno tome predložiti da se o</w:t>
      </w:r>
      <w:r>
        <w:rPr>
          <w:noProof/>
        </w:rPr>
        <w:t>va Uredba izmjeni ili stavi izvan snage. Komisija Europskom parlamentu, Vijeću i upravnom odboru mora dostaviti izvješće o rezultatima ocjenjivanja. Rezultati ocjenjivanja moraju biti objavljeni.</w:t>
      </w:r>
    </w:p>
    <w:p w:rsidR="006C0808" w:rsidRDefault="00E3601E">
      <w:pPr>
        <w:tabs>
          <w:tab w:val="left" w:pos="720"/>
        </w:tabs>
        <w:spacing w:before="0" w:after="240"/>
        <w:rPr>
          <w:noProof/>
        </w:rPr>
      </w:pPr>
      <w:r>
        <w:rPr>
          <w:noProof/>
        </w:rPr>
        <w:t>BEREC bi objavljivao i godišnja izvješća o djelatnostima u k</w:t>
      </w:r>
      <w:r>
        <w:rPr>
          <w:noProof/>
        </w:rPr>
        <w:t>ojima bi se ocijenili rezultati djelatnosti obavljanih tijekom godine. Godišnje izvješće o aktivnostima moralo bi se dostaviti Europskom parlamentu, Vijeću, Komisiji i Revizorskom sudu i učiniti dostupno javnosti.</w:t>
      </w:r>
    </w:p>
    <w:p w:rsidR="006C0808" w:rsidRDefault="00E3601E">
      <w:pPr>
        <w:tabs>
          <w:tab w:val="left" w:pos="720"/>
        </w:tabs>
        <w:spacing w:before="0" w:after="240"/>
        <w:rPr>
          <w:noProof/>
        </w:rPr>
      </w:pPr>
      <w:r>
        <w:rPr>
          <w:noProof/>
        </w:rPr>
        <w:t>Osim toga, Komisija će i dalje osiguravati</w:t>
      </w:r>
      <w:r>
        <w:rPr>
          <w:noProof/>
        </w:rPr>
        <w:t xml:space="preserve"> praćenje provedbe regulatornog okvira na temelju sljedećeg.</w:t>
      </w:r>
    </w:p>
    <w:p w:rsidR="006C0808" w:rsidRDefault="00E3601E">
      <w:pPr>
        <w:pStyle w:val="ManualHeading2"/>
        <w:rPr>
          <w:rFonts w:eastAsia="Arial Unicode MS"/>
          <w:noProof/>
          <w:u w:color="000000"/>
          <w:bdr w:val="nil"/>
        </w:rPr>
      </w:pPr>
      <w:bookmarkStart w:id="31" w:name="_Toc456633152"/>
      <w:bookmarkStart w:id="32" w:name="_Toc456628628"/>
      <w:bookmarkStart w:id="33" w:name="_Toc456263123"/>
      <w:bookmarkStart w:id="34" w:name="_Toc456262824"/>
      <w:bookmarkStart w:id="35" w:name="_Toc456261886"/>
      <w:bookmarkStart w:id="36" w:name="_Toc456115252"/>
      <w:bookmarkStart w:id="37" w:name="_Toc456114340"/>
      <w:bookmarkStart w:id="38" w:name="_Toc456026214"/>
      <w:bookmarkStart w:id="39" w:name="_Toc456025762"/>
      <w:bookmarkStart w:id="40" w:name="_Toc455764968"/>
      <w:bookmarkStart w:id="41" w:name="_Toc455763954"/>
      <w:bookmarkStart w:id="42" w:name="_Toc455761986"/>
      <w:bookmarkStart w:id="43" w:name="_Toc455759953"/>
      <w:bookmarkStart w:id="44" w:name="_Toc455755721"/>
      <w:bookmarkStart w:id="45" w:name="_Toc455746508"/>
      <w:bookmarkStart w:id="46" w:name="_Toc455740209"/>
      <w:bookmarkStart w:id="47" w:name="_Toc453340922"/>
      <w:bookmarkStart w:id="48" w:name="_Toc453340588"/>
      <w:bookmarkStart w:id="49" w:name="_Toc453339587"/>
      <w:bookmarkStart w:id="50" w:name="_Toc453339086"/>
      <w:bookmarkStart w:id="51" w:name="_Toc453337853"/>
      <w:bookmarkStart w:id="52" w:name="_Toc453318013"/>
      <w:bookmarkStart w:id="53" w:name="_Toc453093000"/>
      <w:bookmarkStart w:id="54" w:name="_Toc453089695"/>
      <w:bookmarkStart w:id="55" w:name="_Toc453087012"/>
      <w:bookmarkStart w:id="56" w:name="_Toc453002998"/>
      <w:bookmarkStart w:id="57" w:name="_Toc453001504"/>
      <w:bookmarkStart w:id="58" w:name="_Toc452998504"/>
      <w:bookmarkStart w:id="59" w:name="_Toc452992283"/>
      <w:bookmarkStart w:id="60" w:name="_Toc452742267"/>
      <w:bookmarkStart w:id="61" w:name="_Toc452742078"/>
      <w:bookmarkStart w:id="62" w:name="_Toc452741678"/>
      <w:bookmarkStart w:id="63" w:name="_Toc452741495"/>
      <w:bookmarkStart w:id="64" w:name="_Toc452740081"/>
      <w:bookmarkStart w:id="65" w:name="_Toc452739831"/>
      <w:bookmarkStart w:id="66" w:name="_Toc452738564"/>
      <w:bookmarkStart w:id="67" w:name="_Toc452736704"/>
      <w:bookmarkStart w:id="68" w:name="_Toc452729942"/>
      <w:bookmarkStart w:id="69" w:name="_Toc452729247"/>
      <w:bookmarkStart w:id="70" w:name="_Toc452727178"/>
      <w:bookmarkStart w:id="71" w:name="_Toc452723317"/>
      <w:bookmarkStart w:id="72" w:name="_Toc452723144"/>
      <w:bookmarkStart w:id="73" w:name="_Toc452721107"/>
      <w:bookmarkStart w:id="74" w:name="_Toc452712424"/>
      <w:bookmarkStart w:id="75" w:name="_Toc452708183"/>
      <w:bookmarkStart w:id="76" w:name="_Toc452657912"/>
      <w:bookmarkStart w:id="77" w:name="_Toc452651029"/>
      <w:bookmarkStart w:id="78" w:name="_Toc452650902"/>
      <w:bookmarkStart w:id="79" w:name="_Toc452646089"/>
      <w:bookmarkStart w:id="80" w:name="_Toc452573992"/>
      <w:bookmarkStart w:id="81" w:name="_Toc452571630"/>
      <w:bookmarkStart w:id="82" w:name="_Toc451879342"/>
      <w:bookmarkStart w:id="83" w:name="_Toc451879012"/>
      <w:bookmarkStart w:id="84" w:name="_Toc451878164"/>
      <w:bookmarkStart w:id="85" w:name="_Toc451877223"/>
      <w:bookmarkStart w:id="86" w:name="_Toc451876728"/>
      <w:bookmarkStart w:id="87" w:name="_Toc451875737"/>
      <w:bookmarkStart w:id="88" w:name="_Toc451875208"/>
      <w:bookmarkStart w:id="89" w:name="_Toc451525353"/>
      <w:bookmarkStart w:id="90" w:name="_Toc451527055"/>
      <w:bookmarkStart w:id="91" w:name="_Toc451526875"/>
      <w:bookmarkStart w:id="92" w:name="_Toc451524424"/>
      <w:bookmarkStart w:id="93" w:name="_Toc451525800"/>
      <w:bookmarkStart w:id="94" w:name="_Toc451525448"/>
      <w:bookmarkStart w:id="95" w:name="_Toc451524999"/>
      <w:bookmarkStart w:id="96" w:name="_Toc451524792"/>
      <w:bookmarkStart w:id="97" w:name="_Toc451523699"/>
      <w:bookmarkStart w:id="98" w:name="_Toc451523094"/>
      <w:bookmarkStart w:id="99" w:name="_Toc451522619"/>
      <w:bookmarkStart w:id="100" w:name="_Toc451523865"/>
      <w:bookmarkStart w:id="101" w:name="_Toc451523259"/>
      <w:bookmarkStart w:id="102" w:name="_Toc451520641"/>
      <w:bookmarkStart w:id="103" w:name="_Toc451520917"/>
      <w:bookmarkStart w:id="104" w:name="_Toc451518420"/>
      <w:bookmarkStart w:id="105" w:name="_Toc451457872"/>
      <w:bookmarkStart w:id="106" w:name="_Toc451451961"/>
      <w:r>
        <w:rPr>
          <w:noProof/>
        </w:rPr>
        <w:t>Izvješće o europskom digitalnom napretku</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6C0808" w:rsidRDefault="00E3601E">
      <w:pPr>
        <w:autoSpaceDE w:val="0"/>
        <w:autoSpaceDN w:val="0"/>
        <w:adjustRightInd w:val="0"/>
        <w:spacing w:before="0"/>
        <w:rPr>
          <w:noProof/>
          <w:szCs w:val="24"/>
        </w:rPr>
      </w:pPr>
      <w:r>
        <w:rPr>
          <w:b/>
          <w:noProof/>
        </w:rPr>
        <w:t>Izvješće o europskom digitalnom napretku</w:t>
      </w:r>
      <w:r>
        <w:rPr>
          <w:noProof/>
        </w:rPr>
        <w:t xml:space="preserve"> (EDPR) obuhvaća 28 država članica i pruža sveobuhvatne podatke i analizu tržišnih, regulatornih i potrošačkih kre</w:t>
      </w:r>
      <w:r>
        <w:rPr>
          <w:noProof/>
        </w:rPr>
        <w:t>tanja u digitalnom gospodarstvu. Sadržava izvješća i sve dokaze objavljene u vezi s Pregledom digitalnih rezultata</w:t>
      </w:r>
      <w:r>
        <w:rPr>
          <w:rStyle w:val="FootnoteReference"/>
          <w:noProof/>
        </w:rPr>
        <w:footnoteReference w:id="17"/>
      </w:r>
      <w:r>
        <w:rPr>
          <w:noProof/>
        </w:rPr>
        <w:t xml:space="preserve"> u kombinaciji s telekomunikacijskim izvješćem o provedbi te izvješćâ po državama članicama. To se izvješće temelji na dokazima iz sljedećih </w:t>
      </w:r>
      <w:r>
        <w:rPr>
          <w:noProof/>
        </w:rPr>
        <w:t>izvora:</w:t>
      </w:r>
    </w:p>
    <w:p w:rsidR="006C0808" w:rsidRDefault="00E3601E">
      <w:pPr>
        <w:pStyle w:val="Tiret1"/>
        <w:rPr>
          <w:noProof/>
        </w:rPr>
      </w:pPr>
      <w:r>
        <w:rPr>
          <w:b/>
          <w:noProof/>
        </w:rPr>
        <w:t>Pregled digitalnih rezultata</w:t>
      </w:r>
      <w:r>
        <w:rPr>
          <w:noProof/>
        </w:rPr>
        <w:t>. Njime se mjeri napredak europskog digitalnog gospodarstva. Temelji se na podacima koje šalju nacionalna regulatorna tijela, Eurostat i dodatni relevantni izvori te uključuje podatke o općem stanju svih aspekata indeksa</w:t>
      </w:r>
      <w:r>
        <w:rPr>
          <w:noProof/>
        </w:rPr>
        <w:t xml:space="preserve"> digitalnoga gospodarstva i društva u državama članicama EU-a</w:t>
      </w:r>
      <w:r>
        <w:rPr>
          <w:rStyle w:val="FootnoteReference"/>
          <w:noProof/>
        </w:rPr>
        <w:footnoteReference w:id="18"/>
      </w:r>
      <w:r>
        <w:rPr>
          <w:noProof/>
        </w:rPr>
        <w:t>. Pokazatelji uključeni u izvješće omogućuju usporedbu napretka u svim europskim zemljama i tijekom vremena.</w:t>
      </w:r>
    </w:p>
    <w:p w:rsidR="006C0808" w:rsidRDefault="00E3601E">
      <w:pPr>
        <w:pStyle w:val="Tiret1"/>
        <w:rPr>
          <w:rFonts w:eastAsia="Arial Unicode MS"/>
          <w:noProof/>
        </w:rPr>
      </w:pPr>
      <w:r>
        <w:rPr>
          <w:b/>
          <w:noProof/>
        </w:rPr>
        <w:t>Telekomunikacijska izvješća o reguliranju i tržištima europskih elektroničkih komunik</w:t>
      </w:r>
      <w:r>
        <w:rPr>
          <w:b/>
          <w:noProof/>
        </w:rPr>
        <w:t>acija</w:t>
      </w:r>
      <w:r>
        <w:rPr>
          <w:noProof/>
        </w:rPr>
        <w:t>. U njima se nalaze sveobuhvatni podaci i analiza tržišta te regulatornog i potrošačkog razvoja događaja u tom sektoru.</w:t>
      </w:r>
    </w:p>
    <w:p w:rsidR="006C0808" w:rsidRDefault="00E3601E">
      <w:pPr>
        <w:pStyle w:val="ManualHeading2"/>
        <w:rPr>
          <w:rFonts w:eastAsia="Arial Unicode MS"/>
          <w:noProof/>
          <w:u w:color="000000"/>
          <w:bdr w:val="nil"/>
        </w:rPr>
      </w:pPr>
      <w:r>
        <w:rPr>
          <w:noProof/>
        </w:rPr>
        <w:t>•</w:t>
      </w:r>
      <w:r>
        <w:rPr>
          <w:noProof/>
        </w:rPr>
        <w:tab/>
        <w:t>Dokumenti s obrazloženjima (za direktive).</w:t>
      </w:r>
    </w:p>
    <w:p w:rsidR="006C0808" w:rsidRDefault="00E3601E">
      <w:pPr>
        <w:pBdr>
          <w:top w:val="nil"/>
          <w:left w:val="nil"/>
          <w:bottom w:val="nil"/>
          <w:right w:val="nil"/>
          <w:between w:val="nil"/>
          <w:bar w:val="nil"/>
        </w:pBdr>
        <w:spacing w:before="0" w:after="240"/>
        <w:rPr>
          <w:rFonts w:eastAsia="Arial Unicode MS"/>
          <w:noProof/>
          <w:szCs w:val="24"/>
        </w:rPr>
      </w:pPr>
      <w:r>
        <w:rPr>
          <w:noProof/>
        </w:rPr>
        <w:t>Nije primjenjivo.</w:t>
      </w:r>
    </w:p>
    <w:p w:rsidR="006C0808" w:rsidRDefault="00E3601E">
      <w:pPr>
        <w:pStyle w:val="ManualHeading2"/>
        <w:rPr>
          <w:rFonts w:eastAsia="Arial Unicode MS"/>
          <w:noProof/>
          <w:u w:color="000000"/>
          <w:bdr w:val="nil"/>
        </w:rPr>
      </w:pPr>
      <w:r>
        <w:rPr>
          <w:noProof/>
        </w:rPr>
        <w:t>•</w:t>
      </w:r>
      <w:r>
        <w:rPr>
          <w:noProof/>
        </w:rPr>
        <w:tab/>
        <w:t>Detaljno obrazloženje posebnih odredbi prijedloga</w:t>
      </w:r>
    </w:p>
    <w:p w:rsidR="006C0808" w:rsidRDefault="00E3601E">
      <w:pPr>
        <w:pBdr>
          <w:top w:val="nil"/>
          <w:left w:val="nil"/>
          <w:bottom w:val="nil"/>
          <w:right w:val="nil"/>
          <w:between w:val="nil"/>
          <w:bar w:val="nil"/>
        </w:pBdr>
        <w:spacing w:before="0" w:after="240"/>
        <w:rPr>
          <w:noProof/>
        </w:rPr>
      </w:pPr>
      <w:r>
        <w:rPr>
          <w:noProof/>
        </w:rPr>
        <w:t>Uredbom (EZ) br.</w:t>
      </w:r>
      <w:r>
        <w:rPr>
          <w:noProof/>
        </w:rPr>
        <w:t> 1211/2009 osnovani su Tijelo europskih regulatora za elektroničke komunikacije (BEREC) i Ured te utvrđene njihove zadaće. Ovim prijedlogom proširuje se aktualni mandat BEREC-a i BEREC se transformira u punopravnu agenciju opremljenu potrebnim alatima i pr</w:t>
      </w:r>
      <w:r>
        <w:rPr>
          <w:noProof/>
        </w:rPr>
        <w:t>ikladnim sredstvima za postizanje svojih ciljeva i obavljanje svojih zadaća.</w:t>
      </w:r>
    </w:p>
    <w:p w:rsidR="006C0808" w:rsidRDefault="00E3601E">
      <w:pPr>
        <w:spacing w:before="0" w:after="0"/>
        <w:rPr>
          <w:b/>
          <w:noProof/>
          <w:szCs w:val="24"/>
        </w:rPr>
      </w:pPr>
      <w:r>
        <w:rPr>
          <w:b/>
          <w:noProof/>
        </w:rPr>
        <w:t>(1) Osnivanje, područje primjene i ciljevi:</w:t>
      </w:r>
    </w:p>
    <w:p w:rsidR="006C0808" w:rsidRDefault="006C0808">
      <w:pPr>
        <w:spacing w:before="0" w:after="0"/>
        <w:rPr>
          <w:b/>
          <w:noProof/>
          <w:szCs w:val="24"/>
        </w:rPr>
      </w:pPr>
    </w:p>
    <w:p w:rsidR="006C0808" w:rsidRDefault="00E3601E">
      <w:pPr>
        <w:tabs>
          <w:tab w:val="left" w:pos="720"/>
        </w:tabs>
        <w:spacing w:before="0" w:after="240"/>
        <w:rPr>
          <w:b/>
          <w:noProof/>
          <w:szCs w:val="24"/>
        </w:rPr>
      </w:pPr>
      <w:r>
        <w:rPr>
          <w:b/>
          <w:noProof/>
        </w:rPr>
        <w:t>Poglavlje I. „Ciljevi i zadaće”</w:t>
      </w:r>
    </w:p>
    <w:p w:rsidR="006C0808" w:rsidRDefault="00E3601E">
      <w:pPr>
        <w:tabs>
          <w:tab w:val="left" w:pos="720"/>
        </w:tabs>
        <w:spacing w:before="0" w:after="240"/>
        <w:rPr>
          <w:noProof/>
          <w:szCs w:val="24"/>
        </w:rPr>
      </w:pPr>
      <w:r>
        <w:rPr>
          <w:b/>
          <w:noProof/>
        </w:rPr>
        <w:t>Člankom 1.</w:t>
      </w:r>
      <w:r>
        <w:rPr>
          <w:noProof/>
        </w:rPr>
        <w:t xml:space="preserve"> osniva se BEREC i utvrđuje područje primjene Uredbe, definicije i ciljevi BEREC-a, koji bi </w:t>
      </w:r>
      <w:r>
        <w:rPr>
          <w:noProof/>
        </w:rPr>
        <w:t>se trebali podudarati s ciljevima nacionalnih regulatornih tijela.</w:t>
      </w:r>
    </w:p>
    <w:p w:rsidR="006C0808" w:rsidRDefault="00E3601E">
      <w:pPr>
        <w:tabs>
          <w:tab w:val="left" w:pos="720"/>
        </w:tabs>
        <w:spacing w:before="0" w:after="240"/>
        <w:rPr>
          <w:noProof/>
          <w:szCs w:val="24"/>
        </w:rPr>
      </w:pPr>
      <w:r>
        <w:rPr>
          <w:noProof/>
        </w:rPr>
        <w:t xml:space="preserve">U </w:t>
      </w:r>
      <w:r>
        <w:rPr>
          <w:b/>
          <w:noProof/>
        </w:rPr>
        <w:t>članku 2.</w:t>
      </w:r>
      <w:r>
        <w:rPr>
          <w:noProof/>
        </w:rPr>
        <w:t xml:space="preserve"> nabrajaju se zadaće BEREC-a. BEREC po potrebi može surađivati s nadležnim tijelima, agencijama, uredima i savjetodavnim skupinama Unije, s nadležnim tijelima trećih zemalja i/ili s međunarodnim organizacijama te se savjetovati sa zainteresiranim stranama.</w:t>
      </w:r>
    </w:p>
    <w:p w:rsidR="006C0808" w:rsidRDefault="00E3601E">
      <w:pPr>
        <w:tabs>
          <w:tab w:val="left" w:pos="720"/>
        </w:tabs>
        <w:spacing w:before="0" w:after="240"/>
        <w:rPr>
          <w:b/>
          <w:noProof/>
          <w:szCs w:val="24"/>
        </w:rPr>
      </w:pPr>
      <w:r>
        <w:rPr>
          <w:b/>
          <w:noProof/>
        </w:rPr>
        <w:t>Poglavlje II. „Administrativna i upravljačka struktura”</w:t>
      </w:r>
    </w:p>
    <w:p w:rsidR="006C0808" w:rsidRDefault="00E3601E">
      <w:pPr>
        <w:tabs>
          <w:tab w:val="left" w:pos="720"/>
        </w:tabs>
        <w:spacing w:before="0" w:after="240"/>
        <w:rPr>
          <w:noProof/>
          <w:szCs w:val="24"/>
        </w:rPr>
      </w:pPr>
      <w:r>
        <w:rPr>
          <w:b/>
          <w:noProof/>
        </w:rPr>
        <w:t xml:space="preserve">Članak 3. </w:t>
      </w:r>
      <w:r>
        <w:rPr>
          <w:noProof/>
        </w:rPr>
        <w:t>odnosi se na administrativnu i upravljačku strukturu BEREC-a, koja se sastoji od upravnog odbora, izvršnog direktora, radnih skupina i odbora za žalbe.</w:t>
      </w:r>
    </w:p>
    <w:p w:rsidR="006C0808" w:rsidRDefault="00E3601E">
      <w:pPr>
        <w:tabs>
          <w:tab w:val="left" w:pos="720"/>
        </w:tabs>
        <w:spacing w:before="0" w:after="240"/>
        <w:rPr>
          <w:noProof/>
          <w:szCs w:val="24"/>
        </w:rPr>
      </w:pPr>
      <w:r>
        <w:rPr>
          <w:b/>
          <w:noProof/>
        </w:rPr>
        <w:t>Člancima 4. – 5.</w:t>
      </w:r>
      <w:r>
        <w:rPr>
          <w:noProof/>
        </w:rPr>
        <w:t xml:space="preserve"> predviđa se da se upravni odbor sastoji od voditelja ili člana kolegijalnog tijela svakog nacionalnog regulatornog tijela i dvaju predstavnika Komisije, koji svi imaju pravo glasa. Utvrđuju se i njegove zadaće. Konkretno, upravni odbor trebao bi izvršnom </w:t>
      </w:r>
      <w:r>
        <w:rPr>
          <w:noProof/>
        </w:rPr>
        <w:t>direktoru delegirati relevantne ovlasti tijela za imenovanje. Izvršni direktor trebao bi biti ovlašten dalje delegirati ovlasti, pri čemu se utvrđuju uvjeti u skladu s kojima se ta delegacija ovlasti može suspendirati.</w:t>
      </w:r>
    </w:p>
    <w:p w:rsidR="006C0808" w:rsidRDefault="00E3601E">
      <w:pPr>
        <w:tabs>
          <w:tab w:val="left" w:pos="720"/>
        </w:tabs>
        <w:spacing w:before="0" w:after="240"/>
        <w:rPr>
          <w:noProof/>
          <w:szCs w:val="24"/>
        </w:rPr>
      </w:pPr>
      <w:r>
        <w:rPr>
          <w:b/>
          <w:noProof/>
        </w:rPr>
        <w:t>Člankom 6.</w:t>
      </w:r>
      <w:r>
        <w:rPr>
          <w:noProof/>
        </w:rPr>
        <w:t xml:space="preserve"> predviđa se da upravni odb</w:t>
      </w:r>
      <w:r>
        <w:rPr>
          <w:noProof/>
        </w:rPr>
        <w:t>or dvotrećinskom većinom bira predsjednika i zamjenika predsjednika među svojim članovima na četverogodišnji mandat koji se može jednom obnoviti.</w:t>
      </w:r>
    </w:p>
    <w:p w:rsidR="006C0808" w:rsidRDefault="00E3601E">
      <w:pPr>
        <w:tabs>
          <w:tab w:val="left" w:pos="720"/>
        </w:tabs>
        <w:spacing w:before="0" w:after="240"/>
        <w:rPr>
          <w:noProof/>
        </w:rPr>
      </w:pPr>
      <w:r>
        <w:rPr>
          <w:b/>
          <w:noProof/>
        </w:rPr>
        <w:t>Člancima 7. – 8.</w:t>
      </w:r>
      <w:r>
        <w:rPr>
          <w:noProof/>
        </w:rPr>
        <w:t xml:space="preserve"> utvrđuje se minimalni broj redovnih sastanaka upravnog odbora (dva) godišnje i pravila njegov</w:t>
      </w:r>
      <w:r>
        <w:rPr>
          <w:noProof/>
        </w:rPr>
        <w:t>a glasovanja (u pravilu većinom glasova).</w:t>
      </w:r>
    </w:p>
    <w:p w:rsidR="006C0808" w:rsidRDefault="00E3601E">
      <w:pPr>
        <w:tabs>
          <w:tab w:val="left" w:pos="720"/>
        </w:tabs>
        <w:spacing w:before="0" w:after="240"/>
        <w:rPr>
          <w:noProof/>
        </w:rPr>
      </w:pPr>
      <w:r>
        <w:rPr>
          <w:b/>
          <w:noProof/>
        </w:rPr>
        <w:t>Člankom 9.</w:t>
      </w:r>
      <w:r>
        <w:rPr>
          <w:noProof/>
        </w:rPr>
        <w:t xml:space="preserve"> utvrđuju se nadležnosti izvršnog direktora, koji bi trebao upravljati agencijom i pravno je zastupati. Izvršni direktor odgovoran je upravnom odboru te o izvršavanju svojih dužnosti izvješćuje Europski p</w:t>
      </w:r>
      <w:r>
        <w:rPr>
          <w:noProof/>
        </w:rPr>
        <w:t xml:space="preserve">arlament i na poziv Vijeće. </w:t>
      </w:r>
    </w:p>
    <w:p w:rsidR="006C0808" w:rsidRDefault="00E3601E">
      <w:pPr>
        <w:tabs>
          <w:tab w:val="left" w:pos="720"/>
        </w:tabs>
        <w:spacing w:before="0" w:after="240"/>
        <w:rPr>
          <w:noProof/>
        </w:rPr>
      </w:pPr>
      <w:r>
        <w:rPr>
          <w:b/>
          <w:noProof/>
        </w:rPr>
        <w:t>Člankom 10.</w:t>
      </w:r>
      <w:r>
        <w:rPr>
          <w:noProof/>
        </w:rPr>
        <w:t xml:space="preserve"> utvrđuje se da upravni odbor može po potrebi osnivati radne skupine, koje bi koordinirao i vodio član osoblja BEREC-a. Za osnivanje određenih radnih skupina trebalo bi unaprijed osigurati popis kvalificiranih stručn</w:t>
      </w:r>
      <w:r>
        <w:rPr>
          <w:noProof/>
        </w:rPr>
        <w:t>jaka.</w:t>
      </w:r>
    </w:p>
    <w:p w:rsidR="006C0808" w:rsidRDefault="00E3601E">
      <w:pPr>
        <w:tabs>
          <w:tab w:val="left" w:pos="720"/>
        </w:tabs>
        <w:spacing w:before="0" w:after="240"/>
        <w:rPr>
          <w:noProof/>
        </w:rPr>
      </w:pPr>
      <w:r>
        <w:rPr>
          <w:b/>
          <w:noProof/>
        </w:rPr>
        <w:t>Člancima 11. – 14.</w:t>
      </w:r>
      <w:r>
        <w:rPr>
          <w:noProof/>
        </w:rPr>
        <w:t xml:space="preserve"> osniva se odbor za žalbe te utvrđuju njegov sastav i imenovanje članova, koji bi morali biti neovisni i ne bi smjeli obavljati druge dužnosti u okviru BEREC-a. Bilo koja fizička ili pravna osoba, uključujući nacionalna regulatorna </w:t>
      </w:r>
      <w:r>
        <w:rPr>
          <w:noProof/>
        </w:rPr>
        <w:t>tijela, može podnijeti žalbu protiv obvezujuće odluke BEREC-a. Žalbe ne bi trebale imati suspenzivni učinak, no odbor za žalbe može suspendirati primjenu odluke.</w:t>
      </w:r>
    </w:p>
    <w:p w:rsidR="006C0808" w:rsidRDefault="00E3601E">
      <w:pPr>
        <w:tabs>
          <w:tab w:val="left" w:pos="720"/>
        </w:tabs>
        <w:spacing w:before="0" w:after="240"/>
        <w:rPr>
          <w:b/>
          <w:noProof/>
        </w:rPr>
      </w:pPr>
      <w:r>
        <w:rPr>
          <w:b/>
          <w:noProof/>
        </w:rPr>
        <w:t>Poglavlje III. „Godišnje i višegodišnje programiranje”</w:t>
      </w:r>
    </w:p>
    <w:p w:rsidR="006C0808" w:rsidRDefault="00E3601E">
      <w:pPr>
        <w:tabs>
          <w:tab w:val="left" w:pos="720"/>
        </w:tabs>
        <w:spacing w:before="0" w:after="240"/>
        <w:rPr>
          <w:noProof/>
        </w:rPr>
      </w:pPr>
      <w:r>
        <w:rPr>
          <w:b/>
          <w:noProof/>
        </w:rPr>
        <w:t>Člankom 15.</w:t>
      </w:r>
      <w:r>
        <w:rPr>
          <w:noProof/>
        </w:rPr>
        <w:t xml:space="preserve"> utvrđuje se postupak donoše</w:t>
      </w:r>
      <w:r>
        <w:rPr>
          <w:noProof/>
        </w:rPr>
        <w:t>nja dokumenta o godišnjem i višegodišnjem programiranju. Taj bi dokument trebao sadržavati strategiju odnosa s tijelima, agencijama, uredima i savjetodavnim skupinama Unije, nadležnim tijelima trećih zemalja i/ili međunarodnim organizacijama.</w:t>
      </w:r>
    </w:p>
    <w:p w:rsidR="006C0808" w:rsidRDefault="00E3601E">
      <w:pPr>
        <w:tabs>
          <w:tab w:val="left" w:pos="720"/>
        </w:tabs>
        <w:spacing w:before="0" w:after="240"/>
        <w:rPr>
          <w:noProof/>
        </w:rPr>
      </w:pPr>
      <w:r>
        <w:rPr>
          <w:b/>
          <w:noProof/>
        </w:rPr>
        <w:t>Članci 16. – </w:t>
      </w:r>
      <w:r>
        <w:rPr>
          <w:b/>
          <w:noProof/>
        </w:rPr>
        <w:t>17.</w:t>
      </w:r>
      <w:r>
        <w:rPr>
          <w:noProof/>
        </w:rPr>
        <w:t xml:space="preserve"> odnose se na utvrđivanje proračuna BEREC-a i njegove strukture u pogledu prihoda i rashoda.</w:t>
      </w:r>
    </w:p>
    <w:p w:rsidR="006C0808" w:rsidRDefault="00E3601E">
      <w:pPr>
        <w:tabs>
          <w:tab w:val="left" w:pos="720"/>
        </w:tabs>
        <w:spacing w:before="0" w:after="240"/>
        <w:rPr>
          <w:noProof/>
        </w:rPr>
      </w:pPr>
      <w:r>
        <w:rPr>
          <w:noProof/>
        </w:rPr>
        <w:t xml:space="preserve">U </w:t>
      </w:r>
      <w:r>
        <w:rPr>
          <w:b/>
          <w:noProof/>
        </w:rPr>
        <w:t>člancima 18. – 20.</w:t>
      </w:r>
      <w:r>
        <w:rPr>
          <w:noProof/>
        </w:rPr>
        <w:t xml:space="preserve"> navodi se da je izvršni direktor nadležan za izvršavanje proračuna BEREC-a i utvrđuje postupak prikazivanja financijskih izvještaja i razrj</w:t>
      </w:r>
      <w:r>
        <w:rPr>
          <w:noProof/>
        </w:rPr>
        <w:t>ešnica. Upravni odbor donosi financijska pravila koja se primjenjuju na BEREC.</w:t>
      </w:r>
    </w:p>
    <w:p w:rsidR="006C0808" w:rsidRDefault="00E3601E">
      <w:pPr>
        <w:tabs>
          <w:tab w:val="left" w:pos="720"/>
        </w:tabs>
        <w:spacing w:before="0" w:after="240"/>
        <w:rPr>
          <w:b/>
          <w:noProof/>
        </w:rPr>
      </w:pPr>
      <w:r>
        <w:rPr>
          <w:b/>
          <w:noProof/>
        </w:rPr>
        <w:t>Poglavlje IV. „Osoblje”</w:t>
      </w:r>
    </w:p>
    <w:p w:rsidR="006C0808" w:rsidRDefault="00E3601E">
      <w:pPr>
        <w:tabs>
          <w:tab w:val="left" w:pos="720"/>
        </w:tabs>
        <w:spacing w:before="0" w:after="240"/>
        <w:rPr>
          <w:noProof/>
        </w:rPr>
      </w:pPr>
      <w:r>
        <w:rPr>
          <w:noProof/>
        </w:rPr>
        <w:t xml:space="preserve">U </w:t>
      </w:r>
      <w:r>
        <w:rPr>
          <w:b/>
          <w:noProof/>
        </w:rPr>
        <w:t>članku 21.</w:t>
      </w:r>
      <w:r>
        <w:rPr>
          <w:noProof/>
        </w:rPr>
        <w:t xml:space="preserve"> navodi se da se na osoblje BEREC-a primjenjuju Pravilnik o osoblju i Uvjeti zaposlenja ostalih službenika Europske unije te provedbena pravi</w:t>
      </w:r>
      <w:r>
        <w:rPr>
          <w:noProof/>
        </w:rPr>
        <w:t>la za njihovu primjenu.</w:t>
      </w:r>
    </w:p>
    <w:p w:rsidR="006C0808" w:rsidRDefault="00E3601E">
      <w:pPr>
        <w:tabs>
          <w:tab w:val="left" w:pos="720"/>
        </w:tabs>
        <w:spacing w:before="0" w:after="240"/>
        <w:rPr>
          <w:noProof/>
        </w:rPr>
      </w:pPr>
      <w:r>
        <w:rPr>
          <w:b/>
          <w:noProof/>
        </w:rPr>
        <w:t>Člankom 22.</w:t>
      </w:r>
      <w:r>
        <w:rPr>
          <w:noProof/>
        </w:rPr>
        <w:t xml:space="preserve"> utvrđuje se postupak na temelju kojeg upravni odbor imenuje izvršnog direktora s popisa kandidata koje je predložila Komisija na petogodišnji mandat, koji se može obnoviti, te postupak za produljenje njegova mandata ili </w:t>
      </w:r>
      <w:r>
        <w:rPr>
          <w:noProof/>
        </w:rPr>
        <w:t>razrješenje dužnosti.</w:t>
      </w:r>
    </w:p>
    <w:p w:rsidR="006C0808" w:rsidRDefault="00E3601E">
      <w:pPr>
        <w:tabs>
          <w:tab w:val="left" w:pos="720"/>
        </w:tabs>
        <w:spacing w:before="0" w:after="240"/>
        <w:rPr>
          <w:noProof/>
        </w:rPr>
      </w:pPr>
      <w:r>
        <w:rPr>
          <w:noProof/>
        </w:rPr>
        <w:t xml:space="preserve">U </w:t>
      </w:r>
      <w:r>
        <w:rPr>
          <w:b/>
          <w:noProof/>
        </w:rPr>
        <w:t>članku 23.</w:t>
      </w:r>
      <w:r>
        <w:rPr>
          <w:noProof/>
        </w:rPr>
        <w:t xml:space="preserve"> navodi se da se BEREC može koristiti uslugama upućenih nacionalnih stručnjaka ili drugih članova osoblja koji nisu njegovi zaposlenici, na koje se ne primjenjuje Pravilnik o osoblju i Uvjeti zaposlenja ostalih službenika </w:t>
      </w:r>
      <w:r>
        <w:rPr>
          <w:noProof/>
        </w:rPr>
        <w:t>Europske unije.</w:t>
      </w:r>
    </w:p>
    <w:p w:rsidR="006C0808" w:rsidRDefault="00E3601E">
      <w:pPr>
        <w:tabs>
          <w:tab w:val="left" w:pos="720"/>
        </w:tabs>
        <w:spacing w:before="0" w:after="240"/>
        <w:rPr>
          <w:b/>
          <w:noProof/>
        </w:rPr>
      </w:pPr>
      <w:r>
        <w:rPr>
          <w:b/>
          <w:noProof/>
        </w:rPr>
        <w:t>Poglavlje V. „Opće odredbe”</w:t>
      </w:r>
    </w:p>
    <w:p w:rsidR="006C0808" w:rsidRDefault="00E3601E">
      <w:pPr>
        <w:tabs>
          <w:tab w:val="left" w:pos="720"/>
        </w:tabs>
        <w:spacing w:before="0" w:after="240"/>
        <w:rPr>
          <w:noProof/>
        </w:rPr>
      </w:pPr>
      <w:r>
        <w:rPr>
          <w:b/>
          <w:noProof/>
        </w:rPr>
        <w:t>Člancima 24. – 25.</w:t>
      </w:r>
      <w:r>
        <w:rPr>
          <w:noProof/>
        </w:rPr>
        <w:t xml:space="preserve"> predviđa se da bi BEREC trebao imati pravnu osobnost i biti tijelo Unije. Protokol o povlasticama i imunitetima Europske unije primjenjuje se na BEREC i njegovo osoblje.</w:t>
      </w:r>
    </w:p>
    <w:p w:rsidR="006C0808" w:rsidRDefault="00E3601E">
      <w:pPr>
        <w:tabs>
          <w:tab w:val="left" w:pos="720"/>
        </w:tabs>
        <w:spacing w:before="0" w:after="240"/>
        <w:rPr>
          <w:noProof/>
        </w:rPr>
      </w:pPr>
      <w:r>
        <w:rPr>
          <w:noProof/>
        </w:rPr>
        <w:t xml:space="preserve">U </w:t>
      </w:r>
      <w:r>
        <w:rPr>
          <w:b/>
          <w:noProof/>
        </w:rPr>
        <w:t>članku 26.</w:t>
      </w:r>
      <w:r>
        <w:rPr>
          <w:noProof/>
        </w:rPr>
        <w:t xml:space="preserve"> navodi se </w:t>
      </w:r>
      <w:r>
        <w:rPr>
          <w:noProof/>
        </w:rPr>
        <w:t xml:space="preserve">da BEREC po potrebi može surađivati s nadležnim tijelima, agencijama, uredima i savjetodavnim skupinama Unije, nadležnim tijelima trećih zemalja i/ili međunarodnim organizacijama. Ta bi se suradnja trebala temeljiti na radnim dogovorima, koje bi prethodno </w:t>
      </w:r>
      <w:r>
        <w:rPr>
          <w:noProof/>
        </w:rPr>
        <w:t xml:space="preserve">trebala odobriti Komisija. U skladu sa zajedničkim pristupom Komisija i agencija trebale bi sklopiti odgovarajući radni dogovor kako bi se osiguralo da BEREC djeluje u okviru svojih ovlasti i postojećeg institucionalnog okvira. U tom se članku navodi i da </w:t>
      </w:r>
      <w:r>
        <w:rPr>
          <w:noProof/>
        </w:rPr>
        <w:t>je BEREC otvoren za sudjelovanje regulatornih tijela nadležnih za elektroničke komunikacije trećih zemalja koje su sklopile sporazume s Unijom u tu svrhu.</w:t>
      </w:r>
    </w:p>
    <w:p w:rsidR="006C0808" w:rsidRDefault="00E3601E">
      <w:pPr>
        <w:tabs>
          <w:tab w:val="left" w:pos="720"/>
        </w:tabs>
        <w:spacing w:before="0" w:after="240"/>
        <w:rPr>
          <w:noProof/>
        </w:rPr>
      </w:pPr>
      <w:r>
        <w:rPr>
          <w:noProof/>
        </w:rPr>
        <w:t xml:space="preserve">U </w:t>
      </w:r>
      <w:r>
        <w:rPr>
          <w:b/>
          <w:noProof/>
        </w:rPr>
        <w:t>članku 27.</w:t>
      </w:r>
      <w:r>
        <w:rPr>
          <w:noProof/>
        </w:rPr>
        <w:t xml:space="preserve"> navodi se da se Uredba (EZ) br. 1049/2001 primjenjuje na dokumente kojima raspolaže BERE</w:t>
      </w:r>
      <w:r>
        <w:rPr>
          <w:noProof/>
        </w:rPr>
        <w:t>C, a da njegova obrada osobnih podataka podliježe Uredbi (EZ) br. 45/2001. U tom se članku navodi i da BEREC može na vlastitu inicijativu sudjelovati u komunikacijskim aktivnostima u području svoje nadležnosti.</w:t>
      </w:r>
    </w:p>
    <w:p w:rsidR="006C0808" w:rsidRDefault="00E3601E">
      <w:pPr>
        <w:tabs>
          <w:tab w:val="left" w:pos="720"/>
        </w:tabs>
        <w:spacing w:before="0" w:after="240"/>
        <w:rPr>
          <w:noProof/>
        </w:rPr>
      </w:pPr>
      <w:r>
        <w:rPr>
          <w:b/>
          <w:noProof/>
        </w:rPr>
        <w:t>Članak 28.</w:t>
      </w:r>
      <w:r>
        <w:rPr>
          <w:noProof/>
        </w:rPr>
        <w:t xml:space="preserve"> odnosi se na pravila o povjerljivo</w:t>
      </w:r>
      <w:r>
        <w:rPr>
          <w:noProof/>
        </w:rPr>
        <w:t>sti koja BEREC mora poštovati.</w:t>
      </w:r>
    </w:p>
    <w:p w:rsidR="006C0808" w:rsidRDefault="00E3601E">
      <w:pPr>
        <w:tabs>
          <w:tab w:val="left" w:pos="720"/>
        </w:tabs>
        <w:spacing w:before="0" w:after="240"/>
        <w:rPr>
          <w:noProof/>
        </w:rPr>
      </w:pPr>
      <w:r>
        <w:rPr>
          <w:b/>
          <w:noProof/>
        </w:rPr>
        <w:t>Članak 29.</w:t>
      </w:r>
      <w:r>
        <w:rPr>
          <w:noProof/>
        </w:rPr>
        <w:t xml:space="preserve"> odnosi se na sigurnosna pravila za zaštitu klasificiranih podataka i osjetljivih neklasificiranih podataka koja bi BEREC trebao donijeti.</w:t>
      </w:r>
    </w:p>
    <w:p w:rsidR="006C0808" w:rsidRDefault="00E3601E">
      <w:pPr>
        <w:tabs>
          <w:tab w:val="left" w:pos="720"/>
        </w:tabs>
        <w:spacing w:before="0" w:after="240"/>
        <w:rPr>
          <w:noProof/>
        </w:rPr>
      </w:pPr>
      <w:r>
        <w:rPr>
          <w:b/>
          <w:noProof/>
        </w:rPr>
        <w:t>Člankom 30.</w:t>
      </w:r>
      <w:r>
        <w:rPr>
          <w:noProof/>
        </w:rPr>
        <w:t xml:space="preserve"> predviđa se da Komisija i nacionalna regulatorna tijela prosljeđ</w:t>
      </w:r>
      <w:r>
        <w:rPr>
          <w:noProof/>
        </w:rPr>
        <w:t>uju BEREC-u informacije (i obrnuto). Njime se predviđa i da BEREC može, kao krajnju mjeru, zatražiti potrebne informacije od drugih tijela i poduzeća.</w:t>
      </w:r>
    </w:p>
    <w:p w:rsidR="006C0808" w:rsidRDefault="00E3601E">
      <w:pPr>
        <w:tabs>
          <w:tab w:val="left" w:pos="720"/>
        </w:tabs>
        <w:spacing w:before="0" w:after="240"/>
        <w:rPr>
          <w:noProof/>
        </w:rPr>
      </w:pPr>
      <w:r>
        <w:rPr>
          <w:b/>
          <w:noProof/>
        </w:rPr>
        <w:t>Člankom 31.</w:t>
      </w:r>
      <w:r>
        <w:rPr>
          <w:noProof/>
        </w:rPr>
        <w:t xml:space="preserve"> predviđa se da su članovi upravnog odbora, izvršni direktor, upućeni nacionalni stručnjaci i </w:t>
      </w:r>
      <w:r>
        <w:rPr>
          <w:noProof/>
        </w:rPr>
        <w:t>ostalo osoblje koje nije zaposleno u BEREC-u dužni dati pojedinačne izjave o preuzimanju obveze i postojanju ili nepostojanju izravnog ili neizravnog interesa za koji se može smatrati da utječe na njihovu neovisnost; te da su oni i stručnjaci koji sudjeluj</w:t>
      </w:r>
      <w:r>
        <w:rPr>
          <w:noProof/>
        </w:rPr>
        <w:t>u u radnim skupinama dužni dati izjavu o interesu za koji bi se moglo smatrati da utječe na njihovu neovisnost u odnosu na točke dnevnog reda.</w:t>
      </w:r>
    </w:p>
    <w:p w:rsidR="006C0808" w:rsidRDefault="00E3601E">
      <w:pPr>
        <w:tabs>
          <w:tab w:val="left" w:pos="720"/>
        </w:tabs>
        <w:spacing w:before="0" w:after="240"/>
        <w:rPr>
          <w:noProof/>
        </w:rPr>
      </w:pPr>
      <w:r>
        <w:rPr>
          <w:b/>
          <w:noProof/>
        </w:rPr>
        <w:t>Člankom 32.</w:t>
      </w:r>
      <w:r>
        <w:rPr>
          <w:noProof/>
        </w:rPr>
        <w:t xml:space="preserve"> predviđa se da bi BEREC trebao pristupiti Međuinstitucionalnom sporazumu od 25. svibnja 1999. o unuta</w:t>
      </w:r>
      <w:r>
        <w:rPr>
          <w:noProof/>
        </w:rPr>
        <w:t>rnjim istragama koje provodi Europski ured za borbu protiv prijevara (OLAF) i donijeti odgovarajuće odredbe koje će se primjenjivati na sve zaposlenike BEREC-a.</w:t>
      </w:r>
    </w:p>
    <w:p w:rsidR="006C0808" w:rsidRDefault="00E3601E">
      <w:pPr>
        <w:tabs>
          <w:tab w:val="left" w:pos="720"/>
        </w:tabs>
        <w:spacing w:before="0" w:after="240"/>
        <w:rPr>
          <w:noProof/>
        </w:rPr>
      </w:pPr>
      <w:r>
        <w:rPr>
          <w:b/>
          <w:noProof/>
        </w:rPr>
        <w:t>Članak 33.</w:t>
      </w:r>
      <w:r>
        <w:rPr>
          <w:noProof/>
        </w:rPr>
        <w:t xml:space="preserve"> sadržava odredbe o ugovornoj odgovornosti BEREC-a.</w:t>
      </w:r>
    </w:p>
    <w:p w:rsidR="006C0808" w:rsidRDefault="00E3601E">
      <w:pPr>
        <w:tabs>
          <w:tab w:val="left" w:pos="720"/>
        </w:tabs>
        <w:spacing w:before="0" w:after="240"/>
        <w:rPr>
          <w:noProof/>
        </w:rPr>
      </w:pPr>
      <w:r>
        <w:rPr>
          <w:b/>
          <w:noProof/>
        </w:rPr>
        <w:t>Člankom 34.</w:t>
      </w:r>
      <w:r>
        <w:rPr>
          <w:noProof/>
        </w:rPr>
        <w:t xml:space="preserve"> predviđa se da djelat</w:t>
      </w:r>
      <w:r>
        <w:rPr>
          <w:noProof/>
        </w:rPr>
        <w:t>nosti BEREC-a podliježu nadzoru Europskog ombudsmana u skladu s člankom 228. Ugovora.</w:t>
      </w:r>
    </w:p>
    <w:p w:rsidR="006C0808" w:rsidRDefault="00E3601E">
      <w:pPr>
        <w:tabs>
          <w:tab w:val="left" w:pos="720"/>
        </w:tabs>
        <w:spacing w:before="0" w:after="240"/>
        <w:rPr>
          <w:noProof/>
        </w:rPr>
      </w:pPr>
      <w:r>
        <w:rPr>
          <w:b/>
          <w:noProof/>
        </w:rPr>
        <w:t>Člankom 35.</w:t>
      </w:r>
      <w:r>
        <w:rPr>
          <w:noProof/>
        </w:rPr>
        <w:t xml:space="preserve"> predviđa se da se Uredba br.1/58 primjenjuje na BEREC te da usluge prevođenja potrebne za rad BEREC-a pruža Prevoditeljski centar za tijela Europske unije.</w:t>
      </w:r>
    </w:p>
    <w:p w:rsidR="006C0808" w:rsidRDefault="00E3601E">
      <w:pPr>
        <w:tabs>
          <w:tab w:val="left" w:pos="720"/>
        </w:tabs>
        <w:spacing w:before="0" w:after="240"/>
        <w:rPr>
          <w:noProof/>
        </w:rPr>
      </w:pPr>
      <w:r>
        <w:rPr>
          <w:b/>
          <w:noProof/>
        </w:rPr>
        <w:t>Članak 36.</w:t>
      </w:r>
      <w:r>
        <w:rPr>
          <w:noProof/>
        </w:rPr>
        <w:t xml:space="preserve"> odnosi se na postupak utvrđivanja pravila o postupku odbora za žalbe za koji su Komisiji dodijeljene provedbene ovlasti.</w:t>
      </w:r>
    </w:p>
    <w:p w:rsidR="006C0808" w:rsidRDefault="00E3601E">
      <w:pPr>
        <w:tabs>
          <w:tab w:val="left" w:pos="720"/>
        </w:tabs>
        <w:spacing w:before="0" w:after="240"/>
        <w:rPr>
          <w:b/>
          <w:noProof/>
        </w:rPr>
      </w:pPr>
      <w:r>
        <w:rPr>
          <w:b/>
          <w:noProof/>
        </w:rPr>
        <w:t>Poglavlje VI. „Prijelazne i završne odredbe”</w:t>
      </w:r>
    </w:p>
    <w:p w:rsidR="006C0808" w:rsidRDefault="00E3601E">
      <w:pPr>
        <w:tabs>
          <w:tab w:val="left" w:pos="720"/>
        </w:tabs>
        <w:spacing w:before="0" w:after="240"/>
        <w:rPr>
          <w:noProof/>
        </w:rPr>
      </w:pPr>
      <w:r>
        <w:rPr>
          <w:b/>
          <w:noProof/>
        </w:rPr>
        <w:t>Člankom 37.</w:t>
      </w:r>
      <w:r>
        <w:rPr>
          <w:noProof/>
        </w:rPr>
        <w:t xml:space="preserve"> predviđa se potreba za sklapanjem sporazuma o sjedištu između BEREC-a i države članice u kojoj se on nalazi. Država članica domaćin BEREC-a osigurava potrebne uvjete za nesmetan i učinkovit rad BEREC-a, uključujući višejezično, europski usmjereno školovan</w:t>
      </w:r>
      <w:r>
        <w:rPr>
          <w:noProof/>
        </w:rPr>
        <w:t>je te primjerenu prometnu povezanost.</w:t>
      </w:r>
    </w:p>
    <w:p w:rsidR="006C0808" w:rsidRDefault="00E3601E">
      <w:pPr>
        <w:tabs>
          <w:tab w:val="left" w:pos="720"/>
        </w:tabs>
        <w:spacing w:before="0" w:after="240"/>
        <w:rPr>
          <w:noProof/>
        </w:rPr>
      </w:pPr>
      <w:r>
        <w:rPr>
          <w:b/>
          <w:noProof/>
        </w:rPr>
        <w:t>Člankom 38.</w:t>
      </w:r>
      <w:r>
        <w:rPr>
          <w:noProof/>
        </w:rPr>
        <w:t xml:space="preserve"> predviđa se da u roku od pet godina od datuma stupanja na snagu ove Uredbe te svakih pet godina nakon toga Komisija obavlja ocjenjivanje u skladu sa svojim smjernicama kako bi ocijenila uspješnost djelovanj</w:t>
      </w:r>
      <w:r>
        <w:rPr>
          <w:noProof/>
        </w:rPr>
        <w:t>a BEREC-a u odnosu na njegove ciljeve, ovlasti, zadaće i lokaciju (lokacije). Komisija Europskom parlamentu, Vijeću i upravnom odboru mora dostaviti izvješće o rezultatima ocjenjivanja, koji se moraju objaviti.</w:t>
      </w:r>
    </w:p>
    <w:p w:rsidR="006C0808" w:rsidRDefault="00E3601E">
      <w:pPr>
        <w:tabs>
          <w:tab w:val="left" w:pos="720"/>
        </w:tabs>
        <w:spacing w:before="0" w:after="240"/>
        <w:rPr>
          <w:noProof/>
        </w:rPr>
      </w:pPr>
      <w:r>
        <w:rPr>
          <w:noProof/>
        </w:rPr>
        <w:t xml:space="preserve">U </w:t>
      </w:r>
      <w:r>
        <w:rPr>
          <w:b/>
          <w:noProof/>
        </w:rPr>
        <w:t>članku 39.</w:t>
      </w:r>
      <w:r>
        <w:rPr>
          <w:noProof/>
        </w:rPr>
        <w:t xml:space="preserve"> navodi se da je BEREC sljednik U</w:t>
      </w:r>
      <w:r>
        <w:rPr>
          <w:noProof/>
        </w:rPr>
        <w:t xml:space="preserve">reda osnovanog Uredbom (EZ) br. 1211/2009 u pogledu vlasništva, sporazuma, pravnih obveza, ugovora o radu, financijskih obveza i odgovornosti. Tim su člankom utvrđene i prijelazne odredbe koje se odnose na upravitelja ureda u svojstvu privremenog izvršnog </w:t>
      </w:r>
      <w:r>
        <w:rPr>
          <w:noProof/>
        </w:rPr>
        <w:t>direktora te na ugovor upravitelja odbora, sastav upravnog odbora i postupak davanja razrješnice.</w:t>
      </w:r>
    </w:p>
    <w:p w:rsidR="006C0808" w:rsidRDefault="00E3601E">
      <w:pPr>
        <w:tabs>
          <w:tab w:val="left" w:pos="720"/>
        </w:tabs>
        <w:spacing w:before="0" w:after="240"/>
        <w:rPr>
          <w:noProof/>
        </w:rPr>
      </w:pPr>
      <w:r>
        <w:rPr>
          <w:noProof/>
        </w:rPr>
        <w:t xml:space="preserve">U </w:t>
      </w:r>
      <w:r>
        <w:rPr>
          <w:b/>
          <w:noProof/>
        </w:rPr>
        <w:t>članku 40.</w:t>
      </w:r>
      <w:r>
        <w:rPr>
          <w:noProof/>
        </w:rPr>
        <w:t xml:space="preserve"> navodi se da se Uredba (EZ) br. 1211/2009 stavlja izvan snage i da se upućivanja na tu uredbu i Ured BEREC-a smatraju upućivanjima na ovu Uredbu </w:t>
      </w:r>
      <w:r>
        <w:rPr>
          <w:noProof/>
        </w:rPr>
        <w:t>i BEREC.</w:t>
      </w:r>
    </w:p>
    <w:p w:rsidR="006C0808" w:rsidRDefault="00E3601E">
      <w:pPr>
        <w:pBdr>
          <w:top w:val="nil"/>
          <w:left w:val="nil"/>
          <w:bottom w:val="nil"/>
          <w:right w:val="nil"/>
          <w:between w:val="nil"/>
          <w:bar w:val="nil"/>
        </w:pBdr>
        <w:spacing w:before="0" w:after="240"/>
        <w:rPr>
          <w:rFonts w:eastAsia="Arial Unicode MS"/>
          <w:noProof/>
        </w:rPr>
      </w:pPr>
      <w:r>
        <w:rPr>
          <w:b/>
          <w:noProof/>
        </w:rPr>
        <w:t>Članak 41.</w:t>
      </w:r>
      <w:r>
        <w:rPr>
          <w:noProof/>
        </w:rPr>
        <w:t xml:space="preserve"> sadržava standardnu klauzulu o stupanju na snagu Uredbe i njime se predviđa odgođena primjena nekih njezinih odredbi.</w:t>
      </w:r>
    </w:p>
    <w:p w:rsidR="006C0808" w:rsidRDefault="006C0808">
      <w:pPr>
        <w:rPr>
          <w:noProof/>
        </w:rPr>
      </w:pPr>
    </w:p>
    <w:p w:rsidR="006C0808" w:rsidRDefault="006C0808">
      <w:pPr>
        <w:rPr>
          <w:noProof/>
        </w:rPr>
        <w:sectPr w:rsidR="006C0808" w:rsidSect="00E3601E">
          <w:footerReference w:type="default" r:id="rId20"/>
          <w:footerReference w:type="first" r:id="rId21"/>
          <w:pgSz w:w="11907" w:h="16839"/>
          <w:pgMar w:top="1134" w:right="1417" w:bottom="1134" w:left="1417" w:header="709" w:footer="709" w:gutter="0"/>
          <w:cols w:space="708"/>
          <w:docGrid w:linePitch="360"/>
        </w:sectPr>
      </w:pPr>
    </w:p>
    <w:p w:rsidR="006C0808" w:rsidRDefault="00E3601E" w:rsidP="00E3601E">
      <w:pPr>
        <w:pStyle w:val="Rfrenceinterinstitutionnelle"/>
        <w:rPr>
          <w:noProof/>
        </w:rPr>
      </w:pPr>
      <w:r w:rsidRPr="00E3601E">
        <w:t>2016/0286 (COD)</w:t>
      </w:r>
    </w:p>
    <w:p w:rsidR="006C0808" w:rsidRDefault="00E3601E" w:rsidP="00E3601E">
      <w:pPr>
        <w:pStyle w:val="Statut"/>
        <w:rPr>
          <w:noProof/>
        </w:rPr>
      </w:pPr>
      <w:r w:rsidRPr="00E3601E">
        <w:t>Prijedlog</w:t>
      </w:r>
    </w:p>
    <w:p w:rsidR="006C0808" w:rsidRDefault="00E3601E" w:rsidP="00E3601E">
      <w:pPr>
        <w:pStyle w:val="Typedudocument"/>
        <w:rPr>
          <w:noProof/>
        </w:rPr>
      </w:pPr>
      <w:r w:rsidRPr="00E3601E">
        <w:t>UREDBE EUROPSKOG PARLAMENTA I VIJEĆA</w:t>
      </w:r>
    </w:p>
    <w:p w:rsidR="006C0808" w:rsidRDefault="00E3601E" w:rsidP="00E3601E">
      <w:pPr>
        <w:pStyle w:val="Titreobjet"/>
        <w:rPr>
          <w:noProof/>
        </w:rPr>
      </w:pPr>
      <w:r w:rsidRPr="00E3601E">
        <w:t>o osnivanju Tijela europskih regulatora za elektroničke komunikacije</w:t>
      </w:r>
    </w:p>
    <w:p w:rsidR="006C0808" w:rsidRDefault="00E3601E" w:rsidP="00E3601E">
      <w:pPr>
        <w:pStyle w:val="IntrtEEE"/>
        <w:rPr>
          <w:noProof/>
        </w:rPr>
      </w:pPr>
      <w:r w:rsidRPr="00E3601E">
        <w:t>(Tekst značajan za EGP)</w:t>
      </w:r>
    </w:p>
    <w:p w:rsidR="006C0808" w:rsidRDefault="00E3601E">
      <w:pPr>
        <w:pStyle w:val="Institutionquiagit"/>
        <w:rPr>
          <w:noProof/>
        </w:rPr>
      </w:pPr>
      <w:r>
        <w:rPr>
          <w:noProof/>
        </w:rPr>
        <w:t>EUROPSKI PARLAMENT I VIJEĆE EUROPSKE UNIJE,</w:t>
      </w:r>
    </w:p>
    <w:p w:rsidR="006C0808" w:rsidRDefault="00E3601E">
      <w:pPr>
        <w:rPr>
          <w:noProof/>
        </w:rPr>
      </w:pPr>
      <w:r>
        <w:rPr>
          <w:noProof/>
        </w:rPr>
        <w:t>uzimajući u obzir Ugovor o funkcioniranju Europske unije, a posebno nje</w:t>
      </w:r>
      <w:r>
        <w:rPr>
          <w:noProof/>
        </w:rPr>
        <w:t>gov članak 114.,</w:t>
      </w:r>
    </w:p>
    <w:p w:rsidR="006C0808" w:rsidRDefault="00E3601E">
      <w:pPr>
        <w:rPr>
          <w:noProof/>
        </w:rPr>
      </w:pPr>
      <w:r>
        <w:rPr>
          <w:noProof/>
        </w:rPr>
        <w:t>uzimajući u obzir prijedlog Europske komisije,</w:t>
      </w:r>
    </w:p>
    <w:p w:rsidR="006C0808" w:rsidRDefault="00E3601E">
      <w:pPr>
        <w:rPr>
          <w:noProof/>
        </w:rPr>
      </w:pPr>
      <w:r>
        <w:rPr>
          <w:noProof/>
        </w:rPr>
        <w:t>nakon prosljeđivanja nacrta zakonodavnog akta nacionalnim parlamentima,</w:t>
      </w:r>
    </w:p>
    <w:p w:rsidR="006C0808" w:rsidRDefault="00E3601E">
      <w:pPr>
        <w:rPr>
          <w:noProof/>
        </w:rPr>
      </w:pPr>
      <w:r>
        <w:rPr>
          <w:noProof/>
        </w:rPr>
        <w:t>uzimajući u obzir mišljenje Europskog gospodarskog i socijalnog odbora</w:t>
      </w:r>
      <w:r>
        <w:rPr>
          <w:rStyle w:val="FootnoteReference"/>
          <w:noProof/>
        </w:rPr>
        <w:footnoteReference w:id="19"/>
      </w:r>
      <w:r>
        <w:rPr>
          <w:noProof/>
        </w:rPr>
        <w:t>,</w:t>
      </w:r>
    </w:p>
    <w:p w:rsidR="006C0808" w:rsidRDefault="00E3601E">
      <w:pPr>
        <w:rPr>
          <w:noProof/>
        </w:rPr>
      </w:pPr>
      <w:r>
        <w:rPr>
          <w:noProof/>
        </w:rPr>
        <w:t>nakon savjetovanja s Odborom regija</w:t>
      </w:r>
      <w:r>
        <w:rPr>
          <w:rStyle w:val="FootnoteReference"/>
          <w:noProof/>
        </w:rPr>
        <w:footnoteReference w:id="20"/>
      </w:r>
      <w:r>
        <w:rPr>
          <w:noProof/>
        </w:rPr>
        <w:t>,</w:t>
      </w:r>
    </w:p>
    <w:p w:rsidR="006C0808" w:rsidRDefault="00E3601E">
      <w:pPr>
        <w:rPr>
          <w:noProof/>
        </w:rPr>
      </w:pPr>
      <w:r>
        <w:rPr>
          <w:noProof/>
        </w:rPr>
        <w:t>djelujući</w:t>
      </w:r>
      <w:r>
        <w:rPr>
          <w:noProof/>
        </w:rPr>
        <w:t xml:space="preserve"> u skladu s redovnim zakonodavnim postupkom,</w:t>
      </w:r>
    </w:p>
    <w:p w:rsidR="006C0808" w:rsidRDefault="00E3601E">
      <w:pPr>
        <w:rPr>
          <w:noProof/>
        </w:rPr>
      </w:pPr>
      <w:r>
        <w:rPr>
          <w:noProof/>
        </w:rPr>
        <w:t>budući da:</w:t>
      </w:r>
    </w:p>
    <w:p w:rsidR="006C0808" w:rsidRDefault="00E3601E">
      <w:pPr>
        <w:pStyle w:val="ManualConsidrant"/>
        <w:rPr>
          <w:noProof/>
        </w:rPr>
      </w:pPr>
      <w:r>
        <w:rPr>
          <w:noProof/>
        </w:rPr>
        <w:t>(1)</w:t>
      </w:r>
      <w:r>
        <w:rPr>
          <w:noProof/>
        </w:rPr>
        <w:tab/>
        <w:t>Cilj je Direktive [</w:t>
      </w:r>
      <w:r>
        <w:rPr>
          <w:noProof/>
          <w:highlight w:val="yellow"/>
        </w:rPr>
        <w:t>...</w:t>
      </w:r>
      <w:r>
        <w:rPr>
          <w:noProof/>
        </w:rPr>
        <w:t>] Europskog parlamenta i Vijeća</w:t>
      </w:r>
      <w:hyperlink r:id="rId22" w:anchor="ntr8-L_2009337EN.01000101-E0008">
        <w:r>
          <w:rPr>
            <w:rStyle w:val="FootnoteReference"/>
            <w:noProof/>
          </w:rPr>
          <w:footnoteReference w:id="21"/>
        </w:r>
      </w:hyperlink>
      <w:r>
        <w:rPr>
          <w:noProof/>
        </w:rPr>
        <w:t xml:space="preserve"> („Direktiva”), ko</w:t>
      </w:r>
      <w:r>
        <w:rPr>
          <w:noProof/>
        </w:rPr>
        <w:t>jom se utvrđuju brojne zadaće Tijela europskih regulatora za elektroničke komunikacije („BEREC”), i Direktive 2002/58/EZ Europskog parlamenta i Vijeća</w:t>
      </w:r>
      <w:hyperlink r:id="rId23" w:anchor="ntr8-L_2009337EN.01000101-E0008">
        <w:r>
          <w:rPr>
            <w:rStyle w:val="FootnoteReference"/>
            <w:noProof/>
          </w:rPr>
          <w:footnoteReference w:id="22"/>
        </w:r>
      </w:hyperlink>
      <w:r>
        <w:rPr>
          <w:noProof/>
        </w:rPr>
        <w:t xml:space="preserve"> stvoriti unutarnje tržište za elektroničke komunikacije u Uniji, a pritom osigurati visoku razinu ulaganja, inovacija i zaštite potrošača na temelju poboljšanog tržišnog natjecanja.</w:t>
      </w:r>
    </w:p>
    <w:p w:rsidR="006C0808" w:rsidRDefault="00E3601E">
      <w:pPr>
        <w:pStyle w:val="ManualConsidrant"/>
        <w:rPr>
          <w:noProof/>
        </w:rPr>
      </w:pPr>
      <w:r>
        <w:rPr>
          <w:noProof/>
        </w:rPr>
        <w:t>(2)</w:t>
      </w:r>
      <w:r>
        <w:rPr>
          <w:noProof/>
        </w:rPr>
        <w:tab/>
        <w:t xml:space="preserve">Uredbom (EZ) br. 531/2012 Europskog parlamenta i </w:t>
      </w:r>
      <w:r>
        <w:rPr>
          <w:noProof/>
        </w:rPr>
        <w:t>Vijeća</w:t>
      </w:r>
      <w:r>
        <w:rPr>
          <w:rStyle w:val="FootnoteReference"/>
          <w:noProof/>
        </w:rPr>
        <w:footnoteReference w:id="23"/>
      </w:r>
      <w:r>
        <w:rPr>
          <w:noProof/>
        </w:rPr>
        <w:t xml:space="preserve"> u pogledu roaminga unutar Unije dopunjena su i podupiru se pravila predviđena regulatornim okvirom za elektroničke komunikacije te se utvrđuju određene zadaće BEREC-a.</w:t>
      </w:r>
    </w:p>
    <w:p w:rsidR="006C0808" w:rsidRDefault="00E3601E">
      <w:pPr>
        <w:pStyle w:val="ManualConsidrant"/>
        <w:rPr>
          <w:noProof/>
        </w:rPr>
      </w:pPr>
      <w:r>
        <w:rPr>
          <w:noProof/>
        </w:rPr>
        <w:t>(3)</w:t>
      </w:r>
      <w:r>
        <w:rPr>
          <w:noProof/>
        </w:rPr>
        <w:tab/>
        <w:t>Uredbom (EU) br. 2015/2120 Europskog parlamenta i Vijeća</w:t>
      </w:r>
      <w:r>
        <w:rPr>
          <w:rStyle w:val="FootnoteReference"/>
          <w:noProof/>
        </w:rPr>
        <w:footnoteReference w:id="24"/>
      </w:r>
      <w:r>
        <w:rPr>
          <w:noProof/>
        </w:rPr>
        <w:t xml:space="preserve"> utvrđena su zajedn</w:t>
      </w:r>
      <w:r>
        <w:rPr>
          <w:noProof/>
        </w:rPr>
        <w:t xml:space="preserve">ička pravila za zaštitu jednakog i nediskriminirajućeg postupanja s prometom u pružanju usluga pristupa internetu i povezanih prava krajnjih korisnika te novi mehanizam za određivanje maloprodajnih cijena za regulirane usluge roaminga na razini Unije. Tom </w:t>
      </w:r>
      <w:r>
        <w:rPr>
          <w:noProof/>
        </w:rPr>
        <w:t>su uredbom utvrđene dodatne zadaće BEREC-a, osobito izdavanje smjernica za ispunjavanje obveza nacionalnih regulatornih tijela u odnosu na pristup otvorenom internetu te za izvješćivanje i savjetovanje o nacrtu provedbenih akata koje donosi Komisija u vezi</w:t>
      </w:r>
      <w:r>
        <w:rPr>
          <w:noProof/>
        </w:rPr>
        <w:t xml:space="preserve"> s roamingom na razini Unije.</w:t>
      </w:r>
    </w:p>
    <w:p w:rsidR="006C0808" w:rsidRDefault="00E3601E">
      <w:pPr>
        <w:pStyle w:val="ManualConsidrant"/>
        <w:rPr>
          <w:noProof/>
        </w:rPr>
      </w:pPr>
      <w:r>
        <w:rPr>
          <w:noProof/>
        </w:rPr>
        <w:t>(4)</w:t>
      </w:r>
      <w:r>
        <w:rPr>
          <w:noProof/>
        </w:rPr>
        <w:tab/>
        <w:t>BEREC i Ured („Ured BEREC-a”) osnovani su Uredbom (EZ) br. 1211/2009 Europskog parlamenta i Vijeća</w:t>
      </w:r>
      <w:r>
        <w:rPr>
          <w:rStyle w:val="FootnoteReference"/>
          <w:noProof/>
        </w:rPr>
        <w:footnoteReference w:id="25"/>
      </w:r>
      <w:r>
        <w:rPr>
          <w:noProof/>
        </w:rPr>
        <w:t>. BEREC-om je zamijenjena Europska skupina regulatora („ERG”)</w:t>
      </w:r>
      <w:r>
        <w:rPr>
          <w:rStyle w:val="FootnoteReference"/>
          <w:noProof/>
        </w:rPr>
        <w:footnoteReference w:id="26"/>
      </w:r>
      <w:r>
        <w:rPr>
          <w:noProof/>
        </w:rPr>
        <w:t>, a svrha mu je pridonositi razvoju i boljem djelovanju unuta</w:t>
      </w:r>
      <w:r>
        <w:rPr>
          <w:noProof/>
        </w:rPr>
        <w:t>rnjeg tržišta elektroničkih komunikacijskih mreža i usluga radi osiguranja dosljedne provedbe regulatornog okvira za elektroničke komunikacije. Ured BEREC-a osnovan je kao tijelo Zajednice s pravnom osobnošću za provedbu zadaća iz Uredbe (EZ) br. 1211/2009</w:t>
      </w:r>
      <w:r>
        <w:rPr>
          <w:noProof/>
        </w:rPr>
        <w:t>, osobito pružanje usluga stručne i administrativne potpore BEREC-u.</w:t>
      </w:r>
    </w:p>
    <w:p w:rsidR="006C0808" w:rsidRDefault="00E3601E">
      <w:pPr>
        <w:pStyle w:val="ManualConsidrant"/>
        <w:rPr>
          <w:noProof/>
        </w:rPr>
      </w:pPr>
      <w:r>
        <w:rPr>
          <w:noProof/>
        </w:rPr>
        <w:t>(5)</w:t>
      </w:r>
      <w:r>
        <w:rPr>
          <w:noProof/>
        </w:rPr>
        <w:tab/>
        <w:t>U svojoj Komunikaciji od 6. svibnja 2015. „Strategija jedinstvenog digitalnog tržišta za Europu”</w:t>
      </w:r>
      <w:r>
        <w:rPr>
          <w:rStyle w:val="FootnoteReference"/>
          <w:noProof/>
        </w:rPr>
        <w:footnoteReference w:id="27"/>
      </w:r>
      <w:r>
        <w:rPr>
          <w:noProof/>
        </w:rPr>
        <w:t xml:space="preserve"> Komisija za 2016. predviđa predstavljanje prijedloga za ambicioznu reformu regulatorn</w:t>
      </w:r>
      <w:r>
        <w:rPr>
          <w:noProof/>
        </w:rPr>
        <w:t>og okvira u području elektroničkih komunikacija, koji će biti usmjereni, među ostalim, na učinkovitiji regulatorni institucionalni okvir kako bi se osigurala prikladnost pravila u području elektroničkih komunikacija, čime bi se pridonijelo stvaranju odgova</w:t>
      </w:r>
      <w:r>
        <w:rPr>
          <w:noProof/>
        </w:rPr>
        <w:t>rajućih uvjeta za jedinstveno digitalno tržište. To uključuje uvođenje mreža povezivosti vrlo velikoga kapaciteta, veću razinu koordinacije upravljanja radiofrekvencijskim spektrom za bežične mreže i osiguravanje ravnopravnih uvjeta za napredne digitalne m</w:t>
      </w:r>
      <w:r>
        <w:rPr>
          <w:noProof/>
        </w:rPr>
        <w:t>reže i inovativne usluge. U toj se komunikaciji navodi da je zbog promjena na tržištu i u tehnološkom okruženju potrebno jačanje institucionalnog okvira na temelju jače uloge BEREC-a.</w:t>
      </w:r>
    </w:p>
    <w:p w:rsidR="006C0808" w:rsidRDefault="00E3601E">
      <w:pPr>
        <w:pStyle w:val="ManualConsidrant"/>
        <w:rPr>
          <w:noProof/>
        </w:rPr>
      </w:pPr>
      <w:r>
        <w:rPr>
          <w:noProof/>
        </w:rPr>
        <w:t>(6)</w:t>
      </w:r>
      <w:r>
        <w:rPr>
          <w:noProof/>
        </w:rPr>
        <w:tab/>
        <w:t xml:space="preserve">U svojoj rezoluciji od 19. siječnja 2016. Europski parlament pozvao </w:t>
      </w:r>
      <w:r>
        <w:rPr>
          <w:noProof/>
        </w:rPr>
        <w:t>je Komisiju da osigura uspostavu učinkovitijeg institucionalnog okvira radi dodatne integracije jedinstvenog digitalnog tržišta. Komisija to može postići jačanjem uloge, kapaciteta i ovlasti za donošenje odluka BEREC-a kako bi mu omogućila poticanje doslje</w:t>
      </w:r>
      <w:r>
        <w:rPr>
          <w:noProof/>
        </w:rPr>
        <w:t xml:space="preserve">dne provedbe regulatornog okvira za elektroničke komunikacije, učinkovit nadzor nad razvojem jedinstvenog tržišta i rješavanje prekograničnih sporova. U tom pogledu, Europski parlament istaknuo je potrebu za poboljšanjem financijskih i ljudskih resursa te </w:t>
      </w:r>
      <w:r>
        <w:rPr>
          <w:noProof/>
        </w:rPr>
        <w:t>dodatnim unaprjeđenjem upravljačke strukture BEREC-a.</w:t>
      </w:r>
    </w:p>
    <w:p w:rsidR="006C0808" w:rsidRDefault="00E3601E">
      <w:pPr>
        <w:pStyle w:val="ManualConsidrant"/>
        <w:rPr>
          <w:noProof/>
        </w:rPr>
      </w:pPr>
      <w:r>
        <w:rPr>
          <w:noProof/>
        </w:rPr>
        <w:t>(7)</w:t>
      </w:r>
      <w:r>
        <w:rPr>
          <w:noProof/>
        </w:rPr>
        <w:tab/>
        <w:t>BEREC i Ured BEREC-a pozitivno su pridonijeli dosljednoj provedbi regulatornog okvira za elektroničke komunikacije. Međutim, i dalje postoje znatne razlike među državama članicama u pogledu regulato</w:t>
      </w:r>
      <w:r>
        <w:rPr>
          <w:noProof/>
        </w:rPr>
        <w:t>rne prakse. Osim toga, upravljačka struktura BEREC-a i Ureda BEREC-a zahtjevna je i stvara nepotrebno administrativno opterećenje. Kako bi se osigurala veća učinkovitost i sinergije te dodatno pridonijelo razvoju unutarnjeg tržišta elektroničkih komunikaci</w:t>
      </w:r>
      <w:r>
        <w:rPr>
          <w:noProof/>
        </w:rPr>
        <w:t>ja diljem Unije, promicanju pristupa podatkovnoj povezivosti vrlo velikoga kapaciteta te njezinoj upotrebi, promicanju tržišnog natjecanja u području pružanja elektroničkih komunikacijskih mreža, usluga i pripadajuće infrastrukture te promicanju interesa g</w:t>
      </w:r>
      <w:r>
        <w:rPr>
          <w:noProof/>
        </w:rPr>
        <w:t>rađana Unije, svrha ove Uredbe jest jačanje uloge BEREC-a i unaprjeđenje njegove upravljačke strukture osnivanjem BEREC-a kao decentralizirane agencije Unije. To je u skladu i s potrebom da se u obzir uzme znatno unaprijeđena uloga BEREC-a na temelju Uredb</w:t>
      </w:r>
      <w:r>
        <w:rPr>
          <w:noProof/>
        </w:rPr>
        <w:t>e (EZ) br. 523/2012 kojom su utvrđene zadaće BEREC-a u pogledu roaminga unutar Unije, Uredbe (EZ) br. 2015/2120 kojom su utvrđene zadaće BEREC-a u pogledu pristupa otvorenom internetu i roaminga unutar Unije i Direktive kojom je utvrđen znatan broj novih z</w:t>
      </w:r>
      <w:r>
        <w:rPr>
          <w:noProof/>
        </w:rPr>
        <w:t>adaća BEREC-a, kao što su davanje mišljenja i smjernica o nekoliko tema, izvješćivanje o tehničkim pitanjima, vođenje registara i davanje mišljenja o postupcima unutarnjeg tržišta za izradu nacrta nacionalnih mjera u pogledu regulacije tržišta i dodjele pr</w:t>
      </w:r>
      <w:r>
        <w:rPr>
          <w:noProof/>
        </w:rPr>
        <w:t xml:space="preserve">ava uporabe radiofrekvencijskog spektra. </w:t>
      </w:r>
    </w:p>
    <w:p w:rsidR="006C0808" w:rsidRDefault="00E3601E">
      <w:pPr>
        <w:pStyle w:val="ManualConsidrant"/>
        <w:rPr>
          <w:noProof/>
        </w:rPr>
      </w:pPr>
      <w:r>
        <w:rPr>
          <w:noProof/>
        </w:rPr>
        <w:t>(8)</w:t>
      </w:r>
      <w:r>
        <w:rPr>
          <w:noProof/>
        </w:rPr>
        <w:tab/>
        <w:t>Dosljedna provedba regulatornog okvira za elektroničke komunikacije u svim državama članicama presudna je za uspješan razvoj unutarnjeg tržišta elektroničkih komunikacija diljem Unije, promicanje pristupa podat</w:t>
      </w:r>
      <w:r>
        <w:rPr>
          <w:noProof/>
        </w:rPr>
        <w:t>kovnoj povezivosti vrlo velikoga kapaciteta te njezinu uporabu, promicanje tržišnog natjecanja u području pružanja elektroničkih komunikacijskih mreža, usluga i pripadajuće infrastrukture te promicanje interesa građana Unije. U pogledu tržišnog i tehnološk</w:t>
      </w:r>
      <w:r>
        <w:rPr>
          <w:noProof/>
        </w:rPr>
        <w:t xml:space="preserve">og razvoja, koji često uključuje povećanu prekograničnu dimenziju, te dosadašnjeg iskustva u osiguravanju dosljedne provedbe u području elektroničkih komunikacija, potrebno se nadovezati na rad BEREC-a i Ureda BEREC-a te ih dodatnim razvojem preobraziti u </w:t>
      </w:r>
      <w:r>
        <w:rPr>
          <w:noProof/>
        </w:rPr>
        <w:t>punopravnu agenciju.</w:t>
      </w:r>
    </w:p>
    <w:p w:rsidR="006C0808" w:rsidRDefault="00E3601E">
      <w:pPr>
        <w:pStyle w:val="ManualConsidrant"/>
        <w:rPr>
          <w:noProof/>
        </w:rPr>
      </w:pPr>
      <w:r>
        <w:rPr>
          <w:noProof/>
        </w:rPr>
        <w:t>(9)</w:t>
      </w:r>
      <w:r>
        <w:rPr>
          <w:noProof/>
        </w:rPr>
        <w:tab/>
        <w:t>Upravljanje agencijom i njezin rad trebali bi biti u skladu s načelima iz Zajedničke izjave Europskog parlamenta, Vijeća i Komisije od 19. srpnja 2012. o decentraliziranim agencijama („zajednički pristup”)</w:t>
      </w:r>
      <w:r>
        <w:rPr>
          <w:rStyle w:val="FootnoteReference"/>
          <w:noProof/>
        </w:rPr>
        <w:footnoteReference w:id="28"/>
      </w:r>
      <w:r>
        <w:rPr>
          <w:noProof/>
        </w:rPr>
        <w:t xml:space="preserve">. Budući da je BEREC već </w:t>
      </w:r>
      <w:r>
        <w:rPr>
          <w:noProof/>
        </w:rPr>
        <w:t xml:space="preserve">dobro poznato ime te da bi promjena imena podrazumijevala određene troškove, nova bi agencija trebala zadržati naziv BEREC. </w:t>
      </w:r>
    </w:p>
    <w:p w:rsidR="006C0808" w:rsidRDefault="00E3601E">
      <w:pPr>
        <w:pStyle w:val="ManualConsidrant"/>
        <w:rPr>
          <w:noProof/>
        </w:rPr>
      </w:pPr>
      <w:r>
        <w:rPr>
          <w:noProof/>
        </w:rPr>
        <w:t>(10)</w:t>
      </w:r>
      <w:r>
        <w:rPr>
          <w:noProof/>
        </w:rPr>
        <w:tab/>
        <w:t>Budući da je BEREC stručno tijelo u području elektroničkih komunikacija koje čine predstavnici nacionalnih regulatornih tijela</w:t>
      </w:r>
      <w:r>
        <w:rPr>
          <w:noProof/>
        </w:rPr>
        <w:t xml:space="preserve"> i Komisije, najprimjerenije je njemu povjeriti zadaće kao što su odlučivanje o pitanjima s prekograničnom dimenzijom, doprinos učinkovitim postupcima unutarnjeg tržišta za izradu nacrta nacionalnih mjera (u pogledu regulacije tržišta i dodjele prava upora</w:t>
      </w:r>
      <w:r>
        <w:rPr>
          <w:noProof/>
        </w:rPr>
        <w:t>be radiofrekvencijskog spektra), pružanje potrebnih smjernica nacionalnim regulatornim tijelima kako bi se osigurali zajednički kriteriji i dosljedan regulatorni pristup te vođenje određenih registara na razini Unije. Time se ne dovode u pitanje zadaće koj</w:t>
      </w:r>
      <w:r>
        <w:rPr>
          <w:noProof/>
        </w:rPr>
        <w:t>e su utvrđene za nacionalna regulatorna tijela, koja su najbliže upoznata s tržištima elektroničkih komunikacija i lokalnim uvjetima. Agenciji bi za provedbu utvrđenih zadaća bili potrebni odgovarajući financijski i ljudski resursi, a nastavila bi i s udru</w:t>
      </w:r>
      <w:r>
        <w:rPr>
          <w:noProof/>
        </w:rPr>
        <w:t>živanjem stručnog znanja nacionalnih regulatornih tijela.</w:t>
      </w:r>
    </w:p>
    <w:p w:rsidR="006C0808" w:rsidRDefault="00E3601E">
      <w:pPr>
        <w:pStyle w:val="ManualConsidrant"/>
        <w:rPr>
          <w:noProof/>
        </w:rPr>
      </w:pPr>
      <w:r>
        <w:rPr>
          <w:noProof/>
        </w:rPr>
        <w:t>(11)</w:t>
      </w:r>
      <w:r>
        <w:rPr>
          <w:noProof/>
        </w:rPr>
        <w:tab/>
        <w:t>Trebalo bi odobriti da BEREC po potrebi surađuje s ostalim tijelima, agencijama, uredima i savjetodavnim skupinama Unije, ne dovodeći u pitanje njihovu ulogu, osobito sa Skupinom za politiku ra</w:t>
      </w:r>
      <w:r>
        <w:rPr>
          <w:noProof/>
        </w:rPr>
        <w:t>diofrekvencijskog spektra</w:t>
      </w:r>
      <w:r>
        <w:rPr>
          <w:rStyle w:val="FootnoteReference"/>
          <w:noProof/>
        </w:rPr>
        <w:footnoteReference w:id="29"/>
      </w:r>
      <w:r>
        <w:rPr>
          <w:noProof/>
        </w:rPr>
        <w:t>, Europskim odborom za zaštitu podataka</w:t>
      </w:r>
      <w:r>
        <w:rPr>
          <w:rStyle w:val="FootnoteReference"/>
          <w:noProof/>
        </w:rPr>
        <w:footnoteReference w:id="30"/>
      </w:r>
      <w:r>
        <w:rPr>
          <w:noProof/>
        </w:rPr>
        <w:t>, Europskom skupinom regulatora za elektroničke komunikacijske mreže i usluge</w:t>
      </w:r>
      <w:r>
        <w:rPr>
          <w:rStyle w:val="FootnoteReference"/>
          <w:noProof/>
        </w:rPr>
        <w:footnoteReference w:id="31"/>
      </w:r>
      <w:r>
        <w:rPr>
          <w:noProof/>
        </w:rPr>
        <w:t xml:space="preserve"> i Agencijom Europske unije za mrežnu i informacijsku sigurnost</w:t>
      </w:r>
      <w:r>
        <w:rPr>
          <w:rStyle w:val="FootnoteReference"/>
          <w:noProof/>
        </w:rPr>
        <w:footnoteReference w:id="32"/>
      </w:r>
      <w:r>
        <w:rPr>
          <w:noProof/>
        </w:rPr>
        <w:t xml:space="preserve"> te s postojećim zajednicama (kao što su Odbor z</w:t>
      </w:r>
      <w:r>
        <w:rPr>
          <w:noProof/>
        </w:rPr>
        <w:t>a komunikacije i Odbor za radiofrekvencijski spektar). Trebalo bi odobriti i njegovu suradnju s nadležnim tijelima trećih zemalja, osobito s regulatornim tijelima u području elektroničkih komunikacija i/ili skupinama tih tijela, te s međunarodnim organizac</w:t>
      </w:r>
      <w:r>
        <w:rPr>
          <w:noProof/>
        </w:rPr>
        <w:t>ijama ako je ta suradnja potrebna za obavljanje njegovih zadaća.</w:t>
      </w:r>
    </w:p>
    <w:p w:rsidR="006C0808" w:rsidRDefault="00E3601E">
      <w:pPr>
        <w:pStyle w:val="ManualConsidrant"/>
        <w:rPr>
          <w:noProof/>
        </w:rPr>
      </w:pPr>
      <w:r>
        <w:rPr>
          <w:noProof/>
        </w:rPr>
        <w:t>(12)</w:t>
      </w:r>
      <w:r>
        <w:rPr>
          <w:noProof/>
        </w:rPr>
        <w:tab/>
        <w:t>Zahvaljujući jedinstvenom odboru koji bi davao opće smjernice za djelatnosti BEREC-a te odlučivao o regulatornim, operativnim, administrativnim i proračunskim pitanjima, trebala bi se po</w:t>
      </w:r>
      <w:r>
        <w:rPr>
          <w:noProof/>
        </w:rPr>
        <w:t xml:space="preserve">boljšati učinkovitost, usklađenost i uspješnost agencije u usporedbi s prijašnjom situacijom kada su njome paralelno upravljali odbor regulatora i upravljački odbor. U tu bi svrhu upravljački odbor trebao imati odgovarajuće zadaće i trebao bi se sastojati </w:t>
      </w:r>
      <w:r>
        <w:rPr>
          <w:noProof/>
        </w:rPr>
        <w:t>od dvaju predstavnika Komisije i voditelja ili člana kolegijalnog tijela svakog nacionalnog regulatornog tijela, koji mogu biti razriješeni dužnosti samo uz određene uvjete.</w:t>
      </w:r>
    </w:p>
    <w:p w:rsidR="006C0808" w:rsidRDefault="00E3601E">
      <w:pPr>
        <w:pStyle w:val="ManualConsidrant"/>
        <w:rPr>
          <w:noProof/>
        </w:rPr>
      </w:pPr>
      <w:r>
        <w:rPr>
          <w:noProof/>
        </w:rPr>
        <w:t>(13)</w:t>
      </w:r>
      <w:r>
        <w:rPr>
          <w:noProof/>
        </w:rPr>
        <w:tab/>
        <w:t>Prije je ovlasti tijela za imenovanje imao zamjenik predsjednika upravnog odb</w:t>
      </w:r>
      <w:r>
        <w:rPr>
          <w:noProof/>
        </w:rPr>
        <w:t>ora Ureda BEREC-a. Upravni odbor nove agencije trebao bi delegirati relevantne ovlasti tijela za imenovanje izvršnom direktoru, koji bi bio ovlašten dalje delegirati te ovlasti. Time bi se pridonijelo učinkovitom upravljanju osobljem BEREC-a i osiguravanju</w:t>
      </w:r>
      <w:r>
        <w:rPr>
          <w:noProof/>
        </w:rPr>
        <w:t xml:space="preserve"> da se upravni odbor te predsjednik odbora i njegov zamjenik mogu usredotočiti na svoje zadaće.</w:t>
      </w:r>
    </w:p>
    <w:p w:rsidR="006C0808" w:rsidRDefault="00E3601E">
      <w:pPr>
        <w:pStyle w:val="ManualConsidrant"/>
        <w:rPr>
          <w:noProof/>
        </w:rPr>
      </w:pPr>
      <w:r>
        <w:rPr>
          <w:noProof/>
        </w:rPr>
        <w:t>(14)</w:t>
      </w:r>
      <w:r>
        <w:rPr>
          <w:noProof/>
        </w:rPr>
        <w:tab/>
        <w:t xml:space="preserve">Prije je mandat predsjednika odbora regulatora i njegova zamjenika trajao godinu dana. Budući da su BEREC-u dodijeljene dodatne zadaće te da je za njegove </w:t>
      </w:r>
      <w:r>
        <w:rPr>
          <w:noProof/>
        </w:rPr>
        <w:t>djelatnosti potrebno izraditi godišnje i višegodišnje programe, ključno je da predsjednik i njegov zamjenik imaju stabilan i dugotrajan mandat.</w:t>
      </w:r>
    </w:p>
    <w:p w:rsidR="006C0808" w:rsidRDefault="00E3601E">
      <w:pPr>
        <w:pStyle w:val="ManualConsidrant"/>
        <w:rPr>
          <w:noProof/>
        </w:rPr>
      </w:pPr>
      <w:r>
        <w:rPr>
          <w:noProof/>
        </w:rPr>
        <w:t>(15)</w:t>
      </w:r>
      <w:r>
        <w:rPr>
          <w:noProof/>
        </w:rPr>
        <w:tab/>
        <w:t xml:space="preserve">Upravni odbor trebao bi održavati najmanje dva redovna sastanka godišnje. Na temelju prethodnog iskustva i </w:t>
      </w:r>
      <w:r>
        <w:rPr>
          <w:noProof/>
        </w:rPr>
        <w:t>s obzirom na unaprijeđenu ulogu BEREC-a možda će biti potrebno da upravni odbor održi i dodatne sastanke.</w:t>
      </w:r>
    </w:p>
    <w:p w:rsidR="006C0808" w:rsidRDefault="00E3601E">
      <w:pPr>
        <w:pStyle w:val="ManualConsidrant"/>
        <w:rPr>
          <w:noProof/>
        </w:rPr>
      </w:pPr>
      <w:r>
        <w:rPr>
          <w:noProof/>
        </w:rPr>
        <w:t>(16)</w:t>
      </w:r>
      <w:r>
        <w:rPr>
          <w:noProof/>
        </w:rPr>
        <w:tab/>
        <w:t>Uloga izvršnog direktora, koji bi bio pravni zastupnik BEREC-a, ključna je za pravilan rad nove agencije i izvršavanje zadaća koje su joj dodijel</w:t>
      </w:r>
      <w:r>
        <w:rPr>
          <w:noProof/>
        </w:rPr>
        <w:t>jene. Upravni odbor trebao bi imenovati izvršnog direktora s popisa koji je sastavila Komisija, na temelju otvorenog i transparentnog postupka odabira kako bi se osiguralo temeljito ocjenjivanje kandidata i visoka razina neovisnosti. Nadalje, prije je mand</w:t>
      </w:r>
      <w:r>
        <w:rPr>
          <w:noProof/>
        </w:rPr>
        <w:t>at upravitelja Ureda BEREC-a trajao tri godine. Potrebno je utvrditi dovoljno dugačak mandat kako bi se osigurala stabilnost i provedba dugoročne strategije agencije.</w:t>
      </w:r>
    </w:p>
    <w:p w:rsidR="006C0808" w:rsidRDefault="00E3601E">
      <w:pPr>
        <w:pStyle w:val="ManualConsidrant"/>
        <w:rPr>
          <w:noProof/>
        </w:rPr>
      </w:pPr>
      <w:r>
        <w:rPr>
          <w:noProof/>
        </w:rPr>
        <w:t>(17)</w:t>
      </w:r>
      <w:r>
        <w:rPr>
          <w:noProof/>
        </w:rPr>
        <w:tab/>
        <w:t>Iskustvo je pokazalo da se većina zadaća BEREC-a bolje provodi s pomoću radnih skupi</w:t>
      </w:r>
      <w:r>
        <w:rPr>
          <w:noProof/>
        </w:rPr>
        <w:t xml:space="preserve">na, stoga bi upravni odbor trebao imati ovlasti za osnivanje radnih skupina i imenovanje njihovih članova. Kako bi se osigurao uravnotežen pristup, radne bi skupine trebao koordinirati i voditi član osoblja BEREC-a. Potrebno je unaprijed pripremiti popise </w:t>
      </w:r>
      <w:r>
        <w:rPr>
          <w:noProof/>
        </w:rPr>
        <w:t>kvalificiranih stručnjaka kako bi se omogućilo brzo osnivanje radnih skupina, osobito onih koje su povezane s postupcima unutarnjeg tržišta za izradu nacrta nacionalnih mjera za regulaciju tržišta i dodjelu prava uporabe radiofrekvencijskog spektra zbog vr</w:t>
      </w:r>
      <w:r>
        <w:rPr>
          <w:noProof/>
        </w:rPr>
        <w:t>emenskog ograničenja tih postupaka.</w:t>
      </w:r>
    </w:p>
    <w:p w:rsidR="006C0808" w:rsidRDefault="00E3601E">
      <w:pPr>
        <w:pStyle w:val="ManualConsidrant"/>
        <w:rPr>
          <w:noProof/>
        </w:rPr>
      </w:pPr>
      <w:r>
        <w:rPr>
          <w:noProof/>
        </w:rPr>
        <w:t>(18)</w:t>
      </w:r>
      <w:r>
        <w:rPr>
          <w:noProof/>
        </w:rPr>
        <w:tab/>
        <w:t>Budući da je BEREC ovlašten za donošenje odluka s obvezujućim učinkom, potrebno je osigurati da bilo koja fizička ili pravna osoba koja je predmet odluke BEREC-a ili je povezana s njom ima pravo uložiti žalbu odboru</w:t>
      </w:r>
      <w:r>
        <w:rPr>
          <w:noProof/>
        </w:rPr>
        <w:t xml:space="preserve"> za žalbe, koji je dio agencije, no neovisan je o njezinoj administrativnoj i regulatornoj strukturi. Budući da je svrha odluka koje donosi odbor za žalbe da proizvodu pravni učinak za treće osobe, može se zatražiti preispitivanje njihove zakonitosti pred </w:t>
      </w:r>
      <w:r>
        <w:rPr>
          <w:noProof/>
        </w:rPr>
        <w:t>Općim sudom. Kako bi se osigurali jedinstveni uvjeti u pogledu poslovnika odbora za žalbe, Komisiji bi trebalo dodijeliti provedbene ovlasti. Te bi se ovlasti trebale izvršavati u skladu s Uredbom (EU) br. 182/2011 Europskog parlamenta i Vijeća</w:t>
      </w:r>
      <w:r>
        <w:rPr>
          <w:rStyle w:val="FootnoteReference"/>
          <w:noProof/>
        </w:rPr>
        <w:footnoteReference w:id="33"/>
      </w:r>
      <w:r>
        <w:rPr>
          <w:noProof/>
        </w:rPr>
        <w:t>.</w:t>
      </w:r>
    </w:p>
    <w:p w:rsidR="006C0808" w:rsidRDefault="00E3601E">
      <w:pPr>
        <w:pStyle w:val="ManualConsidrant"/>
        <w:rPr>
          <w:noProof/>
        </w:rPr>
      </w:pPr>
      <w:r>
        <w:rPr>
          <w:noProof/>
        </w:rPr>
        <w:t>(19)</w:t>
      </w:r>
      <w:r>
        <w:rPr>
          <w:noProof/>
        </w:rPr>
        <w:tab/>
        <w:t>Ured</w:t>
      </w:r>
      <w:r>
        <w:rPr>
          <w:noProof/>
        </w:rPr>
        <w:t>ba (EU) br. 1271/2013 Europskog parlamenta i Vijeća</w:t>
      </w:r>
      <w:r>
        <w:rPr>
          <w:rStyle w:val="FootnoteReference"/>
          <w:noProof/>
        </w:rPr>
        <w:footnoteReference w:id="34"/>
      </w:r>
      <w:r>
        <w:rPr>
          <w:noProof/>
        </w:rPr>
        <w:t xml:space="preserve"> trebala bi se primjenjivati i na BEREC.</w:t>
      </w:r>
    </w:p>
    <w:p w:rsidR="006C0808" w:rsidRDefault="00E3601E">
      <w:pPr>
        <w:pStyle w:val="ManualConsidrant"/>
        <w:rPr>
          <w:noProof/>
        </w:rPr>
      </w:pPr>
      <w:r>
        <w:rPr>
          <w:noProof/>
        </w:rPr>
        <w:t>(20)</w:t>
      </w:r>
      <w:r>
        <w:rPr>
          <w:noProof/>
        </w:rPr>
        <w:tab/>
        <w:t>Kako bi se zajamčila potpuna samostalnost BEREC-a, trebalo bi mu odobriti vlastiti proračun koji ponajprije potječe iz doprinosa Unije. Financiranje BEREC-a t</w:t>
      </w:r>
      <w:r>
        <w:rPr>
          <w:noProof/>
        </w:rPr>
        <w:t>rebalo bi biti podložno odobrenju proračunskog tijela kako je utvrđeno u točki 31. Međuinstitucionalnog sporazuma o proračunskoj disciplini, o suradnji u vezi s proračunskim pitanjima i o dobrom financijskom upravljanju</w:t>
      </w:r>
      <w:r>
        <w:rPr>
          <w:rStyle w:val="FootnoteReference"/>
          <w:noProof/>
        </w:rPr>
        <w:footnoteReference w:id="35"/>
      </w:r>
      <w:r>
        <w:rPr>
          <w:noProof/>
        </w:rPr>
        <w:t>.</w:t>
      </w:r>
    </w:p>
    <w:p w:rsidR="006C0808" w:rsidRDefault="00E3601E">
      <w:pPr>
        <w:pStyle w:val="ManualConsidrant"/>
        <w:rPr>
          <w:noProof/>
        </w:rPr>
      </w:pPr>
      <w:r>
        <w:rPr>
          <w:noProof/>
        </w:rPr>
        <w:t>(21)</w:t>
      </w:r>
      <w:r>
        <w:rPr>
          <w:noProof/>
        </w:rPr>
        <w:tab/>
        <w:t>BEREC bi trebao biti neovisan</w:t>
      </w:r>
      <w:r>
        <w:rPr>
          <w:noProof/>
        </w:rPr>
        <w:t xml:space="preserve"> u pogledu operativnih i tehničkih pitanja te bi trebao uživati pravnu, upravnu i financijsku samostalnost. Stoga je potrebno i primjereno da se BEREC uspostavi kao tijelo Unije s pravnom osobnošću, koje izvršava dodijeljene ovlasti. </w:t>
      </w:r>
    </w:p>
    <w:p w:rsidR="006C0808" w:rsidRDefault="00E3601E">
      <w:pPr>
        <w:pStyle w:val="ManualConsidrant"/>
        <w:rPr>
          <w:noProof/>
        </w:rPr>
      </w:pPr>
      <w:r>
        <w:rPr>
          <w:noProof/>
        </w:rPr>
        <w:t>(22)</w:t>
      </w:r>
      <w:r>
        <w:rPr>
          <w:noProof/>
        </w:rPr>
        <w:tab/>
        <w:t>Kao decentralizi</w:t>
      </w:r>
      <w:r>
        <w:rPr>
          <w:noProof/>
        </w:rPr>
        <w:t>rana agencija Unije BEREC bi trebao djelovati u okviru svojih ovlasti i postojećeg institucionalnog okvira. Ne bi trebalo smatrati da BEREC zastupa stajalište Unije pred javnosti ili da preuzima pravne obveze u ime Unije.</w:t>
      </w:r>
    </w:p>
    <w:p w:rsidR="006C0808" w:rsidRDefault="00E3601E">
      <w:pPr>
        <w:pStyle w:val="ManualConsidrant"/>
        <w:rPr>
          <w:noProof/>
        </w:rPr>
      </w:pPr>
      <w:r>
        <w:rPr>
          <w:noProof/>
        </w:rPr>
        <w:t>(23)</w:t>
      </w:r>
      <w:r>
        <w:rPr>
          <w:noProof/>
        </w:rPr>
        <w:tab/>
        <w:t>Kako bi se nastavilo s doslje</w:t>
      </w:r>
      <w:r>
        <w:rPr>
          <w:noProof/>
        </w:rPr>
        <w:t>dnom provedbom odredaba regulatornog okvira za elektroničke komunikacije u okviru područja djelovanja BEREC-a, nova bi agencija trebala biti otvorena za sudjelovanje regulatornih tijela trećih zemalja nadležnih u području elektroničkih komunikacija koja su</w:t>
      </w:r>
      <w:r>
        <w:rPr>
          <w:noProof/>
        </w:rPr>
        <w:t xml:space="preserve"> u tu svrhu sklopila sporazume s Unijom, osobito tijela država EGP-a i EFTA-e te država kandidatkinja.</w:t>
      </w:r>
    </w:p>
    <w:p w:rsidR="006C0808" w:rsidRDefault="00E3601E">
      <w:pPr>
        <w:pStyle w:val="ManualConsidrant"/>
        <w:rPr>
          <w:noProof/>
        </w:rPr>
      </w:pPr>
      <w:r>
        <w:rPr>
          <w:noProof/>
        </w:rPr>
        <w:t>(24)</w:t>
      </w:r>
      <w:r>
        <w:rPr>
          <w:noProof/>
        </w:rPr>
        <w:tab/>
        <w:t>Potrebno je odobriti da BEREC obavlja komunikacijske aktivnosti u okviru svojih nadležnosti, koje ne bi smjele štetno utjecati na obavljanje njegovi</w:t>
      </w:r>
      <w:r>
        <w:rPr>
          <w:noProof/>
        </w:rPr>
        <w:t>h glavnih zadaća i koje bi se trebale provoditi u skladu s relevantnim komunikacijskim i promidžbenim planovima što ih donosi upravni odbor. Sadržaj i provedba komunikacijske strategije BEREC-a moraju biti jasni, relevantni i usklađeni sa strategijama i ak</w:t>
      </w:r>
      <w:r>
        <w:rPr>
          <w:noProof/>
        </w:rPr>
        <w:t>tivnostima Komisije i ostalih institucija kako bi se u obzir uzela opća slika Unije.</w:t>
      </w:r>
    </w:p>
    <w:p w:rsidR="006C0808" w:rsidRDefault="00E3601E">
      <w:pPr>
        <w:pStyle w:val="ManualConsidrant"/>
        <w:rPr>
          <w:noProof/>
        </w:rPr>
      </w:pPr>
      <w:r>
        <w:rPr>
          <w:noProof/>
        </w:rPr>
        <w:t>(25)</w:t>
      </w:r>
      <w:r>
        <w:rPr>
          <w:noProof/>
        </w:rPr>
        <w:tab/>
        <w:t>Kako bi mogao učinkovito obavljati svoje zadaće, BEREC bi trebao imati ovlasti da zatraži sve potrebne informacije od Komisije, nacionalnih regulatornih tijela i, kao</w:t>
      </w:r>
      <w:r>
        <w:rPr>
          <w:noProof/>
        </w:rPr>
        <w:t xml:space="preserve"> krajnju mjeru, ostalih tijela i poduzeća. Zahtjevi za dostavu informacija trebali bi biti proporcionalni i ne bi smjeli nepotrebno opteretiti primatelje zahtjeva. Nacionalna regulatorna tijela koja su najbliža tržištima elektroničkih komunikacija trebala </w:t>
      </w:r>
      <w:r>
        <w:rPr>
          <w:noProof/>
        </w:rPr>
        <w:t>bi surađivati s BEREC-om i pravodobno mu dostavljati točne informacije kako bi BEREC mogao izvršavati svoje zadaće. BEREC bi isto tako trebao razmjenjivati informacije s Komisijom i nacionalnim regulatornim tijelima na temelju načela pouzdane suradnje.</w:t>
      </w:r>
    </w:p>
    <w:p w:rsidR="006C0808" w:rsidRDefault="00E3601E">
      <w:pPr>
        <w:pStyle w:val="ManualConsidrant"/>
        <w:rPr>
          <w:noProof/>
        </w:rPr>
      </w:pPr>
      <w:r>
        <w:rPr>
          <w:noProof/>
        </w:rPr>
        <w:t>(26</w:t>
      </w:r>
      <w:r>
        <w:rPr>
          <w:noProof/>
        </w:rPr>
        <w:t>)</w:t>
      </w:r>
      <w:r>
        <w:rPr>
          <w:noProof/>
        </w:rPr>
        <w:tab/>
        <w:t>Budući da se ciljevi ove Uredbe, konkretno osiguravanje dosljedne provedbe regulatornog okvira za elektroničke komunikacije u okviru utvrđenog područja primjene, a osobito u pogledu prekograničnih pitanja i na temelju učinkovitih postupaka unutarnjeg trž</w:t>
      </w:r>
      <w:r>
        <w:rPr>
          <w:noProof/>
        </w:rPr>
        <w:t>išta za izradu nacrta nacionalnih mjera, ne mogu učinkovito ostvariti na razini država članica, odnosno zbog opsega i učinka djelovanja mogu se bolje ostvariti na razini Unije, Unija može donijeti mjere u skladu s načelom supsidijarnosti kao što je utvrđen</w:t>
      </w:r>
      <w:r>
        <w:rPr>
          <w:noProof/>
        </w:rPr>
        <w:t>o člankom 5. Ugovora. U skladu s načelom proporcionalnosti utvrđenim u tom članku ova Uredba ne prelazi ono što je potrebno za ostvarivanje tih ciljeva.</w:t>
      </w:r>
    </w:p>
    <w:p w:rsidR="006C0808" w:rsidRDefault="00E3601E">
      <w:pPr>
        <w:pStyle w:val="ManualConsidrant"/>
        <w:rPr>
          <w:noProof/>
        </w:rPr>
      </w:pPr>
      <w:r>
        <w:rPr>
          <w:noProof/>
        </w:rPr>
        <w:t>(27)</w:t>
      </w:r>
      <w:r>
        <w:rPr>
          <w:noProof/>
        </w:rPr>
        <w:tab/>
        <w:t>Cilj je ove Uredbe izmijeniti i proširiti odredbe Uredbe (EZ) br. 1211/2009 Europskog parlamenta i</w:t>
      </w:r>
      <w:r>
        <w:rPr>
          <w:noProof/>
        </w:rPr>
        <w:t xml:space="preserve"> Vijeća. Budući da je potrebno provesti opsežne izmjene, taj bi akt radi jasnoće stoga trebalo zamijeniti i staviti izvan snage. Upućivanja na uredbu stavljenu izvan snage trebalo bi smatrati upućivanjima na ovu Uredbu.</w:t>
      </w:r>
    </w:p>
    <w:p w:rsidR="006C0808" w:rsidRDefault="00E3601E">
      <w:pPr>
        <w:pStyle w:val="ManualConsidrant"/>
        <w:rPr>
          <w:noProof/>
        </w:rPr>
      </w:pPr>
      <w:r>
        <w:rPr>
          <w:noProof/>
        </w:rPr>
        <w:t>(28)</w:t>
      </w:r>
      <w:r>
        <w:rPr>
          <w:noProof/>
        </w:rPr>
        <w:tab/>
        <w:t>U pogledu vlasništva, sporazuma</w:t>
      </w:r>
      <w:r>
        <w:rPr>
          <w:noProof/>
        </w:rPr>
        <w:t>, pravnih obveza, ugovora o radu, financijskih obveza i odgovornosti BEREC je sljednik Ureda BEREC-a, koji je osnovan kao tijelo Zajednice s pravnom osobnošću Uredbom (EZ) br. 1211/2009 . BEREC bi trebao preuzeti zaposlenike Ureda BEREC-a, što ne bi smjelo</w:t>
      </w:r>
      <w:r>
        <w:rPr>
          <w:noProof/>
        </w:rPr>
        <w:t xml:space="preserve"> utjecati na njihova prava i obveze,</w:t>
      </w:r>
    </w:p>
    <w:p w:rsidR="006C0808" w:rsidRDefault="00E3601E">
      <w:pPr>
        <w:pStyle w:val="Formuledadoption"/>
        <w:rPr>
          <w:noProof/>
        </w:rPr>
      </w:pPr>
      <w:r>
        <w:rPr>
          <w:noProof/>
        </w:rPr>
        <w:t>DONIJELI SU OVU UREDBU:</w:t>
      </w:r>
    </w:p>
    <w:p w:rsidR="006C0808" w:rsidRDefault="00E3601E">
      <w:pPr>
        <w:pStyle w:val="SectionTitle"/>
        <w:autoSpaceDE w:val="0"/>
        <w:autoSpaceDN w:val="0"/>
        <w:rPr>
          <w:rFonts w:eastAsiaTheme="minorEastAsia"/>
          <w:bCs/>
          <w:noProof/>
          <w:szCs w:val="28"/>
        </w:rPr>
      </w:pPr>
      <w:r>
        <w:rPr>
          <w:noProof/>
        </w:rPr>
        <w:t>POGLAVLJE I.:</w:t>
      </w:r>
    </w:p>
    <w:p w:rsidR="006C0808" w:rsidRDefault="00E3601E">
      <w:pPr>
        <w:pStyle w:val="SectionTitle"/>
        <w:autoSpaceDE w:val="0"/>
        <w:autoSpaceDN w:val="0"/>
        <w:rPr>
          <w:rFonts w:eastAsiaTheme="minorEastAsia"/>
          <w:bCs/>
          <w:noProof/>
          <w:szCs w:val="28"/>
        </w:rPr>
      </w:pPr>
      <w:r>
        <w:rPr>
          <w:noProof/>
        </w:rPr>
        <w:t>CILJEVI I ZADAĆE</w:t>
      </w:r>
    </w:p>
    <w:p w:rsidR="006C0808" w:rsidRDefault="00E3601E">
      <w:pPr>
        <w:pStyle w:val="Titrearticle"/>
        <w:rPr>
          <w:noProof/>
        </w:rPr>
      </w:pPr>
      <w:r>
        <w:rPr>
          <w:noProof/>
        </w:rPr>
        <w:t>Članak 1.</w:t>
      </w:r>
    </w:p>
    <w:p w:rsidR="006C0808" w:rsidRDefault="00E3601E">
      <w:pPr>
        <w:pStyle w:val="NormalCentered"/>
        <w:autoSpaceDE w:val="0"/>
        <w:autoSpaceDN w:val="0"/>
        <w:rPr>
          <w:rFonts w:eastAsiaTheme="minorEastAsia"/>
          <w:b/>
          <w:bCs/>
          <w:noProof/>
          <w:szCs w:val="24"/>
        </w:rPr>
      </w:pPr>
      <w:r>
        <w:rPr>
          <w:b/>
          <w:noProof/>
        </w:rPr>
        <w:t>Osnivanje i ciljevi</w:t>
      </w:r>
    </w:p>
    <w:p w:rsidR="006C0808" w:rsidRDefault="00E3601E">
      <w:pPr>
        <w:rPr>
          <w:noProof/>
        </w:rPr>
      </w:pPr>
      <w:r>
        <w:rPr>
          <w:noProof/>
        </w:rPr>
        <w:t xml:space="preserve">1. Osniva se Tijelo europskih regulatora za elektroničke komunikacije (engl. </w:t>
      </w:r>
      <w:r>
        <w:rPr>
          <w:i/>
          <w:noProof/>
        </w:rPr>
        <w:t>Body of European Regulators for Electronic Communications</w:t>
      </w:r>
      <w:r>
        <w:rPr>
          <w:noProof/>
        </w:rPr>
        <w:t>, BEREC).</w:t>
      </w:r>
    </w:p>
    <w:p w:rsidR="006C0808" w:rsidRDefault="00E3601E">
      <w:pPr>
        <w:rPr>
          <w:noProof/>
        </w:rPr>
      </w:pPr>
      <w:r>
        <w:rPr>
          <w:noProof/>
        </w:rPr>
        <w:t>2. BEREC djeluje unutar područja primjene Direktive [...], Direktive 2002/58/EZ, Uredbe (EZ) br. 531/2012, Uredbe (EU) br. 2015/2120 i Odluke 243/2012/EU</w:t>
      </w:r>
      <w:r>
        <w:rPr>
          <w:rStyle w:val="FootnoteReference"/>
          <w:noProof/>
        </w:rPr>
        <w:footnoteReference w:id="36"/>
      </w:r>
      <w:r>
        <w:rPr>
          <w:noProof/>
        </w:rPr>
        <w:t xml:space="preserve"> (program za politiku radiofrekvencijskog spektra).</w:t>
      </w:r>
    </w:p>
    <w:p w:rsidR="006C0808" w:rsidRDefault="00E3601E">
      <w:pPr>
        <w:rPr>
          <w:noProof/>
        </w:rPr>
      </w:pPr>
      <w:r>
        <w:rPr>
          <w:noProof/>
        </w:rPr>
        <w:t>Definicije utvrđene navedenim direktivam</w:t>
      </w:r>
      <w:r>
        <w:rPr>
          <w:noProof/>
        </w:rPr>
        <w:t>a, uredbama i odlukom primjenjuju se za potrebe ove Uredbe.</w:t>
      </w:r>
    </w:p>
    <w:p w:rsidR="006C0808" w:rsidRDefault="00E3601E">
      <w:pPr>
        <w:rPr>
          <w:noProof/>
        </w:rPr>
      </w:pPr>
      <w:r>
        <w:rPr>
          <w:noProof/>
        </w:rPr>
        <w:t>3. BEREC radi na postizanju istih ciljeva kao i nacionalna regulatorna tijela navedena u članku 3. Direktive. Točnije, BEREC osigurava dosljednu provedbu regulatornog okvira za elektroničke komuni</w:t>
      </w:r>
      <w:r>
        <w:rPr>
          <w:noProof/>
        </w:rPr>
        <w:t>kacije unutar područja primjene iz stavka 2. i tako pridonosi razvoju unutarnjeg tržišta. BEREC promiče i pristup podatkovnoj povezivosti vrlo velikog kapaciteta te njezinu upotrebu, natjecanje u pružanju elektroničkih komunikacijskih mreža, usluga i pripa</w:t>
      </w:r>
      <w:r>
        <w:rPr>
          <w:noProof/>
        </w:rPr>
        <w:t>dajuće infrastrukture te interese građana Unije.</w:t>
      </w:r>
    </w:p>
    <w:p w:rsidR="006C0808" w:rsidRDefault="00E3601E">
      <w:pPr>
        <w:pStyle w:val="Titrearticle"/>
        <w:rPr>
          <w:noProof/>
        </w:rPr>
      </w:pPr>
      <w:r>
        <w:rPr>
          <w:noProof/>
        </w:rPr>
        <w:t>Članak 2.</w:t>
      </w:r>
    </w:p>
    <w:p w:rsidR="006C0808" w:rsidRDefault="00E3601E">
      <w:pPr>
        <w:pStyle w:val="NormalCentered"/>
        <w:autoSpaceDE w:val="0"/>
        <w:autoSpaceDN w:val="0"/>
        <w:rPr>
          <w:rFonts w:eastAsiaTheme="minorEastAsia"/>
          <w:b/>
          <w:bCs/>
          <w:noProof/>
          <w:szCs w:val="24"/>
        </w:rPr>
      </w:pPr>
      <w:r>
        <w:rPr>
          <w:b/>
          <w:noProof/>
        </w:rPr>
        <w:t>Zadaće</w:t>
      </w:r>
    </w:p>
    <w:p w:rsidR="006C0808" w:rsidRDefault="00E3601E">
      <w:pPr>
        <w:rPr>
          <w:noProof/>
        </w:rPr>
      </w:pPr>
      <w:r>
        <w:rPr>
          <w:noProof/>
        </w:rPr>
        <w:t>1. Zadaće BEREC-a jesu:</w:t>
      </w:r>
    </w:p>
    <w:p w:rsidR="006C0808" w:rsidRDefault="00E3601E">
      <w:pPr>
        <w:pStyle w:val="Point0letter"/>
        <w:numPr>
          <w:ilvl w:val="1"/>
          <w:numId w:val="9"/>
        </w:numPr>
        <w:rPr>
          <w:noProof/>
        </w:rPr>
      </w:pPr>
      <w:r>
        <w:rPr>
          <w:noProof/>
        </w:rPr>
        <w:t xml:space="preserve">pružanje pomoći i davanje savjeta Komisiji i nacionalnim regulatornim tijelima i suradnja s njima na zahtjev ili na vlastitu inicijativu u svim tehničkim pitanjima u </w:t>
      </w:r>
      <w:r>
        <w:rPr>
          <w:noProof/>
        </w:rPr>
        <w:t>okviru njegovih ovlasti te pružanje pomoći i davanje savjeta Europskom parlamentu i Vijeću na zahtjev;</w:t>
      </w:r>
    </w:p>
    <w:p w:rsidR="006C0808" w:rsidRDefault="00E3601E">
      <w:pPr>
        <w:pStyle w:val="Point0letter"/>
        <w:rPr>
          <w:noProof/>
        </w:rPr>
      </w:pPr>
      <w:r>
        <w:rPr>
          <w:noProof/>
        </w:rPr>
        <w:t>donošenje odluka:</w:t>
      </w:r>
    </w:p>
    <w:p w:rsidR="006C0808" w:rsidRDefault="00E3601E">
      <w:pPr>
        <w:pStyle w:val="Tiret0"/>
        <w:numPr>
          <w:ilvl w:val="0"/>
          <w:numId w:val="19"/>
        </w:numPr>
        <w:rPr>
          <w:noProof/>
        </w:rPr>
      </w:pPr>
      <w:r>
        <w:rPr>
          <w:noProof/>
        </w:rPr>
        <w:t>o identifikaciji transnacionalnih tržišta u skladu s člankom 63. Direktive,</w:t>
      </w:r>
    </w:p>
    <w:p w:rsidR="006C0808" w:rsidRDefault="00E3601E">
      <w:pPr>
        <w:pStyle w:val="Tiret0"/>
        <w:rPr>
          <w:noProof/>
        </w:rPr>
      </w:pPr>
      <w:r>
        <w:rPr>
          <w:noProof/>
        </w:rPr>
        <w:t>o predlošku sažetka ugovora u skladu s člankom 95. Direktiv</w:t>
      </w:r>
      <w:r>
        <w:rPr>
          <w:noProof/>
        </w:rPr>
        <w:t>e;</w:t>
      </w:r>
    </w:p>
    <w:p w:rsidR="006C0808" w:rsidRDefault="00E3601E">
      <w:pPr>
        <w:pStyle w:val="Point0letter"/>
        <w:rPr>
          <w:noProof/>
        </w:rPr>
      </w:pPr>
      <w:r>
        <w:rPr>
          <w:noProof/>
        </w:rPr>
        <w:t>razvoj ekonomskog modela radi pružanja pomoći Komisiji pri utvrđivanju najvećih cijena završavanja poziva u Uniji u skladu s člankom 73. Direktive;</w:t>
      </w:r>
    </w:p>
    <w:p w:rsidR="006C0808" w:rsidRDefault="00E3601E">
      <w:pPr>
        <w:pStyle w:val="Point0letter"/>
        <w:rPr>
          <w:noProof/>
        </w:rPr>
      </w:pPr>
      <w:r>
        <w:rPr>
          <w:noProof/>
        </w:rPr>
        <w:t>davanje mišljenja kako je navedeno u Direktivi i Uredbi (EU) br. 531/2012, a posebno:</w:t>
      </w:r>
    </w:p>
    <w:p w:rsidR="006C0808" w:rsidRDefault="00E3601E">
      <w:pPr>
        <w:pStyle w:val="Tiret0"/>
        <w:rPr>
          <w:noProof/>
        </w:rPr>
      </w:pPr>
      <w:r>
        <w:rPr>
          <w:noProof/>
        </w:rPr>
        <w:t>o rješavanju prekog</w:t>
      </w:r>
      <w:r>
        <w:rPr>
          <w:noProof/>
        </w:rPr>
        <w:t>raničnih sporova u skladu s člankom 27. Direktive,</w:t>
      </w:r>
    </w:p>
    <w:p w:rsidR="006C0808" w:rsidRDefault="00E3601E">
      <w:pPr>
        <w:pStyle w:val="Tiret0"/>
        <w:rPr>
          <w:noProof/>
        </w:rPr>
      </w:pPr>
      <w:r>
        <w:rPr>
          <w:noProof/>
        </w:rPr>
        <w:t>o nacrtu nacionalnih mjera povezanih s postupcima unutarnjeg tržišta za regulaciju tržišta u skladu s člancima 32., 33. i 66. Direktive,</w:t>
      </w:r>
    </w:p>
    <w:p w:rsidR="006C0808" w:rsidRDefault="00E3601E">
      <w:pPr>
        <w:pStyle w:val="Tiret0"/>
        <w:rPr>
          <w:noProof/>
        </w:rPr>
      </w:pPr>
      <w:r>
        <w:rPr>
          <w:noProof/>
        </w:rPr>
        <w:t>o nacrtu nacionalnih mjera povezanih s postupcima unutarnjeg tržišta</w:t>
      </w:r>
      <w:r>
        <w:rPr>
          <w:noProof/>
        </w:rPr>
        <w:t xml:space="preserve"> za stručan pregled radiofrekvencijskog spektra u skladu s člankom 35. Direktive,</w:t>
      </w:r>
    </w:p>
    <w:p w:rsidR="006C0808" w:rsidRDefault="00E3601E">
      <w:pPr>
        <w:pStyle w:val="Tiret0"/>
        <w:rPr>
          <w:noProof/>
        </w:rPr>
      </w:pPr>
      <w:r>
        <w:rPr>
          <w:noProof/>
        </w:rPr>
        <w:t>o nacrtu odluka i preporuka u području usklađivanja u skladu s člankom 38. Direktive;</w:t>
      </w:r>
    </w:p>
    <w:p w:rsidR="006C0808" w:rsidRDefault="00E3601E">
      <w:pPr>
        <w:pStyle w:val="Point0letter"/>
        <w:rPr>
          <w:noProof/>
        </w:rPr>
      </w:pPr>
      <w:r>
        <w:rPr>
          <w:noProof/>
        </w:rPr>
        <w:t xml:space="preserve">davanje smjernica kako je navedeno u Direktivi, Uredbi (EU) br. 531/2012 i </w:t>
      </w:r>
      <w:r>
        <w:rPr>
          <w:noProof/>
        </w:rPr>
        <w:t>Uredbi (EU) br. 2015/2120:</w:t>
      </w:r>
    </w:p>
    <w:p w:rsidR="006C0808" w:rsidRDefault="00E3601E">
      <w:pPr>
        <w:pStyle w:val="Tiret0"/>
        <w:rPr>
          <w:noProof/>
        </w:rPr>
      </w:pPr>
      <w:r>
        <w:rPr>
          <w:noProof/>
        </w:rPr>
        <w:t>o provedbi obveza nacionalnih regulatornih tijela u pogledu zemljopisnih ispitivanja u skladu s člankom 22. Direktive,</w:t>
      </w:r>
    </w:p>
    <w:p w:rsidR="006C0808" w:rsidRDefault="00E3601E">
      <w:pPr>
        <w:pStyle w:val="Tiret0"/>
        <w:rPr>
          <w:noProof/>
        </w:rPr>
      </w:pPr>
      <w:r>
        <w:rPr>
          <w:noProof/>
        </w:rPr>
        <w:t>o zajedničkim pristupima identifikaciji priključne točke mreže u različitim topologijama mreže u skladu s član</w:t>
      </w:r>
      <w:r>
        <w:rPr>
          <w:noProof/>
        </w:rPr>
        <w:t>kom 59. Direktive,</w:t>
      </w:r>
    </w:p>
    <w:p w:rsidR="006C0808" w:rsidRDefault="00E3601E">
      <w:pPr>
        <w:pStyle w:val="Tiret0"/>
        <w:rPr>
          <w:noProof/>
        </w:rPr>
      </w:pPr>
      <w:r>
        <w:rPr>
          <w:noProof/>
        </w:rPr>
        <w:t>o zajedničkim pristupima zadovoljavanju transnacionalne potražnje krajnjih korisnika u skladu s člankom 64. Direktive,</w:t>
      </w:r>
    </w:p>
    <w:p w:rsidR="006C0808" w:rsidRDefault="00E3601E">
      <w:pPr>
        <w:pStyle w:val="Tiret0"/>
        <w:rPr>
          <w:noProof/>
        </w:rPr>
      </w:pPr>
      <w:r>
        <w:rPr>
          <w:noProof/>
        </w:rPr>
        <w:t>o minimalnim kriterijima za standardnu ponudu u skladu s člankom 67. Direktive,</w:t>
      </w:r>
    </w:p>
    <w:p w:rsidR="006C0808" w:rsidRDefault="00E3601E">
      <w:pPr>
        <w:pStyle w:val="Tiret0"/>
        <w:rPr>
          <w:noProof/>
        </w:rPr>
      </w:pPr>
      <w:r>
        <w:rPr>
          <w:noProof/>
        </w:rPr>
        <w:t>o tehničkim detaljima troškovnog model</w:t>
      </w:r>
      <w:r>
        <w:rPr>
          <w:noProof/>
        </w:rPr>
        <w:t>a koji trebaju primjenjivati nacionalna regulatorna tijela pri određivanju najvećih simetričnih cijena završavanja poziva u skladu s člankom 73. Direktive,</w:t>
      </w:r>
    </w:p>
    <w:p w:rsidR="006C0808" w:rsidRDefault="00E3601E">
      <w:pPr>
        <w:pStyle w:val="Tiret0"/>
        <w:rPr>
          <w:noProof/>
        </w:rPr>
      </w:pPr>
      <w:r>
        <w:rPr>
          <w:noProof/>
        </w:rPr>
        <w:t>o zajedničkim kriterijima za procjenu sposobnosti upravljanja resursima brojevnog označavanja i rizi</w:t>
      </w:r>
      <w:r>
        <w:rPr>
          <w:noProof/>
        </w:rPr>
        <w:t>kom njihovog iscrpljivanja u skladu s člankom 87. Direktive,</w:t>
      </w:r>
    </w:p>
    <w:p w:rsidR="006C0808" w:rsidRDefault="00E3601E">
      <w:pPr>
        <w:pStyle w:val="Tiret0"/>
        <w:rPr>
          <w:noProof/>
        </w:rPr>
      </w:pPr>
      <w:r>
        <w:rPr>
          <w:noProof/>
        </w:rPr>
        <w:t>o relevantnoj kvaliteti parametara usluge i primjenjivim metodama mjerenja u skladu s člankom 97. Direktive,</w:t>
      </w:r>
    </w:p>
    <w:p w:rsidR="006C0808" w:rsidRDefault="00E3601E">
      <w:pPr>
        <w:pStyle w:val="Tiret0"/>
        <w:rPr>
          <w:noProof/>
        </w:rPr>
      </w:pPr>
      <w:r>
        <w:rPr>
          <w:noProof/>
        </w:rPr>
        <w:t>o provedbi obveza nacionalnih regulatornih tijela u pogledu pristupa otvorenom interne</w:t>
      </w:r>
      <w:r>
        <w:rPr>
          <w:noProof/>
        </w:rPr>
        <w:t>tu u skladu s člankom 5. Uredbe (EU) br. 2015/2120,</w:t>
      </w:r>
    </w:p>
    <w:p w:rsidR="006C0808" w:rsidRDefault="00E3601E">
      <w:pPr>
        <w:pStyle w:val="Tiret0"/>
        <w:rPr>
          <w:noProof/>
        </w:rPr>
      </w:pPr>
      <w:r>
        <w:rPr>
          <w:noProof/>
        </w:rPr>
        <w:t>o provedbi obveza nacionalnih regulatornih tijela u pogledu veleprodajnog pristupa roamingu u skladu s člankom 3. Uredbe (EU) br. 531/2012.</w:t>
      </w:r>
    </w:p>
    <w:p w:rsidR="006C0808" w:rsidRDefault="006C0808">
      <w:pPr>
        <w:rPr>
          <w:noProof/>
        </w:rPr>
      </w:pPr>
    </w:p>
    <w:p w:rsidR="006C0808" w:rsidRDefault="00E3601E">
      <w:pPr>
        <w:rPr>
          <w:noProof/>
        </w:rPr>
      </w:pPr>
      <w:r>
        <w:rPr>
          <w:noProof/>
        </w:rPr>
        <w:t>2. BEREC obavlja i sljedeće zadaće:</w:t>
      </w:r>
    </w:p>
    <w:p w:rsidR="006C0808" w:rsidRDefault="00E3601E">
      <w:pPr>
        <w:pStyle w:val="Point0letter"/>
        <w:numPr>
          <w:ilvl w:val="1"/>
          <w:numId w:val="22"/>
        </w:numPr>
        <w:rPr>
          <w:noProof/>
        </w:rPr>
      </w:pPr>
      <w:r>
        <w:rPr>
          <w:noProof/>
        </w:rPr>
        <w:t>prati i koordinira aktivnos</w:t>
      </w:r>
      <w:r>
        <w:rPr>
          <w:noProof/>
        </w:rPr>
        <w:t xml:space="preserve">ti nacionalnih regulatornih tijela u primjeni Uredbe (EU) br. 531/2012, posebno u pogledu pružanja reguliranih maloprodajnih usluga roaminga po domaćim cijenama u interesu krajnjih korisnika; </w:t>
      </w:r>
    </w:p>
    <w:p w:rsidR="006C0808" w:rsidRDefault="00E3601E">
      <w:pPr>
        <w:pStyle w:val="Point0letter"/>
        <w:rPr>
          <w:noProof/>
        </w:rPr>
      </w:pPr>
      <w:r>
        <w:rPr>
          <w:noProof/>
        </w:rPr>
        <w:t>podnosi izvješća o tehničkim pitanjima u okviru svoje nadležnos</w:t>
      </w:r>
      <w:r>
        <w:rPr>
          <w:noProof/>
        </w:rPr>
        <w:t>ti, a posebno:</w:t>
      </w:r>
    </w:p>
    <w:p w:rsidR="006C0808" w:rsidRDefault="00E3601E">
      <w:pPr>
        <w:pStyle w:val="Tiret0"/>
        <w:rPr>
          <w:noProof/>
        </w:rPr>
      </w:pPr>
      <w:r>
        <w:rPr>
          <w:noProof/>
        </w:rPr>
        <w:t>o praktičnoj primjeni mišljenja i smjernica iz članka 2. stavka 1. točaka (d) i (e),</w:t>
      </w:r>
    </w:p>
    <w:p w:rsidR="006C0808" w:rsidRDefault="00E3601E">
      <w:pPr>
        <w:pStyle w:val="Tiret0"/>
        <w:rPr>
          <w:noProof/>
        </w:rPr>
      </w:pPr>
      <w:r>
        <w:rPr>
          <w:noProof/>
        </w:rPr>
        <w:t>o razini interoperabilnosti interpersonalnih komunikacijskih usluga, prijetnji učinkovitom pristupu hitnim službama ili povezivanju s kraja na kraj krajnjih</w:t>
      </w:r>
      <w:r>
        <w:rPr>
          <w:noProof/>
        </w:rPr>
        <w:t xml:space="preserve"> korisnika u skladu s člankom 59. Direktive,</w:t>
      </w:r>
    </w:p>
    <w:p w:rsidR="006C0808" w:rsidRDefault="00E3601E">
      <w:pPr>
        <w:pStyle w:val="Tiret0"/>
        <w:rPr>
          <w:noProof/>
        </w:rPr>
      </w:pPr>
      <w:r>
        <w:rPr>
          <w:noProof/>
        </w:rPr>
        <w:t>o kretanju maloprodajnih i veleprodajnih naknada za usluge roaminga i o transparentnosti i usporedivosti tarifa u skladu s člankom 19. Uredbe (EU) br. 531/2012,</w:t>
      </w:r>
    </w:p>
    <w:p w:rsidR="006C0808" w:rsidRDefault="00E3601E">
      <w:pPr>
        <w:pStyle w:val="Tiret0"/>
        <w:autoSpaceDE w:val="0"/>
        <w:autoSpaceDN w:val="0"/>
        <w:rPr>
          <w:rFonts w:eastAsiaTheme="minorEastAsia"/>
          <w:noProof/>
          <w:szCs w:val="24"/>
        </w:rPr>
      </w:pPr>
      <w:r>
        <w:rPr>
          <w:noProof/>
        </w:rPr>
        <w:t xml:space="preserve">o ishodima godišnjih izvješća koja podnose </w:t>
      </w:r>
      <w:r>
        <w:rPr>
          <w:noProof/>
        </w:rPr>
        <w:t>nacionalna regulatorna tijela u skladu s člankom 5. Uredbe (EU) br. 2015/2120 objavom godišnjeg objedinjenog izvješća;</w:t>
      </w:r>
    </w:p>
    <w:p w:rsidR="006C0808" w:rsidRDefault="00E3601E">
      <w:pPr>
        <w:pStyle w:val="Point0letter"/>
        <w:rPr>
          <w:noProof/>
        </w:rPr>
      </w:pPr>
      <w:r>
        <w:rPr>
          <w:noProof/>
        </w:rPr>
        <w:t>daje preporuke i najbolje prakse nacionalnim regulatornim tijelima radi poticanja dosljedne provedbe tehničkih pitanja u okviru svojih ov</w:t>
      </w:r>
      <w:r>
        <w:rPr>
          <w:noProof/>
        </w:rPr>
        <w:t>lasti;</w:t>
      </w:r>
    </w:p>
    <w:p w:rsidR="006C0808" w:rsidRDefault="00E3601E">
      <w:pPr>
        <w:pStyle w:val="Point0letter"/>
        <w:rPr>
          <w:noProof/>
        </w:rPr>
      </w:pPr>
      <w:r>
        <w:rPr>
          <w:noProof/>
        </w:rPr>
        <w:t>vodi registar:</w:t>
      </w:r>
    </w:p>
    <w:p w:rsidR="006C0808" w:rsidRDefault="00E3601E">
      <w:pPr>
        <w:pStyle w:val="Tiret0"/>
        <w:rPr>
          <w:noProof/>
        </w:rPr>
      </w:pPr>
      <w:r>
        <w:rPr>
          <w:noProof/>
        </w:rPr>
        <w:t>poduzeća koje pružaju elektroničke komunikacijske mreže i usluge u skladu s člankom 12. Direktive. BEREC izdaje i standardizirane izjave o obavijestima poduzeća u skladu s člankom 14. Direktive,</w:t>
      </w:r>
    </w:p>
    <w:p w:rsidR="006C0808" w:rsidRDefault="00E3601E">
      <w:pPr>
        <w:pStyle w:val="Tiret0"/>
        <w:rPr>
          <w:noProof/>
        </w:rPr>
      </w:pPr>
      <w:r>
        <w:rPr>
          <w:noProof/>
        </w:rPr>
        <w:t>brojeva s pravom izvanteritorijalne upo</w:t>
      </w:r>
      <w:r>
        <w:rPr>
          <w:noProof/>
        </w:rPr>
        <w:t>trebe u skladu s člankom 87. Direktive;</w:t>
      </w:r>
    </w:p>
    <w:p w:rsidR="006C0808" w:rsidRDefault="00E3601E">
      <w:pPr>
        <w:pStyle w:val="Point0letter"/>
        <w:rPr>
          <w:noProof/>
        </w:rPr>
      </w:pPr>
      <w:r>
        <w:rPr>
          <w:noProof/>
        </w:rPr>
        <w:t>obavlja ostale zadaće koje su mu povjerene pravnim aktima Unije, a posebno Direktivom, Uredbom (EU) br. 531/2012 i Uredbom (EU) br. 2015/2120.</w:t>
      </w:r>
    </w:p>
    <w:p w:rsidR="006C0808" w:rsidRDefault="00E3601E">
      <w:pPr>
        <w:rPr>
          <w:noProof/>
        </w:rPr>
      </w:pPr>
      <w:r>
        <w:rPr>
          <w:noProof/>
        </w:rPr>
        <w:t>3. Ne dovodeći u pitanje usklađenost s relevantnim pravom Unije nacionaln</w:t>
      </w:r>
      <w:r>
        <w:rPr>
          <w:noProof/>
        </w:rPr>
        <w:t>a regulatorna tijela postupaju u skladu sa svim odlukama i uzimaju u obzir sva mišljenja, smjernice, preporuke i najbolju praksu koje je donio BEREC u cilju osiguranja dosljedne provedbe regulatornog okvira za elektroničke komunikacije unutar područja prim</w:t>
      </w:r>
      <w:r>
        <w:rPr>
          <w:noProof/>
        </w:rPr>
        <w:t>jene iz članka 1. stavka 2.</w:t>
      </w:r>
    </w:p>
    <w:p w:rsidR="006C0808" w:rsidRDefault="00E3601E">
      <w:pPr>
        <w:rPr>
          <w:noProof/>
        </w:rPr>
      </w:pPr>
      <w:r>
        <w:rPr>
          <w:noProof/>
        </w:rPr>
        <w:t>4. U skladu s člankom 26. BEREC može surađivati s nadležnim tijelima, agencijama, uredima i savjetodavnim skupinama Unije, s nadležnim tijelima trećih zemalja i/ili s međunarodnim organizacijama u mjeri u kojoj je to nužno za po</w:t>
      </w:r>
      <w:r>
        <w:rPr>
          <w:noProof/>
        </w:rPr>
        <w:t>stizanje ciljeva utvrđenih ovom Uredbom i izvršavanje zadaća.</w:t>
      </w:r>
    </w:p>
    <w:p w:rsidR="006C0808" w:rsidRDefault="00E3601E">
      <w:pPr>
        <w:pStyle w:val="SectionTitle"/>
        <w:autoSpaceDE w:val="0"/>
        <w:autoSpaceDN w:val="0"/>
        <w:rPr>
          <w:rFonts w:eastAsiaTheme="minorEastAsia"/>
          <w:bCs/>
          <w:noProof/>
          <w:szCs w:val="28"/>
        </w:rPr>
      </w:pPr>
      <w:r>
        <w:rPr>
          <w:noProof/>
        </w:rPr>
        <w:t>POGLAVLJE II.</w:t>
      </w:r>
    </w:p>
    <w:p w:rsidR="006C0808" w:rsidRDefault="00E3601E">
      <w:pPr>
        <w:pStyle w:val="SectionTitle"/>
        <w:autoSpaceDE w:val="0"/>
        <w:autoSpaceDN w:val="0"/>
        <w:rPr>
          <w:rFonts w:eastAsiaTheme="minorEastAsia"/>
          <w:bCs/>
          <w:noProof/>
          <w:szCs w:val="28"/>
        </w:rPr>
      </w:pPr>
      <w:r>
        <w:rPr>
          <w:noProof/>
        </w:rPr>
        <w:t>ORGANIZACIJA</w:t>
      </w:r>
    </w:p>
    <w:p w:rsidR="006C0808" w:rsidRDefault="00E3601E">
      <w:pPr>
        <w:pStyle w:val="Titrearticle"/>
        <w:rPr>
          <w:noProof/>
        </w:rPr>
      </w:pPr>
      <w:r>
        <w:rPr>
          <w:noProof/>
        </w:rPr>
        <w:t>Članak 3.</w:t>
      </w:r>
    </w:p>
    <w:p w:rsidR="006C0808" w:rsidRDefault="00E3601E">
      <w:pPr>
        <w:pStyle w:val="NormalCentered"/>
        <w:autoSpaceDE w:val="0"/>
        <w:autoSpaceDN w:val="0"/>
        <w:rPr>
          <w:rFonts w:eastAsiaTheme="minorEastAsia"/>
          <w:b/>
          <w:bCs/>
          <w:noProof/>
          <w:szCs w:val="24"/>
        </w:rPr>
      </w:pPr>
      <w:r>
        <w:rPr>
          <w:b/>
          <w:noProof/>
        </w:rPr>
        <w:t>Administrativna i upravljačka struktura</w:t>
      </w:r>
    </w:p>
    <w:p w:rsidR="006C0808" w:rsidRDefault="00E3601E">
      <w:pPr>
        <w:rPr>
          <w:noProof/>
        </w:rPr>
      </w:pPr>
      <w:r>
        <w:rPr>
          <w:noProof/>
        </w:rPr>
        <w:t>1. Administrativna i upravljačka struktura BEREC-a sastoji se od:</w:t>
      </w:r>
    </w:p>
    <w:p w:rsidR="006C0808" w:rsidRDefault="00E3601E">
      <w:pPr>
        <w:pStyle w:val="Tiret0"/>
        <w:rPr>
          <w:noProof/>
        </w:rPr>
      </w:pPr>
      <w:r>
        <w:rPr>
          <w:noProof/>
        </w:rPr>
        <w:t xml:space="preserve">upravnog odbora koji obavlja funkcije navedene u </w:t>
      </w:r>
      <w:r>
        <w:rPr>
          <w:noProof/>
        </w:rPr>
        <w:t>članku 5.,</w:t>
      </w:r>
    </w:p>
    <w:p w:rsidR="006C0808" w:rsidRDefault="00E3601E">
      <w:pPr>
        <w:pStyle w:val="Tiret0"/>
        <w:rPr>
          <w:noProof/>
        </w:rPr>
      </w:pPr>
      <w:r>
        <w:rPr>
          <w:noProof/>
        </w:rPr>
        <w:t>izvršnog direktora, koji ima odgovornosti utvrđene člankom 9.,</w:t>
      </w:r>
    </w:p>
    <w:p w:rsidR="006C0808" w:rsidRDefault="00E3601E">
      <w:pPr>
        <w:pStyle w:val="Tiret0"/>
        <w:rPr>
          <w:noProof/>
        </w:rPr>
      </w:pPr>
      <w:r>
        <w:rPr>
          <w:noProof/>
        </w:rPr>
        <w:t>radnih skupina,</w:t>
      </w:r>
    </w:p>
    <w:p w:rsidR="006C0808" w:rsidRDefault="00E3601E">
      <w:pPr>
        <w:pStyle w:val="Tiret0"/>
        <w:rPr>
          <w:noProof/>
        </w:rPr>
      </w:pPr>
      <w:r>
        <w:rPr>
          <w:noProof/>
        </w:rPr>
        <w:t>odbora za žalbe.</w:t>
      </w:r>
    </w:p>
    <w:p w:rsidR="006C0808" w:rsidRDefault="00E3601E">
      <w:pPr>
        <w:pStyle w:val="SectionTitle"/>
        <w:autoSpaceDE w:val="0"/>
        <w:autoSpaceDN w:val="0"/>
        <w:rPr>
          <w:rFonts w:eastAsiaTheme="minorEastAsia"/>
          <w:bCs/>
          <w:noProof/>
          <w:szCs w:val="28"/>
        </w:rPr>
      </w:pPr>
      <w:r>
        <w:rPr>
          <w:noProof/>
        </w:rPr>
        <w:t>ODJELJAK 1.</w:t>
      </w:r>
    </w:p>
    <w:p w:rsidR="006C0808" w:rsidRDefault="00E3601E">
      <w:pPr>
        <w:pStyle w:val="SectionTitle"/>
        <w:autoSpaceDE w:val="0"/>
        <w:autoSpaceDN w:val="0"/>
        <w:rPr>
          <w:noProof/>
          <w:sz w:val="24"/>
          <w:szCs w:val="24"/>
        </w:rPr>
      </w:pPr>
      <w:r>
        <w:rPr>
          <w:noProof/>
          <w:sz w:val="24"/>
        </w:rPr>
        <w:t>UPRAVNI ODBOR</w:t>
      </w:r>
    </w:p>
    <w:p w:rsidR="006C0808" w:rsidRDefault="00E3601E">
      <w:pPr>
        <w:pStyle w:val="Titrearticle"/>
        <w:rPr>
          <w:noProof/>
        </w:rPr>
      </w:pPr>
      <w:r>
        <w:rPr>
          <w:noProof/>
        </w:rPr>
        <w:t>Članak 4.</w:t>
      </w:r>
    </w:p>
    <w:p w:rsidR="006C0808" w:rsidRDefault="00E3601E">
      <w:pPr>
        <w:pStyle w:val="NormalCentered"/>
        <w:autoSpaceDE w:val="0"/>
        <w:autoSpaceDN w:val="0"/>
        <w:rPr>
          <w:b/>
          <w:bCs/>
          <w:noProof/>
          <w:szCs w:val="24"/>
        </w:rPr>
      </w:pPr>
      <w:r>
        <w:rPr>
          <w:b/>
          <w:noProof/>
        </w:rPr>
        <w:t>Sastav upravnog odbora</w:t>
      </w:r>
    </w:p>
    <w:p w:rsidR="006C0808" w:rsidRDefault="00E3601E">
      <w:pPr>
        <w:rPr>
          <w:noProof/>
        </w:rPr>
      </w:pPr>
      <w:r>
        <w:rPr>
          <w:noProof/>
        </w:rPr>
        <w:t>1. Upravni odbor sastoji se od jednog predstavnika svake države članice i dva predstavnika</w:t>
      </w:r>
      <w:r>
        <w:rPr>
          <w:noProof/>
        </w:rPr>
        <w:t xml:space="preserve"> Komisije, od kojih svi imaju pravo glasa. Sva nacionalna regulatorna tijela odgovorna su za imenovanje vlastitog predstavnika iz redova voditelja ili članova kolegijalnog tijela nacionalnog regulatornog tijela.</w:t>
      </w:r>
    </w:p>
    <w:p w:rsidR="006C0808" w:rsidRDefault="00E3601E">
      <w:pPr>
        <w:rPr>
          <w:noProof/>
        </w:rPr>
      </w:pPr>
      <w:r>
        <w:rPr>
          <w:noProof/>
        </w:rPr>
        <w:t>U državama članicama u kojima je prema odred</w:t>
      </w:r>
      <w:r>
        <w:rPr>
          <w:noProof/>
        </w:rPr>
        <w:t>bama Direktive odgovorno više nacionalnih regulatornih tijela navedena tijela dogovaraju se o zajedničkom predstavniku pa je potrebno osigurati nužnu koordinaciju među njima.</w:t>
      </w:r>
    </w:p>
    <w:p w:rsidR="006C0808" w:rsidRDefault="00E3601E">
      <w:pPr>
        <w:rPr>
          <w:noProof/>
        </w:rPr>
      </w:pPr>
      <w:r>
        <w:rPr>
          <w:noProof/>
        </w:rPr>
        <w:t>2. Svaki član upravnog odbora ima zamjenika. Zamjenik predstavlja člana u njegovo</w:t>
      </w:r>
      <w:r>
        <w:rPr>
          <w:noProof/>
        </w:rPr>
        <w:t>j odsutnosti. Sva nacionalna regulatorna tijela odgovorna su za imenovanje zamjenika iz redova voditelja ili članova kolegijalnog tijela, odnosno zaposlenika nacionalnog regulatornog tijela.</w:t>
      </w:r>
    </w:p>
    <w:p w:rsidR="006C0808" w:rsidRDefault="00E3601E">
      <w:pPr>
        <w:rPr>
          <w:noProof/>
        </w:rPr>
      </w:pPr>
      <w:r>
        <w:rPr>
          <w:noProof/>
        </w:rPr>
        <w:t>3. Članovi upravnog odbora i njihovi zamjenici imenuju se uzimaju</w:t>
      </w:r>
      <w:r>
        <w:rPr>
          <w:noProof/>
        </w:rPr>
        <w:t>ći u obzir njihovo znanje u području elektroničkih komunikacija te relevantne upravljačke i administrativne vještine i vještine upravljanja proračunom. Sve strane zastupljene u upravnom odboru nastoje ograničiti mijenjanje svojih predstavnika radi osiguran</w:t>
      </w:r>
      <w:r>
        <w:rPr>
          <w:noProof/>
        </w:rPr>
        <w:t>ja kontinuiteta njegova rada. Sve strane nastoje postići uravnoteženu zastupljenost muškaraca i žena u upravnom odboru.</w:t>
      </w:r>
    </w:p>
    <w:p w:rsidR="006C0808" w:rsidRDefault="00E3601E">
      <w:pPr>
        <w:rPr>
          <w:noProof/>
        </w:rPr>
      </w:pPr>
      <w:r>
        <w:rPr>
          <w:noProof/>
        </w:rPr>
        <w:t>4. Mandat članova i njihovih zamjenika traje četiri godine. Taj se mandat može produljiti.</w:t>
      </w:r>
    </w:p>
    <w:p w:rsidR="006C0808" w:rsidRDefault="00E3601E">
      <w:pPr>
        <w:pStyle w:val="Titrearticle"/>
        <w:rPr>
          <w:noProof/>
        </w:rPr>
      </w:pPr>
      <w:r>
        <w:rPr>
          <w:noProof/>
        </w:rPr>
        <w:t>Članak 5.</w:t>
      </w:r>
    </w:p>
    <w:p w:rsidR="006C0808" w:rsidRDefault="00E3601E">
      <w:pPr>
        <w:pStyle w:val="NormalCentered"/>
        <w:autoSpaceDE w:val="0"/>
        <w:autoSpaceDN w:val="0"/>
        <w:rPr>
          <w:b/>
          <w:bCs/>
          <w:noProof/>
          <w:szCs w:val="24"/>
        </w:rPr>
      </w:pPr>
      <w:r>
        <w:rPr>
          <w:b/>
          <w:noProof/>
        </w:rPr>
        <w:t>Funkcije upravnog odbora</w:t>
      </w:r>
    </w:p>
    <w:p w:rsidR="006C0808" w:rsidRDefault="00E3601E">
      <w:pPr>
        <w:rPr>
          <w:noProof/>
        </w:rPr>
      </w:pPr>
      <w:r>
        <w:rPr>
          <w:noProof/>
        </w:rPr>
        <w:t>1. Upravni</w:t>
      </w:r>
      <w:r>
        <w:rPr>
          <w:noProof/>
        </w:rPr>
        <w:t xml:space="preserve"> odbor:</w:t>
      </w:r>
    </w:p>
    <w:p w:rsidR="006C0808" w:rsidRDefault="00E3601E">
      <w:pPr>
        <w:pStyle w:val="Point0letter"/>
        <w:numPr>
          <w:ilvl w:val="1"/>
          <w:numId w:val="23"/>
        </w:numPr>
        <w:rPr>
          <w:noProof/>
        </w:rPr>
      </w:pPr>
      <w:r>
        <w:rPr>
          <w:noProof/>
        </w:rPr>
        <w:t>daje opće smjernice za djelovanje BEREC-a te svake godine dvotrećinskom većinom glasova svojih članova s pravom glasa, uzimajući u obzir mišljenje Komisije i u skladu s člankom 15. donosi jedinstveni programski dokument BEREC-a;</w:t>
      </w:r>
    </w:p>
    <w:p w:rsidR="006C0808" w:rsidRDefault="00E3601E">
      <w:pPr>
        <w:pStyle w:val="Point0letter"/>
        <w:rPr>
          <w:noProof/>
        </w:rPr>
      </w:pPr>
      <w:r>
        <w:rPr>
          <w:noProof/>
        </w:rPr>
        <w:t>donosi, dvotrećinsk</w:t>
      </w:r>
      <w:r>
        <w:rPr>
          <w:noProof/>
        </w:rPr>
        <w:t>om većinom glasova svojih članova s pravom glasa, godišnji proračun BEREC-a i izvršava ostale zadatke u odnosu na proračun BEREC-a u skladu s poglavljem III.;</w:t>
      </w:r>
    </w:p>
    <w:p w:rsidR="006C0808" w:rsidRDefault="00E3601E">
      <w:pPr>
        <w:pStyle w:val="Point0letter"/>
        <w:rPr>
          <w:noProof/>
        </w:rPr>
      </w:pPr>
      <w:r>
        <w:rPr>
          <w:noProof/>
        </w:rPr>
        <w:t>donosi konsolidirano godišnje izvješće o aktivnostima BEREC-a i obavlja njegovu procjenu te najka</w:t>
      </w:r>
      <w:r>
        <w:rPr>
          <w:noProof/>
        </w:rPr>
        <w:t>snije do 1. srpnja svake godine šalje izvješće i procjenu Europskom parlamentu, Vijeću, Komisiji i Revizorskom sudu. Konsolidirano se godišnje izvješće o aktivnostima objavljuje;</w:t>
      </w:r>
    </w:p>
    <w:p w:rsidR="006C0808" w:rsidRDefault="00E3601E">
      <w:pPr>
        <w:pStyle w:val="Point0letter"/>
        <w:rPr>
          <w:noProof/>
        </w:rPr>
      </w:pPr>
      <w:r>
        <w:rPr>
          <w:noProof/>
        </w:rPr>
        <w:t>donosi financijska pravila koja se primjenjuju na BEREC u skladu s člankom 20</w:t>
      </w:r>
      <w:r>
        <w:rPr>
          <w:noProof/>
        </w:rPr>
        <w:t>.;</w:t>
      </w:r>
    </w:p>
    <w:p w:rsidR="006C0808" w:rsidRDefault="00E3601E">
      <w:pPr>
        <w:pStyle w:val="Point0letter"/>
        <w:rPr>
          <w:noProof/>
        </w:rPr>
      </w:pPr>
      <w:r>
        <w:rPr>
          <w:noProof/>
        </w:rPr>
        <w:t>donosi strategiju za borbu protiv prijevara proporcionalno rizicima od prijevara i uzimajući u obzir troškove i koristi mjera koje treba provoditi;</w:t>
      </w:r>
    </w:p>
    <w:p w:rsidR="006C0808" w:rsidRDefault="00E3601E">
      <w:pPr>
        <w:pStyle w:val="Point0letter"/>
        <w:rPr>
          <w:noProof/>
        </w:rPr>
      </w:pPr>
      <w:r>
        <w:rPr>
          <w:noProof/>
        </w:rPr>
        <w:t>osigurava odgovarajuće postupanje na temelju rezultata i preporuka koji proizlaze iz izvješća unutarnje i</w:t>
      </w:r>
      <w:r>
        <w:rPr>
          <w:noProof/>
        </w:rPr>
        <w:t xml:space="preserve"> vanjske revizije i ocjenjivanja te istraga Europskog ureda za borbu protiv prijevara (OLAF);</w:t>
      </w:r>
    </w:p>
    <w:p w:rsidR="006C0808" w:rsidRDefault="00E3601E">
      <w:pPr>
        <w:pStyle w:val="Point0letter"/>
        <w:rPr>
          <w:noProof/>
        </w:rPr>
      </w:pPr>
      <w:r>
        <w:rPr>
          <w:noProof/>
        </w:rPr>
        <w:t>donosi pravila o sprečavanju sukoba interesa i upravljanju njima iz članka 31. te u pogledu članova odbora za žalbe;</w:t>
      </w:r>
    </w:p>
    <w:p w:rsidR="006C0808" w:rsidRDefault="00E3601E">
      <w:pPr>
        <w:pStyle w:val="Point0letter"/>
        <w:rPr>
          <w:noProof/>
        </w:rPr>
      </w:pPr>
      <w:r>
        <w:rPr>
          <w:noProof/>
        </w:rPr>
        <w:t>donosi i redovito ažurira komunikacijske i pr</w:t>
      </w:r>
      <w:r>
        <w:rPr>
          <w:noProof/>
        </w:rPr>
        <w:t>omidžbene planove iz članka 27. na temelju analize potreba;</w:t>
      </w:r>
    </w:p>
    <w:p w:rsidR="006C0808" w:rsidRDefault="00E3601E">
      <w:pPr>
        <w:pStyle w:val="Point0letter"/>
        <w:rPr>
          <w:noProof/>
        </w:rPr>
      </w:pPr>
      <w:r>
        <w:rPr>
          <w:noProof/>
        </w:rPr>
        <w:t>donosi svoj poslovnik;</w:t>
      </w:r>
    </w:p>
    <w:p w:rsidR="006C0808" w:rsidRDefault="00E3601E">
      <w:pPr>
        <w:pStyle w:val="Point0letter"/>
        <w:rPr>
          <w:noProof/>
        </w:rPr>
      </w:pPr>
      <w:r>
        <w:rPr>
          <w:noProof/>
        </w:rPr>
        <w:t xml:space="preserve">u skladu sa stavkom 2., izvršava nad osobljem BEREC-a ovlasti koje se Pravilnikom o osoblju dodjeljuju tijelu za imenovanje i ovlasti koje se Uvjetima zaposlenja ostalih </w:t>
      </w:r>
      <w:r>
        <w:rPr>
          <w:noProof/>
        </w:rPr>
        <w:t>službenika dodjeljuju tijelu ovlaštenom za sklapanje ugovora o radu</w:t>
      </w:r>
      <w:r>
        <w:rPr>
          <w:rStyle w:val="FootnoteReference"/>
          <w:noProof/>
        </w:rPr>
        <w:footnoteReference w:id="37"/>
      </w:r>
      <w:r>
        <w:rPr>
          <w:noProof/>
        </w:rPr>
        <w:t xml:space="preserve"> („ovlasti tijela nadležnog za imenovanja”);</w:t>
      </w:r>
    </w:p>
    <w:p w:rsidR="006C0808" w:rsidRDefault="00E3601E">
      <w:pPr>
        <w:pStyle w:val="Point0letter"/>
        <w:rPr>
          <w:noProof/>
        </w:rPr>
      </w:pPr>
      <w:r>
        <w:rPr>
          <w:noProof/>
        </w:rPr>
        <w:t>donosi provedbena pravila za primjenu Pravilnika o osoblju i Uvjeta zaposlenja ostalih službenika u skladu s člankom 110. Pravilnika o osoblju;</w:t>
      </w:r>
    </w:p>
    <w:p w:rsidR="006C0808" w:rsidRDefault="00E3601E">
      <w:pPr>
        <w:pStyle w:val="Point0letter"/>
        <w:rPr>
          <w:noProof/>
        </w:rPr>
      </w:pPr>
      <w:r>
        <w:rPr>
          <w:noProof/>
        </w:rPr>
        <w:t>odobrava sklapanje radnih dogovora s nadležnim tijelima, agencijama, uredima i savjetodavnim skupinama Unije, s nadležnim tijelima trećih zemalja i/ili međunarodnim organizacijama u skladu s člankom 26.;</w:t>
      </w:r>
    </w:p>
    <w:p w:rsidR="006C0808" w:rsidRDefault="00E3601E">
      <w:pPr>
        <w:pStyle w:val="Point0letter"/>
        <w:rPr>
          <w:noProof/>
        </w:rPr>
      </w:pPr>
      <w:r>
        <w:rPr>
          <w:noProof/>
        </w:rPr>
        <w:t>imenuje izvršnog direktora i, po potrebi, produžuje</w:t>
      </w:r>
      <w:r>
        <w:rPr>
          <w:noProof/>
        </w:rPr>
        <w:t xml:space="preserve"> njegov mandat ili ga razrješava dužnosti u skladu s člankom 22.;</w:t>
      </w:r>
    </w:p>
    <w:p w:rsidR="006C0808" w:rsidRDefault="00E3601E">
      <w:pPr>
        <w:pStyle w:val="Point0letter"/>
        <w:rPr>
          <w:noProof/>
        </w:rPr>
      </w:pPr>
      <w:r>
        <w:rPr>
          <w:noProof/>
        </w:rPr>
        <w:t>imenuje računovodstvenog službenika, na temelju Pravilnika o osoblju i Uvjeta zaposlenja ostalih službenika, koji je potpuno neovisan u obavljanju svojih dužnosti. BEREC može imenovati račun</w:t>
      </w:r>
      <w:r>
        <w:rPr>
          <w:noProof/>
        </w:rPr>
        <w:t>ovodstvenog službenika Komisije kao računovodstvenog službenika BEREC-a;</w:t>
      </w:r>
    </w:p>
    <w:p w:rsidR="006C0808" w:rsidRDefault="00E3601E">
      <w:pPr>
        <w:pStyle w:val="Point0letter"/>
        <w:rPr>
          <w:noProof/>
        </w:rPr>
      </w:pPr>
      <w:r>
        <w:rPr>
          <w:noProof/>
        </w:rPr>
        <w:t>imenuje članove odbora (odborâ) za žalbe;</w:t>
      </w:r>
    </w:p>
    <w:p w:rsidR="006C0808" w:rsidRDefault="00E3601E">
      <w:pPr>
        <w:pStyle w:val="Point0letter"/>
        <w:rPr>
          <w:noProof/>
        </w:rPr>
      </w:pPr>
      <w:r>
        <w:rPr>
          <w:noProof/>
        </w:rPr>
        <w:t>donosi sve odluke o osnivanju unutarnjih struktura BEREC-a te, gdje je to potrebno, njihovoj izmjeni, uzimajući u obzir potrebe BEREC-a u pog</w:t>
      </w:r>
      <w:r>
        <w:rPr>
          <w:noProof/>
        </w:rPr>
        <w:t>ledu aktivnosti te razumno financijsko upravljanje.</w:t>
      </w:r>
    </w:p>
    <w:p w:rsidR="006C0808" w:rsidRDefault="00E3601E">
      <w:pPr>
        <w:keepLines/>
        <w:autoSpaceDE w:val="0"/>
        <w:autoSpaceDN w:val="0"/>
        <w:adjustRightInd w:val="0"/>
        <w:rPr>
          <w:noProof/>
        </w:rPr>
      </w:pPr>
      <w:r>
        <w:rPr>
          <w:noProof/>
        </w:rPr>
        <w:t>2. Upravni odbor u skladu s člankom 110. Pravilnika o osoblju donosi odluku na temelju članka 2. stavka 1. Pravilnika o osoblju i članka 6. Uvjeta zaposlenja ostalih službenika kojom se relevantne ovlasti</w:t>
      </w:r>
      <w:r>
        <w:rPr>
          <w:noProof/>
        </w:rPr>
        <w:t xml:space="preserve"> tijela za imenovanje delegiraju izvršnom direktoru i kojom se utvrđuju uvjeti u skladu s kojima se ta delegacija ovlasti može suspendirati. Izvršni direktor ovlašten je dalje delegirati te ovlasti.</w:t>
      </w:r>
    </w:p>
    <w:p w:rsidR="006C0808" w:rsidRDefault="00E3601E">
      <w:pPr>
        <w:rPr>
          <w:noProof/>
        </w:rPr>
      </w:pPr>
      <w:r>
        <w:rPr>
          <w:noProof/>
        </w:rPr>
        <w:t>Upravni odbor može zbog iznimnih okolnosti svojom odlukom</w:t>
      </w:r>
      <w:r>
        <w:rPr>
          <w:noProof/>
        </w:rPr>
        <w:t xml:space="preserve"> privremeno suspendirati delegiranje ovlasti tijela za imenovanje izvršnom direktoru i ovlasti koje je on delegirao dalje te ih izvršavati sam ili ih delegirati jednom od svojih članova ili članu osoblja koji nije izvršni direktor.</w:t>
      </w:r>
    </w:p>
    <w:p w:rsidR="006C0808" w:rsidRDefault="00E3601E">
      <w:pPr>
        <w:pStyle w:val="Titrearticle"/>
        <w:rPr>
          <w:noProof/>
        </w:rPr>
      </w:pPr>
      <w:r>
        <w:rPr>
          <w:noProof/>
        </w:rPr>
        <w:t>Članak 6.</w:t>
      </w:r>
    </w:p>
    <w:p w:rsidR="006C0808" w:rsidRDefault="00E3601E">
      <w:pPr>
        <w:pStyle w:val="NormalCentered"/>
        <w:autoSpaceDE w:val="0"/>
        <w:autoSpaceDN w:val="0"/>
        <w:rPr>
          <w:b/>
          <w:bCs/>
          <w:noProof/>
          <w:szCs w:val="24"/>
        </w:rPr>
      </w:pPr>
      <w:r>
        <w:rPr>
          <w:b/>
          <w:noProof/>
        </w:rPr>
        <w:t xml:space="preserve">Predsjednik i </w:t>
      </w:r>
      <w:r>
        <w:rPr>
          <w:b/>
          <w:noProof/>
        </w:rPr>
        <w:t>zamjenik predsjednika upravnog odbora</w:t>
      </w:r>
    </w:p>
    <w:p w:rsidR="006C0808" w:rsidRDefault="00E3601E">
      <w:pPr>
        <w:rPr>
          <w:noProof/>
        </w:rPr>
      </w:pPr>
      <w:r>
        <w:rPr>
          <w:noProof/>
        </w:rPr>
        <w:t>1. Upravni odbor bira predsjednika i zamjenika predsjednika među svojim članovima s pravom glasa koji predstavljaju države članice. Predsjednik i zamjenik predsjednika biraju se dvotrećinskom većinom članova upravnog o</w:t>
      </w:r>
      <w:r>
        <w:rPr>
          <w:noProof/>
        </w:rPr>
        <w:t>dbora s pravom glasa.</w:t>
      </w:r>
    </w:p>
    <w:p w:rsidR="006C0808" w:rsidRDefault="00E3601E">
      <w:pPr>
        <w:rPr>
          <w:rFonts w:eastAsia="Calibri"/>
          <w:noProof/>
        </w:rPr>
      </w:pPr>
      <w:r>
        <w:rPr>
          <w:noProof/>
        </w:rPr>
        <w:t>2. Zamjenik predsjednika automatski zamjenjuje predsjednika ako je on spriječen izvršavati svoje dužnosti.</w:t>
      </w:r>
    </w:p>
    <w:p w:rsidR="006C0808" w:rsidRDefault="00E3601E">
      <w:pPr>
        <w:keepLines/>
        <w:autoSpaceDE w:val="0"/>
        <w:autoSpaceDN w:val="0"/>
        <w:adjustRightInd w:val="0"/>
        <w:rPr>
          <w:noProof/>
        </w:rPr>
      </w:pPr>
      <w:r>
        <w:rPr>
          <w:noProof/>
        </w:rPr>
        <w:t xml:space="preserve">3. Mandat predsjednika i zamjenika predsjednika traje četiri godine, uz iznimku prvog mandata zamjenika predsjednika izabranog </w:t>
      </w:r>
      <w:r>
        <w:rPr>
          <w:noProof/>
        </w:rPr>
        <w:t>nakon stupanja na snagu ove Uredbe koji traje dvije godine. Njihov se mandat može obnoviti jednom.</w:t>
      </w:r>
    </w:p>
    <w:p w:rsidR="006C0808" w:rsidRDefault="00E3601E">
      <w:pPr>
        <w:pStyle w:val="Titrearticle"/>
        <w:rPr>
          <w:noProof/>
        </w:rPr>
      </w:pPr>
      <w:r>
        <w:rPr>
          <w:noProof/>
        </w:rPr>
        <w:t>Članak 7.</w:t>
      </w:r>
    </w:p>
    <w:p w:rsidR="006C0808" w:rsidRDefault="00E3601E">
      <w:pPr>
        <w:pStyle w:val="NormalCentered"/>
        <w:autoSpaceDE w:val="0"/>
        <w:autoSpaceDN w:val="0"/>
        <w:rPr>
          <w:b/>
          <w:bCs/>
          <w:noProof/>
          <w:szCs w:val="24"/>
        </w:rPr>
      </w:pPr>
      <w:r>
        <w:rPr>
          <w:b/>
          <w:noProof/>
        </w:rPr>
        <w:t>Sastanci upravnog odbora</w:t>
      </w:r>
    </w:p>
    <w:p w:rsidR="006C0808" w:rsidRDefault="00E3601E">
      <w:pPr>
        <w:rPr>
          <w:noProof/>
        </w:rPr>
      </w:pPr>
      <w:r>
        <w:rPr>
          <w:noProof/>
        </w:rPr>
        <w:t>1. Predsjednik saziva sastanke upravnog odbora.</w:t>
      </w:r>
    </w:p>
    <w:p w:rsidR="006C0808" w:rsidRDefault="00E3601E">
      <w:pPr>
        <w:rPr>
          <w:noProof/>
        </w:rPr>
      </w:pPr>
      <w:r>
        <w:rPr>
          <w:noProof/>
        </w:rPr>
        <w:t>2. Izvršni direktor BEREC-a sudjeluje u raspravama, ali nema pravo glasa.</w:t>
      </w:r>
    </w:p>
    <w:p w:rsidR="006C0808" w:rsidRDefault="00E3601E">
      <w:pPr>
        <w:rPr>
          <w:noProof/>
        </w:rPr>
      </w:pPr>
      <w:r>
        <w:rPr>
          <w:noProof/>
        </w:rPr>
        <w:t>3. Upravni odbor održava najmanje dva redovna sastanka godišnje. Osim toga, sastaje se na inicijativu svog predsjednika, na zahtjev Komisije ili na zahtjev najmanje jedne trećine svojih članova.</w:t>
      </w:r>
    </w:p>
    <w:p w:rsidR="006C0808" w:rsidRDefault="00E3601E">
      <w:pPr>
        <w:rPr>
          <w:noProof/>
        </w:rPr>
      </w:pPr>
      <w:r>
        <w:rPr>
          <w:noProof/>
        </w:rPr>
        <w:t>4. Upravni odbor na sastanke može kao promatrača pozvati bilo</w:t>
      </w:r>
      <w:r>
        <w:rPr>
          <w:noProof/>
        </w:rPr>
        <w:t xml:space="preserve"> koju osobu čije bi mišljenje moglo biti od koristi.</w:t>
      </w:r>
    </w:p>
    <w:p w:rsidR="006C0808" w:rsidRDefault="00E3601E">
      <w:pPr>
        <w:rPr>
          <w:noProof/>
        </w:rPr>
      </w:pPr>
      <w:r>
        <w:rPr>
          <w:noProof/>
        </w:rPr>
        <w:t>5. Članovima upravnog odbora i njihovim zamjenicima, mogu, u skladu s njegovim Poslovnikom, pomagati savjetnici ili stručnjaci.</w:t>
      </w:r>
    </w:p>
    <w:p w:rsidR="006C0808" w:rsidRDefault="00E3601E">
      <w:pPr>
        <w:rPr>
          <w:noProof/>
        </w:rPr>
      </w:pPr>
      <w:r>
        <w:rPr>
          <w:noProof/>
        </w:rPr>
        <w:t>6. BEREC upravnom odboru osigurava tajništvo.</w:t>
      </w:r>
    </w:p>
    <w:p w:rsidR="006C0808" w:rsidRDefault="00E3601E">
      <w:pPr>
        <w:pStyle w:val="Titrearticle"/>
        <w:rPr>
          <w:noProof/>
        </w:rPr>
      </w:pPr>
      <w:r>
        <w:rPr>
          <w:noProof/>
        </w:rPr>
        <w:t>Članak 8.</w:t>
      </w:r>
    </w:p>
    <w:p w:rsidR="006C0808" w:rsidRDefault="00E3601E">
      <w:pPr>
        <w:pStyle w:val="NormalCentered"/>
        <w:autoSpaceDE w:val="0"/>
        <w:autoSpaceDN w:val="0"/>
        <w:rPr>
          <w:b/>
          <w:bCs/>
          <w:noProof/>
        </w:rPr>
      </w:pPr>
      <w:r>
        <w:rPr>
          <w:b/>
          <w:noProof/>
        </w:rPr>
        <w:t xml:space="preserve">Pravila glasovanja </w:t>
      </w:r>
      <w:r>
        <w:rPr>
          <w:b/>
          <w:noProof/>
        </w:rPr>
        <w:t>upravnog odbora</w:t>
      </w:r>
    </w:p>
    <w:p w:rsidR="006C0808" w:rsidRDefault="00E3601E">
      <w:pPr>
        <w:rPr>
          <w:noProof/>
        </w:rPr>
      </w:pPr>
      <w:r>
        <w:rPr>
          <w:noProof/>
        </w:rPr>
        <w:t>1. Ne dovodeći u pitanje članak 5. stavak 1. točke (a) i (b) i članak 22. stavak 8., upravni odbor odluke donosi većinom glasova svojih članova s pravom glasa.</w:t>
      </w:r>
    </w:p>
    <w:p w:rsidR="006C0808" w:rsidRDefault="00E3601E">
      <w:pPr>
        <w:rPr>
          <w:noProof/>
        </w:rPr>
      </w:pPr>
      <w:r>
        <w:rPr>
          <w:noProof/>
        </w:rPr>
        <w:t xml:space="preserve">2. Svaki član s pravom glasa ima jedan glas. U odsutnosti člana s pravom glasa, </w:t>
      </w:r>
      <w:r>
        <w:rPr>
          <w:noProof/>
        </w:rPr>
        <w:t>zamjenik ima pravo iskoristiti njegovo pravo glasa.</w:t>
      </w:r>
    </w:p>
    <w:p w:rsidR="006C0808" w:rsidRDefault="00E3601E">
      <w:pPr>
        <w:rPr>
          <w:noProof/>
        </w:rPr>
      </w:pPr>
      <w:r>
        <w:rPr>
          <w:noProof/>
        </w:rPr>
        <w:t>3. Predsjednik sudjeluje u glasovanju.</w:t>
      </w:r>
    </w:p>
    <w:p w:rsidR="006C0808" w:rsidRDefault="00E3601E">
      <w:pPr>
        <w:rPr>
          <w:noProof/>
        </w:rPr>
      </w:pPr>
      <w:r>
        <w:rPr>
          <w:noProof/>
        </w:rPr>
        <w:t>4. Izvršni direktor ne sudjeluje u glasovanju.</w:t>
      </w:r>
    </w:p>
    <w:p w:rsidR="006C0808" w:rsidRDefault="00E3601E">
      <w:pPr>
        <w:rPr>
          <w:noProof/>
        </w:rPr>
      </w:pPr>
      <w:r>
        <w:rPr>
          <w:noProof/>
        </w:rPr>
        <w:t xml:space="preserve">5. Poslovnikom upravnog odbora utvrđuju se detaljnija pravila glasovanja, posebice u pogledu slučajeva kad jedan član </w:t>
      </w:r>
      <w:r>
        <w:rPr>
          <w:noProof/>
        </w:rPr>
        <w:t>može zastupati drugog člana.</w:t>
      </w:r>
    </w:p>
    <w:p w:rsidR="006C0808" w:rsidRDefault="00E3601E">
      <w:pPr>
        <w:pStyle w:val="SectionTitle"/>
        <w:autoSpaceDE w:val="0"/>
        <w:autoSpaceDN w:val="0"/>
        <w:rPr>
          <w:rFonts w:eastAsiaTheme="minorEastAsia"/>
          <w:bCs/>
          <w:noProof/>
          <w:szCs w:val="28"/>
        </w:rPr>
      </w:pPr>
      <w:r>
        <w:rPr>
          <w:noProof/>
        </w:rPr>
        <w:t>ODJELJAK 2.</w:t>
      </w:r>
    </w:p>
    <w:p w:rsidR="006C0808" w:rsidRDefault="00E3601E">
      <w:pPr>
        <w:pStyle w:val="SectionTitle"/>
        <w:autoSpaceDE w:val="0"/>
        <w:autoSpaceDN w:val="0"/>
        <w:rPr>
          <w:noProof/>
          <w:sz w:val="24"/>
          <w:szCs w:val="24"/>
        </w:rPr>
      </w:pPr>
      <w:r>
        <w:rPr>
          <w:noProof/>
          <w:sz w:val="24"/>
        </w:rPr>
        <w:t>IZVRŠNI DIREKTOR</w:t>
      </w:r>
    </w:p>
    <w:p w:rsidR="006C0808" w:rsidRDefault="00E3601E">
      <w:pPr>
        <w:pStyle w:val="Titrearticle"/>
        <w:rPr>
          <w:noProof/>
        </w:rPr>
      </w:pPr>
      <w:r>
        <w:rPr>
          <w:noProof/>
        </w:rPr>
        <w:t>Članak 9.</w:t>
      </w:r>
    </w:p>
    <w:p w:rsidR="006C0808" w:rsidRDefault="00E3601E">
      <w:pPr>
        <w:pStyle w:val="NormalCentered"/>
        <w:autoSpaceDE w:val="0"/>
        <w:autoSpaceDN w:val="0"/>
        <w:rPr>
          <w:b/>
          <w:bCs/>
          <w:noProof/>
          <w:szCs w:val="24"/>
        </w:rPr>
      </w:pPr>
      <w:r>
        <w:rPr>
          <w:b/>
          <w:noProof/>
        </w:rPr>
        <w:t>Odgovornosti izvršnog direktora</w:t>
      </w:r>
    </w:p>
    <w:p w:rsidR="006C0808" w:rsidRDefault="00E3601E">
      <w:pPr>
        <w:rPr>
          <w:noProof/>
          <w:szCs w:val="24"/>
        </w:rPr>
      </w:pPr>
      <w:r>
        <w:rPr>
          <w:noProof/>
        </w:rPr>
        <w:t>1. Izvršni direktor upravlja BEREC-om. Izvršni direktor odgovara upravnom odboru.</w:t>
      </w:r>
    </w:p>
    <w:p w:rsidR="006C0808" w:rsidRDefault="00E3601E">
      <w:pPr>
        <w:rPr>
          <w:noProof/>
          <w:szCs w:val="24"/>
        </w:rPr>
      </w:pPr>
      <w:r>
        <w:rPr>
          <w:noProof/>
        </w:rPr>
        <w:t xml:space="preserve">2. Ne dovodeći u pitanje ovlasti Komisije i upravnog odbora, izvršni </w:t>
      </w:r>
      <w:r>
        <w:rPr>
          <w:noProof/>
        </w:rPr>
        <w:t>direktor neovisan je u obavljanju svojih dužnosti te ne smije tražiti ni primati upute ni od koje vlade, institucije, osobe ili tijela.</w:t>
      </w:r>
    </w:p>
    <w:p w:rsidR="006C0808" w:rsidRDefault="00E3601E">
      <w:pPr>
        <w:rPr>
          <w:noProof/>
          <w:szCs w:val="24"/>
        </w:rPr>
      </w:pPr>
      <w:r>
        <w:rPr>
          <w:noProof/>
        </w:rPr>
        <w:t>3. Izvršni direktor na poziv izvješćuje Europski parlament o izvršavanju svojih dužnosti. Vijeće može pozvati izvršnog d</w:t>
      </w:r>
      <w:r>
        <w:rPr>
          <w:noProof/>
        </w:rPr>
        <w:t>irektora kako bi ga on izvijestio o izvršavanju svojih dužnosti.</w:t>
      </w:r>
    </w:p>
    <w:p w:rsidR="006C0808" w:rsidRDefault="00E3601E">
      <w:pPr>
        <w:rPr>
          <w:noProof/>
          <w:szCs w:val="24"/>
        </w:rPr>
      </w:pPr>
      <w:r>
        <w:rPr>
          <w:noProof/>
        </w:rPr>
        <w:t>4. Izvršni direktor pravni je zastupnik BEREC-a.</w:t>
      </w:r>
    </w:p>
    <w:p w:rsidR="006C0808" w:rsidRDefault="00E3601E">
      <w:pPr>
        <w:rPr>
          <w:noProof/>
          <w:szCs w:val="24"/>
        </w:rPr>
      </w:pPr>
      <w:r>
        <w:rPr>
          <w:noProof/>
        </w:rPr>
        <w:t>5. Izvršni direktor odgovoran je za provedbu zadaća BEREC-a. Izvršni direktor posebno je odgovoran za sljedeće:</w:t>
      </w:r>
    </w:p>
    <w:p w:rsidR="006C0808" w:rsidRDefault="00E3601E">
      <w:pPr>
        <w:pStyle w:val="Point0letter"/>
        <w:numPr>
          <w:ilvl w:val="1"/>
          <w:numId w:val="24"/>
        </w:numPr>
        <w:rPr>
          <w:noProof/>
        </w:rPr>
      </w:pPr>
      <w:r>
        <w:rPr>
          <w:noProof/>
        </w:rPr>
        <w:t>redovno upravljanje BEREC-om;</w:t>
      </w:r>
    </w:p>
    <w:p w:rsidR="006C0808" w:rsidRDefault="00E3601E">
      <w:pPr>
        <w:pStyle w:val="Point0letter"/>
        <w:rPr>
          <w:noProof/>
        </w:rPr>
      </w:pPr>
      <w:r>
        <w:rPr>
          <w:noProof/>
        </w:rPr>
        <w:t>provedbu odluka koje je donio upravni odbor;</w:t>
      </w:r>
    </w:p>
    <w:p w:rsidR="006C0808" w:rsidRDefault="00E3601E">
      <w:pPr>
        <w:pStyle w:val="Point0letter"/>
        <w:rPr>
          <w:noProof/>
        </w:rPr>
      </w:pPr>
      <w:r>
        <w:rPr>
          <w:noProof/>
        </w:rPr>
        <w:t>pripremu jedinstvenog programskog dokumenta i njegovo podnošenje upravnom odboru;</w:t>
      </w:r>
    </w:p>
    <w:p w:rsidR="006C0808" w:rsidRDefault="00E3601E">
      <w:pPr>
        <w:pStyle w:val="Point0letter"/>
        <w:rPr>
          <w:noProof/>
        </w:rPr>
      </w:pPr>
      <w:r>
        <w:rPr>
          <w:noProof/>
        </w:rPr>
        <w:t>provedbu jedinstvenog programskog dokumenta i izvješćivanje upravnog odbora o njegovoj provedbi;</w:t>
      </w:r>
    </w:p>
    <w:p w:rsidR="006C0808" w:rsidRDefault="00E3601E">
      <w:pPr>
        <w:pStyle w:val="Point0letter"/>
        <w:rPr>
          <w:noProof/>
        </w:rPr>
      </w:pPr>
      <w:r>
        <w:rPr>
          <w:noProof/>
        </w:rPr>
        <w:t>pripremanje konsolidiranog godiš</w:t>
      </w:r>
      <w:r>
        <w:rPr>
          <w:noProof/>
        </w:rPr>
        <w:t>njeg izvješća o aktivnostima BEREC-a i njegovo dostavljanje upravnom odboru na ocjenu i donošenje;</w:t>
      </w:r>
    </w:p>
    <w:p w:rsidR="006C0808" w:rsidRDefault="00E3601E">
      <w:pPr>
        <w:pStyle w:val="Point0letter"/>
        <w:rPr>
          <w:noProof/>
        </w:rPr>
      </w:pPr>
      <w:r>
        <w:rPr>
          <w:noProof/>
        </w:rPr>
        <w:t xml:space="preserve">pripremu plana djelovanja na temelju zaključaka unutarnjih ili vanjskih revizijskih izvješća i ocjenjivanja te istraga koje provodi OLAF te za izvješćivanje </w:t>
      </w:r>
      <w:r>
        <w:rPr>
          <w:noProof/>
        </w:rPr>
        <w:t>o napretku Komisiji dva puta godišnje i redovito upravnom odboru;</w:t>
      </w:r>
    </w:p>
    <w:p w:rsidR="006C0808" w:rsidRDefault="00E3601E">
      <w:pPr>
        <w:pStyle w:val="Point0letter"/>
        <w:rPr>
          <w:noProof/>
        </w:rPr>
      </w:pPr>
      <w:r>
        <w:rPr>
          <w:noProof/>
        </w:rPr>
        <w:t>zaštitu financijskih interesa Unije primjenom preventivnih mjera za suzbijanje prijevara, korupcije i drugih nezakonitih aktivnosti učinkovitim provjerama i, ako su utvrđene nepravilnosti, p</w:t>
      </w:r>
      <w:r>
        <w:rPr>
          <w:noProof/>
        </w:rPr>
        <w:t>ovratom pogrešno isplaćenih iznosa te, ako je potrebno, određivanjem učinkovitih, proporcionalnih i odvraćajućih administrativnih mjera, uključujući financijske sankcije;</w:t>
      </w:r>
    </w:p>
    <w:p w:rsidR="006C0808" w:rsidRDefault="00E3601E">
      <w:pPr>
        <w:pStyle w:val="Point0letter"/>
        <w:rPr>
          <w:noProof/>
        </w:rPr>
      </w:pPr>
      <w:r>
        <w:rPr>
          <w:noProof/>
        </w:rPr>
        <w:t>pripremu strategije BEREC-a za borbu protiv prijevara i njezino podnošenje upravnom o</w:t>
      </w:r>
      <w:r>
        <w:rPr>
          <w:noProof/>
        </w:rPr>
        <w:t>dboru na odobrenje;</w:t>
      </w:r>
    </w:p>
    <w:p w:rsidR="006C0808" w:rsidRDefault="00E3601E">
      <w:pPr>
        <w:pStyle w:val="Point0letter"/>
        <w:rPr>
          <w:noProof/>
        </w:rPr>
      </w:pPr>
      <w:r>
        <w:rPr>
          <w:noProof/>
        </w:rPr>
        <w:t>pripremu nacrta financijskih pravila koja se primjenjuju na BEREC;</w:t>
      </w:r>
    </w:p>
    <w:p w:rsidR="006C0808" w:rsidRDefault="00E3601E">
      <w:pPr>
        <w:pStyle w:val="Point0letter"/>
        <w:rPr>
          <w:noProof/>
        </w:rPr>
      </w:pPr>
      <w:r>
        <w:rPr>
          <w:noProof/>
        </w:rPr>
        <w:t>pripremu nacrta izvješća BEREC-a o procjeni prihoda i rashoda i provedbu proračuna.</w:t>
      </w:r>
    </w:p>
    <w:p w:rsidR="006C0808" w:rsidRDefault="00E3601E">
      <w:pPr>
        <w:rPr>
          <w:noProof/>
          <w:szCs w:val="24"/>
        </w:rPr>
      </w:pPr>
      <w:r>
        <w:rPr>
          <w:noProof/>
        </w:rPr>
        <w:t>6. Izvršni direktor odgovoran je i za odlučivanje je li, radi učinkovitog i djelotvor</w:t>
      </w:r>
      <w:r>
        <w:rPr>
          <w:noProof/>
        </w:rPr>
        <w:t>nog obavljanja zadaća BEREC-a, potrebno locirati jednog zaposlenika ili više njih u jednoj državi članici ili više njih. Za odluku o osnivanju lokalnog ureda potrebna je prethodna suglasnost Komisije, upravnog odbora i predmetnih država članica. U odluci s</w:t>
      </w:r>
      <w:r>
        <w:rPr>
          <w:noProof/>
        </w:rPr>
        <w:t xml:space="preserve">e navodi opseg aktivnosti koje obavlja lokalni ured tako da se izbjegavaju nepotrebni troškovi i udvostručavanje administrativnih funkcija BEREC-a. </w:t>
      </w:r>
    </w:p>
    <w:p w:rsidR="006C0808" w:rsidRDefault="00E3601E">
      <w:pPr>
        <w:pStyle w:val="SectionTitle"/>
        <w:autoSpaceDE w:val="0"/>
        <w:autoSpaceDN w:val="0"/>
        <w:rPr>
          <w:rFonts w:eastAsiaTheme="minorEastAsia"/>
          <w:bCs/>
          <w:noProof/>
          <w:szCs w:val="28"/>
        </w:rPr>
      </w:pPr>
      <w:r>
        <w:rPr>
          <w:noProof/>
        </w:rPr>
        <w:t>ODJELJAK 3.</w:t>
      </w:r>
    </w:p>
    <w:p w:rsidR="006C0808" w:rsidRDefault="00E3601E">
      <w:pPr>
        <w:pStyle w:val="SectionTitle"/>
        <w:autoSpaceDE w:val="0"/>
        <w:autoSpaceDN w:val="0"/>
        <w:rPr>
          <w:noProof/>
          <w:sz w:val="24"/>
          <w:szCs w:val="24"/>
        </w:rPr>
      </w:pPr>
      <w:r>
        <w:rPr>
          <w:noProof/>
          <w:sz w:val="24"/>
        </w:rPr>
        <w:t>RADNE SKUPINE</w:t>
      </w:r>
    </w:p>
    <w:p w:rsidR="006C0808" w:rsidRDefault="00E3601E">
      <w:pPr>
        <w:pStyle w:val="Titrearticle"/>
        <w:rPr>
          <w:noProof/>
        </w:rPr>
      </w:pPr>
      <w:r>
        <w:rPr>
          <w:noProof/>
        </w:rPr>
        <w:t>Članak 10.</w:t>
      </w:r>
    </w:p>
    <w:p w:rsidR="006C0808" w:rsidRDefault="00E3601E">
      <w:pPr>
        <w:pStyle w:val="NormalCentered"/>
        <w:autoSpaceDE w:val="0"/>
        <w:autoSpaceDN w:val="0"/>
        <w:rPr>
          <w:b/>
          <w:bCs/>
          <w:noProof/>
        </w:rPr>
      </w:pPr>
      <w:r>
        <w:rPr>
          <w:b/>
          <w:noProof/>
        </w:rPr>
        <w:t>Funkcioniranje radnih skupina</w:t>
      </w:r>
    </w:p>
    <w:p w:rsidR="006C0808" w:rsidRDefault="00E3601E">
      <w:pPr>
        <w:rPr>
          <w:noProof/>
        </w:rPr>
      </w:pPr>
      <w:r>
        <w:rPr>
          <w:noProof/>
        </w:rPr>
        <w:t xml:space="preserve">1. Upravni odbor može uspostaviti </w:t>
      </w:r>
      <w:r>
        <w:rPr>
          <w:noProof/>
        </w:rPr>
        <w:t>potrebne radne skupine u opravdanim slučajevima, a posebno radi provedbe programa rada BEREC-a.</w:t>
      </w:r>
    </w:p>
    <w:p w:rsidR="006C0808" w:rsidRDefault="00E3601E">
      <w:pPr>
        <w:rPr>
          <w:noProof/>
        </w:rPr>
      </w:pPr>
      <w:r>
        <w:rPr>
          <w:noProof/>
        </w:rPr>
        <w:t>2. Upravni odbor imenuje članove radnih skupina u čijem radu mogu sudjelovati stručnjaci iz redova nacionalnih regulatornih tijela, Komisije, zaposlenika BEREC-</w:t>
      </w:r>
      <w:r>
        <w:rPr>
          <w:noProof/>
        </w:rPr>
        <w:t>a i nacionalnih regulatornih tijela trećih zemalja koje sudjeluju u radu BEREC-a.</w:t>
      </w:r>
    </w:p>
    <w:p w:rsidR="006C0808" w:rsidRDefault="00E3601E">
      <w:pPr>
        <w:rPr>
          <w:noProof/>
        </w:rPr>
      </w:pPr>
      <w:r>
        <w:rPr>
          <w:noProof/>
        </w:rPr>
        <w:t>Članovi radnih skupina koje su uspostavljene radi obavljanja zadaća iz članka 2. stavka 1. točke (d) treće alineje, imenuju se s popisa kvalificiranih stručnjaka koje dostave</w:t>
      </w:r>
      <w:r>
        <w:rPr>
          <w:noProof/>
        </w:rPr>
        <w:t xml:space="preserve"> nacionalna regulatorna tijela, Komisija i izvršni direktor.</w:t>
      </w:r>
    </w:p>
    <w:p w:rsidR="006C0808" w:rsidRDefault="00E3601E">
      <w:pPr>
        <w:rPr>
          <w:noProof/>
        </w:rPr>
      </w:pPr>
      <w:r>
        <w:rPr>
          <w:noProof/>
        </w:rPr>
        <w:t>Članovi radnih skupina koje su uspostavljene radi obavljanja zadaća iz članka 2. stavka 1. točke (d) druge alineje, imenuju se isključivo s popisa kvalificiranih stručnjaka koje dostave nacionaln</w:t>
      </w:r>
      <w:r>
        <w:rPr>
          <w:noProof/>
        </w:rPr>
        <w:t>a regulatorna tijela i izvršni direktor.</w:t>
      </w:r>
    </w:p>
    <w:p w:rsidR="006C0808" w:rsidRDefault="00E3601E">
      <w:pPr>
        <w:rPr>
          <w:noProof/>
        </w:rPr>
      </w:pPr>
      <w:r>
        <w:rPr>
          <w:noProof/>
        </w:rPr>
        <w:t>Upravni odbor može pozvati priznate stručnjake kompetentne u odgovarajućem području da sudjeluju u radnim skupinama prema potrebi i ovisno od slučaja do slučaja.</w:t>
      </w:r>
    </w:p>
    <w:p w:rsidR="006C0808" w:rsidRDefault="00E3601E">
      <w:pPr>
        <w:rPr>
          <w:noProof/>
        </w:rPr>
      </w:pPr>
      <w:r>
        <w:rPr>
          <w:noProof/>
        </w:rPr>
        <w:t xml:space="preserve">3. Zaposlenik BEREC-a imenovan u skladu s unutarnjim </w:t>
      </w:r>
      <w:r>
        <w:rPr>
          <w:noProof/>
        </w:rPr>
        <w:t>pravilnikom koordinira i moderira radne skupine.</w:t>
      </w:r>
    </w:p>
    <w:p w:rsidR="006C0808" w:rsidRDefault="00E3601E">
      <w:pPr>
        <w:rPr>
          <w:noProof/>
        </w:rPr>
      </w:pPr>
      <w:r>
        <w:rPr>
          <w:noProof/>
        </w:rPr>
        <w:t>4. Upravni odbor donosi unutarnji pravilnik kojim se utvrđuju praktični dogovori za rad radnih skupina.</w:t>
      </w:r>
    </w:p>
    <w:p w:rsidR="006C0808" w:rsidRDefault="00E3601E">
      <w:pPr>
        <w:rPr>
          <w:noProof/>
        </w:rPr>
      </w:pPr>
      <w:r>
        <w:rPr>
          <w:noProof/>
        </w:rPr>
        <w:t>5. BEREC pruža potporu radnim skupinama.</w:t>
      </w:r>
    </w:p>
    <w:p w:rsidR="006C0808" w:rsidRDefault="00E3601E">
      <w:pPr>
        <w:pStyle w:val="SectionTitle"/>
        <w:autoSpaceDE w:val="0"/>
        <w:autoSpaceDN w:val="0"/>
        <w:rPr>
          <w:rFonts w:eastAsiaTheme="minorEastAsia"/>
          <w:bCs/>
          <w:noProof/>
          <w:szCs w:val="28"/>
        </w:rPr>
      </w:pPr>
      <w:r>
        <w:rPr>
          <w:noProof/>
        </w:rPr>
        <w:t>ODJELJAK 4.</w:t>
      </w:r>
    </w:p>
    <w:p w:rsidR="006C0808" w:rsidRDefault="00E3601E">
      <w:pPr>
        <w:pStyle w:val="SectionTitle"/>
        <w:autoSpaceDE w:val="0"/>
        <w:autoSpaceDN w:val="0"/>
        <w:rPr>
          <w:noProof/>
          <w:sz w:val="24"/>
          <w:szCs w:val="24"/>
        </w:rPr>
      </w:pPr>
      <w:r>
        <w:rPr>
          <w:noProof/>
          <w:sz w:val="24"/>
        </w:rPr>
        <w:t>ODBOR ZA ŽALBE</w:t>
      </w:r>
    </w:p>
    <w:p w:rsidR="006C0808" w:rsidRDefault="00E3601E">
      <w:pPr>
        <w:pStyle w:val="Titrearticle"/>
        <w:rPr>
          <w:noProof/>
        </w:rPr>
      </w:pPr>
      <w:r>
        <w:rPr>
          <w:noProof/>
        </w:rPr>
        <w:t>Članak 11.</w:t>
      </w:r>
    </w:p>
    <w:p w:rsidR="006C0808" w:rsidRDefault="00E3601E">
      <w:pPr>
        <w:pStyle w:val="NormalCentered"/>
        <w:autoSpaceDE w:val="0"/>
        <w:autoSpaceDN w:val="0"/>
        <w:rPr>
          <w:b/>
          <w:bCs/>
          <w:noProof/>
        </w:rPr>
      </w:pPr>
      <w:r>
        <w:rPr>
          <w:b/>
          <w:noProof/>
        </w:rPr>
        <w:t xml:space="preserve">Osnivanje i sastav </w:t>
      </w:r>
      <w:r>
        <w:rPr>
          <w:b/>
          <w:noProof/>
        </w:rPr>
        <w:t>odbora za žalbe</w:t>
      </w:r>
    </w:p>
    <w:p w:rsidR="006C0808" w:rsidRDefault="00E3601E">
      <w:pPr>
        <w:rPr>
          <w:noProof/>
          <w:szCs w:val="24"/>
        </w:rPr>
      </w:pPr>
      <w:r>
        <w:rPr>
          <w:noProof/>
        </w:rPr>
        <w:t>1. BEREC osniva jedan odbor za žalbe.</w:t>
      </w:r>
    </w:p>
    <w:p w:rsidR="006C0808" w:rsidRDefault="00E3601E">
      <w:pPr>
        <w:rPr>
          <w:noProof/>
          <w:szCs w:val="24"/>
        </w:rPr>
      </w:pPr>
      <w:r>
        <w:rPr>
          <w:noProof/>
        </w:rPr>
        <w:t>2. Odbor za žalbe sastoji se od predsjednika i dvoje drugih članova. Svaki član odbora za žalbe ima zamjenika. Zamjenik predstavlja člana u njegovoj odsutnosti.</w:t>
      </w:r>
    </w:p>
    <w:p w:rsidR="006C0808" w:rsidRDefault="00E3601E">
      <w:pPr>
        <w:rPr>
          <w:noProof/>
          <w:szCs w:val="24"/>
        </w:rPr>
      </w:pPr>
      <w:r>
        <w:rPr>
          <w:noProof/>
        </w:rPr>
        <w:t>3. Upravni odbor imenuje predsjednika, os</w:t>
      </w:r>
      <w:r>
        <w:rPr>
          <w:noProof/>
        </w:rPr>
        <w:t>tale članove i njihove zamjenike s popisa kvalificiranih kandidata koji utvrđuje Komisija.</w:t>
      </w:r>
    </w:p>
    <w:p w:rsidR="006C0808" w:rsidRDefault="00E3601E">
      <w:pPr>
        <w:rPr>
          <w:noProof/>
          <w:szCs w:val="24"/>
        </w:rPr>
      </w:pPr>
      <w:r>
        <w:rPr>
          <w:noProof/>
        </w:rPr>
        <w:t>4. Ako odbor za žalbe smatra da je to zbog vrste žalbe potrebno, može od upravnog odbora zatražiti imenovanje dodatnih dvaju članova i njihovih zamjenika s popisa iz</w:t>
      </w:r>
      <w:r>
        <w:rPr>
          <w:noProof/>
        </w:rPr>
        <w:t xml:space="preserve"> stavka 3.</w:t>
      </w:r>
    </w:p>
    <w:p w:rsidR="006C0808" w:rsidRDefault="00E3601E">
      <w:pPr>
        <w:rPr>
          <w:noProof/>
          <w:szCs w:val="24"/>
        </w:rPr>
      </w:pPr>
      <w:r>
        <w:rPr>
          <w:noProof/>
        </w:rPr>
        <w:t>5. Komisija na prijedlog BEREC-a utvrđuje pravilnik odbora za žalbe nakon savjetovanja s upravnim odborom i u skladu s postupkom iz članka 36. stavka 2.</w:t>
      </w:r>
    </w:p>
    <w:p w:rsidR="006C0808" w:rsidRDefault="00E3601E">
      <w:pPr>
        <w:pStyle w:val="Titrearticle"/>
        <w:rPr>
          <w:noProof/>
        </w:rPr>
      </w:pPr>
      <w:r>
        <w:rPr>
          <w:noProof/>
        </w:rPr>
        <w:t>Članak 12.</w:t>
      </w:r>
    </w:p>
    <w:p w:rsidR="006C0808" w:rsidRDefault="00E3601E">
      <w:pPr>
        <w:pStyle w:val="NormalCentered"/>
        <w:autoSpaceDE w:val="0"/>
        <w:autoSpaceDN w:val="0"/>
        <w:rPr>
          <w:b/>
          <w:bCs/>
          <w:noProof/>
        </w:rPr>
      </w:pPr>
      <w:r>
        <w:rPr>
          <w:b/>
          <w:noProof/>
        </w:rPr>
        <w:t>Članovi odbora za žalbe</w:t>
      </w:r>
    </w:p>
    <w:p w:rsidR="006C0808" w:rsidRDefault="00E3601E">
      <w:pPr>
        <w:rPr>
          <w:noProof/>
          <w:szCs w:val="24"/>
        </w:rPr>
      </w:pPr>
      <w:r>
        <w:rPr>
          <w:noProof/>
        </w:rPr>
        <w:t>1. Mandat članova odbora i njihovih zamjenika traje četir</w:t>
      </w:r>
      <w:r>
        <w:rPr>
          <w:noProof/>
        </w:rPr>
        <w:t>i godine. Upravni odbor može na prijedlog Komisije produžiti njihov mandat za dodatna četverogodišnja razdoblja.</w:t>
      </w:r>
    </w:p>
    <w:p w:rsidR="006C0808" w:rsidRDefault="00E3601E">
      <w:pPr>
        <w:rPr>
          <w:noProof/>
          <w:szCs w:val="24"/>
        </w:rPr>
      </w:pPr>
      <w:r>
        <w:rPr>
          <w:noProof/>
        </w:rPr>
        <w:t>2. Članovi odbora za žalbe su neovisni i ne obavljaju druge dužnosti u BEREC-u. Pri donošenju odluka ne smiju tražiti ni primati upute ni od ko</w:t>
      </w:r>
      <w:r>
        <w:rPr>
          <w:noProof/>
        </w:rPr>
        <w:t>je vlade i ni od kojeg drugog tijela.</w:t>
      </w:r>
    </w:p>
    <w:p w:rsidR="006C0808" w:rsidRDefault="00E3601E">
      <w:pPr>
        <w:rPr>
          <w:noProof/>
          <w:szCs w:val="24"/>
        </w:rPr>
      </w:pPr>
      <w:r>
        <w:rPr>
          <w:noProof/>
        </w:rPr>
        <w:t>3. Članove odbora za žalbe ne smije se tijekom njihova mandata razriješiti dužnosti ili ukloniti s popisa kvalificiranih kandidata, osim ako za takvo razrješenje, odnosno uklanjanje s popisa kvalificiranih kandidata, p</w:t>
      </w:r>
      <w:r>
        <w:rPr>
          <w:noProof/>
        </w:rPr>
        <w:t>ostoje utemeljeni razlozi i ako upravni odbor tako odluči na prijedlog Komisije.</w:t>
      </w:r>
    </w:p>
    <w:p w:rsidR="006C0808" w:rsidRDefault="00E3601E">
      <w:pPr>
        <w:pStyle w:val="Titrearticle"/>
        <w:rPr>
          <w:noProof/>
        </w:rPr>
      </w:pPr>
      <w:r>
        <w:rPr>
          <w:noProof/>
        </w:rPr>
        <w:t>Članak 13.</w:t>
      </w:r>
    </w:p>
    <w:p w:rsidR="006C0808" w:rsidRDefault="00E3601E">
      <w:pPr>
        <w:pStyle w:val="NormalCentered"/>
        <w:autoSpaceDE w:val="0"/>
        <w:autoSpaceDN w:val="0"/>
        <w:rPr>
          <w:b/>
          <w:bCs/>
          <w:noProof/>
        </w:rPr>
      </w:pPr>
      <w:r>
        <w:rPr>
          <w:b/>
          <w:noProof/>
        </w:rPr>
        <w:t>Izuzeće i prigovor</w:t>
      </w:r>
    </w:p>
    <w:p w:rsidR="006C0808" w:rsidRDefault="00E3601E">
      <w:pPr>
        <w:rPr>
          <w:noProof/>
          <w:szCs w:val="24"/>
        </w:rPr>
      </w:pPr>
      <w:r>
        <w:rPr>
          <w:noProof/>
        </w:rPr>
        <w:t xml:space="preserve">1. Članovi odbora za žalbe ne sudjeluju u žalbenom postupku ako u njemu imaju bilo kakav osobni interes, ako su prethodno sudjelovali u postupku </w:t>
      </w:r>
      <w:r>
        <w:rPr>
          <w:noProof/>
        </w:rPr>
        <w:t>kao zastupnici jedne od strana ili su sudjelovali u donošenju odluke koja je predmet žalbe.</w:t>
      </w:r>
    </w:p>
    <w:p w:rsidR="006C0808" w:rsidRDefault="00E3601E">
      <w:pPr>
        <w:rPr>
          <w:noProof/>
          <w:szCs w:val="24"/>
        </w:rPr>
      </w:pPr>
      <w:r>
        <w:rPr>
          <w:noProof/>
        </w:rPr>
        <w:t>2. Ako član odbora za žalbe zbog nekog od razloga iz stavka 1. ili zbog bilo kojeg drugog razloga smatra da ne bi smio sudjelovati u žalbenom postupku, on o tome mo</w:t>
      </w:r>
      <w:r>
        <w:rPr>
          <w:noProof/>
        </w:rPr>
        <w:t>ra obavijestiti odbor za žalbe.</w:t>
      </w:r>
    </w:p>
    <w:p w:rsidR="006C0808" w:rsidRDefault="00E3601E">
      <w:pPr>
        <w:rPr>
          <w:noProof/>
          <w:szCs w:val="24"/>
        </w:rPr>
      </w:pPr>
      <w:r>
        <w:rPr>
          <w:noProof/>
        </w:rPr>
        <w:t>3. Strane u žalbenom postupku mogu uputiti prigovor na člana odbora za žalbe zbog nekog od razloga iz stavka 1. ili zbog sumnje u njegovu pristranost. Takav prigovor nije dopušten ako je strana u žalbenom postupku, unatoč to</w:t>
      </w:r>
      <w:r>
        <w:rPr>
          <w:noProof/>
        </w:rPr>
        <w:t>mu što je bila svjesna razloga za prigovor, poduzela postupovnu radnju. Prigovor se ne smije temeljiti na državljanstvu članova.</w:t>
      </w:r>
    </w:p>
    <w:p w:rsidR="006C0808" w:rsidRDefault="00E3601E">
      <w:pPr>
        <w:rPr>
          <w:noProof/>
          <w:szCs w:val="24"/>
        </w:rPr>
      </w:pPr>
      <w:r>
        <w:rPr>
          <w:noProof/>
        </w:rPr>
        <w:t>4. Odbor za žalbe odlučuje o mjerama koje treba poduzeti u slučajevima iz stavaka 2. i 3. bez sudjelovanja predmetnog člana. Za</w:t>
      </w:r>
      <w:r>
        <w:rPr>
          <w:noProof/>
        </w:rPr>
        <w:t xml:space="preserve"> potrebe donošenja navedene odluke, predmetnog člana u odboru za žalbe zamjenjuje njegov zamjenik.</w:t>
      </w:r>
    </w:p>
    <w:p w:rsidR="006C0808" w:rsidRDefault="00E3601E">
      <w:pPr>
        <w:pStyle w:val="Titrearticle"/>
        <w:rPr>
          <w:noProof/>
        </w:rPr>
      </w:pPr>
      <w:r>
        <w:rPr>
          <w:noProof/>
        </w:rPr>
        <w:t>Članak 14.</w:t>
      </w:r>
    </w:p>
    <w:p w:rsidR="006C0808" w:rsidRDefault="00E3601E">
      <w:pPr>
        <w:pStyle w:val="NormalCentered"/>
        <w:autoSpaceDE w:val="0"/>
        <w:autoSpaceDN w:val="0"/>
        <w:rPr>
          <w:b/>
          <w:bCs/>
          <w:noProof/>
        </w:rPr>
      </w:pPr>
      <w:r>
        <w:rPr>
          <w:b/>
          <w:noProof/>
        </w:rPr>
        <w:t>Odluke protiv kojih se može podnijeti žalba</w:t>
      </w:r>
    </w:p>
    <w:p w:rsidR="006C0808" w:rsidRDefault="00E3601E">
      <w:pPr>
        <w:rPr>
          <w:noProof/>
          <w:szCs w:val="24"/>
        </w:rPr>
      </w:pPr>
      <w:r>
        <w:rPr>
          <w:noProof/>
        </w:rPr>
        <w:t xml:space="preserve">1. U skladu s člankom 2. stavkom 1. točkom (b) protiv odluka BEREC-a može se podnijeti žalba odboru za žalbe. </w:t>
      </w:r>
    </w:p>
    <w:p w:rsidR="006C0808" w:rsidRDefault="00E3601E">
      <w:pPr>
        <w:rPr>
          <w:noProof/>
          <w:szCs w:val="24"/>
        </w:rPr>
      </w:pPr>
      <w:r>
        <w:rPr>
          <w:noProof/>
        </w:rPr>
        <w:t xml:space="preserve">Sve fizičke ili pravne osobe, uključujući nacionalna regulatorna tijela, mogu podnijeti žalbu protiv odluke iz ovog stavka koja je upućena njima </w:t>
      </w:r>
      <w:r>
        <w:rPr>
          <w:noProof/>
        </w:rPr>
        <w:t>ili protiv odluke koja se izravno i pojedinačno odnosi na njih iako je u obliku odluke upućene drugoj osobi.</w:t>
      </w:r>
    </w:p>
    <w:p w:rsidR="006C0808" w:rsidRDefault="00E3601E">
      <w:pPr>
        <w:rPr>
          <w:noProof/>
          <w:szCs w:val="24"/>
        </w:rPr>
      </w:pPr>
      <w:r>
        <w:rPr>
          <w:noProof/>
        </w:rPr>
        <w:t>2. Žalba podnesena u skladu sa stavkom 1. nema suspenzivni učinak. Međutim, odbor za žalbe može suspendirati primjenu odluke protiv koje je podnese</w:t>
      </w:r>
      <w:r>
        <w:rPr>
          <w:noProof/>
        </w:rPr>
        <w:t>na žalba.</w:t>
      </w:r>
    </w:p>
    <w:p w:rsidR="006C0808" w:rsidRDefault="00E3601E">
      <w:pPr>
        <w:pStyle w:val="SectionTitle"/>
        <w:autoSpaceDE w:val="0"/>
        <w:autoSpaceDN w:val="0"/>
        <w:rPr>
          <w:rFonts w:eastAsiaTheme="minorEastAsia"/>
          <w:bCs/>
          <w:noProof/>
          <w:szCs w:val="28"/>
        </w:rPr>
      </w:pPr>
      <w:r>
        <w:rPr>
          <w:noProof/>
        </w:rPr>
        <w:t>POGLAVLJE III.</w:t>
      </w:r>
    </w:p>
    <w:p w:rsidR="006C0808" w:rsidRDefault="00E3601E">
      <w:pPr>
        <w:pStyle w:val="SectionTitle"/>
        <w:autoSpaceDE w:val="0"/>
        <w:autoSpaceDN w:val="0"/>
        <w:rPr>
          <w:rFonts w:eastAsiaTheme="minorEastAsia"/>
          <w:bCs/>
          <w:noProof/>
          <w:szCs w:val="28"/>
        </w:rPr>
      </w:pPr>
      <w:r>
        <w:rPr>
          <w:noProof/>
          <w:sz w:val="22"/>
        </w:rPr>
        <w:t>DONOŠENJE I STRUKTURA PRORAČUNA</w:t>
      </w:r>
    </w:p>
    <w:p w:rsidR="006C0808" w:rsidRDefault="00E3601E">
      <w:pPr>
        <w:pStyle w:val="SectionTitle"/>
        <w:autoSpaceDE w:val="0"/>
        <w:autoSpaceDN w:val="0"/>
        <w:rPr>
          <w:rFonts w:eastAsiaTheme="minorEastAsia"/>
          <w:bCs/>
          <w:noProof/>
          <w:szCs w:val="28"/>
        </w:rPr>
      </w:pPr>
      <w:r>
        <w:rPr>
          <w:noProof/>
        </w:rPr>
        <w:t>ODJELJAK 1.</w:t>
      </w:r>
    </w:p>
    <w:p w:rsidR="006C0808" w:rsidRDefault="00E3601E">
      <w:pPr>
        <w:pStyle w:val="SectionTitle"/>
        <w:autoSpaceDE w:val="0"/>
        <w:autoSpaceDN w:val="0"/>
        <w:rPr>
          <w:noProof/>
          <w:sz w:val="24"/>
          <w:szCs w:val="24"/>
        </w:rPr>
      </w:pPr>
      <w:r>
        <w:rPr>
          <w:noProof/>
          <w:sz w:val="24"/>
        </w:rPr>
        <w:t>JEDINSTVENI PROGRAMSKI DOKUMENT</w:t>
      </w:r>
    </w:p>
    <w:p w:rsidR="006C0808" w:rsidRDefault="00E3601E">
      <w:pPr>
        <w:pStyle w:val="Titrearticle"/>
        <w:rPr>
          <w:noProof/>
        </w:rPr>
      </w:pPr>
      <w:r>
        <w:rPr>
          <w:noProof/>
        </w:rPr>
        <w:t>Članak 15.</w:t>
      </w:r>
    </w:p>
    <w:p w:rsidR="006C0808" w:rsidRDefault="00E3601E">
      <w:pPr>
        <w:pStyle w:val="NormalCentered"/>
        <w:autoSpaceDE w:val="0"/>
        <w:autoSpaceDN w:val="0"/>
        <w:rPr>
          <w:b/>
          <w:bCs/>
          <w:noProof/>
        </w:rPr>
      </w:pPr>
      <w:r>
        <w:rPr>
          <w:b/>
          <w:noProof/>
        </w:rPr>
        <w:t>Godišnje i višegodišnje programiranje</w:t>
      </w:r>
    </w:p>
    <w:p w:rsidR="006C0808" w:rsidRDefault="00E3601E">
      <w:pPr>
        <w:keepLines/>
        <w:autoSpaceDE w:val="0"/>
        <w:autoSpaceDN w:val="0"/>
        <w:adjustRightInd w:val="0"/>
        <w:rPr>
          <w:noProof/>
        </w:rPr>
      </w:pPr>
      <w:r>
        <w:rPr>
          <w:noProof/>
        </w:rPr>
        <w:t>1. Svake godine izvršni direktor sastavlja programski dokument koji sadržava godišnje i višegodišnje progr</w:t>
      </w:r>
      <w:r>
        <w:rPr>
          <w:noProof/>
        </w:rPr>
        <w:t>amiranje („jedinstveni programski dokument”) u skladu s člankom 32. Delegirane uredbe Komisije (EU) br. 1271/2013 te uzimajući u obzir smjernice Komisije</w:t>
      </w:r>
      <w:r>
        <w:rPr>
          <w:rStyle w:val="FootnoteReference"/>
          <w:noProof/>
        </w:rPr>
        <w:footnoteReference w:id="38"/>
      </w:r>
      <w:r>
        <w:rPr>
          <w:noProof/>
        </w:rPr>
        <w:t>.</w:t>
      </w:r>
    </w:p>
    <w:p w:rsidR="006C0808" w:rsidRDefault="00E3601E">
      <w:pPr>
        <w:rPr>
          <w:noProof/>
        </w:rPr>
      </w:pPr>
      <w:r>
        <w:rPr>
          <w:noProof/>
        </w:rPr>
        <w:t>Upravni odbor donosi nacrt jedinstvenog programskog dokumenta do 31. siječnja i dostavlja ga Komisij</w:t>
      </w:r>
      <w:r>
        <w:rPr>
          <w:noProof/>
        </w:rPr>
        <w:t>i kako bi ona dala svoje mišljenje. Nacrt jedinstvenog programskog dokumenta dostavlja se i Europskom parlamentu i Vijeću.</w:t>
      </w:r>
    </w:p>
    <w:p w:rsidR="006C0808" w:rsidRDefault="00E3601E">
      <w:pPr>
        <w:keepLines/>
        <w:autoSpaceDE w:val="0"/>
        <w:autoSpaceDN w:val="0"/>
        <w:adjustRightInd w:val="0"/>
        <w:rPr>
          <w:noProof/>
        </w:rPr>
      </w:pPr>
      <w:r>
        <w:rPr>
          <w:noProof/>
        </w:rPr>
        <w:t>Upravni odbor potom donosi jedinstveni programski dokument uzimajući u obzir mišljenje Komisije. Upravni odbor dostavlja navedeni dok</w:t>
      </w:r>
      <w:r>
        <w:rPr>
          <w:noProof/>
        </w:rPr>
        <w:t>ument i sve njegove naknadne ažurirane verzije Europskom parlamentu, Vijeću i Komisiji.</w:t>
      </w:r>
    </w:p>
    <w:p w:rsidR="006C0808" w:rsidRDefault="00E3601E">
      <w:pPr>
        <w:rPr>
          <w:noProof/>
        </w:rPr>
      </w:pPr>
      <w:r>
        <w:rPr>
          <w:noProof/>
        </w:rPr>
        <w:t>Jedinstveni programski dokument postaje konačan nakon završnog donošenja općeg proračuna te se, ako je potrebno, može u skladu s njim prilagoditi.</w:t>
      </w:r>
    </w:p>
    <w:p w:rsidR="006C0808" w:rsidRDefault="00E3601E">
      <w:pPr>
        <w:rPr>
          <w:noProof/>
        </w:rPr>
      </w:pPr>
      <w:r>
        <w:rPr>
          <w:noProof/>
        </w:rPr>
        <w:t>2. Godišnji program r</w:t>
      </w:r>
      <w:r>
        <w:rPr>
          <w:noProof/>
        </w:rPr>
        <w:t>ada obuhvaća detaljne ciljeve i očekivane rezultate, uključujući pokazatelje uspješnosti. Sadržava i opis aktivnosti koje će se financirati i podatke o ljudskim i financijskim resursima dodijeljenima za svaku aktivnost, u skladu s načelima planiranja prora</w:t>
      </w:r>
      <w:r>
        <w:rPr>
          <w:noProof/>
        </w:rPr>
        <w:t>čuna i upravljanja proračunom po aktivnostima. Godišnji program rada usklađen je s višegodišnjim programom rada iz stavka 4. U njemu su jasno navedene zadaće koje su dodane, izmijenjene ili izbrisane u usporedbi s prethodnom financijskom godinom.</w:t>
      </w:r>
    </w:p>
    <w:p w:rsidR="006C0808" w:rsidRDefault="00E3601E">
      <w:pPr>
        <w:keepLines/>
        <w:autoSpaceDE w:val="0"/>
        <w:autoSpaceDN w:val="0"/>
        <w:adjustRightInd w:val="0"/>
        <w:rPr>
          <w:noProof/>
        </w:rPr>
      </w:pPr>
      <w:r>
        <w:rPr>
          <w:noProof/>
        </w:rPr>
        <w:t xml:space="preserve">3. </w:t>
      </w:r>
      <w:r>
        <w:rPr>
          <w:noProof/>
        </w:rPr>
        <w:t>Upravni odbor mijenja doneseni godišnji program rada ako BEREC dobije novu zadaću.</w:t>
      </w:r>
    </w:p>
    <w:p w:rsidR="006C0808" w:rsidRDefault="00E3601E">
      <w:pPr>
        <w:rPr>
          <w:noProof/>
        </w:rPr>
      </w:pPr>
      <w:r>
        <w:rPr>
          <w:noProof/>
        </w:rPr>
        <w:t>Svaka velika izmjena godišnjeg programa rada donosi se jednakim postupkom kao i početni godišnji program rada. Upravni odbor može ovlast za donošenje manjih izmjena godišnje</w:t>
      </w:r>
      <w:r>
        <w:rPr>
          <w:noProof/>
        </w:rPr>
        <w:t>g programa rada delegirati izvršnom direktoru.</w:t>
      </w:r>
    </w:p>
    <w:p w:rsidR="006C0808" w:rsidRDefault="00E3601E">
      <w:pPr>
        <w:keepLines/>
        <w:autoSpaceDE w:val="0"/>
        <w:autoSpaceDN w:val="0"/>
        <w:adjustRightInd w:val="0"/>
        <w:rPr>
          <w:noProof/>
        </w:rPr>
      </w:pPr>
      <w:r>
        <w:rPr>
          <w:noProof/>
        </w:rPr>
        <w:t>4. U višegodišnjem programu rada navodi se opće strateško programiranje, uključujući ciljeve, očekivane rezultate i pokazatelje uspješnosti. On sadržava i programiranje resursa, uključujući višegodišnji prorač</w:t>
      </w:r>
      <w:r>
        <w:rPr>
          <w:noProof/>
        </w:rPr>
        <w:t>un i osoblje.</w:t>
      </w:r>
    </w:p>
    <w:p w:rsidR="006C0808" w:rsidRDefault="00E3601E">
      <w:pPr>
        <w:rPr>
          <w:noProof/>
        </w:rPr>
      </w:pPr>
      <w:r>
        <w:rPr>
          <w:noProof/>
        </w:rPr>
        <w:t>Programiranje resursa ažurira se svake godine. Strateški program ažurira se prema potrebi, posebno na temelju rezultata ocjenjivanja iz članka 38.</w:t>
      </w:r>
    </w:p>
    <w:p w:rsidR="006C0808" w:rsidRDefault="00E3601E">
      <w:pPr>
        <w:rPr>
          <w:noProof/>
        </w:rPr>
      </w:pPr>
      <w:r>
        <w:rPr>
          <w:noProof/>
        </w:rPr>
        <w:t>5. Godišnje i/ili višegodišnje programiranje uključuje strategiju za odnose s nadležnim tijelim</w:t>
      </w:r>
      <w:r>
        <w:rPr>
          <w:noProof/>
        </w:rPr>
        <w:t>a, agencijama, uredima i savjetodavnim skupinama Unije, s nadležnim tijelima trećih zemalja i/ili s međunarodnim organizacijama iz članka 26., aktivnosti povezane s tom strategijom i specifikaciju povezanih resursa.</w:t>
      </w:r>
    </w:p>
    <w:p w:rsidR="006C0808" w:rsidRDefault="00E3601E">
      <w:pPr>
        <w:pStyle w:val="Titrearticle"/>
        <w:rPr>
          <w:noProof/>
        </w:rPr>
      </w:pPr>
      <w:r>
        <w:rPr>
          <w:noProof/>
        </w:rPr>
        <w:t>Članak 16.</w:t>
      </w:r>
    </w:p>
    <w:p w:rsidR="006C0808" w:rsidRDefault="00E3601E">
      <w:pPr>
        <w:pStyle w:val="NormalCentered"/>
        <w:autoSpaceDE w:val="0"/>
        <w:autoSpaceDN w:val="0"/>
        <w:rPr>
          <w:b/>
          <w:bCs/>
          <w:noProof/>
        </w:rPr>
      </w:pPr>
      <w:r>
        <w:rPr>
          <w:b/>
          <w:noProof/>
        </w:rPr>
        <w:t>Donošenje proračuna</w:t>
      </w:r>
    </w:p>
    <w:p w:rsidR="006C0808" w:rsidRDefault="00E3601E">
      <w:pPr>
        <w:rPr>
          <w:noProof/>
        </w:rPr>
      </w:pPr>
      <w:r>
        <w:rPr>
          <w:noProof/>
        </w:rPr>
        <w:t>1. Izvršn</w:t>
      </w:r>
      <w:r>
        <w:rPr>
          <w:noProof/>
        </w:rPr>
        <w:t>i direktor svake godine sastavlja privremeni nacrt prihoda i rashoda BEREC-a za sljedeću financijsku godinu, u koji je uključen i plan radnih mjesta, te ga šalje upravnom odboru.</w:t>
      </w:r>
    </w:p>
    <w:p w:rsidR="006C0808" w:rsidRDefault="00E3601E">
      <w:pPr>
        <w:rPr>
          <w:noProof/>
        </w:rPr>
      </w:pPr>
      <w:r>
        <w:rPr>
          <w:noProof/>
        </w:rPr>
        <w:t>2. Upravni odbor na osnovi tog privremenog nacrta donosi privremeni nacrt pro</w:t>
      </w:r>
      <w:r>
        <w:rPr>
          <w:noProof/>
        </w:rPr>
        <w:t>cjene prihoda i rashoda BEREC-a za sljedeću financijsku godinu.</w:t>
      </w:r>
    </w:p>
    <w:p w:rsidR="006C0808" w:rsidRDefault="00E3601E">
      <w:pPr>
        <w:rPr>
          <w:noProof/>
        </w:rPr>
      </w:pPr>
      <w:r>
        <w:rPr>
          <w:noProof/>
        </w:rPr>
        <w:t>3. Izvršni direktor Komisiji šalje nacrt procjene prihoda i rashoda BEREC-a do 31. siječnja svake godine. Podaci su u nacrtu procjene prihoda i rashoda BEREC-a i u nacrtu jedinstvenog programs</w:t>
      </w:r>
      <w:r>
        <w:rPr>
          <w:noProof/>
        </w:rPr>
        <w:t>kog dokumenta iz članka 15. stavka 1. usklađeni.</w:t>
      </w:r>
    </w:p>
    <w:p w:rsidR="006C0808" w:rsidRDefault="00E3601E">
      <w:pPr>
        <w:rPr>
          <w:noProof/>
        </w:rPr>
      </w:pPr>
      <w:r>
        <w:rPr>
          <w:noProof/>
        </w:rPr>
        <w:t>4. Komisija šalje nacrt procjene proračunskom tijelu zajedno s nacrtom općeg proračuna Unije.</w:t>
      </w:r>
    </w:p>
    <w:p w:rsidR="006C0808" w:rsidRDefault="00E3601E">
      <w:pPr>
        <w:rPr>
          <w:noProof/>
        </w:rPr>
      </w:pPr>
      <w:r>
        <w:rPr>
          <w:noProof/>
        </w:rPr>
        <w:t xml:space="preserve">5. Komisija na temelju nacrta procjene u nacrt općeg proračuna Unije uvrštava procjene koje smatra potrebnima za </w:t>
      </w:r>
      <w:r>
        <w:rPr>
          <w:noProof/>
        </w:rPr>
        <w:t>plan radnih mjesta i za iznos doprinosa koji će se naplatiti iz općeg proračuna te ga podnosi proračunskom tijelu u skladu s člancima 313. i 314. Ugovora.</w:t>
      </w:r>
    </w:p>
    <w:p w:rsidR="006C0808" w:rsidRDefault="00E3601E">
      <w:pPr>
        <w:rPr>
          <w:noProof/>
        </w:rPr>
      </w:pPr>
      <w:r>
        <w:rPr>
          <w:noProof/>
        </w:rPr>
        <w:t>6. Proračunsko tijelo odobrava sredstva za doprinos BEREC-u.</w:t>
      </w:r>
    </w:p>
    <w:p w:rsidR="006C0808" w:rsidRDefault="00E3601E">
      <w:pPr>
        <w:rPr>
          <w:noProof/>
        </w:rPr>
      </w:pPr>
      <w:r>
        <w:rPr>
          <w:noProof/>
        </w:rPr>
        <w:t>7. Proračunsko tijelo donosi plan radnih</w:t>
      </w:r>
      <w:r>
        <w:rPr>
          <w:noProof/>
        </w:rPr>
        <w:t xml:space="preserve"> mjesta BEREC-a.</w:t>
      </w:r>
    </w:p>
    <w:p w:rsidR="006C0808" w:rsidRDefault="00E3601E">
      <w:pPr>
        <w:rPr>
          <w:noProof/>
        </w:rPr>
      </w:pPr>
      <w:r>
        <w:rPr>
          <w:noProof/>
        </w:rPr>
        <w:t>8. Proračun BEREC-a donosi upravni odbor. Proračun postaje konačan nakon konačnog donošenja općeg proračuna Unije. Proračun se prema potrebi prilagođava na odgovarajući način.</w:t>
      </w:r>
    </w:p>
    <w:p w:rsidR="006C0808" w:rsidRDefault="00E3601E">
      <w:pPr>
        <w:rPr>
          <w:noProof/>
        </w:rPr>
      </w:pPr>
      <w:r>
        <w:rPr>
          <w:noProof/>
        </w:rPr>
        <w:t>9. Na svaki projekt izgradnje objekata koji bi mogao imati znat</w:t>
      </w:r>
      <w:r>
        <w:rPr>
          <w:noProof/>
        </w:rPr>
        <w:t>an utjecaj na proračun BEREC-a primjenjuju se odredbe Delegirane uredbe Komisije (EU) br. 1271/2013.</w:t>
      </w:r>
    </w:p>
    <w:p w:rsidR="006C0808" w:rsidRDefault="006C0808">
      <w:pPr>
        <w:rPr>
          <w:noProof/>
        </w:rPr>
      </w:pPr>
    </w:p>
    <w:p w:rsidR="006C0808" w:rsidRDefault="00E3601E">
      <w:pPr>
        <w:pStyle w:val="SectionTitle"/>
        <w:autoSpaceDE w:val="0"/>
        <w:autoSpaceDN w:val="0"/>
        <w:rPr>
          <w:rFonts w:eastAsiaTheme="minorEastAsia"/>
          <w:bCs/>
          <w:noProof/>
          <w:szCs w:val="28"/>
        </w:rPr>
      </w:pPr>
      <w:r>
        <w:rPr>
          <w:noProof/>
        </w:rPr>
        <w:t>ODJELJAK 2.</w:t>
      </w:r>
    </w:p>
    <w:p w:rsidR="006C0808" w:rsidRDefault="00E3601E">
      <w:pPr>
        <w:pStyle w:val="SectionTitle"/>
        <w:autoSpaceDE w:val="0"/>
        <w:autoSpaceDN w:val="0"/>
        <w:rPr>
          <w:noProof/>
          <w:sz w:val="24"/>
          <w:szCs w:val="24"/>
        </w:rPr>
      </w:pPr>
      <w:r>
        <w:rPr>
          <w:noProof/>
          <w:sz w:val="22"/>
        </w:rPr>
        <w:t>IZVRŠENJE I KONTROLA PRORAČUNA I PODNOŠENJE FINANCIJSKIH IZVJEŠTAJA</w:t>
      </w:r>
    </w:p>
    <w:p w:rsidR="006C0808" w:rsidRDefault="00E3601E">
      <w:pPr>
        <w:pStyle w:val="Titrearticle"/>
        <w:rPr>
          <w:noProof/>
        </w:rPr>
      </w:pPr>
      <w:r>
        <w:rPr>
          <w:noProof/>
        </w:rPr>
        <w:t>Članak 17.</w:t>
      </w:r>
    </w:p>
    <w:p w:rsidR="006C0808" w:rsidRDefault="00E3601E">
      <w:pPr>
        <w:pStyle w:val="NormalCentered"/>
        <w:autoSpaceDE w:val="0"/>
        <w:autoSpaceDN w:val="0"/>
        <w:rPr>
          <w:b/>
          <w:bCs/>
          <w:noProof/>
          <w:szCs w:val="24"/>
        </w:rPr>
      </w:pPr>
      <w:r>
        <w:rPr>
          <w:b/>
          <w:noProof/>
        </w:rPr>
        <w:t>Struktura proračuna</w:t>
      </w:r>
    </w:p>
    <w:p w:rsidR="006C0808" w:rsidRDefault="00E3601E">
      <w:pPr>
        <w:rPr>
          <w:noProof/>
        </w:rPr>
      </w:pPr>
      <w:r>
        <w:rPr>
          <w:noProof/>
        </w:rPr>
        <w:t xml:space="preserve">1. Procjene svih prihoda i rashoda berec-a </w:t>
      </w:r>
      <w:r>
        <w:rPr>
          <w:noProof/>
        </w:rPr>
        <w:t>pripremaju se svake financijske godine koja odgovara kalendarskoj godini i prikazuju se u proračunu BEREC-a.</w:t>
      </w:r>
    </w:p>
    <w:p w:rsidR="006C0808" w:rsidRDefault="00E3601E">
      <w:pPr>
        <w:rPr>
          <w:noProof/>
        </w:rPr>
      </w:pPr>
      <w:r>
        <w:rPr>
          <w:noProof/>
        </w:rPr>
        <w:t>2. Proračun BEREC-a uravnotežen je u smislu prihoda i rashoda.</w:t>
      </w:r>
    </w:p>
    <w:p w:rsidR="006C0808" w:rsidRDefault="00E3601E">
      <w:pPr>
        <w:rPr>
          <w:noProof/>
        </w:rPr>
      </w:pPr>
      <w:r>
        <w:rPr>
          <w:noProof/>
        </w:rPr>
        <w:t>3. Ne dovodeći u pitanje ostale izvore, u prihode BEREC-a ubrajaju se:</w:t>
      </w:r>
    </w:p>
    <w:p w:rsidR="006C0808" w:rsidRDefault="00E3601E">
      <w:pPr>
        <w:pStyle w:val="Point0letter"/>
        <w:numPr>
          <w:ilvl w:val="1"/>
          <w:numId w:val="25"/>
        </w:numPr>
        <w:rPr>
          <w:noProof/>
        </w:rPr>
      </w:pPr>
      <w:r>
        <w:rPr>
          <w:noProof/>
        </w:rPr>
        <w:t>doprinos Unij</w:t>
      </w:r>
      <w:r>
        <w:rPr>
          <w:noProof/>
        </w:rPr>
        <w:t>e;</w:t>
      </w:r>
    </w:p>
    <w:p w:rsidR="006C0808" w:rsidRDefault="00E3601E">
      <w:pPr>
        <w:pStyle w:val="Point0letter"/>
        <w:rPr>
          <w:noProof/>
        </w:rPr>
      </w:pPr>
      <w:r>
        <w:rPr>
          <w:noProof/>
        </w:rPr>
        <w:t>svi dobrovoljni financijski doprinosi država članica ili nacionalnih regulatornih tijela;</w:t>
      </w:r>
    </w:p>
    <w:p w:rsidR="006C0808" w:rsidRDefault="00E3601E">
      <w:pPr>
        <w:pStyle w:val="Point0letter"/>
        <w:rPr>
          <w:noProof/>
        </w:rPr>
      </w:pPr>
      <w:r>
        <w:rPr>
          <w:noProof/>
        </w:rPr>
        <w:t>naknade za publikacije i sve ostale usluge koje pruža BEREC;</w:t>
      </w:r>
    </w:p>
    <w:p w:rsidR="006C0808" w:rsidRDefault="00E3601E">
      <w:pPr>
        <w:pStyle w:val="Point0letter"/>
        <w:rPr>
          <w:noProof/>
        </w:rPr>
      </w:pPr>
      <w:r>
        <w:rPr>
          <w:noProof/>
        </w:rPr>
        <w:t>svi doprinosi trećih zemalja ili regulatornih tijela nadležnih za elektroničke komunikacije trećih zem</w:t>
      </w:r>
      <w:r>
        <w:rPr>
          <w:noProof/>
        </w:rPr>
        <w:t>alja koji sudjeluju u radu BEREC-a kako je predviđeno člankom 26.</w:t>
      </w:r>
    </w:p>
    <w:p w:rsidR="006C0808" w:rsidRDefault="00E3601E">
      <w:pPr>
        <w:rPr>
          <w:noProof/>
        </w:rPr>
      </w:pPr>
      <w:r>
        <w:rPr>
          <w:noProof/>
        </w:rPr>
        <w:t>4. Rashodi BEREC-a uključuju naknade osoblju, administrativne i infrastrukturne troškove te troškove poslovanja.</w:t>
      </w:r>
    </w:p>
    <w:p w:rsidR="006C0808" w:rsidRDefault="00E3601E">
      <w:pPr>
        <w:pStyle w:val="Titrearticle"/>
        <w:rPr>
          <w:noProof/>
        </w:rPr>
      </w:pPr>
      <w:r>
        <w:rPr>
          <w:noProof/>
        </w:rPr>
        <w:t>Članak 18.</w:t>
      </w:r>
    </w:p>
    <w:p w:rsidR="006C0808" w:rsidRDefault="00E3601E">
      <w:pPr>
        <w:pStyle w:val="NormalCentered"/>
        <w:autoSpaceDE w:val="0"/>
        <w:autoSpaceDN w:val="0"/>
        <w:rPr>
          <w:b/>
          <w:bCs/>
          <w:noProof/>
          <w:szCs w:val="24"/>
        </w:rPr>
      </w:pPr>
      <w:r>
        <w:rPr>
          <w:b/>
          <w:noProof/>
        </w:rPr>
        <w:t>Izvršenje proračuna</w:t>
      </w:r>
    </w:p>
    <w:p w:rsidR="006C0808" w:rsidRDefault="00E3601E">
      <w:pPr>
        <w:rPr>
          <w:noProof/>
        </w:rPr>
      </w:pPr>
      <w:r>
        <w:rPr>
          <w:noProof/>
        </w:rPr>
        <w:t>1. Izvršni direktor izvršava proračun BEREC-a.</w:t>
      </w:r>
    </w:p>
    <w:p w:rsidR="006C0808" w:rsidRDefault="00E3601E">
      <w:pPr>
        <w:rPr>
          <w:noProof/>
        </w:rPr>
      </w:pPr>
      <w:r>
        <w:rPr>
          <w:noProof/>
        </w:rPr>
        <w:t>2. Izvršni direktor svake godine šalje proračunskom tijelu sve informacije koje su važne za rezultate postupaka ocjenjivanja.</w:t>
      </w:r>
    </w:p>
    <w:p w:rsidR="006C0808" w:rsidRDefault="00E3601E">
      <w:pPr>
        <w:pStyle w:val="Titrearticle"/>
        <w:rPr>
          <w:noProof/>
        </w:rPr>
      </w:pPr>
      <w:r>
        <w:rPr>
          <w:noProof/>
        </w:rPr>
        <w:t>Članak 19.</w:t>
      </w:r>
    </w:p>
    <w:p w:rsidR="006C0808" w:rsidRDefault="00E3601E">
      <w:pPr>
        <w:pStyle w:val="NormalCentered"/>
        <w:autoSpaceDE w:val="0"/>
        <w:autoSpaceDN w:val="0"/>
        <w:rPr>
          <w:b/>
          <w:bCs/>
          <w:noProof/>
        </w:rPr>
      </w:pPr>
      <w:r>
        <w:rPr>
          <w:b/>
          <w:noProof/>
        </w:rPr>
        <w:t>Podnošenje financijskih izvještaja i razrješnica</w:t>
      </w:r>
    </w:p>
    <w:p w:rsidR="006C0808" w:rsidRDefault="00E3601E">
      <w:pPr>
        <w:rPr>
          <w:noProof/>
        </w:rPr>
      </w:pPr>
      <w:r>
        <w:rPr>
          <w:noProof/>
        </w:rPr>
        <w:t>1. Do 1. ožujka sljedeće godine, računovodstveni službenik BEREC-a do</w:t>
      </w:r>
      <w:r>
        <w:rPr>
          <w:noProof/>
        </w:rPr>
        <w:t>stavlja privremeni financijski izvještaj računovodstvenom službeniku Komisije i Revizorskom sudu.</w:t>
      </w:r>
    </w:p>
    <w:p w:rsidR="006C0808" w:rsidRDefault="00E3601E">
      <w:pPr>
        <w:rPr>
          <w:noProof/>
        </w:rPr>
      </w:pPr>
      <w:r>
        <w:rPr>
          <w:noProof/>
        </w:rPr>
        <w:t xml:space="preserve">2. Do 31. ožujka sljedeće financijske godine BEREC dostavlja izvješće o proračunskom i financijskom upravljanju Europskom parlamentu, Vijeću i Revizorskom </w:t>
      </w:r>
      <w:r>
        <w:rPr>
          <w:noProof/>
        </w:rPr>
        <w:t>sudu.</w:t>
      </w:r>
    </w:p>
    <w:p w:rsidR="006C0808" w:rsidRDefault="00E3601E">
      <w:pPr>
        <w:rPr>
          <w:noProof/>
        </w:rPr>
      </w:pPr>
      <w:r>
        <w:rPr>
          <w:noProof/>
        </w:rPr>
        <w:t>3. Po primitku opažanja Revizorskog suda o privremenim financijskim izvještajima BEREC-a, računovodstveni službenik BEREC-a sastavlja završne financijske izvještaje BEREC-a na vlastitu odgovornost. Izvršni direktor dostavlja završne financijske izvje</w:t>
      </w:r>
      <w:r>
        <w:rPr>
          <w:noProof/>
        </w:rPr>
        <w:t>štaje upravnom odboru na donošenje mišljenja.</w:t>
      </w:r>
    </w:p>
    <w:p w:rsidR="006C0808" w:rsidRDefault="00E3601E">
      <w:pPr>
        <w:rPr>
          <w:noProof/>
        </w:rPr>
      </w:pPr>
      <w:r>
        <w:rPr>
          <w:noProof/>
        </w:rPr>
        <w:t>4. Upravni odbor daje mišljenje o završnim financijskim izvještajima BEREC-a.</w:t>
      </w:r>
    </w:p>
    <w:p w:rsidR="006C0808" w:rsidRDefault="00E3601E">
      <w:pPr>
        <w:rPr>
          <w:noProof/>
        </w:rPr>
      </w:pPr>
      <w:r>
        <w:rPr>
          <w:noProof/>
        </w:rPr>
        <w:t xml:space="preserve">5. Izvršni direktor do 1. srpnja nakon svake proračunske godine dostavlja završne financijske izvještaje, zajedno s mišljenjem </w:t>
      </w:r>
      <w:r>
        <w:rPr>
          <w:noProof/>
        </w:rPr>
        <w:t>upravnog odbora, Europskom parlamentu, Vijeću, Komisiji i Revizorskom sudu.</w:t>
      </w:r>
    </w:p>
    <w:p w:rsidR="006C0808" w:rsidRDefault="00E3601E">
      <w:pPr>
        <w:rPr>
          <w:noProof/>
        </w:rPr>
      </w:pPr>
      <w:r>
        <w:rPr>
          <w:noProof/>
        </w:rPr>
        <w:t xml:space="preserve">6. BEREC objavljuje završne financijske izvještaje u </w:t>
      </w:r>
      <w:r>
        <w:rPr>
          <w:i/>
          <w:noProof/>
        </w:rPr>
        <w:t>Službenom listu Europske unije</w:t>
      </w:r>
      <w:r>
        <w:rPr>
          <w:noProof/>
        </w:rPr>
        <w:t xml:space="preserve"> do 15. studenoga sljedeće godine.</w:t>
      </w:r>
    </w:p>
    <w:p w:rsidR="006C0808" w:rsidRDefault="00E3601E">
      <w:pPr>
        <w:rPr>
          <w:noProof/>
        </w:rPr>
      </w:pPr>
      <w:r>
        <w:rPr>
          <w:noProof/>
        </w:rPr>
        <w:t>7. Izvršni direktor do 30. rujna dostavlja Revizorskom sudu od</w:t>
      </w:r>
      <w:r>
        <w:rPr>
          <w:noProof/>
        </w:rPr>
        <w:t>govor na njegove primjedbe. Izvršni direktor taj odgovor šalje i upravnom odboru.</w:t>
      </w:r>
    </w:p>
    <w:p w:rsidR="006C0808" w:rsidRDefault="00E3601E">
      <w:pPr>
        <w:rPr>
          <w:noProof/>
        </w:rPr>
      </w:pPr>
      <w:r>
        <w:rPr>
          <w:noProof/>
        </w:rPr>
        <w:t>8. Izvršni direktor Europskom parlamentu na njegov zahtjev podnosi sve podatke potrebne za nesmetanu primjenu postupka davanja razrješnice za predmetnu financijsku godinu u s</w:t>
      </w:r>
      <w:r>
        <w:rPr>
          <w:noProof/>
        </w:rPr>
        <w:t>kladu s člankom 165. stavkom 3. Financijske uredbe</w:t>
      </w:r>
      <w:r>
        <w:rPr>
          <w:rStyle w:val="FootnoteReference"/>
          <w:noProof/>
        </w:rPr>
        <w:t xml:space="preserve"> </w:t>
      </w:r>
      <w:r>
        <w:rPr>
          <w:rStyle w:val="FootnoteReference"/>
          <w:noProof/>
        </w:rPr>
        <w:footnoteReference w:id="39"/>
      </w:r>
      <w:r>
        <w:rPr>
          <w:noProof/>
        </w:rPr>
        <w:t>.</w:t>
      </w:r>
    </w:p>
    <w:p w:rsidR="006C0808" w:rsidRDefault="00E3601E">
      <w:pPr>
        <w:rPr>
          <w:noProof/>
        </w:rPr>
      </w:pPr>
      <w:r>
        <w:rPr>
          <w:noProof/>
        </w:rPr>
        <w:t>9. Na temelju preporuke Vijeća koje odlučuje kvalificiranom većinom, Europski parlament prije 15. svibnja godine N + 2 daje razrješnicu izvršnom direktoru s obzirom na izvršenje proračuna za godinu N.</w:t>
      </w:r>
    </w:p>
    <w:p w:rsidR="006C0808" w:rsidRDefault="00E3601E">
      <w:pPr>
        <w:pStyle w:val="Titrearticle"/>
        <w:rPr>
          <w:noProof/>
        </w:rPr>
      </w:pPr>
      <w:r>
        <w:rPr>
          <w:noProof/>
        </w:rPr>
        <w:t>Č</w:t>
      </w:r>
      <w:r>
        <w:rPr>
          <w:noProof/>
        </w:rPr>
        <w:t>lanak 20.</w:t>
      </w:r>
    </w:p>
    <w:p w:rsidR="006C0808" w:rsidRDefault="00E3601E">
      <w:pPr>
        <w:pStyle w:val="NormalCentered"/>
        <w:autoSpaceDE w:val="0"/>
        <w:autoSpaceDN w:val="0"/>
        <w:rPr>
          <w:b/>
          <w:bCs/>
          <w:noProof/>
          <w:szCs w:val="24"/>
        </w:rPr>
      </w:pPr>
      <w:r>
        <w:rPr>
          <w:b/>
          <w:noProof/>
        </w:rPr>
        <w:t>Financijska pravila</w:t>
      </w:r>
    </w:p>
    <w:p w:rsidR="006C0808" w:rsidRDefault="00E3601E">
      <w:pPr>
        <w:rPr>
          <w:noProof/>
        </w:rPr>
      </w:pPr>
      <w:r>
        <w:rPr>
          <w:noProof/>
        </w:rPr>
        <w:t>Financijska pravila koja se primjenjuju na BEREC donosi upravni odbor nakon savjetovanja s Komisijom. Ona ne odstupaju od Uredbe (EU) br. 1271/2013, osim ako je to odstupanje posebno potrebno za rad BEREC-a i ako je Komisija p</w:t>
      </w:r>
      <w:r>
        <w:rPr>
          <w:noProof/>
        </w:rPr>
        <w:t>rethodno dala suglasnost.</w:t>
      </w:r>
    </w:p>
    <w:p w:rsidR="006C0808" w:rsidRDefault="00E3601E">
      <w:pPr>
        <w:pStyle w:val="SectionTitle"/>
        <w:autoSpaceDE w:val="0"/>
        <w:autoSpaceDN w:val="0"/>
        <w:rPr>
          <w:rFonts w:eastAsiaTheme="minorEastAsia"/>
          <w:bCs/>
          <w:noProof/>
          <w:szCs w:val="28"/>
        </w:rPr>
      </w:pPr>
      <w:r>
        <w:rPr>
          <w:noProof/>
        </w:rPr>
        <w:t>POGLAVLJE IV.</w:t>
      </w:r>
    </w:p>
    <w:p w:rsidR="006C0808" w:rsidRDefault="00E3601E">
      <w:pPr>
        <w:pStyle w:val="SectionTitle"/>
        <w:autoSpaceDE w:val="0"/>
        <w:autoSpaceDN w:val="0"/>
        <w:rPr>
          <w:noProof/>
          <w:sz w:val="22"/>
        </w:rPr>
      </w:pPr>
      <w:r>
        <w:rPr>
          <w:noProof/>
          <w:sz w:val="22"/>
        </w:rPr>
        <w:t>OSOBLJE</w:t>
      </w:r>
    </w:p>
    <w:p w:rsidR="006C0808" w:rsidRDefault="00E3601E">
      <w:pPr>
        <w:pStyle w:val="Titrearticle"/>
        <w:rPr>
          <w:noProof/>
        </w:rPr>
      </w:pPr>
      <w:r>
        <w:rPr>
          <w:noProof/>
        </w:rPr>
        <w:t>Članak 21.</w:t>
      </w:r>
    </w:p>
    <w:p w:rsidR="006C0808" w:rsidRDefault="00E3601E">
      <w:pPr>
        <w:pStyle w:val="NormalCentered"/>
        <w:autoSpaceDE w:val="0"/>
        <w:autoSpaceDN w:val="0"/>
        <w:rPr>
          <w:b/>
          <w:bCs/>
          <w:noProof/>
          <w:szCs w:val="24"/>
        </w:rPr>
      </w:pPr>
      <w:r>
        <w:rPr>
          <w:b/>
          <w:noProof/>
        </w:rPr>
        <w:t>Opće odredbe</w:t>
      </w:r>
    </w:p>
    <w:p w:rsidR="006C0808" w:rsidRDefault="00E3601E">
      <w:pPr>
        <w:rPr>
          <w:noProof/>
        </w:rPr>
      </w:pPr>
      <w:r>
        <w:rPr>
          <w:noProof/>
        </w:rPr>
        <w:t>Na osoblje BEREC-a primjenjuju se Pravilnik o osoblju i Uvjeti zaposlenja ostalih službenika te pravila koja su zajednički donijele institucije Unije za provedbu Pravilnika o osoblju i</w:t>
      </w:r>
      <w:r>
        <w:rPr>
          <w:noProof/>
        </w:rPr>
        <w:t xml:space="preserve"> Uvjeta zaposlenja ostalih službenika.</w:t>
      </w:r>
    </w:p>
    <w:p w:rsidR="006C0808" w:rsidRDefault="00E3601E">
      <w:pPr>
        <w:pStyle w:val="Titrearticle"/>
        <w:rPr>
          <w:noProof/>
        </w:rPr>
      </w:pPr>
      <w:r>
        <w:rPr>
          <w:noProof/>
        </w:rPr>
        <w:t>Članak 22.</w:t>
      </w:r>
    </w:p>
    <w:p w:rsidR="006C0808" w:rsidRDefault="00E3601E">
      <w:pPr>
        <w:pStyle w:val="NormalCentered"/>
        <w:autoSpaceDE w:val="0"/>
        <w:autoSpaceDN w:val="0"/>
        <w:rPr>
          <w:b/>
          <w:bCs/>
          <w:noProof/>
          <w:szCs w:val="24"/>
        </w:rPr>
      </w:pPr>
      <w:r>
        <w:rPr>
          <w:b/>
          <w:noProof/>
        </w:rPr>
        <w:t>Imenovanje izvršnog direktora</w:t>
      </w:r>
    </w:p>
    <w:p w:rsidR="006C0808" w:rsidRDefault="00E3601E">
      <w:pPr>
        <w:rPr>
          <w:noProof/>
        </w:rPr>
      </w:pPr>
      <w:r>
        <w:rPr>
          <w:noProof/>
        </w:rPr>
        <w:t>1. Izvršni direktor zaposlen je kao privremeni djelatnik BEREC-a u skladu s člankom 2. točkom (a) Uvjeta zaposlenja ostalih službenika.</w:t>
      </w:r>
    </w:p>
    <w:p w:rsidR="006C0808" w:rsidRDefault="00E3601E">
      <w:pPr>
        <w:keepLines/>
        <w:rPr>
          <w:noProof/>
        </w:rPr>
      </w:pPr>
      <w:r>
        <w:rPr>
          <w:noProof/>
        </w:rPr>
        <w:t>2. Nakon otvorenog i transparentnog post</w:t>
      </w:r>
      <w:r>
        <w:rPr>
          <w:noProof/>
        </w:rPr>
        <w:t>upka odabira izvršnog direktora imenuje upravni odbor s popisa kandidata koje je predložila Komisija.</w:t>
      </w:r>
    </w:p>
    <w:p w:rsidR="006C0808" w:rsidRDefault="00E3601E">
      <w:pPr>
        <w:keepLines/>
        <w:rPr>
          <w:noProof/>
        </w:rPr>
      </w:pPr>
      <w:r>
        <w:rPr>
          <w:noProof/>
        </w:rPr>
        <w:t>Za potrebe sklapanja ugovora s izvršnim direktorom, predsjednik upravnog odbora zastupa BEREC.</w:t>
      </w:r>
    </w:p>
    <w:p w:rsidR="006C0808" w:rsidRDefault="00E3601E">
      <w:pPr>
        <w:rPr>
          <w:rFonts w:eastAsia="Calibri"/>
          <w:noProof/>
        </w:rPr>
      </w:pPr>
      <w:r>
        <w:rPr>
          <w:noProof/>
        </w:rPr>
        <w:t>Prije imenovanja, kandidat kojeg je upravni odbor odabrao m</w:t>
      </w:r>
      <w:r>
        <w:rPr>
          <w:noProof/>
        </w:rPr>
        <w:t>ože biti pozvan da ispred nadležnog odbora Europskog parlamenta dâ izjavu i odgovori na pitanja njegovih članova.</w:t>
      </w:r>
    </w:p>
    <w:p w:rsidR="006C0808" w:rsidRDefault="00E3601E">
      <w:pPr>
        <w:rPr>
          <w:rFonts w:eastAsia="Calibri"/>
          <w:noProof/>
        </w:rPr>
      </w:pPr>
      <w:r>
        <w:rPr>
          <w:noProof/>
        </w:rPr>
        <w:t>3. Mandat izvršnoga direktora traje pet godina. Prije isteka tog razdoblja, Komisija obavlja procjenu u kojoj uzima u obzir ocjenu rada izvršn</w:t>
      </w:r>
      <w:r>
        <w:rPr>
          <w:noProof/>
        </w:rPr>
        <w:t>og direktora i budućih zadaća i izazova BEREC-a.</w:t>
      </w:r>
    </w:p>
    <w:p w:rsidR="006C0808" w:rsidRDefault="00E3601E">
      <w:pPr>
        <w:rPr>
          <w:rFonts w:eastAsia="Calibri"/>
          <w:noProof/>
        </w:rPr>
      </w:pPr>
      <w:r>
        <w:rPr>
          <w:noProof/>
        </w:rPr>
        <w:t>4. Upravni odbor, djelujući na prijedlog Komisije u kojem se uzima u obzir procjena iz stavka 3., može mandat izvršnog direktora produljiti jednom, za najviše pet godina.</w:t>
      </w:r>
    </w:p>
    <w:p w:rsidR="006C0808" w:rsidRDefault="00E3601E">
      <w:pPr>
        <w:rPr>
          <w:rFonts w:eastAsia="Calibri"/>
          <w:noProof/>
        </w:rPr>
      </w:pPr>
      <w:r>
        <w:rPr>
          <w:noProof/>
        </w:rPr>
        <w:t>5. Upravni odbor obavještava Europsk</w:t>
      </w:r>
      <w:r>
        <w:rPr>
          <w:noProof/>
        </w:rPr>
        <w:t>i parlament o tome da namjerava produljiti mandat izvršnog direktora. U roku od mjesec dana prije svakog takvog produljenja, izvršni direktor može biti pozvan da dâ izjavu pred nadležnim odborom Europskog parlamenta i da odgovori na sva pitanja njegovih čl</w:t>
      </w:r>
      <w:r>
        <w:rPr>
          <w:noProof/>
        </w:rPr>
        <w:t>anova.</w:t>
      </w:r>
    </w:p>
    <w:p w:rsidR="006C0808" w:rsidRDefault="00E3601E">
      <w:pPr>
        <w:rPr>
          <w:rFonts w:eastAsia="Calibri"/>
          <w:noProof/>
        </w:rPr>
      </w:pPr>
      <w:r>
        <w:rPr>
          <w:noProof/>
        </w:rPr>
        <w:t>6. Izvršni direktor kojem je produljen mandat ne može na kraju posljednjeg mandata sudjelovati u drugom postupku odabira za isto radno mjesto.</w:t>
      </w:r>
    </w:p>
    <w:p w:rsidR="006C0808" w:rsidRDefault="00E3601E">
      <w:pPr>
        <w:rPr>
          <w:rFonts w:eastAsia="Calibri"/>
          <w:noProof/>
        </w:rPr>
      </w:pPr>
      <w:r>
        <w:rPr>
          <w:noProof/>
        </w:rPr>
        <w:t>7. Izvršni direktor može biti razriješen dužnosti isključivo na temelju odluke upravnog odbora donesene na</w:t>
      </w:r>
      <w:r>
        <w:rPr>
          <w:noProof/>
        </w:rPr>
        <w:t xml:space="preserve"> prijedlog Komisije.</w:t>
      </w:r>
    </w:p>
    <w:p w:rsidR="006C0808" w:rsidRDefault="00E3601E">
      <w:pPr>
        <w:rPr>
          <w:noProof/>
        </w:rPr>
      </w:pPr>
      <w:r>
        <w:rPr>
          <w:noProof/>
        </w:rPr>
        <w:t>8. Upravni odbor odluku o imenovanju, produljenju mandata ili razrješenju dužnosti izvršnog direktora donosi dvotrećinskom većinom glasova članova s pravom glasa.</w:t>
      </w:r>
    </w:p>
    <w:p w:rsidR="006C0808" w:rsidRDefault="00E3601E">
      <w:pPr>
        <w:pStyle w:val="Titrearticle"/>
        <w:rPr>
          <w:noProof/>
        </w:rPr>
      </w:pPr>
      <w:r>
        <w:rPr>
          <w:noProof/>
        </w:rPr>
        <w:t>Članak 23.</w:t>
      </w:r>
    </w:p>
    <w:p w:rsidR="006C0808" w:rsidRDefault="00E3601E">
      <w:pPr>
        <w:pStyle w:val="NormalCentered"/>
        <w:autoSpaceDE w:val="0"/>
        <w:autoSpaceDN w:val="0"/>
        <w:rPr>
          <w:b/>
          <w:bCs/>
          <w:noProof/>
          <w:szCs w:val="24"/>
        </w:rPr>
      </w:pPr>
      <w:r>
        <w:rPr>
          <w:b/>
          <w:noProof/>
        </w:rPr>
        <w:t>Upućeni nacionalni stručnjaci i ostalo osoblje</w:t>
      </w:r>
    </w:p>
    <w:p w:rsidR="006C0808" w:rsidRDefault="00E3601E">
      <w:pPr>
        <w:rPr>
          <w:rFonts w:eastAsia="Calibri"/>
          <w:noProof/>
        </w:rPr>
      </w:pPr>
      <w:r>
        <w:rPr>
          <w:noProof/>
        </w:rPr>
        <w:t xml:space="preserve">1. BEREC može </w:t>
      </w:r>
      <w:r>
        <w:rPr>
          <w:noProof/>
        </w:rPr>
        <w:t>angažirati upućene nacionalne stručnjake i ostalo osoblje koje nije zaposleno u BEREC-u. Na to se osoblje ne primjenjuju Pravilnik o osoblju i Uvjeti zaposlenja ostalih službenika.</w:t>
      </w:r>
    </w:p>
    <w:p w:rsidR="006C0808" w:rsidRDefault="00E3601E">
      <w:pPr>
        <w:rPr>
          <w:noProof/>
        </w:rPr>
      </w:pPr>
      <w:r>
        <w:rPr>
          <w:noProof/>
        </w:rPr>
        <w:t xml:space="preserve">2. Upravni odbor donosi odluku kojom utvrđuje pravila o upućivanju </w:t>
      </w:r>
      <w:r>
        <w:rPr>
          <w:noProof/>
        </w:rPr>
        <w:t>nacionalnih stručnjaka u BEREC.</w:t>
      </w:r>
    </w:p>
    <w:p w:rsidR="006C0808" w:rsidRDefault="00E3601E">
      <w:pPr>
        <w:pStyle w:val="SectionTitle"/>
        <w:autoSpaceDE w:val="0"/>
        <w:autoSpaceDN w:val="0"/>
        <w:rPr>
          <w:rFonts w:eastAsiaTheme="minorEastAsia"/>
          <w:bCs/>
          <w:noProof/>
          <w:szCs w:val="28"/>
        </w:rPr>
      </w:pPr>
      <w:r>
        <w:rPr>
          <w:noProof/>
        </w:rPr>
        <w:t>POGLAVLJE V.:</w:t>
      </w:r>
    </w:p>
    <w:p w:rsidR="006C0808" w:rsidRDefault="00E3601E">
      <w:pPr>
        <w:pStyle w:val="SectionTitle"/>
        <w:autoSpaceDE w:val="0"/>
        <w:autoSpaceDN w:val="0"/>
        <w:rPr>
          <w:noProof/>
          <w:sz w:val="22"/>
        </w:rPr>
      </w:pPr>
      <w:r>
        <w:rPr>
          <w:noProof/>
          <w:sz w:val="22"/>
        </w:rPr>
        <w:t>OPĆE ODREDBE</w:t>
      </w:r>
    </w:p>
    <w:p w:rsidR="006C0808" w:rsidRDefault="00E3601E">
      <w:pPr>
        <w:pStyle w:val="Titrearticle"/>
        <w:rPr>
          <w:noProof/>
        </w:rPr>
      </w:pPr>
      <w:r>
        <w:rPr>
          <w:noProof/>
        </w:rPr>
        <w:t>Članak 24.</w:t>
      </w:r>
    </w:p>
    <w:p w:rsidR="006C0808" w:rsidRDefault="00E3601E">
      <w:pPr>
        <w:pStyle w:val="NormalCentered"/>
        <w:autoSpaceDE w:val="0"/>
        <w:autoSpaceDN w:val="0"/>
        <w:rPr>
          <w:b/>
          <w:bCs/>
          <w:noProof/>
          <w:szCs w:val="24"/>
        </w:rPr>
      </w:pPr>
      <w:r>
        <w:rPr>
          <w:b/>
          <w:noProof/>
        </w:rPr>
        <w:t>Pravni status</w:t>
      </w:r>
    </w:p>
    <w:p w:rsidR="006C0808" w:rsidRDefault="00E3601E">
      <w:pPr>
        <w:rPr>
          <w:rFonts w:eastAsia="Calibri"/>
          <w:noProof/>
        </w:rPr>
      </w:pPr>
      <w:r>
        <w:rPr>
          <w:noProof/>
        </w:rPr>
        <w:t>1. BEREC je tijelo Europske unije. Ima pravnu osobnost.</w:t>
      </w:r>
    </w:p>
    <w:p w:rsidR="006C0808" w:rsidRDefault="00E3601E">
      <w:pPr>
        <w:rPr>
          <w:rFonts w:eastAsia="Calibri"/>
          <w:noProof/>
        </w:rPr>
      </w:pPr>
      <w:r>
        <w:rPr>
          <w:noProof/>
        </w:rPr>
        <w:t>2. U svim državama članicama BEREC ima najširu pravnu sposobnost koja prema njihovim nacionalnim zakonima pripada pr</w:t>
      </w:r>
      <w:r>
        <w:rPr>
          <w:noProof/>
        </w:rPr>
        <w:t>avnim osobama. Točnije, on može stjecati pokretnine i nekretnine i raspolagati njima te biti stranka u sudskim postupcima.</w:t>
      </w:r>
    </w:p>
    <w:p w:rsidR="006C0808" w:rsidRDefault="00E3601E">
      <w:pPr>
        <w:rPr>
          <w:rFonts w:eastAsia="Calibri"/>
          <w:noProof/>
        </w:rPr>
      </w:pPr>
      <w:r>
        <w:rPr>
          <w:noProof/>
        </w:rPr>
        <w:t>3. Izvršni direktor zastupa BEREC.</w:t>
      </w:r>
    </w:p>
    <w:p w:rsidR="006C0808" w:rsidRDefault="00E3601E">
      <w:pPr>
        <w:rPr>
          <w:rFonts w:eastAsia="Calibri"/>
          <w:noProof/>
        </w:rPr>
      </w:pPr>
      <w:r>
        <w:rPr>
          <w:noProof/>
        </w:rPr>
        <w:t>4. BEREC snosi isključivu odgovornost za zadaće i ovlasti koje su mu dodijeljene.</w:t>
      </w:r>
    </w:p>
    <w:p w:rsidR="006C0808" w:rsidRDefault="00E3601E">
      <w:pPr>
        <w:pStyle w:val="Titrearticle"/>
        <w:rPr>
          <w:noProof/>
        </w:rPr>
      </w:pPr>
      <w:r>
        <w:rPr>
          <w:noProof/>
        </w:rPr>
        <w:t>Članak 25.</w:t>
      </w:r>
    </w:p>
    <w:p w:rsidR="006C0808" w:rsidRDefault="00E3601E">
      <w:pPr>
        <w:pStyle w:val="NormalCentered"/>
        <w:autoSpaceDE w:val="0"/>
        <w:autoSpaceDN w:val="0"/>
        <w:rPr>
          <w:b/>
          <w:bCs/>
          <w:noProof/>
        </w:rPr>
      </w:pPr>
      <w:r>
        <w:rPr>
          <w:b/>
          <w:noProof/>
        </w:rPr>
        <w:t>Povla</w:t>
      </w:r>
      <w:r>
        <w:rPr>
          <w:b/>
          <w:noProof/>
        </w:rPr>
        <w:t>stice i imuniteti</w:t>
      </w:r>
    </w:p>
    <w:p w:rsidR="006C0808" w:rsidRDefault="00E3601E">
      <w:pPr>
        <w:rPr>
          <w:rFonts w:eastAsia="Calibri"/>
          <w:noProof/>
        </w:rPr>
      </w:pPr>
      <w:r>
        <w:rPr>
          <w:noProof/>
        </w:rPr>
        <w:t>Protokol o povlasticama i imunitetima Europske unije primjenjuje se na BEREC i njegovo osoblje.</w:t>
      </w:r>
    </w:p>
    <w:p w:rsidR="006C0808" w:rsidRDefault="00E3601E">
      <w:pPr>
        <w:pStyle w:val="Titrearticle"/>
        <w:rPr>
          <w:noProof/>
        </w:rPr>
      </w:pPr>
      <w:r>
        <w:rPr>
          <w:noProof/>
        </w:rPr>
        <w:t>Članak 26.</w:t>
      </w:r>
    </w:p>
    <w:p w:rsidR="006C0808" w:rsidRDefault="00E3601E">
      <w:pPr>
        <w:pStyle w:val="NormalCentered"/>
        <w:autoSpaceDE w:val="0"/>
        <w:autoSpaceDN w:val="0"/>
        <w:rPr>
          <w:b/>
          <w:bCs/>
          <w:noProof/>
        </w:rPr>
      </w:pPr>
      <w:r>
        <w:rPr>
          <w:b/>
          <w:noProof/>
        </w:rPr>
        <w:t>Suradnja s tijelima Unije, trećim zemljama i međunarodnim organizacijama</w:t>
      </w:r>
    </w:p>
    <w:p w:rsidR="006C0808" w:rsidRDefault="00E3601E">
      <w:pPr>
        <w:rPr>
          <w:rFonts w:eastAsia="Calibri"/>
          <w:noProof/>
        </w:rPr>
      </w:pPr>
      <w:r>
        <w:rPr>
          <w:noProof/>
        </w:rPr>
        <w:t>1. BEREC može surađivati s nadležnim tijelima, agencijama,</w:t>
      </w:r>
      <w:r>
        <w:rPr>
          <w:noProof/>
        </w:rPr>
        <w:t xml:space="preserve"> uredima i savjetodavnim skupinama Unije, s nadležnim tijelima trećih zemalja i/ili s međunarodnim organizacijama u mjeri u kojoj je to nužno za postizanje ciljeva utvrđenih ovom Uredbom i izvršavanje zadaća te bez dovođenja u pitanje nadležnosti država čl</w:t>
      </w:r>
      <w:r>
        <w:rPr>
          <w:noProof/>
        </w:rPr>
        <w:t>anica i institucija Unije.</w:t>
      </w:r>
    </w:p>
    <w:p w:rsidR="006C0808" w:rsidRDefault="00E3601E">
      <w:pPr>
        <w:rPr>
          <w:rFonts w:eastAsia="Calibri"/>
          <w:noProof/>
        </w:rPr>
      </w:pPr>
      <w:r>
        <w:rPr>
          <w:noProof/>
        </w:rPr>
        <w:t>U tu svrhu BEREC, uz prethodno odobrenje Komisije, može sklapati radne dogovore. Tim se dogovorima ne stvaraju pravne obveze za Uniju i njezine države članice.</w:t>
      </w:r>
    </w:p>
    <w:p w:rsidR="006C0808" w:rsidRDefault="00E3601E">
      <w:pPr>
        <w:rPr>
          <w:noProof/>
        </w:rPr>
      </w:pPr>
      <w:r>
        <w:rPr>
          <w:noProof/>
        </w:rPr>
        <w:t xml:space="preserve">2. BEREC je otvoren za sudjelovanje regulatornih tijela nadležnih za </w:t>
      </w:r>
      <w:r>
        <w:rPr>
          <w:noProof/>
        </w:rPr>
        <w:t>elektroničke komunikacije trećih zemalja koje su sklopile sporazume s Unijom u tu svrhu.</w:t>
      </w:r>
    </w:p>
    <w:p w:rsidR="006C0808" w:rsidRDefault="00E3601E">
      <w:pPr>
        <w:rPr>
          <w:noProof/>
        </w:rPr>
      </w:pPr>
      <w:r>
        <w:rPr>
          <w:noProof/>
        </w:rPr>
        <w:t>U skladu s odgovarajućim odredbama navedenih sporazuma postižu se dogovori u kojima se posebno navodi priroda, opseg i način na koji će navedena regulatorna tijela tre</w:t>
      </w:r>
      <w:r>
        <w:rPr>
          <w:noProof/>
        </w:rPr>
        <w:t>ćih zemalja sudjelovati u radu BEREC-a, uključujući odredbe o sudjelovanju u inicijativama BEREC-a, financijskim doprinosima i osoblju. U pogledu osoblja ti dogovori moraju uvijek biti u skladu s Pravilnikom o osoblju.</w:t>
      </w:r>
    </w:p>
    <w:p w:rsidR="006C0808" w:rsidRDefault="00E3601E">
      <w:pPr>
        <w:rPr>
          <w:noProof/>
        </w:rPr>
      </w:pPr>
      <w:r>
        <w:rPr>
          <w:noProof/>
        </w:rPr>
        <w:t>3. Upravni odbor kao dio jedinstvenog</w:t>
      </w:r>
      <w:r>
        <w:rPr>
          <w:noProof/>
        </w:rPr>
        <w:t xml:space="preserve"> programskog dokumenta donosi strategiju za odnose s nadležnim tijelima, agencijama, uredima i savjetodavnim skupinama Unije, s nadležnim tijelima trećih zemalja i/ili s međunarodnim organizacijama u području pitanja nadležnosti BEREC-a. Komisija i agencij</w:t>
      </w:r>
      <w:r>
        <w:rPr>
          <w:noProof/>
        </w:rPr>
        <w:t>a sklapaju odgovarajući radni dogovor kako bi se osiguralo da BEREC djeluje u okviru svojih ovlasti i postojećeg institucionalnog okvira.</w:t>
      </w:r>
    </w:p>
    <w:p w:rsidR="006C0808" w:rsidRDefault="00E3601E">
      <w:pPr>
        <w:pStyle w:val="Titrearticle"/>
        <w:rPr>
          <w:noProof/>
        </w:rPr>
      </w:pPr>
      <w:r>
        <w:rPr>
          <w:noProof/>
        </w:rPr>
        <w:t>Članak 27.</w:t>
      </w:r>
    </w:p>
    <w:p w:rsidR="006C0808" w:rsidRDefault="00E3601E">
      <w:pPr>
        <w:pStyle w:val="NormalCentered"/>
        <w:autoSpaceDE w:val="0"/>
        <w:autoSpaceDN w:val="0"/>
        <w:rPr>
          <w:b/>
          <w:bCs/>
          <w:noProof/>
        </w:rPr>
      </w:pPr>
      <w:r>
        <w:rPr>
          <w:b/>
          <w:noProof/>
        </w:rPr>
        <w:t>Transparentnost i komunikacija</w:t>
      </w:r>
    </w:p>
    <w:p w:rsidR="006C0808" w:rsidRDefault="00E3601E">
      <w:pPr>
        <w:rPr>
          <w:noProof/>
        </w:rPr>
      </w:pPr>
      <w:r>
        <w:rPr>
          <w:noProof/>
        </w:rPr>
        <w:t>1. Uredba (EZ) br. 1049/2001 Europskog parlamenta i Vijeća</w:t>
      </w:r>
      <w:r>
        <w:rPr>
          <w:rStyle w:val="FootnoteReference"/>
          <w:noProof/>
        </w:rPr>
        <w:footnoteReference w:id="40"/>
      </w:r>
      <w:r>
        <w:rPr>
          <w:noProof/>
        </w:rPr>
        <w:t xml:space="preserve"> primjenjuje se n</w:t>
      </w:r>
      <w:r>
        <w:rPr>
          <w:noProof/>
        </w:rPr>
        <w:t>a dokumente BEREC-a. Upravni odbor, u roku od šest mjeseci od datuma prvog sastanka, donosi detaljna pravila za primjenu Uredbe (EZ) br. 1049/2001.</w:t>
      </w:r>
    </w:p>
    <w:p w:rsidR="006C0808" w:rsidRDefault="00E3601E">
      <w:pPr>
        <w:rPr>
          <w:noProof/>
        </w:rPr>
      </w:pPr>
      <w:r>
        <w:rPr>
          <w:noProof/>
        </w:rPr>
        <w:t>2. Obrada osobnih podataka koju obavlja BEREC podliježe primjeni Uredbe (EZ) br. 45/2001 Europskog parlament</w:t>
      </w:r>
      <w:r>
        <w:rPr>
          <w:noProof/>
        </w:rPr>
        <w:t>a i Vijeća</w:t>
      </w:r>
      <w:r>
        <w:rPr>
          <w:rStyle w:val="FootnoteReference"/>
          <w:noProof/>
        </w:rPr>
        <w:footnoteReference w:id="41"/>
      </w:r>
      <w:r>
        <w:rPr>
          <w:noProof/>
        </w:rPr>
        <w:t xml:space="preserve">. Upravni odbor, u roku od šest mjeseci od prvog sastanka, utvrđuje mjere kojima BEREC primjenjuje Uredbu (EZ) br. 45/2001, uključujući one o imenovanju službenika za zaštitu podataka BEREC-a. Te se mjere utvrđuju nakon savjetovanja s Europskim </w:t>
      </w:r>
      <w:r>
        <w:rPr>
          <w:noProof/>
        </w:rPr>
        <w:t>nadzornikom za zaštitu podataka.</w:t>
      </w:r>
    </w:p>
    <w:p w:rsidR="006C0808" w:rsidRDefault="00E3601E">
      <w:pPr>
        <w:rPr>
          <w:noProof/>
        </w:rPr>
      </w:pPr>
      <w:r>
        <w:rPr>
          <w:noProof/>
        </w:rPr>
        <w:t>3. BEREC može na vlastitu inicijativu sudjelovati u komunikacijskim aktivnostima u području svoje nadležnosti. Raspodjelom resursa komunikacijskim aktivnostima ne ugrožava se učinkovito izvršavanje zadaća iz članka 2. stava</w:t>
      </w:r>
      <w:r>
        <w:rPr>
          <w:noProof/>
        </w:rPr>
        <w:t>ka 1. i 2. ove Uredbe. Komunikacijske aktivnosti izvršavaju se u skladu s relevantnim komunikacijskim i promidžbenim planovima koje je donio upravni odbor.</w:t>
      </w:r>
    </w:p>
    <w:p w:rsidR="006C0808" w:rsidRDefault="00E3601E">
      <w:pPr>
        <w:pStyle w:val="Titrearticle"/>
        <w:rPr>
          <w:noProof/>
        </w:rPr>
      </w:pPr>
      <w:r>
        <w:rPr>
          <w:noProof/>
        </w:rPr>
        <w:t>Članak 28.</w:t>
      </w:r>
    </w:p>
    <w:p w:rsidR="006C0808" w:rsidRDefault="00E3601E">
      <w:pPr>
        <w:pStyle w:val="NormalCentered"/>
        <w:autoSpaceDE w:val="0"/>
        <w:autoSpaceDN w:val="0"/>
        <w:rPr>
          <w:b/>
          <w:bCs/>
          <w:noProof/>
        </w:rPr>
      </w:pPr>
      <w:r>
        <w:rPr>
          <w:b/>
          <w:noProof/>
        </w:rPr>
        <w:t>Povjerljivost</w:t>
      </w:r>
    </w:p>
    <w:p w:rsidR="006C0808" w:rsidRDefault="00E3601E">
      <w:pPr>
        <w:rPr>
          <w:noProof/>
        </w:rPr>
      </w:pPr>
      <w:r>
        <w:rPr>
          <w:noProof/>
        </w:rPr>
        <w:t xml:space="preserve">1. Ne dovodeći u pitanje članak 27. stavak 1. BEREC ne otkriva trećim </w:t>
      </w:r>
      <w:r>
        <w:rPr>
          <w:noProof/>
        </w:rPr>
        <w:t>stranama podatke koje obrađuje ili prima, a za koje je podnesen utemeljen zahtjev za povjerljivo postupanje u cijelosti ili djelomično.</w:t>
      </w:r>
    </w:p>
    <w:p w:rsidR="006C0808" w:rsidRDefault="00E3601E">
      <w:pPr>
        <w:rPr>
          <w:noProof/>
        </w:rPr>
      </w:pPr>
      <w:r>
        <w:rPr>
          <w:noProof/>
        </w:rPr>
        <w:t>2. Članovi upravnog odbora, izvršni direktor, članovi odbora za žalbe, upućeni nacionalni stručnjaci, ostalo osoblje koj</w:t>
      </w:r>
      <w:r>
        <w:rPr>
          <w:noProof/>
        </w:rPr>
        <w:t>e nije zaposleno u BEREC-u i stručnjaci koji sudjeluju u radnim skupinama postupaju u skladu sa zahtjevima u pogledu povjerljivosti iz članka 339. Ugovora i po isteku radnog odnosa.</w:t>
      </w:r>
    </w:p>
    <w:p w:rsidR="006C0808" w:rsidRDefault="00E3601E">
      <w:pPr>
        <w:rPr>
          <w:rFonts w:eastAsia="Calibri"/>
          <w:noProof/>
        </w:rPr>
      </w:pPr>
      <w:r>
        <w:rPr>
          <w:noProof/>
        </w:rPr>
        <w:t>3. Upravni odbor utvrđuje praktične dogovore za provedbu pravila o povjerl</w:t>
      </w:r>
      <w:r>
        <w:rPr>
          <w:noProof/>
        </w:rPr>
        <w:t>jivosti iz stavaka 1. i 2.</w:t>
      </w:r>
    </w:p>
    <w:p w:rsidR="006C0808" w:rsidRDefault="00E3601E">
      <w:pPr>
        <w:pStyle w:val="Titrearticle"/>
        <w:rPr>
          <w:noProof/>
        </w:rPr>
      </w:pPr>
      <w:r>
        <w:rPr>
          <w:noProof/>
        </w:rPr>
        <w:t>Članak 29.</w:t>
      </w:r>
    </w:p>
    <w:p w:rsidR="006C0808" w:rsidRDefault="00E3601E">
      <w:pPr>
        <w:pStyle w:val="NormalCentered"/>
        <w:autoSpaceDE w:val="0"/>
        <w:autoSpaceDN w:val="0"/>
        <w:rPr>
          <w:b/>
          <w:bCs/>
          <w:noProof/>
        </w:rPr>
      </w:pPr>
      <w:r>
        <w:rPr>
          <w:b/>
          <w:noProof/>
        </w:rPr>
        <w:t>Sigurnosni propisi za zaštitu klasificiranih i osjetljivih neklasificiranih podataka</w:t>
      </w:r>
    </w:p>
    <w:p w:rsidR="006C0808" w:rsidRDefault="00E3601E">
      <w:pPr>
        <w:rPr>
          <w:rFonts w:eastAsia="Calibri"/>
          <w:noProof/>
        </w:rPr>
      </w:pPr>
      <w:r>
        <w:rPr>
          <w:noProof/>
        </w:rPr>
        <w:t xml:space="preserve">BEREC donosi vlastite sigurnosne propise ekvivalentne sigurnosnim propisima Komisije za zaštitu klasificiranih podataka Europske </w:t>
      </w:r>
      <w:r>
        <w:rPr>
          <w:noProof/>
        </w:rPr>
        <w:t>unije (EUCI) i osjetljivih neklasificiranih podataka, među ostalim odredbe o razmjeni, obradi i pohrani takvih podataka, kako je utvrđeno u odlukama Komisije (EU, Euratom) 2015/443</w:t>
      </w:r>
      <w:r>
        <w:rPr>
          <w:rStyle w:val="FootnoteReference"/>
          <w:noProof/>
        </w:rPr>
        <w:footnoteReference w:id="42"/>
      </w:r>
      <w:r>
        <w:rPr>
          <w:noProof/>
        </w:rPr>
        <w:t xml:space="preserve"> i 2015/444</w:t>
      </w:r>
      <w:r>
        <w:rPr>
          <w:rStyle w:val="FootnoteReference"/>
          <w:noProof/>
        </w:rPr>
        <w:footnoteReference w:id="43"/>
      </w:r>
      <w:r>
        <w:rPr>
          <w:noProof/>
        </w:rPr>
        <w:t>. Alternativno, BEREC može donijeti odluku o primjeni propisa K</w:t>
      </w:r>
      <w:r>
        <w:rPr>
          <w:noProof/>
        </w:rPr>
        <w:t xml:space="preserve">omisije </w:t>
      </w:r>
      <w:r>
        <w:rPr>
          <w:i/>
          <w:noProof/>
        </w:rPr>
        <w:t>mutatis mutandis</w:t>
      </w:r>
      <w:r>
        <w:rPr>
          <w:noProof/>
        </w:rPr>
        <w:t>.</w:t>
      </w:r>
    </w:p>
    <w:p w:rsidR="006C0808" w:rsidRDefault="00E3601E">
      <w:pPr>
        <w:pStyle w:val="Titrearticle"/>
        <w:rPr>
          <w:noProof/>
        </w:rPr>
      </w:pPr>
      <w:r>
        <w:rPr>
          <w:noProof/>
        </w:rPr>
        <w:t>Članak 30.</w:t>
      </w:r>
    </w:p>
    <w:p w:rsidR="006C0808" w:rsidRDefault="00E3601E">
      <w:pPr>
        <w:pStyle w:val="NormalCentered"/>
        <w:autoSpaceDE w:val="0"/>
        <w:autoSpaceDN w:val="0"/>
        <w:rPr>
          <w:b/>
          <w:bCs/>
          <w:noProof/>
        </w:rPr>
      </w:pPr>
      <w:r>
        <w:rPr>
          <w:b/>
          <w:noProof/>
        </w:rPr>
        <w:t>Razmjena informacija</w:t>
      </w:r>
    </w:p>
    <w:p w:rsidR="006C0808" w:rsidRDefault="00E3601E">
      <w:pPr>
        <w:rPr>
          <w:rFonts w:eastAsia="PMingLiU"/>
          <w:noProof/>
        </w:rPr>
      </w:pPr>
      <w:r>
        <w:rPr>
          <w:noProof/>
        </w:rPr>
        <w:t>1. Na opravdani zahtjev BEREC-a Komisija i nacionalna regulatorna tijela pravodobno i točno dostavljaju BEREC-u sve potrebne informacije za izvršavanje njegovih zadaća, uz uvjet da imaju pravni pris</w:t>
      </w:r>
      <w:r>
        <w:rPr>
          <w:noProof/>
        </w:rPr>
        <w:t>tup relevantnim informacijama te da je zahtjev za dostavu informacija nužan zbog prirode predmetne zadaće.</w:t>
      </w:r>
    </w:p>
    <w:p w:rsidR="006C0808" w:rsidRDefault="00E3601E">
      <w:pPr>
        <w:rPr>
          <w:rFonts w:eastAsia="PMingLiU"/>
          <w:noProof/>
        </w:rPr>
      </w:pPr>
      <w:r>
        <w:rPr>
          <w:noProof/>
        </w:rPr>
        <w:t>BEREC može zahtijevati i da mu nacionalna regulatorna tijela dostavljaju informacije u određenim rokovima i u utvrđenom obliku. Navedeni zahtjevi pod</w:t>
      </w:r>
      <w:r>
        <w:rPr>
          <w:noProof/>
        </w:rPr>
        <w:t>nose se, ako je to moguće, na uobičajenim obrascima za izvješćivanje.</w:t>
      </w:r>
    </w:p>
    <w:p w:rsidR="006C0808" w:rsidRDefault="00E3601E">
      <w:pPr>
        <w:rPr>
          <w:rFonts w:eastAsia="PMingLiU"/>
          <w:noProof/>
        </w:rPr>
      </w:pPr>
      <w:r>
        <w:rPr>
          <w:noProof/>
        </w:rPr>
        <w:t>2. BEREC Komisiji ili nacionalnom regulatornom tijelu, na njihov opravdani zahtjev, pravodobno i točno dostavlja sve informacije koje su im potrebne za izvršavanje njegovih zadaća na tem</w:t>
      </w:r>
      <w:r>
        <w:rPr>
          <w:noProof/>
        </w:rPr>
        <w:t>elju načela iskrene suradnje.</w:t>
      </w:r>
    </w:p>
    <w:p w:rsidR="006C0808" w:rsidRDefault="00E3601E">
      <w:pPr>
        <w:rPr>
          <w:rFonts w:eastAsia="PMingLiU"/>
          <w:noProof/>
        </w:rPr>
      </w:pPr>
      <w:r>
        <w:rPr>
          <w:noProof/>
        </w:rPr>
        <w:t>3. Prije podnošenja zahtjeva za dostavu informacija u skladu s ovim člankom te radi izbjegavanja udvostručavanja obveza u smislu izvješćivanja BEREC uzima u obzir sve relevantne javno dostupne informacije.</w:t>
      </w:r>
    </w:p>
    <w:p w:rsidR="006C0808" w:rsidRDefault="00E3601E">
      <w:pPr>
        <w:rPr>
          <w:rFonts w:eastAsia="PMingLiU"/>
          <w:noProof/>
        </w:rPr>
      </w:pPr>
      <w:r>
        <w:rPr>
          <w:noProof/>
        </w:rPr>
        <w:t>4. Ako informacije n</w:t>
      </w:r>
      <w:r>
        <w:rPr>
          <w:noProof/>
        </w:rPr>
        <w:t>isu dostupne, ako ih nacionalna regulatorna tijela nisu pravodobno učinila dostupnima ili u slučajevima kad bi njegov izravan zahtjev bio učinkovitiji i jednostavniji, BEREC može uputiti opravdan i utemeljen zahtjev ostalim tijelima ili izravno relevantnim</w:t>
      </w:r>
      <w:r>
        <w:rPr>
          <w:noProof/>
        </w:rPr>
        <w:t xml:space="preserve"> poduzećima koja pružaju elektroničke komunikacijske mreže, usluge i pripadajuću infrastrukturu.</w:t>
      </w:r>
    </w:p>
    <w:p w:rsidR="006C0808" w:rsidRDefault="00E3601E">
      <w:pPr>
        <w:rPr>
          <w:rFonts w:eastAsia="PMingLiU"/>
          <w:noProof/>
        </w:rPr>
      </w:pPr>
      <w:r>
        <w:rPr>
          <w:noProof/>
        </w:rPr>
        <w:t>BEREC obavještava relevantna nacionalna regulatorna tijela o zahtjevima u skladu s ovim stavkom.</w:t>
      </w:r>
    </w:p>
    <w:p w:rsidR="006C0808" w:rsidRDefault="00E3601E">
      <w:pPr>
        <w:rPr>
          <w:noProof/>
        </w:rPr>
      </w:pPr>
      <w:r>
        <w:rPr>
          <w:noProof/>
        </w:rPr>
        <w:t>Nacionalna regulatorna tijela pomažu BEREC-u, na njegov zahtje</w:t>
      </w:r>
      <w:r>
        <w:rPr>
          <w:noProof/>
        </w:rPr>
        <w:t xml:space="preserve">v, u prikupljanju informacija. </w:t>
      </w:r>
    </w:p>
    <w:p w:rsidR="006C0808" w:rsidRDefault="00E3601E">
      <w:pPr>
        <w:pStyle w:val="Titrearticle"/>
        <w:rPr>
          <w:noProof/>
        </w:rPr>
      </w:pPr>
      <w:r>
        <w:rPr>
          <w:noProof/>
        </w:rPr>
        <w:t>Članak 31.</w:t>
      </w:r>
    </w:p>
    <w:p w:rsidR="006C0808" w:rsidRDefault="00E3601E">
      <w:pPr>
        <w:pStyle w:val="NormalCentered"/>
        <w:autoSpaceDE w:val="0"/>
        <w:autoSpaceDN w:val="0"/>
        <w:rPr>
          <w:b/>
          <w:bCs/>
          <w:noProof/>
        </w:rPr>
      </w:pPr>
      <w:r>
        <w:rPr>
          <w:b/>
          <w:noProof/>
        </w:rPr>
        <w:t>Izjava o interesu</w:t>
      </w:r>
    </w:p>
    <w:p w:rsidR="006C0808" w:rsidRDefault="00E3601E">
      <w:pPr>
        <w:pStyle w:val="LegislativeText"/>
        <w:jc w:val="both"/>
        <w:rPr>
          <w:rFonts w:eastAsia="PMingLiU" w:cs="Times New Roman"/>
          <w:noProof/>
          <w:sz w:val="24"/>
        </w:rPr>
      </w:pPr>
      <w:r>
        <w:rPr>
          <w:noProof/>
          <w:sz w:val="24"/>
        </w:rPr>
        <w:t xml:space="preserve">1. Članovi Upravnog odbora, izvršni direktor, upućeni nacionalni stručnjaci i ostalo osoblje koje nije zaposleno u BEREC-u daju pojedinačne izjave o obvezi i nepostojanju ili postojanju izravnog </w:t>
      </w:r>
      <w:r>
        <w:rPr>
          <w:noProof/>
          <w:sz w:val="24"/>
        </w:rPr>
        <w:t>ili neizravnog interesa za koji se može smatrati da utječe na njihovu neovisnost.</w:t>
      </w:r>
    </w:p>
    <w:p w:rsidR="006C0808" w:rsidRDefault="00E3601E">
      <w:pPr>
        <w:rPr>
          <w:rFonts w:eastAsia="PMingLiU"/>
          <w:noProof/>
        </w:rPr>
      </w:pPr>
      <w:r>
        <w:rPr>
          <w:noProof/>
        </w:rPr>
        <w:t>Izjave su točne i potpune, daju se u pisanom obliku i ažuriraju se prema potrebi. Objavljuju se izjave o interesu članova Upravnog odbora i izvršnog direktora.</w:t>
      </w:r>
    </w:p>
    <w:p w:rsidR="006C0808" w:rsidRDefault="00E3601E">
      <w:pPr>
        <w:rPr>
          <w:rFonts w:eastAsia="PMingLiU"/>
          <w:noProof/>
        </w:rPr>
      </w:pPr>
      <w:r>
        <w:rPr>
          <w:noProof/>
        </w:rPr>
        <w:t>2. Članovi Upr</w:t>
      </w:r>
      <w:r>
        <w:rPr>
          <w:noProof/>
        </w:rPr>
        <w:t>avnog odbora, izvršni direktor, upućeni nacionalni stručnjaci, ostalo osoblje koje nije zaposleno u BEREC-u i stručnjaci koji sudjeluju u radnim skupinama daju najkasnije na početku svakog sastanka točne i cjelovite pojedinačne izjave o interesu koji se mo</w:t>
      </w:r>
      <w:r>
        <w:rPr>
          <w:noProof/>
        </w:rPr>
        <w:t>že smatrati utjecajem na njihovu neovisnost u odnosu na točke dnevnog reda te ne sudjeluju u raspravama i glasovanju o tim točkama.</w:t>
      </w:r>
    </w:p>
    <w:p w:rsidR="006C0808" w:rsidRDefault="00E3601E">
      <w:pPr>
        <w:rPr>
          <w:rFonts w:eastAsia="PMingLiU"/>
          <w:noProof/>
        </w:rPr>
      </w:pPr>
      <w:r>
        <w:rPr>
          <w:noProof/>
        </w:rPr>
        <w:t>3. Upravni odbor utvrđuje pravila o sprečavanju sukoba interesa i upravljanju njima, a posebno o praktičnim rješenjima za od</w:t>
      </w:r>
      <w:r>
        <w:rPr>
          <w:noProof/>
        </w:rPr>
        <w:t>redbe iz stavaka 1. i 2.</w:t>
      </w:r>
    </w:p>
    <w:p w:rsidR="006C0808" w:rsidRDefault="00E3601E">
      <w:pPr>
        <w:pStyle w:val="Titrearticle"/>
        <w:rPr>
          <w:noProof/>
        </w:rPr>
      </w:pPr>
      <w:r>
        <w:rPr>
          <w:noProof/>
        </w:rPr>
        <w:t>Članak 32.</w:t>
      </w:r>
    </w:p>
    <w:p w:rsidR="006C0808" w:rsidRDefault="00E3601E">
      <w:pPr>
        <w:pStyle w:val="NormalCentered"/>
        <w:autoSpaceDE w:val="0"/>
        <w:autoSpaceDN w:val="0"/>
        <w:rPr>
          <w:b/>
          <w:bCs/>
          <w:noProof/>
        </w:rPr>
      </w:pPr>
      <w:r>
        <w:rPr>
          <w:b/>
          <w:noProof/>
        </w:rPr>
        <w:t>Borba protiv prijevare</w:t>
      </w:r>
    </w:p>
    <w:p w:rsidR="006C0808" w:rsidRDefault="00E3601E">
      <w:pPr>
        <w:rPr>
          <w:rFonts w:eastAsia="PMingLiU"/>
          <w:noProof/>
        </w:rPr>
      </w:pPr>
      <w:r>
        <w:rPr>
          <w:noProof/>
        </w:rPr>
        <w:t>1. Radi lakše borbe protiv prijevare, korupcije i ostalih nezakonitih aktivnosti navedenih u Uredbi (EU, Euratom) br. 883/2013 Europskog parlamenta i Vijeća</w:t>
      </w:r>
      <w:r>
        <w:rPr>
          <w:rStyle w:val="FootnoteReference"/>
          <w:noProof/>
        </w:rPr>
        <w:footnoteReference w:id="44"/>
      </w:r>
      <w:r>
        <w:rPr>
          <w:noProof/>
        </w:rPr>
        <w:t>,  u roku od šest mjeseci od stupanja na</w:t>
      </w:r>
      <w:r>
        <w:rPr>
          <w:noProof/>
        </w:rPr>
        <w:t xml:space="preserve"> snagu ove Uredbe, pristupa Međuinstitucionalnom sporazumu od 25. svibnja 1999. o unutarnjim istragama koje provodi Europski ured za borbu protiv prijevara (OLAF) i donosi odgovarajuće odredbe koje se primjenjuju na sve zaposlenike BEREC-a na temelju predl</w:t>
      </w:r>
      <w:r>
        <w:rPr>
          <w:noProof/>
        </w:rPr>
        <w:t>oška iz Priloga navedenom Sporazumu.</w:t>
      </w:r>
    </w:p>
    <w:p w:rsidR="006C0808" w:rsidRDefault="00E3601E">
      <w:pPr>
        <w:rPr>
          <w:rFonts w:eastAsia="PMingLiU"/>
          <w:noProof/>
        </w:rPr>
      </w:pPr>
      <w:r>
        <w:rPr>
          <w:noProof/>
        </w:rPr>
        <w:t>2. Europski revizorski sud ovlašten je za provođenje revizija, na temelju dokumenata i na terenu, svih korisnika bespovratnih sredstava, izvođača i podizvođača koji su od BEREC-a primili sredstva Unije.</w:t>
      </w:r>
    </w:p>
    <w:p w:rsidR="006C0808" w:rsidRDefault="00E3601E">
      <w:pPr>
        <w:rPr>
          <w:rFonts w:eastAsia="PMingLiU"/>
          <w:noProof/>
        </w:rPr>
      </w:pPr>
      <w:r>
        <w:rPr>
          <w:noProof/>
        </w:rPr>
        <w:t>3. OLAF može pro</w:t>
      </w:r>
      <w:r>
        <w:rPr>
          <w:noProof/>
        </w:rPr>
        <w:t>voditi istrage, uključujući provjere i inspekcije na terenu kako bi se utvrdilo je li došlo do prijevare, korupcije ili druge nezakonite aktivnosti kojom se ugrožavaju financijski interesi Unije u vezi s bespovratnim sredstvima ili ugovorom koji je financi</w:t>
      </w:r>
      <w:r>
        <w:rPr>
          <w:noProof/>
        </w:rPr>
        <w:t>rao BEREC u skladu s odredbama i postupcima utvrđenima u Uredbi (EU, Euratom) br. 883/2013 i Uredbi Vijeća (Euratom, EZ) br. 2185/96</w:t>
      </w:r>
      <w:r>
        <w:rPr>
          <w:rStyle w:val="FootnoteReference"/>
          <w:noProof/>
        </w:rPr>
        <w:footnoteReference w:id="45"/>
      </w:r>
      <w:r>
        <w:rPr>
          <w:noProof/>
        </w:rPr>
        <w:t>.</w:t>
      </w:r>
    </w:p>
    <w:p w:rsidR="006C0808" w:rsidRDefault="00E3601E">
      <w:pPr>
        <w:rPr>
          <w:rFonts w:eastAsia="PMingLiU"/>
          <w:noProof/>
        </w:rPr>
      </w:pPr>
      <w:r>
        <w:rPr>
          <w:noProof/>
        </w:rPr>
        <w:t>4. Ne dovodeći u pitanje stavke 1., 2. i 3., sporazumi o suradnji s nadležnim tijelima trećih zemalja i međunarodnim orga</w:t>
      </w:r>
      <w:r>
        <w:rPr>
          <w:noProof/>
        </w:rPr>
        <w:t>nizacijama, ugovori, sporazumi o bespovratnim sredstvima i odluke BEREC-a o bespovratnim sredstvima sadržavaju odredbe kojima se Europskom revizorskom sudu i OLAF-u daje izričita ovlast za provođenje navedenih revizija i istraga u skladu s njihovim odgovar</w:t>
      </w:r>
      <w:r>
        <w:rPr>
          <w:noProof/>
        </w:rPr>
        <w:t>ajućim nadležnostima.</w:t>
      </w:r>
    </w:p>
    <w:p w:rsidR="006C0808" w:rsidRDefault="00E3601E">
      <w:pPr>
        <w:pStyle w:val="Titrearticle"/>
        <w:rPr>
          <w:noProof/>
        </w:rPr>
      </w:pPr>
      <w:r>
        <w:rPr>
          <w:noProof/>
        </w:rPr>
        <w:t>Članak 33.</w:t>
      </w:r>
    </w:p>
    <w:p w:rsidR="006C0808" w:rsidRDefault="00E3601E">
      <w:pPr>
        <w:pStyle w:val="NormalCentered"/>
        <w:autoSpaceDE w:val="0"/>
        <w:autoSpaceDN w:val="0"/>
        <w:rPr>
          <w:b/>
          <w:bCs/>
          <w:noProof/>
        </w:rPr>
      </w:pPr>
      <w:r>
        <w:rPr>
          <w:b/>
          <w:noProof/>
        </w:rPr>
        <w:t>Odgovornost</w:t>
      </w:r>
    </w:p>
    <w:p w:rsidR="006C0808" w:rsidRDefault="00E3601E">
      <w:pPr>
        <w:rPr>
          <w:rFonts w:eastAsia="PMingLiU"/>
          <w:noProof/>
        </w:rPr>
      </w:pPr>
      <w:r>
        <w:rPr>
          <w:noProof/>
        </w:rPr>
        <w:t>1. Na ugovornu odgovornost BEREC-a primjenjuje se pravo koje se odnosi na dotični ugovor.</w:t>
      </w:r>
    </w:p>
    <w:p w:rsidR="006C0808" w:rsidRDefault="00E3601E">
      <w:pPr>
        <w:rPr>
          <w:rFonts w:eastAsia="PMingLiU"/>
          <w:noProof/>
        </w:rPr>
      </w:pPr>
      <w:r>
        <w:rPr>
          <w:noProof/>
        </w:rPr>
        <w:t xml:space="preserve">2. Sud Europske unije nadležan je za donošenje presuda na temelju bilo koje odredbe o arbitraži koja je sadržana u </w:t>
      </w:r>
      <w:r>
        <w:rPr>
          <w:noProof/>
        </w:rPr>
        <w:t>ugovoru koji je sklopio BEREC.</w:t>
      </w:r>
    </w:p>
    <w:p w:rsidR="006C0808" w:rsidRDefault="00E3601E">
      <w:pPr>
        <w:rPr>
          <w:rFonts w:eastAsia="PMingLiU"/>
          <w:noProof/>
        </w:rPr>
      </w:pPr>
      <w:r>
        <w:rPr>
          <w:noProof/>
        </w:rPr>
        <w:t>3. U slučaju neugovorne odgovornosti, BEREC, u skladu s općim načelima zajedničkima pravima država članica, naknađuje svu štetu koju u obavljanju svojih dužnosti prouzroče njegove službe ili osoblje.</w:t>
      </w:r>
    </w:p>
    <w:p w:rsidR="006C0808" w:rsidRDefault="00E3601E">
      <w:pPr>
        <w:rPr>
          <w:rFonts w:eastAsia="PMingLiU"/>
          <w:noProof/>
        </w:rPr>
      </w:pPr>
      <w:r>
        <w:rPr>
          <w:noProof/>
        </w:rPr>
        <w:t>4. Sud Europske unije nad</w:t>
      </w:r>
      <w:r>
        <w:rPr>
          <w:noProof/>
        </w:rPr>
        <w:t>ležan je u sporovima za naknadu šteta iz stavka 3.</w:t>
      </w:r>
    </w:p>
    <w:p w:rsidR="006C0808" w:rsidRDefault="00E3601E">
      <w:pPr>
        <w:rPr>
          <w:rFonts w:eastAsia="PMingLiU"/>
          <w:noProof/>
        </w:rPr>
      </w:pPr>
      <w:r>
        <w:rPr>
          <w:noProof/>
        </w:rPr>
        <w:t>5. Osobna odgovornost osoblja prema BEREC-u uređena je odredbama utvrđenima Pravilnikom o osoblju ili Uvjetima zaposlenja koje se na njih primjenjuju.</w:t>
      </w:r>
    </w:p>
    <w:p w:rsidR="006C0808" w:rsidRDefault="00E3601E">
      <w:pPr>
        <w:pStyle w:val="Titrearticle"/>
        <w:rPr>
          <w:noProof/>
        </w:rPr>
      </w:pPr>
      <w:r>
        <w:rPr>
          <w:noProof/>
        </w:rPr>
        <w:t>Članak 34.</w:t>
      </w:r>
    </w:p>
    <w:p w:rsidR="006C0808" w:rsidRDefault="00E3601E">
      <w:pPr>
        <w:pStyle w:val="NormalCentered"/>
        <w:autoSpaceDE w:val="0"/>
        <w:autoSpaceDN w:val="0"/>
        <w:rPr>
          <w:b/>
          <w:bCs/>
          <w:noProof/>
        </w:rPr>
      </w:pPr>
      <w:r>
        <w:rPr>
          <w:b/>
          <w:noProof/>
        </w:rPr>
        <w:t>Administrativne istrage</w:t>
      </w:r>
    </w:p>
    <w:p w:rsidR="006C0808" w:rsidRDefault="00E3601E">
      <w:pPr>
        <w:rPr>
          <w:rFonts w:eastAsia="Calibri"/>
          <w:noProof/>
        </w:rPr>
      </w:pPr>
      <w:r>
        <w:rPr>
          <w:noProof/>
        </w:rPr>
        <w:t xml:space="preserve">Aktivnosti BEREC-a </w:t>
      </w:r>
      <w:r>
        <w:rPr>
          <w:noProof/>
        </w:rPr>
        <w:t>podliježu nadzoru Europskog ombudsmana u skladu s člankom 228. Ugovora.</w:t>
      </w:r>
    </w:p>
    <w:p w:rsidR="006C0808" w:rsidRDefault="00E3601E">
      <w:pPr>
        <w:pStyle w:val="Titrearticle"/>
        <w:rPr>
          <w:noProof/>
        </w:rPr>
      </w:pPr>
      <w:r>
        <w:rPr>
          <w:noProof/>
        </w:rPr>
        <w:t>Članak 35.</w:t>
      </w:r>
    </w:p>
    <w:p w:rsidR="006C0808" w:rsidRDefault="00E3601E">
      <w:pPr>
        <w:pStyle w:val="NormalCentered"/>
        <w:autoSpaceDE w:val="0"/>
        <w:autoSpaceDN w:val="0"/>
        <w:rPr>
          <w:b/>
          <w:bCs/>
          <w:noProof/>
        </w:rPr>
      </w:pPr>
      <w:r>
        <w:rPr>
          <w:b/>
          <w:noProof/>
        </w:rPr>
        <w:t>Pravila o jeziku</w:t>
      </w:r>
    </w:p>
    <w:p w:rsidR="006C0808" w:rsidRDefault="00E3601E">
      <w:pPr>
        <w:rPr>
          <w:rFonts w:eastAsia="PMingLiU"/>
          <w:noProof/>
        </w:rPr>
      </w:pPr>
      <w:r>
        <w:rPr>
          <w:noProof/>
        </w:rPr>
        <w:t>1. Na BEREC se primjenjuju odredbe utvrđene u Uredbi br. 1/58</w:t>
      </w:r>
      <w:r>
        <w:rPr>
          <w:rStyle w:val="FootnoteReference"/>
          <w:noProof/>
        </w:rPr>
        <w:footnoteReference w:id="46"/>
      </w:r>
      <w:r>
        <w:rPr>
          <w:noProof/>
        </w:rPr>
        <w:t>.</w:t>
      </w:r>
    </w:p>
    <w:p w:rsidR="006C0808" w:rsidRDefault="00E3601E">
      <w:pPr>
        <w:rPr>
          <w:rFonts w:eastAsia="PMingLiU"/>
          <w:noProof/>
        </w:rPr>
      </w:pPr>
      <w:r>
        <w:rPr>
          <w:noProof/>
        </w:rPr>
        <w:t>2. Prevoditeljske usluge potrebne za funkcioniranje BEREC-a pruža Prevoditeljski centar za t</w:t>
      </w:r>
      <w:r>
        <w:rPr>
          <w:noProof/>
        </w:rPr>
        <w:t>ijela Europske unije.</w:t>
      </w:r>
    </w:p>
    <w:p w:rsidR="006C0808" w:rsidRDefault="006C0808">
      <w:pPr>
        <w:rPr>
          <w:rFonts w:eastAsia="PMingLiU"/>
          <w:noProof/>
        </w:rPr>
      </w:pPr>
    </w:p>
    <w:p w:rsidR="006C0808" w:rsidRDefault="00E3601E">
      <w:pPr>
        <w:pStyle w:val="Titrearticle"/>
        <w:rPr>
          <w:noProof/>
        </w:rPr>
      </w:pPr>
      <w:r>
        <w:rPr>
          <w:noProof/>
        </w:rPr>
        <w:t>Članak 36.</w:t>
      </w:r>
    </w:p>
    <w:p w:rsidR="006C0808" w:rsidRDefault="00E3601E">
      <w:pPr>
        <w:pStyle w:val="NormalCentered"/>
        <w:autoSpaceDE w:val="0"/>
        <w:autoSpaceDN w:val="0"/>
        <w:rPr>
          <w:b/>
          <w:bCs/>
          <w:noProof/>
        </w:rPr>
      </w:pPr>
      <w:r>
        <w:rPr>
          <w:b/>
          <w:noProof/>
        </w:rPr>
        <w:t>Odbor</w:t>
      </w:r>
    </w:p>
    <w:p w:rsidR="006C0808" w:rsidRDefault="00E3601E">
      <w:pPr>
        <w:rPr>
          <w:noProof/>
        </w:rPr>
      </w:pPr>
      <w:r>
        <w:rPr>
          <w:noProof/>
        </w:rPr>
        <w:t>1. Komisiji pomaže odbor (Odbor za komunikacije). Navedeni odbor jest odbor u smislu Uredbe (EU) br. 182/2011.</w:t>
      </w:r>
    </w:p>
    <w:p w:rsidR="006C0808" w:rsidRDefault="00E3601E">
      <w:pPr>
        <w:rPr>
          <w:noProof/>
        </w:rPr>
      </w:pPr>
      <w:r>
        <w:rPr>
          <w:noProof/>
        </w:rPr>
        <w:t xml:space="preserve">2. Pri upućivanju na ovaj stavak primjenjuje se članak 4. Uredbe (EU) br. 182/2011. </w:t>
      </w:r>
    </w:p>
    <w:p w:rsidR="006C0808" w:rsidRDefault="00E3601E">
      <w:pPr>
        <w:rPr>
          <w:noProof/>
        </w:rPr>
      </w:pPr>
      <w:r>
        <w:rPr>
          <w:noProof/>
        </w:rPr>
        <w:t xml:space="preserve">3. Ako se mišljenje </w:t>
      </w:r>
      <w:r>
        <w:rPr>
          <w:noProof/>
        </w:rPr>
        <w:t>odbora mora pribaviti pisanim postupkom, taj se postupak prekida bez ishoda ako u roku za dostavu mišljenja tako odluči predsjednik odbora.</w:t>
      </w:r>
    </w:p>
    <w:p w:rsidR="006C0808" w:rsidRDefault="006C0808">
      <w:pPr>
        <w:rPr>
          <w:rFonts w:eastAsia="PMingLiU"/>
          <w:noProof/>
        </w:rPr>
      </w:pPr>
    </w:p>
    <w:p w:rsidR="006C0808" w:rsidRDefault="00E3601E">
      <w:pPr>
        <w:pStyle w:val="SectionTitle"/>
        <w:autoSpaceDE w:val="0"/>
        <w:autoSpaceDN w:val="0"/>
        <w:rPr>
          <w:rFonts w:eastAsiaTheme="minorEastAsia"/>
          <w:bCs/>
          <w:noProof/>
          <w:szCs w:val="28"/>
        </w:rPr>
      </w:pPr>
      <w:r>
        <w:rPr>
          <w:noProof/>
        </w:rPr>
        <w:t>poglavlje vi.</w:t>
      </w:r>
    </w:p>
    <w:p w:rsidR="006C0808" w:rsidRDefault="00E3601E">
      <w:pPr>
        <w:pStyle w:val="SectionTitle"/>
        <w:autoSpaceDE w:val="0"/>
        <w:autoSpaceDN w:val="0"/>
        <w:rPr>
          <w:noProof/>
        </w:rPr>
      </w:pPr>
      <w:r>
        <w:rPr>
          <w:noProof/>
          <w:sz w:val="22"/>
        </w:rPr>
        <w:t>PRIJELAZNE I ZAVRŠNE ODREDBE</w:t>
      </w:r>
    </w:p>
    <w:p w:rsidR="006C0808" w:rsidRDefault="00E3601E">
      <w:pPr>
        <w:pStyle w:val="Titrearticle"/>
        <w:rPr>
          <w:noProof/>
        </w:rPr>
      </w:pPr>
      <w:r>
        <w:rPr>
          <w:noProof/>
        </w:rPr>
        <w:t>Članak 37.</w:t>
      </w:r>
    </w:p>
    <w:p w:rsidR="006C0808" w:rsidRDefault="00E3601E">
      <w:pPr>
        <w:pStyle w:val="NormalCentered"/>
        <w:autoSpaceDE w:val="0"/>
        <w:autoSpaceDN w:val="0"/>
        <w:rPr>
          <w:b/>
          <w:bCs/>
          <w:noProof/>
        </w:rPr>
      </w:pPr>
      <w:r>
        <w:rPr>
          <w:b/>
          <w:noProof/>
          <w:sz w:val="22"/>
        </w:rPr>
        <w:t>Sporazum o sjedištu i uvjeti rada</w:t>
      </w:r>
    </w:p>
    <w:p w:rsidR="006C0808" w:rsidRDefault="00E3601E">
      <w:pPr>
        <w:rPr>
          <w:rFonts w:eastAsia="PMingLiU"/>
          <w:noProof/>
        </w:rPr>
      </w:pPr>
      <w:r>
        <w:rPr>
          <w:noProof/>
        </w:rPr>
        <w:t>1. Potrebni dogovori o smje</w:t>
      </w:r>
      <w:r>
        <w:rPr>
          <w:noProof/>
        </w:rPr>
        <w:t>štaju BEREC-a u državi članici domaćinu i objekti koje ta država članica daje na raspolaganje i posebna pravila koja se u državi članici domaćinu primjenjuju na izvršnog direktora, članove Upravnog odbora, osoblje BEREC-a i članove njihovih obitelji utvrđu</w:t>
      </w:r>
      <w:r>
        <w:rPr>
          <w:noProof/>
        </w:rPr>
        <w:t>ju se Sporazumom o sjedištu između BEREC-a i države članice u kojoj se sjedište nalazi koji se sklapa nakon dobivanja odobrenja Upravnog odbora i najkasnije u roku od dvije godine nakon stupanja na snagu ove Uredbe.</w:t>
      </w:r>
    </w:p>
    <w:p w:rsidR="006C0808" w:rsidRDefault="00E3601E">
      <w:pPr>
        <w:rPr>
          <w:rFonts w:eastAsia="PMingLiU"/>
          <w:noProof/>
        </w:rPr>
      </w:pPr>
      <w:r>
        <w:rPr>
          <w:noProof/>
        </w:rPr>
        <w:t>2. Država članica domaćin BEREC-a osigur</w:t>
      </w:r>
      <w:r>
        <w:rPr>
          <w:noProof/>
        </w:rPr>
        <w:t>ava potrebne uvjete za nesmetan i učinkovit rad BEREC-a, uključujući višejezično, europski usmjereno školovanje te primjerenu prometnu povezanost.</w:t>
      </w:r>
    </w:p>
    <w:p w:rsidR="006C0808" w:rsidRDefault="00E3601E">
      <w:pPr>
        <w:pStyle w:val="Titrearticle"/>
        <w:rPr>
          <w:noProof/>
        </w:rPr>
      </w:pPr>
      <w:r>
        <w:rPr>
          <w:noProof/>
        </w:rPr>
        <w:t>Članak 38.</w:t>
      </w:r>
    </w:p>
    <w:p w:rsidR="006C0808" w:rsidRDefault="00E3601E">
      <w:pPr>
        <w:pStyle w:val="NormalCentered"/>
        <w:autoSpaceDE w:val="0"/>
        <w:autoSpaceDN w:val="0"/>
        <w:rPr>
          <w:b/>
          <w:bCs/>
          <w:noProof/>
          <w:szCs w:val="24"/>
        </w:rPr>
      </w:pPr>
      <w:r>
        <w:rPr>
          <w:b/>
          <w:noProof/>
        </w:rPr>
        <w:t>Evaluacija</w:t>
      </w:r>
    </w:p>
    <w:p w:rsidR="006C0808" w:rsidRDefault="00E3601E">
      <w:pPr>
        <w:rPr>
          <w:rFonts w:eastAsia="PMingLiU"/>
          <w:noProof/>
        </w:rPr>
      </w:pPr>
      <w:r>
        <w:rPr>
          <w:noProof/>
        </w:rPr>
        <w:t xml:space="preserve">1. Najkasnije pet godina od datuma stupanja na snagu ove Uredbe te svakih pet godina </w:t>
      </w:r>
      <w:r>
        <w:rPr>
          <w:noProof/>
        </w:rPr>
        <w:t>nakon toga Komisija obavlja evaluaciju u skladu sa svojim smjernicama kako bi procijenila uspješnost djelovanja BEREC-a u odnosu na njegove ciljeve, ovlasti, zadaće i lokaciju (lokacije). Evaluacija je posebno usmjerena na moguću potrebu za izmjenom ovlast</w:t>
      </w:r>
      <w:r>
        <w:rPr>
          <w:noProof/>
        </w:rPr>
        <w:t>i BEREC-a i na financijske učinke takve izmjene.</w:t>
      </w:r>
    </w:p>
    <w:p w:rsidR="006C0808" w:rsidRDefault="00E3601E">
      <w:pPr>
        <w:rPr>
          <w:rFonts w:eastAsia="PMingLiU"/>
          <w:noProof/>
        </w:rPr>
      </w:pPr>
      <w:r>
        <w:rPr>
          <w:noProof/>
        </w:rPr>
        <w:t>2. Ako smatra da daljnje djelovanje BEREC-a više nije opravdano s obzirom na ciljeve, ovlasti i zadaće koji su mu dodijeljeni, Komisija može predložiti da se ova Uredba u skladu s tim izmijeni ili stavi izva</w:t>
      </w:r>
      <w:r>
        <w:rPr>
          <w:noProof/>
        </w:rPr>
        <w:t>n snage.</w:t>
      </w:r>
    </w:p>
    <w:p w:rsidR="006C0808" w:rsidRDefault="00E3601E">
      <w:pPr>
        <w:rPr>
          <w:rFonts w:eastAsia="PMingLiU"/>
          <w:noProof/>
        </w:rPr>
      </w:pPr>
      <w:r>
        <w:rPr>
          <w:noProof/>
        </w:rPr>
        <w:t>3. Komisija izvješćuje Europski parlament, Vijeće i Upravni odbor o zaključcima evaluacije. Zaključci evaluacije moraju biti objavljeni.</w:t>
      </w:r>
    </w:p>
    <w:p w:rsidR="006C0808" w:rsidRDefault="00E3601E">
      <w:pPr>
        <w:pStyle w:val="Titrearticle"/>
        <w:rPr>
          <w:noProof/>
        </w:rPr>
      </w:pPr>
      <w:r>
        <w:rPr>
          <w:noProof/>
        </w:rPr>
        <w:t>Članak 39.</w:t>
      </w:r>
    </w:p>
    <w:p w:rsidR="006C0808" w:rsidRDefault="00E3601E">
      <w:pPr>
        <w:pStyle w:val="NormalCentered"/>
        <w:rPr>
          <w:b/>
          <w:bCs/>
          <w:noProof/>
          <w:szCs w:val="24"/>
        </w:rPr>
      </w:pPr>
      <w:r>
        <w:rPr>
          <w:b/>
          <w:noProof/>
        </w:rPr>
        <w:t>Sukcesija Ureda osnovanog Uredbom (EZ) br. 1211/2009</w:t>
      </w:r>
    </w:p>
    <w:p w:rsidR="006C0808" w:rsidRDefault="00E3601E">
      <w:pPr>
        <w:rPr>
          <w:rFonts w:eastAsia="PMingLiU"/>
          <w:noProof/>
        </w:rPr>
      </w:pPr>
      <w:r>
        <w:rPr>
          <w:noProof/>
        </w:rPr>
        <w:t>1. Ne dovodeći u pitanje stavak 2. BEREC je sl</w:t>
      </w:r>
      <w:r>
        <w:rPr>
          <w:noProof/>
        </w:rPr>
        <w:t>jednik Ureda osnovanog Uredbom (EZ) br. 1211/2009 („Ured BEREC-a”) u smislu vlasništva, sporazuma, pravnih obveza, ugovora o radu, financijskih obveza i odgovornosti.</w:t>
      </w:r>
    </w:p>
    <w:p w:rsidR="006C0808" w:rsidRDefault="00E3601E">
      <w:pPr>
        <w:rPr>
          <w:rFonts w:eastAsia="PMingLiU"/>
          <w:noProof/>
        </w:rPr>
      </w:pPr>
      <w:r>
        <w:rPr>
          <w:noProof/>
        </w:rPr>
        <w:t>Točnije, ova Uredba ne utječe na prava i obveze osoblja Ureda osnovanog u skladu s Uredbo</w:t>
      </w:r>
      <w:r>
        <w:rPr>
          <w:noProof/>
        </w:rPr>
        <w:t>m Vijeća (EZ) br. 1211/2009. Njihovi ugovori mogu se obnoviti u skladu s ovom Uredbom u skladu s Pravilnikom o osoblju i Uvjetima zaposlenja ostalih službenika te u skladu s proračunskim ograničenjima BEREC-a.</w:t>
      </w:r>
    </w:p>
    <w:p w:rsidR="006C0808" w:rsidRDefault="00E3601E">
      <w:pPr>
        <w:rPr>
          <w:rFonts w:eastAsia="PMingLiU"/>
          <w:noProof/>
        </w:rPr>
      </w:pPr>
      <w:r>
        <w:rPr>
          <w:noProof/>
        </w:rPr>
        <w:t>2. S učinkom od [dana stupanja na snagu ove Ur</w:t>
      </w:r>
      <w:r>
        <w:rPr>
          <w:noProof/>
        </w:rPr>
        <w:t>edbe] i sve dok izvršni direktor ne preuzme dužnosti nakon što ga Upravni odbor imenuje u skladu s člankom 22., upravitelj Ureda imenovan na temelju Uredbe (EZ) br. 1211/2009, tijekom preostalog trajanja mandata djeluje kao privremeni izvršni direktor i ob</w:t>
      </w:r>
      <w:r>
        <w:rPr>
          <w:noProof/>
        </w:rPr>
        <w:t>avlja funkcije predviđene ovom Uredbom. Preostali uvjeti ugovora upravitelja Ureda ostaju nepromijenjeni.</w:t>
      </w:r>
    </w:p>
    <w:p w:rsidR="006C0808" w:rsidRDefault="00E3601E">
      <w:pPr>
        <w:rPr>
          <w:rFonts w:eastAsia="PMingLiU"/>
          <w:noProof/>
        </w:rPr>
      </w:pPr>
      <w:r>
        <w:rPr>
          <w:noProof/>
        </w:rPr>
        <w:t xml:space="preserve">Upravitelj Ureda kao privremeni izvršni direktor izvršava ovlasti tijela nadležnog za imenovanja. Može odobravati sva plaćanja iz odobrenih sredstava </w:t>
      </w:r>
      <w:r>
        <w:rPr>
          <w:noProof/>
        </w:rPr>
        <w:t>u proračunu BEREC-a nakon odobrenja Upravnog odbora te može sklapati ugovore, uključujući ugovore o radu, nakon donošenja plana radnih mjesta BEREC-a.</w:t>
      </w:r>
    </w:p>
    <w:p w:rsidR="006C0808" w:rsidRDefault="00E3601E">
      <w:pPr>
        <w:rPr>
          <w:rFonts w:eastAsia="PMingLiU"/>
          <w:noProof/>
        </w:rPr>
      </w:pPr>
      <w:r>
        <w:rPr>
          <w:noProof/>
        </w:rPr>
        <w:t>3. Ugovor o radu upravitelja Ureda imenovanog na temelju Uredbe (EZ) br. 1211/2009 raskida se po završetk</w:t>
      </w:r>
      <w:r>
        <w:rPr>
          <w:noProof/>
        </w:rPr>
        <w:t>u njegova mandata ili na dan kad izvršni direktor preuzme dužnosti nakon što ga Upravni odbor imenuje u skladu s člankom 22., ovisno o tome što se dogodi prije.</w:t>
      </w:r>
    </w:p>
    <w:p w:rsidR="006C0808" w:rsidRDefault="00E3601E">
      <w:pPr>
        <w:rPr>
          <w:rFonts w:eastAsia="PMingLiU"/>
          <w:noProof/>
        </w:rPr>
      </w:pPr>
      <w:r>
        <w:rPr>
          <w:noProof/>
        </w:rPr>
        <w:t>Upravitelj Ureda imenovan na temelju Uredbe (EZ) br. 1211/2009 čiji je mandat produljen ne sudj</w:t>
      </w:r>
      <w:r>
        <w:rPr>
          <w:noProof/>
        </w:rPr>
        <w:t>eluje u postupku odabira izvršnog direktora iz članka 22.</w:t>
      </w:r>
    </w:p>
    <w:p w:rsidR="006C0808" w:rsidRDefault="00E3601E">
      <w:pPr>
        <w:rPr>
          <w:rFonts w:eastAsia="PMingLiU"/>
          <w:noProof/>
        </w:rPr>
      </w:pPr>
      <w:r>
        <w:rPr>
          <w:noProof/>
        </w:rPr>
        <w:t>4. Upravni odbor iz članka 4. do imenovanja novih predstavnika sastoji se od članova Upravnog odbora iz članka 7. Uredbe (EZ) br. 1211/2009.</w:t>
      </w:r>
    </w:p>
    <w:p w:rsidR="006C0808" w:rsidRDefault="00E3601E">
      <w:pPr>
        <w:rPr>
          <w:rFonts w:eastAsia="PMingLiU"/>
          <w:noProof/>
        </w:rPr>
      </w:pPr>
      <w:r>
        <w:rPr>
          <w:noProof/>
        </w:rPr>
        <w:t xml:space="preserve">5. Postupak davanja razrješnice u pogledu proračuna </w:t>
      </w:r>
      <w:r>
        <w:rPr>
          <w:noProof/>
        </w:rPr>
        <w:t>odobrenog na temelju članka 11. Uredbe (EZ) br. 1211/2009 provodi se u skladu s pravilima utvrđenima Uredbom (EZ) br. 1211/2009.</w:t>
      </w:r>
    </w:p>
    <w:p w:rsidR="006C0808" w:rsidRDefault="00E3601E">
      <w:pPr>
        <w:pStyle w:val="Titrearticle"/>
        <w:rPr>
          <w:noProof/>
        </w:rPr>
      </w:pPr>
      <w:r>
        <w:rPr>
          <w:noProof/>
        </w:rPr>
        <w:t>Članak 40.</w:t>
      </w:r>
    </w:p>
    <w:p w:rsidR="006C0808" w:rsidRDefault="00E3601E">
      <w:pPr>
        <w:pStyle w:val="NormalCentered"/>
        <w:rPr>
          <w:b/>
          <w:bCs/>
          <w:noProof/>
          <w:szCs w:val="24"/>
        </w:rPr>
      </w:pPr>
      <w:r>
        <w:rPr>
          <w:b/>
          <w:noProof/>
        </w:rPr>
        <w:t>Stupanje na snagu</w:t>
      </w:r>
    </w:p>
    <w:p w:rsidR="006C0808" w:rsidRDefault="00E3601E">
      <w:pPr>
        <w:rPr>
          <w:rFonts w:eastAsia="PMingLiU"/>
          <w:noProof/>
        </w:rPr>
      </w:pPr>
      <w:r>
        <w:rPr>
          <w:noProof/>
        </w:rPr>
        <w:t xml:space="preserve">Uredba (EZ) br. 1211/2009 stavlja se izvan snage. </w:t>
      </w:r>
    </w:p>
    <w:p w:rsidR="006C0808" w:rsidRDefault="00E3601E">
      <w:pPr>
        <w:rPr>
          <w:i/>
          <w:noProof/>
        </w:rPr>
      </w:pPr>
      <w:r>
        <w:rPr>
          <w:noProof/>
        </w:rPr>
        <w:t>Upućivanja na Uredbu (EZ) br. 1211/2009 i na Ur</w:t>
      </w:r>
      <w:r>
        <w:rPr>
          <w:noProof/>
        </w:rPr>
        <w:t>ed BEREC-a smatraju se upućivanjima na ovu Uredbu i na BEREC.</w:t>
      </w:r>
    </w:p>
    <w:p w:rsidR="006C0808" w:rsidRDefault="00E3601E">
      <w:pPr>
        <w:pStyle w:val="Titrearticle"/>
        <w:rPr>
          <w:noProof/>
        </w:rPr>
      </w:pPr>
      <w:r>
        <w:rPr>
          <w:noProof/>
        </w:rPr>
        <w:t>Članak 41.</w:t>
      </w:r>
    </w:p>
    <w:p w:rsidR="006C0808" w:rsidRDefault="00E3601E">
      <w:pPr>
        <w:pStyle w:val="NormalCentered"/>
        <w:rPr>
          <w:b/>
          <w:bCs/>
          <w:noProof/>
          <w:szCs w:val="24"/>
        </w:rPr>
      </w:pPr>
      <w:r>
        <w:rPr>
          <w:b/>
          <w:noProof/>
        </w:rPr>
        <w:t>Stupanje na snagu</w:t>
      </w:r>
    </w:p>
    <w:p w:rsidR="006C0808" w:rsidRDefault="00E3601E">
      <w:pPr>
        <w:rPr>
          <w:noProof/>
        </w:rPr>
      </w:pPr>
      <w:r>
        <w:rPr>
          <w:noProof/>
        </w:rPr>
        <w:t xml:space="preserve">Ova Uredba stupa na snagu dvadesetog dana od dana objave u </w:t>
      </w:r>
      <w:r>
        <w:rPr>
          <w:i/>
          <w:noProof/>
        </w:rPr>
        <w:t>Službenom listu Europske unije</w:t>
      </w:r>
      <w:r>
        <w:rPr>
          <w:noProof/>
        </w:rPr>
        <w:t>.</w:t>
      </w:r>
    </w:p>
    <w:p w:rsidR="006C0808" w:rsidRDefault="00E3601E">
      <w:pPr>
        <w:rPr>
          <w:noProof/>
        </w:rPr>
      </w:pPr>
      <w:r>
        <w:rPr>
          <w:noProof/>
        </w:rPr>
        <w:t>Primjenjuje se od [...].</w:t>
      </w:r>
    </w:p>
    <w:p w:rsidR="006C0808" w:rsidRDefault="00E3601E">
      <w:pPr>
        <w:pStyle w:val="Applicationdirecte"/>
        <w:rPr>
          <w:noProof/>
        </w:rPr>
      </w:pPr>
      <w:r>
        <w:rPr>
          <w:noProof/>
        </w:rPr>
        <w:t>Ova je Uredba u cijelosti obvezujuća i izravno se</w:t>
      </w:r>
      <w:r>
        <w:rPr>
          <w:noProof/>
        </w:rPr>
        <w:t xml:space="preserve"> primjenjuje u svim državama članicama.</w:t>
      </w:r>
    </w:p>
    <w:p w:rsidR="006C0808" w:rsidRDefault="00E3601E" w:rsidP="00E3601E">
      <w:pPr>
        <w:pStyle w:val="Fait"/>
        <w:rPr>
          <w:noProof/>
        </w:rPr>
      </w:pPr>
      <w:r w:rsidRPr="00E3601E">
        <w:t>Sastavljeno u Bruxellesu,</w:t>
      </w:r>
    </w:p>
    <w:p w:rsidR="006C0808" w:rsidRDefault="00E3601E">
      <w:pPr>
        <w:pStyle w:val="Institutionquisigne"/>
        <w:rPr>
          <w:noProof/>
        </w:rPr>
      </w:pPr>
      <w:r>
        <w:rPr>
          <w:noProof/>
        </w:rPr>
        <w:t>Za Europski parlament</w:t>
      </w:r>
      <w:r>
        <w:rPr>
          <w:noProof/>
        </w:rPr>
        <w:tab/>
        <w:t>Za Vijeće</w:t>
      </w:r>
    </w:p>
    <w:p w:rsidR="006C0808" w:rsidRDefault="00E3601E">
      <w:pPr>
        <w:pStyle w:val="Personnequisigne"/>
        <w:rPr>
          <w:noProof/>
        </w:rPr>
      </w:pPr>
      <w:r>
        <w:rPr>
          <w:noProof/>
        </w:rPr>
        <w:t>Predsjednik</w:t>
      </w:r>
      <w:r>
        <w:rPr>
          <w:noProof/>
        </w:rPr>
        <w:tab/>
        <w:t>Predsjednik</w:t>
      </w:r>
    </w:p>
    <w:p w:rsidR="006C0808" w:rsidRDefault="006C0808">
      <w:pPr>
        <w:rPr>
          <w:noProof/>
        </w:rPr>
        <w:sectPr w:rsidR="006C0808" w:rsidSect="00E3601E">
          <w:pgSz w:w="11907" w:h="16839"/>
          <w:pgMar w:top="1134" w:right="1417" w:bottom="1134" w:left="1417" w:header="709" w:footer="709" w:gutter="0"/>
          <w:cols w:space="708"/>
          <w:docGrid w:linePitch="360"/>
        </w:sectPr>
      </w:pPr>
    </w:p>
    <w:p w:rsidR="006C0808" w:rsidRDefault="00E3601E">
      <w:pPr>
        <w:pStyle w:val="Fichefinanciretitre"/>
        <w:rPr>
          <w:noProof/>
        </w:rPr>
      </w:pPr>
      <w:r>
        <w:rPr>
          <w:noProof/>
        </w:rPr>
        <w:t>ZAKONODAVNI FINANCIJSKI IZVJEŠTAJ</w:t>
      </w:r>
    </w:p>
    <w:p w:rsidR="006C0808" w:rsidRDefault="00E3601E">
      <w:pPr>
        <w:pStyle w:val="ManualHeading1"/>
        <w:rPr>
          <w:noProof/>
        </w:rPr>
      </w:pPr>
      <w:r>
        <w:rPr>
          <w:noProof/>
        </w:rPr>
        <w:t>1.</w:t>
      </w:r>
      <w:r>
        <w:rPr>
          <w:noProof/>
        </w:rPr>
        <w:tab/>
        <w:t>OKVIR PRIJEDLOGA/INICIJATIVE</w:t>
      </w:r>
    </w:p>
    <w:p w:rsidR="006C0808" w:rsidRDefault="00E3601E">
      <w:pPr>
        <w:pStyle w:val="ManualHeading2"/>
        <w:rPr>
          <w:b w:val="0"/>
          <w:noProof/>
        </w:rPr>
      </w:pPr>
      <w:r>
        <w:rPr>
          <w:noProof/>
        </w:rPr>
        <w:tab/>
      </w:r>
      <w:r>
        <w:rPr>
          <w:b w:val="0"/>
          <w:noProof/>
        </w:rPr>
        <w:t>1.1.</w:t>
      </w:r>
      <w:r>
        <w:rPr>
          <w:noProof/>
        </w:rPr>
        <w:tab/>
      </w:r>
      <w:r>
        <w:rPr>
          <w:b w:val="0"/>
          <w:noProof/>
        </w:rPr>
        <w:t>Naslov prijedloga/inicijative</w:t>
      </w:r>
    </w:p>
    <w:p w:rsidR="006C0808" w:rsidRDefault="00E3601E">
      <w:pPr>
        <w:pStyle w:val="ManualHeading2"/>
        <w:rPr>
          <w:b w:val="0"/>
          <w:noProof/>
        </w:rPr>
      </w:pPr>
      <w:r>
        <w:rPr>
          <w:noProof/>
        </w:rPr>
        <w:tab/>
      </w:r>
      <w:r>
        <w:rPr>
          <w:b w:val="0"/>
          <w:noProof/>
        </w:rPr>
        <w:t>1.2.</w:t>
      </w:r>
      <w:r>
        <w:rPr>
          <w:noProof/>
        </w:rPr>
        <w:tab/>
      </w:r>
      <w:r>
        <w:rPr>
          <w:b w:val="0"/>
          <w:noProof/>
        </w:rPr>
        <w:t>Odgovarajuća područja politike u strukturi ABM/ABB</w:t>
      </w:r>
    </w:p>
    <w:p w:rsidR="006C0808" w:rsidRDefault="00E3601E">
      <w:pPr>
        <w:pStyle w:val="ManualHeading2"/>
        <w:rPr>
          <w:b w:val="0"/>
          <w:noProof/>
        </w:rPr>
      </w:pPr>
      <w:r>
        <w:rPr>
          <w:noProof/>
        </w:rPr>
        <w:tab/>
      </w:r>
      <w:r>
        <w:rPr>
          <w:b w:val="0"/>
          <w:noProof/>
        </w:rPr>
        <w:t>1.3.</w:t>
      </w:r>
      <w:r>
        <w:rPr>
          <w:noProof/>
        </w:rPr>
        <w:tab/>
      </w:r>
      <w:r>
        <w:rPr>
          <w:b w:val="0"/>
          <w:noProof/>
        </w:rPr>
        <w:t>Vrsta prijedloga/inicijative</w:t>
      </w:r>
    </w:p>
    <w:p w:rsidR="006C0808" w:rsidRDefault="00E3601E">
      <w:pPr>
        <w:pStyle w:val="ManualHeading2"/>
        <w:rPr>
          <w:b w:val="0"/>
          <w:noProof/>
        </w:rPr>
      </w:pPr>
      <w:r>
        <w:rPr>
          <w:noProof/>
        </w:rPr>
        <w:tab/>
      </w:r>
      <w:r>
        <w:rPr>
          <w:b w:val="0"/>
          <w:noProof/>
        </w:rPr>
        <w:t>1.4.</w:t>
      </w:r>
      <w:r>
        <w:rPr>
          <w:noProof/>
        </w:rPr>
        <w:tab/>
      </w:r>
      <w:r>
        <w:rPr>
          <w:b w:val="0"/>
          <w:noProof/>
        </w:rPr>
        <w:t>Ciljevi</w:t>
      </w:r>
    </w:p>
    <w:p w:rsidR="006C0808" w:rsidRDefault="00E3601E">
      <w:pPr>
        <w:pStyle w:val="ManualHeading2"/>
        <w:rPr>
          <w:b w:val="0"/>
          <w:noProof/>
        </w:rPr>
      </w:pPr>
      <w:r>
        <w:rPr>
          <w:noProof/>
        </w:rPr>
        <w:tab/>
      </w:r>
      <w:r>
        <w:rPr>
          <w:b w:val="0"/>
          <w:noProof/>
        </w:rPr>
        <w:t>1.5.</w:t>
      </w:r>
      <w:r>
        <w:rPr>
          <w:noProof/>
        </w:rPr>
        <w:tab/>
      </w:r>
      <w:r>
        <w:rPr>
          <w:b w:val="0"/>
          <w:noProof/>
        </w:rPr>
        <w:t>Osnova prijedloga/inicijative</w:t>
      </w:r>
    </w:p>
    <w:p w:rsidR="006C0808" w:rsidRDefault="00E3601E">
      <w:pPr>
        <w:pStyle w:val="ManualHeading2"/>
        <w:rPr>
          <w:b w:val="0"/>
          <w:noProof/>
        </w:rPr>
      </w:pPr>
      <w:r>
        <w:rPr>
          <w:noProof/>
        </w:rPr>
        <w:tab/>
      </w:r>
      <w:r>
        <w:rPr>
          <w:b w:val="0"/>
          <w:noProof/>
        </w:rPr>
        <w:t>1.6.</w:t>
      </w:r>
      <w:r>
        <w:rPr>
          <w:noProof/>
        </w:rPr>
        <w:tab/>
      </w:r>
      <w:r>
        <w:rPr>
          <w:b w:val="0"/>
          <w:noProof/>
        </w:rPr>
        <w:t>Trajanje i financijski utjecaj</w:t>
      </w:r>
    </w:p>
    <w:p w:rsidR="006C0808" w:rsidRDefault="00E3601E">
      <w:pPr>
        <w:pStyle w:val="ManualHeading2"/>
        <w:rPr>
          <w:b w:val="0"/>
          <w:noProof/>
        </w:rPr>
      </w:pPr>
      <w:r>
        <w:rPr>
          <w:noProof/>
        </w:rPr>
        <w:tab/>
      </w:r>
      <w:r>
        <w:rPr>
          <w:b w:val="0"/>
          <w:noProof/>
        </w:rPr>
        <w:t>1.7.</w:t>
      </w:r>
      <w:r>
        <w:rPr>
          <w:noProof/>
        </w:rPr>
        <w:tab/>
      </w:r>
      <w:r>
        <w:rPr>
          <w:b w:val="0"/>
          <w:noProof/>
        </w:rPr>
        <w:t>Predviđeni načini upravljanja</w:t>
      </w:r>
    </w:p>
    <w:p w:rsidR="006C0808" w:rsidRDefault="00E3601E">
      <w:pPr>
        <w:pStyle w:val="ManualHeading1"/>
        <w:rPr>
          <w:noProof/>
        </w:rPr>
      </w:pPr>
      <w:r>
        <w:rPr>
          <w:noProof/>
        </w:rPr>
        <w:t>2.</w:t>
      </w:r>
      <w:r>
        <w:rPr>
          <w:noProof/>
        </w:rPr>
        <w:tab/>
        <w:t>MJERE UPRAVLJANJA</w:t>
      </w:r>
    </w:p>
    <w:p w:rsidR="006C0808" w:rsidRDefault="00E3601E">
      <w:pPr>
        <w:pStyle w:val="ManualHeading2"/>
        <w:rPr>
          <w:b w:val="0"/>
          <w:noProof/>
        </w:rPr>
      </w:pPr>
      <w:r>
        <w:rPr>
          <w:noProof/>
        </w:rPr>
        <w:tab/>
      </w:r>
      <w:r>
        <w:rPr>
          <w:b w:val="0"/>
          <w:noProof/>
        </w:rPr>
        <w:t>2.1.</w:t>
      </w:r>
      <w:r>
        <w:rPr>
          <w:noProof/>
        </w:rPr>
        <w:tab/>
      </w:r>
      <w:r>
        <w:rPr>
          <w:b w:val="0"/>
          <w:noProof/>
        </w:rPr>
        <w:t xml:space="preserve">Pravila praćenja i </w:t>
      </w:r>
      <w:r>
        <w:rPr>
          <w:b w:val="0"/>
          <w:noProof/>
        </w:rPr>
        <w:t>izvješćivanja</w:t>
      </w:r>
    </w:p>
    <w:p w:rsidR="006C0808" w:rsidRDefault="00E3601E">
      <w:pPr>
        <w:pStyle w:val="ManualHeading2"/>
        <w:rPr>
          <w:b w:val="0"/>
          <w:noProof/>
        </w:rPr>
      </w:pPr>
      <w:r>
        <w:rPr>
          <w:noProof/>
        </w:rPr>
        <w:tab/>
      </w:r>
      <w:r>
        <w:rPr>
          <w:b w:val="0"/>
          <w:noProof/>
        </w:rPr>
        <w:t>2.2.</w:t>
      </w:r>
      <w:r>
        <w:rPr>
          <w:noProof/>
        </w:rPr>
        <w:tab/>
      </w:r>
      <w:r>
        <w:rPr>
          <w:b w:val="0"/>
          <w:noProof/>
        </w:rPr>
        <w:t>Sustav upravljanja i kontrole</w:t>
      </w:r>
    </w:p>
    <w:p w:rsidR="006C0808" w:rsidRDefault="00E3601E">
      <w:pPr>
        <w:pStyle w:val="ManualHeading2"/>
        <w:rPr>
          <w:b w:val="0"/>
          <w:noProof/>
        </w:rPr>
      </w:pPr>
      <w:r>
        <w:rPr>
          <w:noProof/>
        </w:rPr>
        <w:tab/>
      </w:r>
      <w:r>
        <w:rPr>
          <w:b w:val="0"/>
          <w:noProof/>
        </w:rPr>
        <w:t>2.3.</w:t>
      </w:r>
      <w:r>
        <w:rPr>
          <w:noProof/>
        </w:rPr>
        <w:tab/>
      </w:r>
      <w:r>
        <w:rPr>
          <w:b w:val="0"/>
          <w:noProof/>
        </w:rPr>
        <w:t>Mjere za sprečavanje prijevara i nepravilnosti</w:t>
      </w:r>
    </w:p>
    <w:p w:rsidR="006C0808" w:rsidRDefault="00E3601E">
      <w:pPr>
        <w:pStyle w:val="ManualHeading1"/>
        <w:rPr>
          <w:noProof/>
        </w:rPr>
      </w:pPr>
      <w:r>
        <w:rPr>
          <w:noProof/>
        </w:rPr>
        <w:t>3.</w:t>
      </w:r>
      <w:r>
        <w:rPr>
          <w:noProof/>
        </w:rPr>
        <w:tab/>
        <w:t>PROCIJENJENI FINANCIJSKI UTJECAJ PRIJEDLOGA/INICIJATIVE</w:t>
      </w:r>
    </w:p>
    <w:p w:rsidR="006C0808" w:rsidRDefault="00E3601E">
      <w:pPr>
        <w:pStyle w:val="ManualHeading2"/>
        <w:rPr>
          <w:b w:val="0"/>
          <w:noProof/>
        </w:rPr>
      </w:pPr>
      <w:r>
        <w:rPr>
          <w:noProof/>
        </w:rPr>
        <w:tab/>
      </w:r>
      <w:r>
        <w:rPr>
          <w:b w:val="0"/>
          <w:noProof/>
        </w:rPr>
        <w:t>3.1.</w:t>
      </w:r>
      <w:r>
        <w:rPr>
          <w:noProof/>
        </w:rPr>
        <w:tab/>
      </w:r>
      <w:r>
        <w:rPr>
          <w:b w:val="0"/>
          <w:noProof/>
        </w:rPr>
        <w:t>Naslovi višegodišnjeg financijskog okvira i proračunskih linija rashoda na koje se prije</w:t>
      </w:r>
      <w:r>
        <w:rPr>
          <w:b w:val="0"/>
          <w:noProof/>
        </w:rPr>
        <w:t>dlog/inicijativa odnosi</w:t>
      </w:r>
    </w:p>
    <w:p w:rsidR="006C0808" w:rsidRDefault="00E3601E">
      <w:pPr>
        <w:pStyle w:val="ManualHeading2"/>
        <w:rPr>
          <w:noProof/>
        </w:rPr>
      </w:pPr>
      <w:r>
        <w:rPr>
          <w:noProof/>
        </w:rPr>
        <w:tab/>
      </w:r>
      <w:r>
        <w:rPr>
          <w:b w:val="0"/>
          <w:noProof/>
        </w:rPr>
        <w:t>3.2.</w:t>
      </w:r>
      <w:r>
        <w:rPr>
          <w:noProof/>
        </w:rPr>
        <w:tab/>
      </w:r>
      <w:r>
        <w:rPr>
          <w:b w:val="0"/>
          <w:noProof/>
        </w:rPr>
        <w:t>Procijenjeni utjecaj na rashode</w:t>
      </w:r>
    </w:p>
    <w:p w:rsidR="006C0808" w:rsidRDefault="00E3601E">
      <w:pPr>
        <w:pStyle w:val="ManualHeading3"/>
        <w:rPr>
          <w:noProof/>
        </w:rPr>
      </w:pPr>
      <w:r>
        <w:rPr>
          <w:noProof/>
        </w:rPr>
        <w:tab/>
        <w:t>3.2.1.</w:t>
      </w:r>
      <w:r>
        <w:rPr>
          <w:noProof/>
        </w:rPr>
        <w:tab/>
        <w:t>Sažetak procijenjenog utjecaja na rashode</w:t>
      </w:r>
    </w:p>
    <w:p w:rsidR="006C0808" w:rsidRDefault="00E3601E">
      <w:pPr>
        <w:pStyle w:val="ManualHeading3"/>
        <w:rPr>
          <w:noProof/>
        </w:rPr>
      </w:pPr>
      <w:r>
        <w:rPr>
          <w:noProof/>
        </w:rPr>
        <w:tab/>
        <w:t>3.2.2.</w:t>
      </w:r>
      <w:r>
        <w:rPr>
          <w:noProof/>
        </w:rPr>
        <w:tab/>
        <w:t>Procijenjeni utjecaj na odobrena sredstva za poslovanje</w:t>
      </w:r>
    </w:p>
    <w:p w:rsidR="006C0808" w:rsidRDefault="00E3601E">
      <w:pPr>
        <w:pStyle w:val="ManualHeading3"/>
        <w:rPr>
          <w:noProof/>
        </w:rPr>
      </w:pPr>
      <w:r>
        <w:rPr>
          <w:noProof/>
        </w:rPr>
        <w:tab/>
        <w:t>3.2.3.</w:t>
      </w:r>
      <w:r>
        <w:rPr>
          <w:noProof/>
        </w:rPr>
        <w:tab/>
        <w:t>Procijenjeni utjecaj na odobrena administrativna sredstva</w:t>
      </w:r>
    </w:p>
    <w:p w:rsidR="006C0808" w:rsidRDefault="00E3601E">
      <w:pPr>
        <w:pStyle w:val="ManualHeading3"/>
        <w:rPr>
          <w:noProof/>
        </w:rPr>
      </w:pPr>
      <w:r>
        <w:rPr>
          <w:noProof/>
        </w:rPr>
        <w:tab/>
        <w:t>3.2.4.</w:t>
      </w:r>
      <w:r>
        <w:rPr>
          <w:noProof/>
        </w:rPr>
        <w:tab/>
        <w:t>Usklađ</w:t>
      </w:r>
      <w:r>
        <w:rPr>
          <w:noProof/>
        </w:rPr>
        <w:t>enost s tekućim višegodišnjim financijskim okvirom</w:t>
      </w:r>
    </w:p>
    <w:p w:rsidR="006C0808" w:rsidRDefault="00E3601E">
      <w:pPr>
        <w:pStyle w:val="ManualHeading3"/>
        <w:rPr>
          <w:noProof/>
        </w:rPr>
      </w:pPr>
      <w:r>
        <w:rPr>
          <w:noProof/>
        </w:rPr>
        <w:tab/>
        <w:t>3.2.5.</w:t>
      </w:r>
      <w:r>
        <w:rPr>
          <w:noProof/>
        </w:rPr>
        <w:tab/>
        <w:t>Doprinosi trećih strana</w:t>
      </w:r>
    </w:p>
    <w:p w:rsidR="006C0808" w:rsidRDefault="00E3601E">
      <w:pPr>
        <w:pStyle w:val="ManualHeading2"/>
        <w:jc w:val="left"/>
        <w:rPr>
          <w:b w:val="0"/>
          <w:noProof/>
        </w:rPr>
        <w:sectPr w:rsidR="006C0808" w:rsidSect="00E3601E">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Procijenjeni utjecaj na prihode</w:t>
      </w:r>
    </w:p>
    <w:p w:rsidR="006C0808" w:rsidRDefault="00E3601E">
      <w:pPr>
        <w:jc w:val="center"/>
        <w:rPr>
          <w:noProof/>
        </w:rPr>
      </w:pPr>
      <w:r>
        <w:rPr>
          <w:b/>
          <w:noProof/>
          <w:u w:val="single"/>
        </w:rPr>
        <w:t>ZAKONODAVNI FINANCIJSKI IZVJEŠTAJ</w:t>
      </w:r>
    </w:p>
    <w:p w:rsidR="006C0808" w:rsidRDefault="00E3601E">
      <w:pPr>
        <w:pStyle w:val="ManualHeading1"/>
        <w:rPr>
          <w:bCs/>
          <w:noProof/>
        </w:rPr>
      </w:pPr>
      <w:r>
        <w:rPr>
          <w:noProof/>
        </w:rPr>
        <w:t>1.</w:t>
      </w:r>
      <w:r>
        <w:rPr>
          <w:noProof/>
        </w:rPr>
        <w:tab/>
        <w:t>OKVIR PRIJEDLOGA/INICIJATIVE</w:t>
      </w:r>
    </w:p>
    <w:p w:rsidR="006C0808" w:rsidRDefault="00E3601E">
      <w:pPr>
        <w:pStyle w:val="ManualHeading2"/>
        <w:rPr>
          <w:bCs/>
          <w:noProof/>
        </w:rPr>
      </w:pPr>
      <w:r>
        <w:rPr>
          <w:noProof/>
        </w:rPr>
        <w:t>1.1.</w:t>
      </w:r>
      <w:r>
        <w:rPr>
          <w:noProof/>
        </w:rPr>
        <w:tab/>
        <w:t>Naslov prijedloga/inicijative</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6C0808">
        <w:tc>
          <w:tcPr>
            <w:tcW w:w="10188" w:type="dxa"/>
            <w:shd w:val="clear" w:color="auto" w:fill="auto"/>
          </w:tcPr>
          <w:p w:rsidR="006C0808" w:rsidRDefault="00E3601E">
            <w:pPr>
              <w:pStyle w:val="Text1"/>
              <w:rPr>
                <w:noProof/>
              </w:rPr>
            </w:pPr>
            <w:r>
              <w:rPr>
                <w:b/>
                <w:noProof/>
              </w:rPr>
              <w:t>Prijedlog U</w:t>
            </w:r>
            <w:r>
              <w:rPr>
                <w:b/>
                <w:noProof/>
              </w:rPr>
              <w:t>redbe Europskog parlamenta i Vijeća o osnivanju Tijela europskih regulatora za elektroničke komunikacije (BEREC) i stavljanju izvan snage Uredbe 1211/2009</w:t>
            </w:r>
          </w:p>
        </w:tc>
      </w:tr>
    </w:tbl>
    <w:p w:rsidR="006C0808" w:rsidRDefault="00E3601E">
      <w:pPr>
        <w:pStyle w:val="ManualHeading2"/>
        <w:rPr>
          <w:bCs/>
          <w:noProof/>
        </w:rPr>
      </w:pPr>
      <w:r>
        <w:rPr>
          <w:noProof/>
        </w:rPr>
        <w:t>1.2.</w:t>
      </w:r>
      <w:r>
        <w:rPr>
          <w:noProof/>
        </w:rPr>
        <w:tab/>
        <w:t>Odgovarajuća područja politike u strukturi ABM/ABB</w:t>
      </w:r>
      <w:r>
        <w:rPr>
          <w:rStyle w:val="FootnoteReference"/>
          <w:noProof/>
        </w:rPr>
        <w:footnoteReference w:id="47"/>
      </w:r>
    </w:p>
    <w:p w:rsidR="006C0808" w:rsidRDefault="00E3601E">
      <w:pPr>
        <w:pStyle w:val="Text1"/>
        <w:pBdr>
          <w:top w:val="single" w:sz="4" w:space="1" w:color="auto"/>
          <w:left w:val="single" w:sz="4" w:space="4" w:color="auto"/>
          <w:bottom w:val="single" w:sz="4" w:space="1" w:color="auto"/>
          <w:right w:val="single" w:sz="4" w:space="4" w:color="auto"/>
        </w:pBdr>
        <w:rPr>
          <w:noProof/>
        </w:rPr>
      </w:pPr>
      <w:r>
        <w:rPr>
          <w:noProof/>
        </w:rPr>
        <w:t xml:space="preserve">Područje politike: Komunikacijske mreže, </w:t>
      </w:r>
      <w:r>
        <w:rPr>
          <w:noProof/>
        </w:rPr>
        <w:t>sadržaji i tehnologija</w:t>
      </w:r>
    </w:p>
    <w:p w:rsidR="006C0808" w:rsidRDefault="00E3601E">
      <w:pPr>
        <w:pStyle w:val="Text1"/>
        <w:pBdr>
          <w:top w:val="single" w:sz="4" w:space="1" w:color="auto"/>
          <w:left w:val="single" w:sz="4" w:space="4" w:color="auto"/>
          <w:bottom w:val="single" w:sz="4" w:space="1" w:color="auto"/>
          <w:right w:val="single" w:sz="4" w:space="4" w:color="auto"/>
        </w:pBdr>
        <w:rPr>
          <w:noProof/>
        </w:rPr>
      </w:pPr>
      <w:r>
        <w:rPr>
          <w:noProof/>
        </w:rPr>
        <w:t xml:space="preserve">Aktivnost: </w:t>
      </w:r>
      <w:bookmarkStart w:id="107" w:name="_Toc341951246"/>
      <w:r>
        <w:rPr>
          <w:b/>
          <w:noProof/>
        </w:rPr>
        <w:t>Regulatorni okvir za Digitalnu agendu za Europu</w:t>
      </w:r>
      <w:bookmarkEnd w:id="107"/>
    </w:p>
    <w:p w:rsidR="006C0808" w:rsidRDefault="00E3601E">
      <w:pPr>
        <w:pStyle w:val="ManualHeading2"/>
        <w:rPr>
          <w:bCs/>
          <w:noProof/>
        </w:rPr>
      </w:pPr>
      <w:r>
        <w:rPr>
          <w:noProof/>
        </w:rPr>
        <w:t>1.3.</w:t>
      </w:r>
      <w:r>
        <w:rPr>
          <w:noProof/>
        </w:rPr>
        <w:tab/>
        <w:t>Vrsta prijedloga/inicijative</w:t>
      </w:r>
    </w:p>
    <w:p w:rsidR="006C0808" w:rsidRDefault="00E3601E">
      <w:pPr>
        <w:pStyle w:val="Text1"/>
        <w:rPr>
          <w:noProof/>
        </w:rPr>
      </w:pPr>
      <w:r>
        <w:rPr>
          <w:noProof/>
          <w:sz w:val="22"/>
        </w:rPr>
        <w:sym w:font="Wingdings" w:char="F0A8"/>
      </w:r>
      <w:r>
        <w:rPr>
          <w:noProof/>
        </w:rPr>
        <w:t xml:space="preserve"> Prijedlog/inicijativa odnosi se na </w:t>
      </w:r>
      <w:r>
        <w:rPr>
          <w:b/>
          <w:noProof/>
        </w:rPr>
        <w:t>novo djelovanje</w:t>
      </w:r>
    </w:p>
    <w:p w:rsidR="006C0808" w:rsidRDefault="00E3601E">
      <w:pPr>
        <w:pStyle w:val="Text1"/>
        <w:rPr>
          <w:noProof/>
        </w:rPr>
      </w:pPr>
      <w:r>
        <w:rPr>
          <w:noProof/>
        </w:rPr>
        <w:sym w:font="Wingdings" w:char="F0A8"/>
      </w:r>
      <w:r>
        <w:rPr>
          <w:noProof/>
        </w:rPr>
        <w:t xml:space="preserve"> Prijedlog/inicijativa odnosi se na </w:t>
      </w:r>
      <w:r>
        <w:rPr>
          <w:b/>
          <w:noProof/>
        </w:rPr>
        <w:t>novo djelovanje nakon pilot-projekta/pripremnog dj</w:t>
      </w:r>
      <w:r>
        <w:rPr>
          <w:b/>
          <w:noProof/>
        </w:rPr>
        <w:t>elovanja</w:t>
      </w:r>
      <w:r>
        <w:rPr>
          <w:rStyle w:val="FootnoteReference"/>
          <w:b/>
          <w:noProof/>
        </w:rPr>
        <w:footnoteReference w:id="48"/>
      </w:r>
    </w:p>
    <w:p w:rsidR="006C0808" w:rsidRDefault="00E3601E">
      <w:pPr>
        <w:pStyle w:val="Text1"/>
        <w:rPr>
          <w:noProof/>
        </w:rPr>
      </w:pPr>
      <w:r>
        <w:rPr>
          <w:noProof/>
        </w:rPr>
        <w:sym w:font="Wingdings" w:char="F0A8"/>
      </w:r>
      <w:r>
        <w:rPr>
          <w:noProof/>
        </w:rPr>
        <w:t xml:space="preserve"> Prijedlog/inicijativa odnosi se na </w:t>
      </w:r>
      <w:r>
        <w:rPr>
          <w:b/>
          <w:noProof/>
        </w:rPr>
        <w:t>produženje postojećeg djelovanja</w:t>
      </w:r>
    </w:p>
    <w:p w:rsidR="006C0808" w:rsidRDefault="00E3601E">
      <w:pPr>
        <w:pStyle w:val="Text1"/>
        <w:rPr>
          <w:noProof/>
        </w:rPr>
      </w:pPr>
      <w:r>
        <w:rPr>
          <w:noProof/>
        </w:rPr>
        <w:sym w:font="Wingdings" w:char="F0FE"/>
      </w:r>
      <w:r>
        <w:rPr>
          <w:noProof/>
        </w:rPr>
        <w:t xml:space="preserve"> Prijedlog/inicijativa odnosi se na </w:t>
      </w:r>
      <w:r>
        <w:rPr>
          <w:b/>
          <w:noProof/>
        </w:rPr>
        <w:t>djelovanje koje je preusmjereno na novo djelovanje</w:t>
      </w:r>
    </w:p>
    <w:p w:rsidR="006C0808" w:rsidRDefault="00E3601E">
      <w:pPr>
        <w:pStyle w:val="ManualHeading2"/>
        <w:rPr>
          <w:bCs/>
          <w:noProof/>
        </w:rPr>
      </w:pPr>
      <w:r>
        <w:rPr>
          <w:noProof/>
        </w:rPr>
        <w:t>1.4.</w:t>
      </w:r>
      <w:r>
        <w:rPr>
          <w:noProof/>
        </w:rPr>
        <w:tab/>
        <w:t>Ciljevi</w:t>
      </w:r>
    </w:p>
    <w:p w:rsidR="006C0808" w:rsidRDefault="00E3601E">
      <w:pPr>
        <w:pStyle w:val="ManualHeading3"/>
        <w:rPr>
          <w:bCs/>
          <w:noProof/>
        </w:rPr>
      </w:pPr>
      <w:r>
        <w:rPr>
          <w:noProof/>
        </w:rPr>
        <w:t>1.4.1.</w:t>
      </w:r>
      <w:r>
        <w:rPr>
          <w:noProof/>
        </w:rPr>
        <w:tab/>
        <w:t xml:space="preserve">Višegodišnji strateški ciljevi Komisije na koje se odnosi </w:t>
      </w:r>
      <w:r>
        <w:rPr>
          <w:noProof/>
        </w:rPr>
        <w:t>prijedlog/inicijativa</w:t>
      </w:r>
    </w:p>
    <w:p w:rsidR="006C0808" w:rsidRDefault="00E3601E">
      <w:pPr>
        <w:pStyle w:val="Text1"/>
        <w:pBdr>
          <w:top w:val="single" w:sz="4" w:space="1" w:color="auto"/>
          <w:left w:val="single" w:sz="4" w:space="0" w:color="auto"/>
          <w:bottom w:val="single" w:sz="4" w:space="1" w:color="auto"/>
          <w:right w:val="single" w:sz="4" w:space="1" w:color="auto"/>
        </w:pBdr>
        <w:rPr>
          <w:noProof/>
        </w:rPr>
      </w:pPr>
      <w:r>
        <w:rPr>
          <w:noProof/>
        </w:rPr>
        <w:t>Mjerama predviđenima ovim prijedlogom Uredbe dopunjuje se revizija postojećeg regulatornog okvira za elektroničke komunikacije kao jednog od sastavnih elemenata Strategije jedinstvenog digitalnog tržišta pokrenute u svibnju 2015.</w:t>
      </w:r>
      <w:r>
        <w:rPr>
          <w:rStyle w:val="FootnoteReference"/>
          <w:noProof/>
        </w:rPr>
        <w:footnoteReference w:id="49"/>
      </w:r>
    </w:p>
    <w:p w:rsidR="006C0808" w:rsidRDefault="00E3601E">
      <w:pPr>
        <w:pStyle w:val="Text1"/>
        <w:pBdr>
          <w:top w:val="single" w:sz="4" w:space="1" w:color="auto"/>
          <w:left w:val="single" w:sz="4" w:space="0" w:color="auto"/>
          <w:bottom w:val="single" w:sz="4" w:space="1" w:color="auto"/>
          <w:right w:val="single" w:sz="4" w:space="1" w:color="auto"/>
        </w:pBdr>
        <w:rPr>
          <w:rFonts w:eastAsia="Calibri"/>
          <w:noProof/>
        </w:rPr>
      </w:pPr>
      <w:r>
        <w:rPr>
          <w:noProof/>
        </w:rPr>
        <w:t>Prijedlogom Uredbe predviđa se revizija postojećeg regulatornog okvira u cilju njegova ažuriranja i prilagodbe tehnologiji i razvoju tržišta te osiguranja veće razine usklađenosti nacionalnih propisa i propisa Unije, dosljedne provedbe pravila Unije te šir</w:t>
      </w:r>
      <w:r>
        <w:rPr>
          <w:noProof/>
        </w:rPr>
        <w:t>okog pristupa podatkovnoj povezivosti vrlo velikog kapaciteta i njezine upotrebe.</w:t>
      </w:r>
    </w:p>
    <w:p w:rsidR="006C0808" w:rsidRDefault="00E3601E">
      <w:pPr>
        <w:pStyle w:val="Text1"/>
        <w:pBdr>
          <w:top w:val="single" w:sz="4" w:space="1" w:color="auto"/>
          <w:left w:val="single" w:sz="4" w:space="0" w:color="auto"/>
          <w:bottom w:val="single" w:sz="4" w:space="1" w:color="auto"/>
          <w:right w:val="single" w:sz="4" w:space="1" w:color="auto"/>
        </w:pBdr>
        <w:rPr>
          <w:rFonts w:eastAsia="Calibri"/>
          <w:noProof/>
        </w:rPr>
      </w:pPr>
      <w:r>
        <w:rPr>
          <w:noProof/>
        </w:rPr>
        <w:t>Regulatorni okvir učinkovit je za konkurentnost cijelog sektora i znatne koristi za krajnje korisnike, ali su rezultati u postizanju cilja jedinstvenog tržišta prilično skrom</w:t>
      </w:r>
      <w:r>
        <w:rPr>
          <w:noProof/>
        </w:rPr>
        <w:t>ni. Regulatorna dosljednost postignuta je samo u ograničenoj mjeri, što utječe na poslovanje pružatelja prekograničnih usluga i čime se smanjuje predvidljivost za sve operatore i ulagače.</w:t>
      </w:r>
    </w:p>
    <w:p w:rsidR="006C0808" w:rsidRDefault="00E3601E">
      <w:pPr>
        <w:pStyle w:val="Text1"/>
        <w:pBdr>
          <w:top w:val="single" w:sz="4" w:space="1" w:color="auto"/>
          <w:left w:val="single" w:sz="4" w:space="0" w:color="auto"/>
          <w:bottom w:val="single" w:sz="4" w:space="1" w:color="auto"/>
          <w:right w:val="single" w:sz="4" w:space="1" w:color="auto"/>
        </w:pBdr>
        <w:rPr>
          <w:rFonts w:eastAsia="Calibri"/>
          <w:noProof/>
        </w:rPr>
      </w:pPr>
      <w:r>
        <w:rPr>
          <w:noProof/>
        </w:rPr>
        <w:t>Cilj je predloženih mjera poticanje razvoja pravog unutarnjeg tržišt</w:t>
      </w:r>
      <w:r>
        <w:rPr>
          <w:noProof/>
        </w:rPr>
        <w:t>a elektroničkih komunikacija u Uniji, posebno boljom koordinacijom regulatornih korektivnih mjera i dosljednošću propisa i dizajna u području pristupnih proizvoda potrebnih za pružanje potpore pravom paneuropskom telekomunikacijskom tržištu, što je posebno</w:t>
      </w:r>
      <w:r>
        <w:rPr>
          <w:noProof/>
        </w:rPr>
        <w:t xml:space="preserve"> važno za poslovne krajnje korisnike. Predviđeno je i da se mjerama potiče natjecanje u ulaganjima u podatkovnu povezivost vrlo velikog kapaciteta diljem Unije te da se osigura postavljanje mreža do svih zemljopisnih područja radi prevladavanja digitalnog </w:t>
      </w:r>
      <w:r>
        <w:rPr>
          <w:noProof/>
        </w:rPr>
        <w:t>jaza. Osim toga, rješavat će se i pitanje jednakih uvjeta za tradicionalne telekomunikacijske operatore i internetske komunikacijske usluge, a predviđene su i brojne nove odredbe za zaštitu krajnjih korisnika od određenih komunikacijskih rizika uz istodobn</w:t>
      </w:r>
      <w:r>
        <w:rPr>
          <w:noProof/>
        </w:rPr>
        <w:t>o ukidanje pravila o zaštiti potrošača koja su nepotrebna ili se preklapaju.</w:t>
      </w:r>
    </w:p>
    <w:p w:rsidR="006C0808" w:rsidRDefault="00E3601E">
      <w:pPr>
        <w:pStyle w:val="Text1"/>
        <w:pBdr>
          <w:top w:val="single" w:sz="4" w:space="1" w:color="auto"/>
          <w:left w:val="single" w:sz="4" w:space="0" w:color="auto"/>
          <w:bottom w:val="single" w:sz="4" w:space="1" w:color="auto"/>
          <w:right w:val="single" w:sz="4" w:space="1" w:color="auto"/>
        </w:pBdr>
        <w:rPr>
          <w:noProof/>
        </w:rPr>
      </w:pPr>
      <w:r>
        <w:rPr>
          <w:noProof/>
        </w:rPr>
        <w:t>Odgovarajuća i učinkovita institucionalna struktura ključna je za osiguranje pozitivnog i dosljednog ishoda ukupnog regulatornog okvira u području telekomunikacija i za jedinstven</w:t>
      </w:r>
      <w:r>
        <w:rPr>
          <w:noProof/>
        </w:rPr>
        <w:t>o digitalno tržište. Nadležnosti nacionalnih regulatornih tijela ojačat će se i uskladiti, a određene zadaće u većoj će se mjeri obavljati na europskoj razini. U Strategiji jedinstvenog digitalnog tržišta navodi se da je zbog promjena na tržištu i u tehnol</w:t>
      </w:r>
      <w:r>
        <w:rPr>
          <w:noProof/>
        </w:rPr>
        <w:t>oškom okruženju potrebno jačanje institucionalnog okvira i uloge BEREC-a.</w:t>
      </w:r>
    </w:p>
    <w:p w:rsidR="006C0808" w:rsidRDefault="00E3601E">
      <w:pPr>
        <w:pStyle w:val="Text1"/>
        <w:pBdr>
          <w:top w:val="single" w:sz="4" w:space="1" w:color="auto"/>
          <w:left w:val="single" w:sz="4" w:space="0" w:color="auto"/>
          <w:bottom w:val="single" w:sz="4" w:space="1" w:color="auto"/>
          <w:right w:val="single" w:sz="4" w:space="1" w:color="auto"/>
        </w:pBdr>
        <w:rPr>
          <w:noProof/>
        </w:rPr>
      </w:pPr>
      <w:r>
        <w:rPr>
          <w:noProof/>
        </w:rPr>
        <w:t>BEREC će imati važnu i osnaženu ulogu u osiguranju učinkovite provedbe predloženog zakonodavnog paketa uz brojne dodatne zadaće, uključujući određene „prednormativne zadaće” i obvezu</w:t>
      </w:r>
      <w:r>
        <w:rPr>
          <w:noProof/>
        </w:rPr>
        <w:t>juće ovlasti, davanje smjernica, izvješćivanje te vođenje registara.</w:t>
      </w:r>
    </w:p>
    <w:p w:rsidR="006C0808" w:rsidRDefault="00E3601E">
      <w:pPr>
        <w:pStyle w:val="Text1"/>
        <w:pBdr>
          <w:top w:val="single" w:sz="4" w:space="1" w:color="auto"/>
          <w:left w:val="single" w:sz="4" w:space="0" w:color="auto"/>
          <w:bottom w:val="single" w:sz="4" w:space="1" w:color="auto"/>
          <w:right w:val="single" w:sz="4" w:space="1" w:color="auto"/>
        </w:pBdr>
        <w:rPr>
          <w:noProof/>
        </w:rPr>
      </w:pPr>
      <w:r>
        <w:rPr>
          <w:noProof/>
        </w:rPr>
        <w:t>BEREC, nakon što se razvije u punopravnu agenciju, tako bi postao ključni čimbenik za postizanje cilja unutarnjeg telekomunikacijskog tržišta u Uniji. Pozivi da BEREC pridonese oblikovanj</w:t>
      </w:r>
      <w:r>
        <w:rPr>
          <w:noProof/>
        </w:rPr>
        <w:t>u tehničkih i političkih smjernica postat će sve brojniji. Stoga se predloženim mjerama jača struktura BEREC-a, uključujući davanje pravne osobnosti i pružanje dodatne stabilnosti za strateško upravljanje njime. BEREC-u bi se dala i ovlast da zatraži infor</w:t>
      </w:r>
      <w:r>
        <w:rPr>
          <w:noProof/>
        </w:rPr>
        <w:t>macije izravno od operatora.</w:t>
      </w:r>
    </w:p>
    <w:p w:rsidR="006C0808" w:rsidRDefault="00E3601E">
      <w:pPr>
        <w:pStyle w:val="ManualHeading3"/>
        <w:rPr>
          <w:bCs/>
          <w:noProof/>
        </w:rPr>
      </w:pPr>
      <w:r>
        <w:rPr>
          <w:noProof/>
        </w:rPr>
        <w:t>1.4.2.</w:t>
      </w:r>
      <w:r>
        <w:rPr>
          <w:noProof/>
        </w:rPr>
        <w:tab/>
        <w:t>Posebni ciljevi i odgovarajuće aktivnosti u okviru strukture ABM/ABB</w:t>
      </w:r>
    </w:p>
    <w:p w:rsidR="006C0808" w:rsidRDefault="00E3601E">
      <w:pPr>
        <w:pStyle w:val="Text1"/>
        <w:keepNext/>
        <w:keepLines/>
        <w:pBdr>
          <w:top w:val="single" w:sz="4" w:space="0" w:color="auto"/>
          <w:left w:val="single" w:sz="4" w:space="1" w:color="auto"/>
          <w:bottom w:val="single" w:sz="4" w:space="0" w:color="auto"/>
          <w:right w:val="single" w:sz="4" w:space="1" w:color="auto"/>
        </w:pBdr>
        <w:ind w:left="851"/>
        <w:rPr>
          <w:noProof/>
          <w:u w:val="single"/>
        </w:rPr>
      </w:pPr>
      <w:r>
        <w:rPr>
          <w:noProof/>
          <w:u w:val="single"/>
        </w:rPr>
        <w:t xml:space="preserve">Posebni cilj br.   </w:t>
      </w:r>
    </w:p>
    <w:p w:rsidR="006C0808" w:rsidRDefault="00E3601E">
      <w:pPr>
        <w:pStyle w:val="Text1"/>
        <w:keepLines/>
        <w:pBdr>
          <w:top w:val="single" w:sz="4" w:space="0" w:color="auto"/>
          <w:left w:val="single" w:sz="4" w:space="1" w:color="auto"/>
          <w:bottom w:val="single" w:sz="4" w:space="0" w:color="auto"/>
          <w:right w:val="single" w:sz="4" w:space="1" w:color="auto"/>
        </w:pBdr>
        <w:ind w:left="851"/>
        <w:rPr>
          <w:noProof/>
        </w:rPr>
      </w:pPr>
      <w:r>
        <w:rPr>
          <w:noProof/>
        </w:rPr>
        <w:t>BEREC pridonosi boljem funkcioniranju unutarnjeg tržišta u korist potrošača i industrije. Predloženom mjerom, kojom se nova agencij</w:t>
      </w:r>
      <w:r>
        <w:rPr>
          <w:noProof/>
        </w:rPr>
        <w:t>a u znatnoj mjeri usklađuje sa zajedničkim pristupom</w:t>
      </w:r>
      <w:r>
        <w:rPr>
          <w:rStyle w:val="FootnoteReference"/>
          <w:noProof/>
        </w:rPr>
        <w:footnoteReference w:id="50"/>
      </w:r>
      <w:r>
        <w:rPr>
          <w:noProof/>
        </w:rPr>
        <w:t>, jača se struktura BEREC-a i pretvara ga se u temelj učinkovitog sustava Unije za regulatorna tijela. Mjerom se BEREC-u dodjeljuje i uloga koordinatora u svim područjima nadležnosti nacionalnih regulato</w:t>
      </w:r>
      <w:r>
        <w:rPr>
          <w:noProof/>
        </w:rPr>
        <w:t>rnih tijela, čime se jača njegova uloga za unutarnje tržište i osigurava učinkovita provedba i praćenje različitih rezultata.</w:t>
      </w:r>
    </w:p>
    <w:p w:rsidR="006C0808" w:rsidRDefault="00E3601E">
      <w:pPr>
        <w:pStyle w:val="Text1"/>
        <w:pBdr>
          <w:top w:val="single" w:sz="4" w:space="0" w:color="auto"/>
          <w:left w:val="single" w:sz="4" w:space="1" w:color="auto"/>
          <w:bottom w:val="single" w:sz="4" w:space="1" w:color="auto"/>
          <w:right w:val="single" w:sz="4" w:space="1" w:color="auto"/>
        </w:pBdr>
        <w:rPr>
          <w:noProof/>
          <w:u w:val="single"/>
        </w:rPr>
      </w:pPr>
      <w:r>
        <w:rPr>
          <w:noProof/>
          <w:u w:val="single"/>
        </w:rPr>
        <w:t>Odgovarajuće aktivnosti u okviru strukture ABM/ABB:</w:t>
      </w:r>
    </w:p>
    <w:p w:rsidR="006C0808" w:rsidRDefault="00E3601E">
      <w:pPr>
        <w:pStyle w:val="Text1"/>
        <w:pBdr>
          <w:top w:val="single" w:sz="4" w:space="0" w:color="auto"/>
          <w:left w:val="single" w:sz="4" w:space="1" w:color="auto"/>
          <w:bottom w:val="single" w:sz="4" w:space="1" w:color="auto"/>
          <w:right w:val="single" w:sz="4" w:space="1" w:color="auto"/>
        </w:pBdr>
        <w:rPr>
          <w:noProof/>
        </w:rPr>
      </w:pPr>
      <w:r>
        <w:rPr>
          <w:noProof/>
        </w:rPr>
        <w:t>Regulatorni okvir za elektroničke komunikacije.</w:t>
      </w:r>
    </w:p>
    <w:p w:rsidR="006C0808" w:rsidRDefault="006C0808">
      <w:pPr>
        <w:pStyle w:val="Text1"/>
        <w:pBdr>
          <w:top w:val="single" w:sz="4" w:space="0" w:color="auto"/>
          <w:left w:val="single" w:sz="4" w:space="1" w:color="auto"/>
          <w:bottom w:val="single" w:sz="4" w:space="1" w:color="auto"/>
          <w:right w:val="single" w:sz="4" w:space="1" w:color="auto"/>
        </w:pBdr>
        <w:rPr>
          <w:noProof/>
        </w:rPr>
      </w:pPr>
    </w:p>
    <w:p w:rsidR="006C0808" w:rsidRDefault="00E3601E">
      <w:pPr>
        <w:pStyle w:val="ManualHeading3"/>
        <w:rPr>
          <w:bCs/>
          <w:noProof/>
        </w:rPr>
      </w:pPr>
      <w:r>
        <w:rPr>
          <w:noProof/>
        </w:rPr>
        <w:t>1.4.3.</w:t>
      </w:r>
      <w:r>
        <w:rPr>
          <w:noProof/>
        </w:rPr>
        <w:tab/>
        <w:t xml:space="preserve">Očekivani rezultati i </w:t>
      </w:r>
      <w:r>
        <w:rPr>
          <w:noProof/>
        </w:rPr>
        <w:t>utjecaj</w:t>
      </w:r>
    </w:p>
    <w:p w:rsidR="006C0808" w:rsidRDefault="00E3601E">
      <w:pPr>
        <w:pStyle w:val="Text1"/>
        <w:rPr>
          <w:i/>
          <w:noProof/>
          <w:sz w:val="20"/>
        </w:rPr>
      </w:pPr>
      <w:r>
        <w:rPr>
          <w:i/>
          <w:noProof/>
          <w:sz w:val="20"/>
        </w:rPr>
        <w:t>Navesti učinke koje bi prijedlog/inicijativa trebali imati na ciljane korisnike/skupine.</w:t>
      </w:r>
    </w:p>
    <w:p w:rsidR="006C0808" w:rsidRDefault="00E3601E">
      <w:pPr>
        <w:pBdr>
          <w:top w:val="single" w:sz="4" w:space="1" w:color="auto"/>
          <w:left w:val="single" w:sz="4" w:space="0" w:color="auto"/>
          <w:bottom w:val="single" w:sz="4" w:space="1" w:color="auto"/>
          <w:right w:val="single" w:sz="4" w:space="4" w:color="auto"/>
        </w:pBdr>
        <w:autoSpaceDE w:val="0"/>
        <w:autoSpaceDN w:val="0"/>
        <w:adjustRightInd w:val="0"/>
        <w:spacing w:after="240"/>
        <w:ind w:left="851"/>
        <w:rPr>
          <w:noProof/>
        </w:rPr>
      </w:pPr>
      <w:r>
        <w:rPr>
          <w:noProof/>
        </w:rPr>
        <w:t>Očekuje se da će inicijativa imati sljedeće učinke:</w:t>
      </w:r>
    </w:p>
    <w:p w:rsidR="006C0808" w:rsidRDefault="00E3601E">
      <w:pPr>
        <w:pBdr>
          <w:top w:val="single" w:sz="4" w:space="1" w:color="auto"/>
          <w:left w:val="single" w:sz="4" w:space="0" w:color="auto"/>
          <w:bottom w:val="single" w:sz="4" w:space="1" w:color="auto"/>
          <w:right w:val="single" w:sz="4" w:space="4" w:color="auto"/>
        </w:pBdr>
        <w:autoSpaceDE w:val="0"/>
        <w:autoSpaceDN w:val="0"/>
        <w:adjustRightInd w:val="0"/>
        <w:spacing w:after="240"/>
        <w:ind w:left="851"/>
        <w:rPr>
          <w:noProof/>
        </w:rPr>
      </w:pPr>
      <w:r>
        <w:rPr>
          <w:noProof/>
        </w:rPr>
        <w:t>cilj je transformirati BEREC u punopravnu agenciju (u skladu sa zajedničkim pristupom), sposobnu za davanje</w:t>
      </w:r>
      <w:r>
        <w:rPr>
          <w:noProof/>
        </w:rPr>
        <w:t xml:space="preserve"> doprinosa boljem funkcioniranju unutarnjeg tržišta elektroničkih komunikacijskih mreža i usluga, uključujući posebno razvoj prekograničnih usluga elektroničkih komunikacija, te za učinkovito obavljanje dodijeljenih zadaća.</w:t>
      </w:r>
    </w:p>
    <w:p w:rsidR="006C0808" w:rsidRDefault="00E3601E">
      <w:pPr>
        <w:pBdr>
          <w:top w:val="single" w:sz="4" w:space="1" w:color="auto"/>
          <w:left w:val="single" w:sz="4" w:space="0" w:color="auto"/>
          <w:bottom w:val="single" w:sz="4" w:space="1" w:color="auto"/>
          <w:right w:val="single" w:sz="4" w:space="4" w:color="auto"/>
        </w:pBdr>
        <w:autoSpaceDE w:val="0"/>
        <w:autoSpaceDN w:val="0"/>
        <w:adjustRightInd w:val="0"/>
        <w:spacing w:after="240"/>
        <w:ind w:left="851"/>
        <w:rPr>
          <w:noProof/>
        </w:rPr>
      </w:pPr>
      <w:r>
        <w:rPr>
          <w:noProof/>
        </w:rPr>
        <w:t>Za više podataka vidjeti prilože</w:t>
      </w:r>
      <w:r>
        <w:rPr>
          <w:noProof/>
        </w:rPr>
        <w:t>nu Procjenu učinaka.</w:t>
      </w:r>
    </w:p>
    <w:p w:rsidR="006C0808" w:rsidRDefault="00E3601E">
      <w:pPr>
        <w:pStyle w:val="ManualHeading3"/>
        <w:rPr>
          <w:bCs/>
          <w:noProof/>
        </w:rPr>
      </w:pPr>
      <w:r>
        <w:rPr>
          <w:noProof/>
        </w:rPr>
        <w:t>1.4.4.</w:t>
      </w:r>
      <w:r>
        <w:rPr>
          <w:noProof/>
        </w:rPr>
        <w:tab/>
        <w:t>Pokazatelji rezultata i utjecaja</w:t>
      </w:r>
    </w:p>
    <w:p w:rsidR="006C0808" w:rsidRDefault="00E3601E">
      <w:pPr>
        <w:pStyle w:val="Text1"/>
        <w:rPr>
          <w:i/>
          <w:noProof/>
          <w:sz w:val="20"/>
        </w:rPr>
      </w:pPr>
      <w:r>
        <w:rPr>
          <w:i/>
          <w:noProof/>
          <w:sz w:val="20"/>
        </w:rPr>
        <w:t>Navesti pokazatelje koji omogućuju praćenje provedbe prijedloga/inicijative.</w:t>
      </w:r>
    </w:p>
    <w:p w:rsidR="006C0808" w:rsidRDefault="006C0808">
      <w:pPr>
        <w:autoSpaceDE w:val="0"/>
        <w:autoSpaceDN w:val="0"/>
        <w:adjustRightInd w:val="0"/>
        <w:spacing w:before="0" w:after="0"/>
        <w:jc w:val="left"/>
        <w:rPr>
          <w:i/>
          <w:noProof/>
          <w:sz w:val="20"/>
        </w:rPr>
      </w:pPr>
    </w:p>
    <w:p w:rsidR="006C0808" w:rsidRDefault="00E3601E">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Pokazatelji za praćenje ciljeva su kako slijedi:</w:t>
      </w:r>
    </w:p>
    <w:p w:rsidR="006C0808" w:rsidRDefault="00E3601E">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 xml:space="preserve">– broj slučajeva u kojima je BEREC pružao pomoć Komisiji na zahtjev </w:t>
      </w:r>
      <w:r>
        <w:rPr>
          <w:noProof/>
        </w:rPr>
        <w:t>i na vlastitu inicijativu,</w:t>
      </w:r>
    </w:p>
    <w:p w:rsidR="006C0808" w:rsidRDefault="00E3601E">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 broj slučajeva u kojima je BEREC pružao pomoć nacionalnim regulatornim tijelima na zahtjev i na vlastitu inicijativu,</w:t>
      </w:r>
    </w:p>
    <w:p w:rsidR="006C0808" w:rsidRDefault="00E3601E">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 xml:space="preserve">– broj relevantnih obvezujućih odluka koje je BEREC donio u relevantnim područjima, </w:t>
      </w:r>
    </w:p>
    <w:p w:rsidR="006C0808" w:rsidRDefault="00E3601E">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 broj mišljenja koja je</w:t>
      </w:r>
      <w:r>
        <w:rPr>
          <w:noProof/>
        </w:rPr>
        <w:t xml:space="preserve"> BEREC dao, posebno povezanih s postupcima unutarnjeg tržišta za regulaciju tržišta i za stručni pregled radiofrekvencijskog spektra,</w:t>
      </w:r>
    </w:p>
    <w:p w:rsidR="006C0808" w:rsidRDefault="00E3601E">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 broj smjernica koje je BEREC dao u relevantnim područjima,</w:t>
      </w:r>
    </w:p>
    <w:p w:rsidR="006C0808" w:rsidRDefault="00E3601E">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 broj izvješća koja je BEREC izdao u relevantnim područjima,</w:t>
      </w:r>
    </w:p>
    <w:p w:rsidR="006C0808" w:rsidRDefault="00E3601E">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 broj preporuka i najboljih praksi koje je BEREC uputio nacionalnim regulatornim tijelima,</w:t>
      </w:r>
    </w:p>
    <w:p w:rsidR="006C0808" w:rsidRDefault="00E3601E">
      <w:pPr>
        <w:pStyle w:val="Text1"/>
        <w:pBdr>
          <w:top w:val="single" w:sz="4" w:space="1" w:color="auto"/>
          <w:left w:val="single" w:sz="4" w:space="4" w:color="auto"/>
          <w:bottom w:val="single" w:sz="4" w:space="1" w:color="auto"/>
          <w:right w:val="single" w:sz="4" w:space="4" w:color="auto"/>
        </w:pBdr>
        <w:spacing w:before="0"/>
        <w:ind w:left="851"/>
        <w:rPr>
          <w:noProof/>
        </w:rPr>
      </w:pPr>
      <w:r>
        <w:rPr>
          <w:noProof/>
        </w:rPr>
        <w:t>– broj aktivnosti s partnerima i dionicima.</w:t>
      </w:r>
    </w:p>
    <w:p w:rsidR="006C0808" w:rsidRDefault="00E3601E">
      <w:pPr>
        <w:pStyle w:val="ManualHeading2"/>
        <w:rPr>
          <w:bCs/>
          <w:noProof/>
        </w:rPr>
      </w:pPr>
      <w:r>
        <w:rPr>
          <w:noProof/>
        </w:rPr>
        <w:t>1.5.</w:t>
      </w:r>
      <w:r>
        <w:rPr>
          <w:noProof/>
        </w:rPr>
        <w:tab/>
        <w:t>Osnova prijedloga/inicijative</w:t>
      </w:r>
    </w:p>
    <w:p w:rsidR="006C0808" w:rsidRDefault="00E3601E">
      <w:pPr>
        <w:pStyle w:val="ManualHeading3"/>
        <w:rPr>
          <w:bCs/>
          <w:noProof/>
        </w:rPr>
      </w:pPr>
      <w:r>
        <w:rPr>
          <w:noProof/>
        </w:rPr>
        <w:t>1.5.1.</w:t>
      </w:r>
      <w:r>
        <w:rPr>
          <w:noProof/>
        </w:rPr>
        <w:tab/>
        <w:t>Zahtjevi koje je potrebno kratkoročno ili dugoročno ispuniti</w:t>
      </w:r>
    </w:p>
    <w:p w:rsidR="006C0808" w:rsidRDefault="00E3601E">
      <w:pPr>
        <w:pBdr>
          <w:top w:val="single" w:sz="4" w:space="1" w:color="auto"/>
          <w:left w:val="single" w:sz="4" w:space="4" w:color="auto"/>
          <w:bottom w:val="single" w:sz="4" w:space="1" w:color="auto"/>
          <w:right w:val="single" w:sz="4" w:space="4" w:color="auto"/>
        </w:pBdr>
        <w:autoSpaceDE w:val="0"/>
        <w:autoSpaceDN w:val="0"/>
        <w:adjustRightInd w:val="0"/>
        <w:ind w:left="851"/>
        <w:rPr>
          <w:noProof/>
        </w:rPr>
      </w:pPr>
      <w:r>
        <w:rPr>
          <w:noProof/>
        </w:rPr>
        <w:t xml:space="preserve">Ne dovodeći u </w:t>
      </w:r>
      <w:r>
        <w:rPr>
          <w:noProof/>
        </w:rPr>
        <w:t>pitanje specifičnosti sektora BEREC je potrebno uskladiti sa zajedničkim pristupom. Kako bi postigao opći cilj razvoja dosljedne regulatorne prakse diljem Unije, njegove zadaće trebaju uključivati sva područja koja utječu na unutarnje tržište, poput primje</w:t>
      </w:r>
      <w:r>
        <w:rPr>
          <w:noProof/>
        </w:rPr>
        <w:t>rice postupaka za dodjelu radiofrekvencijskog spektra kojima se oblikuje tržište ili općeg odobrenja, te odražavati zadaće dodijeljene nacionalnim regulatornim tijelima jer će one odsad biti usklađene. Potrebno je ojačati njegov administrativni kapacitet k</w:t>
      </w:r>
      <w:r>
        <w:rPr>
          <w:noProof/>
        </w:rPr>
        <w:t>ako bi mogao ispunjavati nove zadaće koje su mu dodijeljene.</w:t>
      </w:r>
    </w:p>
    <w:p w:rsidR="006C0808" w:rsidRDefault="00E3601E">
      <w:pPr>
        <w:pStyle w:val="ManualHeading3"/>
        <w:rPr>
          <w:bCs/>
          <w:noProof/>
        </w:rPr>
      </w:pPr>
      <w:r>
        <w:rPr>
          <w:noProof/>
        </w:rPr>
        <w:t>1.5.2.</w:t>
      </w:r>
      <w:r>
        <w:rPr>
          <w:noProof/>
        </w:rPr>
        <w:tab/>
        <w:t>Dodana vrijednost sudjelovanja EU-a</w:t>
      </w:r>
    </w:p>
    <w:p w:rsidR="006C0808" w:rsidRDefault="00E3601E">
      <w:pPr>
        <w:pStyle w:val="Text1"/>
        <w:pBdr>
          <w:top w:val="single" w:sz="4" w:space="1" w:color="auto"/>
          <w:left w:val="single" w:sz="4" w:space="0" w:color="auto"/>
          <w:bottom w:val="single" w:sz="4" w:space="1" w:color="auto"/>
          <w:right w:val="single" w:sz="4" w:space="1" w:color="auto"/>
        </w:pBdr>
        <w:rPr>
          <w:noProof/>
        </w:rPr>
      </w:pPr>
      <w:r>
        <w:rPr>
          <w:noProof/>
        </w:rPr>
        <w:t>BEREC pridonosi razvoju dosljedne regulatorne prakse i dosljednoj provedbi regulatornog okvira za elektroničke komunikacije. Međutim, trenutačna institu</w:t>
      </w:r>
      <w:r>
        <w:rPr>
          <w:noProof/>
        </w:rPr>
        <w:t>cionalna struktura BEREC-a često je usmjerena na veću fleksibilnost ili najmanji zajednički nazivnik umjesto na usklađeni pristup za unutarnje tržište. Zahvaljujući novim mjerama pozivi da BEREC pridonese oblikovanju tehničkih i političkih smjernica postat</w:t>
      </w:r>
      <w:r>
        <w:rPr>
          <w:noProof/>
        </w:rPr>
        <w:t xml:space="preserve"> će sve brojniji. BEREC će u sljedećim godinama imati ključnu ulogu u jačanju jedinstvenog digitalnog tržišta. Stoga je cilj predložene mjere jačanje njegove strukture, proširenje nadležnosti i regulatornog kapaciteta te osiguranje kontinuiteta njegova dje</w:t>
      </w:r>
      <w:r>
        <w:rPr>
          <w:noProof/>
        </w:rPr>
        <w:t>lovanja. Međutim, djelovanje BEREC-a i dalje će se temeljiti na stručnom znanju predstavnika nacionalnih regulatornih tijela u različitim radnim skupinama, dok će voditelji nacionalnih regulatornih tijela i dalje odlučivati na razini odbora. Utemeljenost B</w:t>
      </w:r>
      <w:r>
        <w:rPr>
          <w:noProof/>
        </w:rPr>
        <w:t>EREC-a na nacionalnim regulatornim tijelima potrebna je u smislu tehničkog karaktera odluka koje će BEREC donositi te trenutačnog konteksta ograničenja agencija u smislu resursa.</w:t>
      </w:r>
    </w:p>
    <w:p w:rsidR="006C0808" w:rsidRDefault="00E3601E">
      <w:pPr>
        <w:pStyle w:val="ManualHeading3"/>
        <w:rPr>
          <w:bCs/>
          <w:noProof/>
        </w:rPr>
      </w:pPr>
      <w:r>
        <w:rPr>
          <w:noProof/>
        </w:rPr>
        <w:t>1.5.3.</w:t>
      </w:r>
      <w:r>
        <w:rPr>
          <w:noProof/>
        </w:rPr>
        <w:tab/>
        <w:t>Pouke iz prijašnjih sličnih iskustava</w:t>
      </w:r>
    </w:p>
    <w:p w:rsidR="006C0808" w:rsidRDefault="00E3601E">
      <w:pPr>
        <w:pBdr>
          <w:top w:val="single" w:sz="4" w:space="1" w:color="auto"/>
          <w:left w:val="single" w:sz="4" w:space="0" w:color="auto"/>
          <w:bottom w:val="single" w:sz="4" w:space="1" w:color="auto"/>
          <w:right w:val="single" w:sz="4" w:space="4" w:color="auto"/>
        </w:pBdr>
        <w:ind w:left="851"/>
        <w:rPr>
          <w:noProof/>
        </w:rPr>
      </w:pPr>
      <w:r>
        <w:rPr>
          <w:noProof/>
        </w:rPr>
        <w:t xml:space="preserve">Trenutačna struktura sastoji se </w:t>
      </w:r>
      <w:r>
        <w:rPr>
          <w:noProof/>
        </w:rPr>
        <w:t>od tijela s pravnom osobnošću, (Ured BEREC-a) koje je najmanja agencija u Uniji, i Odbora regulatora BEREC-a koji nema pravnu osobnost, ali donosi mišljenja u području svoje nadležnosti. Pokazalo se da je ta struktura ograničena.</w:t>
      </w:r>
    </w:p>
    <w:p w:rsidR="006C0808" w:rsidRDefault="00E3601E">
      <w:pPr>
        <w:pBdr>
          <w:top w:val="single" w:sz="4" w:space="1" w:color="auto"/>
          <w:left w:val="single" w:sz="4" w:space="0" w:color="auto"/>
          <w:bottom w:val="single" w:sz="4" w:space="1" w:color="auto"/>
          <w:right w:val="single" w:sz="4" w:space="4" w:color="auto"/>
        </w:pBdr>
        <w:ind w:left="851"/>
        <w:rPr>
          <w:noProof/>
        </w:rPr>
      </w:pPr>
      <w:r>
        <w:rPr>
          <w:noProof/>
        </w:rPr>
        <w:t>Nije došlo do uklanjanja n</w:t>
      </w:r>
      <w:r>
        <w:rPr>
          <w:noProof/>
        </w:rPr>
        <w:t>ejasnoća pri provedbi pravila Unije ni uspješnog prevladavanja administrativnog opterećenja s kojim se susreću sve agencije neovisno o veličini. Suprotno tome, došlo je do povećanja administrativnog opterećenja, primjerice udvostručavanja postupaka program</w:t>
      </w:r>
      <w:r>
        <w:rPr>
          <w:noProof/>
        </w:rPr>
        <w:t xml:space="preserve">iranja i izvješćivanja za BEREC i Ured BEREC-a, prijenosa ovlasti za imenovanje potpredsjedniku Upravljačkog odbora bez mogućnosti delegiranja upravitelju Ureda i daljnjeg delegiranja. Osim toga, došlo je samo do djelomičnog razvoja potrebnog regulatornog </w:t>
      </w:r>
      <w:r>
        <w:rPr>
          <w:noProof/>
        </w:rPr>
        <w:t>kapaciteta za postizanje glavnih ciljeva.</w:t>
      </w:r>
    </w:p>
    <w:p w:rsidR="006C0808" w:rsidRDefault="00E3601E">
      <w:pPr>
        <w:pBdr>
          <w:top w:val="single" w:sz="4" w:space="1" w:color="auto"/>
          <w:left w:val="single" w:sz="4" w:space="0" w:color="auto"/>
          <w:bottom w:val="single" w:sz="4" w:space="1" w:color="auto"/>
          <w:right w:val="single" w:sz="4" w:space="4" w:color="auto"/>
        </w:pBdr>
        <w:ind w:left="851"/>
        <w:rPr>
          <w:noProof/>
        </w:rPr>
      </w:pPr>
      <w:r>
        <w:rPr>
          <w:noProof/>
        </w:rPr>
        <w:t>Povezivanje BEREC-a i Ureda BEREC-a s jedne bi strane uklonilo spomenute neučinkovitosti, a s druge pružilo novoj agenciji dodatna sredstva za rad.</w:t>
      </w:r>
    </w:p>
    <w:p w:rsidR="006C0808" w:rsidRDefault="00E3601E">
      <w:pPr>
        <w:pStyle w:val="ManualHeading3"/>
        <w:rPr>
          <w:bCs/>
          <w:noProof/>
        </w:rPr>
      </w:pPr>
      <w:r>
        <w:rPr>
          <w:noProof/>
        </w:rPr>
        <w:t>1.5.4.</w:t>
      </w:r>
      <w:r>
        <w:rPr>
          <w:noProof/>
        </w:rPr>
        <w:tab/>
        <w:t>Usklađenost i moguća sinergija s ostalim odgovarajućim inst</w:t>
      </w:r>
      <w:r>
        <w:rPr>
          <w:noProof/>
        </w:rPr>
        <w:t>rumentima</w:t>
      </w:r>
    </w:p>
    <w:p w:rsidR="006C0808" w:rsidRDefault="00E3601E">
      <w:pPr>
        <w:pBdr>
          <w:top w:val="single" w:sz="4" w:space="1" w:color="auto"/>
          <w:left w:val="single" w:sz="4" w:space="4" w:color="auto"/>
          <w:bottom w:val="single" w:sz="4" w:space="1" w:color="auto"/>
          <w:right w:val="single" w:sz="4" w:space="4" w:color="auto"/>
        </w:pBdr>
        <w:autoSpaceDE w:val="0"/>
        <w:autoSpaceDN w:val="0"/>
        <w:adjustRightInd w:val="0"/>
        <w:ind w:left="851"/>
        <w:rPr>
          <w:noProof/>
        </w:rPr>
      </w:pPr>
      <w:r>
        <w:rPr>
          <w:noProof/>
        </w:rPr>
        <w:t>Prijedlog je dio revizije regulatornog okvira za elektroničke komunikacije, koji je doprinos jednom od stupova Strategije jedinstvenog digitalnog tržišta pokrenute u svibnju 2015., te je dosljedan:  riječ je o jednom od glavnih sastavnih dijelova</w:t>
      </w:r>
      <w:r>
        <w:rPr>
          <w:noProof/>
        </w:rPr>
        <w:t xml:space="preserve"> paketa koji je temelj zakonodavstva Unije usmjerenog na promicanje natjecanja, unutarnjeg tržišta, interesa krajnjih korisnika te promicanje realizacije širokog pristupa podatkovnoj povezivosti vrlo velikog kapaciteta i njezine upotrebe. Prijedlog je uskl</w:t>
      </w:r>
      <w:r>
        <w:rPr>
          <w:noProof/>
        </w:rPr>
        <w:t>ađen s politikom Unije u području natjecanja i jedinstvenog tržišta.</w:t>
      </w:r>
    </w:p>
    <w:p w:rsidR="006C0808" w:rsidRDefault="00E3601E">
      <w:pPr>
        <w:pBdr>
          <w:top w:val="single" w:sz="4" w:space="1" w:color="auto"/>
          <w:left w:val="single" w:sz="4" w:space="4" w:color="auto"/>
          <w:bottom w:val="single" w:sz="4" w:space="1" w:color="auto"/>
          <w:right w:val="single" w:sz="4" w:space="4" w:color="auto"/>
        </w:pBdr>
        <w:autoSpaceDE w:val="0"/>
        <w:autoSpaceDN w:val="0"/>
        <w:adjustRightInd w:val="0"/>
        <w:ind w:left="851"/>
        <w:rPr>
          <w:noProof/>
        </w:rPr>
      </w:pPr>
      <w:r>
        <w:rPr>
          <w:noProof/>
        </w:rPr>
        <w:t>U kontekstu prijedloga analizirali su se dobici u smislu učinkovitosti i sinergije s ostalim postojećim agencijama Unije, ali su odbačeni (za više informacija vidjeti Procjenu učinaka).</w:t>
      </w:r>
    </w:p>
    <w:p w:rsidR="006C0808" w:rsidRDefault="006C0808">
      <w:pPr>
        <w:spacing w:before="0" w:after="200" w:line="276" w:lineRule="auto"/>
        <w:jc w:val="left"/>
        <w:rPr>
          <w:rFonts w:eastAsiaTheme="majorEastAsia"/>
          <w:b/>
          <w:iCs/>
          <w:noProof/>
          <w:szCs w:val="24"/>
        </w:rPr>
      </w:pPr>
    </w:p>
    <w:p w:rsidR="006C0808" w:rsidRDefault="00E3601E">
      <w:pPr>
        <w:pStyle w:val="ManualHeading2"/>
        <w:rPr>
          <w:bCs/>
          <w:noProof/>
        </w:rPr>
      </w:pPr>
      <w:r>
        <w:rPr>
          <w:noProof/>
        </w:rPr>
        <w:t>1.6.</w:t>
      </w:r>
      <w:r>
        <w:rPr>
          <w:noProof/>
        </w:rPr>
        <w:tab/>
        <w:t>Trajanje i financijski utjecaj</w:t>
      </w:r>
    </w:p>
    <w:p w:rsidR="006C0808" w:rsidRDefault="00E3601E">
      <w:pPr>
        <w:pStyle w:val="Text1"/>
        <w:rPr>
          <w:noProof/>
        </w:rPr>
      </w:pPr>
      <w:r>
        <w:rPr>
          <w:noProof/>
        </w:rPr>
        <w:sym w:font="Wingdings" w:char="F0A8"/>
      </w:r>
      <w:r>
        <w:rPr>
          <w:b/>
          <w:i/>
          <w:noProof/>
        </w:rPr>
        <w:t xml:space="preserve"> </w:t>
      </w:r>
      <w:r>
        <w:rPr>
          <w:noProof/>
        </w:rPr>
        <w:t xml:space="preserve">Prijedlog/inicijativa </w:t>
      </w:r>
      <w:r>
        <w:rPr>
          <w:b/>
          <w:noProof/>
        </w:rPr>
        <w:t>ograničenog trajanja</w:t>
      </w:r>
    </w:p>
    <w:p w:rsidR="006C0808" w:rsidRDefault="00E3601E">
      <w:pPr>
        <w:pStyle w:val="ListDash2"/>
        <w:rPr>
          <w:noProof/>
        </w:rPr>
      </w:pPr>
      <w:r>
        <w:rPr>
          <w:noProof/>
        </w:rPr>
        <w:sym w:font="Wingdings" w:char="F0A8"/>
      </w:r>
      <w:r>
        <w:rPr>
          <w:noProof/>
        </w:rPr>
        <w:tab/>
        <w:t>Prijedlog/inicijativa na snazi od [DD/MM]GGGG do [DD/MM]GGGG</w:t>
      </w:r>
    </w:p>
    <w:p w:rsidR="006C0808" w:rsidRDefault="00E3601E">
      <w:pPr>
        <w:pStyle w:val="ListDash2"/>
        <w:rPr>
          <w:noProof/>
        </w:rPr>
      </w:pPr>
      <w:r>
        <w:rPr>
          <w:noProof/>
        </w:rPr>
        <w:sym w:font="Wingdings" w:char="F0A8"/>
      </w:r>
      <w:r>
        <w:rPr>
          <w:noProof/>
        </w:rPr>
        <w:tab/>
        <w:t>Financijski utjecaj od GGGG do GGGG</w:t>
      </w:r>
    </w:p>
    <w:p w:rsidR="006C0808" w:rsidRDefault="00E3601E">
      <w:pPr>
        <w:pStyle w:val="Text1"/>
        <w:rPr>
          <w:noProof/>
        </w:rPr>
      </w:pPr>
      <w:r>
        <w:rPr>
          <w:noProof/>
        </w:rPr>
        <w:sym w:font="Wingdings" w:char="F0FE"/>
      </w:r>
      <w:r>
        <w:rPr>
          <w:b/>
          <w:i/>
          <w:noProof/>
        </w:rPr>
        <w:t xml:space="preserve"> </w:t>
      </w:r>
      <w:r>
        <w:rPr>
          <w:noProof/>
        </w:rPr>
        <w:t xml:space="preserve">Prijedlog/inicijativa </w:t>
      </w:r>
      <w:r>
        <w:rPr>
          <w:b/>
          <w:noProof/>
        </w:rPr>
        <w:t>ograničenog trajanja</w:t>
      </w:r>
    </w:p>
    <w:p w:rsidR="006C0808" w:rsidRDefault="00E3601E">
      <w:pPr>
        <w:pStyle w:val="ListDash1"/>
        <w:rPr>
          <w:noProof/>
        </w:rPr>
      </w:pPr>
      <w:r>
        <w:rPr>
          <w:noProof/>
        </w:rPr>
        <w:t>Provedba s razdobljem usposta</w:t>
      </w:r>
      <w:r>
        <w:rPr>
          <w:noProof/>
        </w:rPr>
        <w:t>ve od 2019. do 2022.</w:t>
      </w:r>
      <w:r>
        <w:rPr>
          <w:rStyle w:val="FootnoteReference"/>
          <w:noProof/>
        </w:rPr>
        <w:footnoteReference w:id="51"/>
      </w:r>
    </w:p>
    <w:p w:rsidR="006C0808" w:rsidRDefault="00E3601E">
      <w:pPr>
        <w:pStyle w:val="ListDash1"/>
        <w:rPr>
          <w:noProof/>
        </w:rPr>
      </w:pPr>
      <w:r>
        <w:rPr>
          <w:noProof/>
        </w:rPr>
        <w:t>Potom slijedi djelovanje ustaljenim tempom.</w:t>
      </w:r>
    </w:p>
    <w:p w:rsidR="006C0808" w:rsidRDefault="006C0808">
      <w:pPr>
        <w:rPr>
          <w:noProof/>
        </w:rPr>
      </w:pPr>
    </w:p>
    <w:p w:rsidR="006C0808" w:rsidRDefault="00E3601E">
      <w:pPr>
        <w:pStyle w:val="ManualHeading2"/>
        <w:rPr>
          <w:bCs/>
          <w:noProof/>
        </w:rPr>
      </w:pPr>
      <w:r>
        <w:rPr>
          <w:noProof/>
        </w:rPr>
        <w:t>1.7.</w:t>
      </w:r>
      <w:r>
        <w:rPr>
          <w:noProof/>
        </w:rPr>
        <w:tab/>
        <w:t>Predviđene metode upravljanja</w:t>
      </w:r>
      <w:r>
        <w:rPr>
          <w:rStyle w:val="FootnoteReference"/>
          <w:noProof/>
        </w:rPr>
        <w:footnoteReference w:id="52"/>
      </w:r>
    </w:p>
    <w:p w:rsidR="006C0808" w:rsidRDefault="00E3601E">
      <w:pPr>
        <w:pStyle w:val="Text1"/>
        <w:ind w:left="1570"/>
        <w:rPr>
          <w:noProof/>
        </w:rPr>
      </w:pPr>
      <w:r>
        <w:rPr>
          <w:noProof/>
          <w:szCs w:val="24"/>
        </w:rPr>
        <w:sym w:font="Wingdings" w:char="F0A8"/>
      </w:r>
      <w:r>
        <w:rPr>
          <w:i/>
          <w:noProof/>
        </w:rPr>
        <w:t xml:space="preserve"> </w:t>
      </w:r>
      <w:r>
        <w:rPr>
          <w:b/>
          <w:noProof/>
        </w:rPr>
        <w:t xml:space="preserve">Izravno upravljanje </w:t>
      </w:r>
      <w:r>
        <w:rPr>
          <w:noProof/>
        </w:rPr>
        <w:t xml:space="preserve"> Komisije </w:t>
      </w:r>
    </w:p>
    <w:p w:rsidR="006C0808" w:rsidRDefault="00E3601E">
      <w:pPr>
        <w:pStyle w:val="ListDash2"/>
        <w:tabs>
          <w:tab w:val="clear" w:pos="1134"/>
          <w:tab w:val="num" w:pos="1854"/>
        </w:tabs>
        <w:ind w:left="1854"/>
        <w:rPr>
          <w:noProof/>
        </w:rPr>
      </w:pPr>
      <w:r>
        <w:rPr>
          <w:noProof/>
        </w:rPr>
        <w:sym w:font="Wingdings" w:char="F0A8"/>
      </w:r>
      <w:r>
        <w:rPr>
          <w:noProof/>
        </w:rPr>
        <w:tab/>
        <w:t xml:space="preserve">koje obavljaju njezini odjeli, uključujući njezino osoblje u delegacijama Unije; </w:t>
      </w:r>
    </w:p>
    <w:p w:rsidR="006C0808" w:rsidRDefault="00E3601E">
      <w:pPr>
        <w:pStyle w:val="ListDash2"/>
        <w:tabs>
          <w:tab w:val="clear" w:pos="1134"/>
          <w:tab w:val="num" w:pos="1854"/>
        </w:tabs>
        <w:ind w:left="1854"/>
        <w:rPr>
          <w:noProof/>
        </w:rPr>
      </w:pPr>
      <w:r>
        <w:rPr>
          <w:noProof/>
        </w:rPr>
        <w:sym w:font="Wingdings" w:char="F0A8"/>
      </w:r>
      <w:r>
        <w:rPr>
          <w:noProof/>
        </w:rPr>
        <w:tab/>
        <w:t xml:space="preserve">koje obavljaju izvršne agencije </w:t>
      </w:r>
    </w:p>
    <w:p w:rsidR="006C0808" w:rsidRDefault="00E3601E">
      <w:pPr>
        <w:pStyle w:val="Text1"/>
        <w:ind w:left="1570"/>
        <w:rPr>
          <w:noProof/>
        </w:rPr>
      </w:pPr>
      <w:r>
        <w:rPr>
          <w:noProof/>
          <w:szCs w:val="24"/>
        </w:rPr>
        <w:sym w:font="Wingdings" w:char="F0A8"/>
      </w:r>
      <w:r>
        <w:rPr>
          <w:b/>
          <w:i/>
          <w:noProof/>
        </w:rPr>
        <w:t xml:space="preserve"> </w:t>
      </w:r>
      <w:r>
        <w:rPr>
          <w:b/>
          <w:noProof/>
        </w:rPr>
        <w:t>Podijeljeno upravljanje</w:t>
      </w:r>
      <w:r>
        <w:rPr>
          <w:noProof/>
        </w:rPr>
        <w:t xml:space="preserve"> s državama članicama </w:t>
      </w:r>
    </w:p>
    <w:p w:rsidR="006C0808" w:rsidRDefault="00E3601E">
      <w:pPr>
        <w:pStyle w:val="Text1"/>
        <w:ind w:left="1570"/>
        <w:rPr>
          <w:noProof/>
        </w:rPr>
      </w:pPr>
      <w:r>
        <w:rPr>
          <w:noProof/>
          <w:szCs w:val="24"/>
        </w:rPr>
        <w:sym w:font="Wingdings" w:char="F0FE"/>
      </w:r>
      <w:r>
        <w:rPr>
          <w:noProof/>
        </w:rPr>
        <w:t xml:space="preserve"> </w:t>
      </w:r>
      <w:r>
        <w:rPr>
          <w:b/>
          <w:noProof/>
        </w:rPr>
        <w:t>Neizravno upravljanje</w:t>
      </w:r>
      <w:r>
        <w:rPr>
          <w:noProof/>
        </w:rPr>
        <w:t xml:space="preserve"> delegiranjem zadaća proračunske provedbe:</w:t>
      </w:r>
    </w:p>
    <w:p w:rsidR="006C0808" w:rsidRDefault="00E3601E">
      <w:pPr>
        <w:pStyle w:val="ListDash2"/>
        <w:tabs>
          <w:tab w:val="clear" w:pos="1134"/>
          <w:tab w:val="num" w:pos="1854"/>
        </w:tabs>
        <w:ind w:left="1854"/>
        <w:rPr>
          <w:noProof/>
        </w:rPr>
      </w:pPr>
      <w:r>
        <w:rPr>
          <w:noProof/>
        </w:rPr>
        <w:sym w:font="Wingdings" w:char="F0A8"/>
      </w:r>
      <w:r>
        <w:rPr>
          <w:noProof/>
        </w:rPr>
        <w:t xml:space="preserve"> trećim zemljama ili tijelima koja su one odredile;</w:t>
      </w:r>
    </w:p>
    <w:p w:rsidR="006C0808" w:rsidRDefault="00E3601E">
      <w:pPr>
        <w:pStyle w:val="ListDash2"/>
        <w:tabs>
          <w:tab w:val="clear" w:pos="1134"/>
          <w:tab w:val="num" w:pos="1854"/>
        </w:tabs>
        <w:ind w:left="1854"/>
        <w:rPr>
          <w:noProof/>
        </w:rPr>
      </w:pPr>
      <w:r>
        <w:rPr>
          <w:noProof/>
        </w:rPr>
        <w:sym w:font="Wingdings" w:char="F0A8"/>
      </w:r>
      <w:r>
        <w:rPr>
          <w:noProof/>
        </w:rPr>
        <w:t xml:space="preserve"> međunarodnim organizacijama i njihovim agencijama (navesti);</w:t>
      </w:r>
    </w:p>
    <w:p w:rsidR="006C0808" w:rsidRDefault="00E3601E">
      <w:pPr>
        <w:pStyle w:val="ListDash2"/>
        <w:tabs>
          <w:tab w:val="clear" w:pos="1134"/>
          <w:tab w:val="num" w:pos="1854"/>
        </w:tabs>
        <w:ind w:left="1854"/>
        <w:rPr>
          <w:noProof/>
        </w:rPr>
      </w:pPr>
      <w:r>
        <w:rPr>
          <w:noProof/>
        </w:rPr>
        <w:sym w:font="Wingdings" w:char="F0A8"/>
      </w:r>
      <w:r>
        <w:rPr>
          <w:noProof/>
        </w:rPr>
        <w:t xml:space="preserve"> EIB-u i Europskom investicijskom fondu;</w:t>
      </w:r>
    </w:p>
    <w:p w:rsidR="006C0808" w:rsidRDefault="00E3601E">
      <w:pPr>
        <w:pStyle w:val="ListDash2"/>
        <w:tabs>
          <w:tab w:val="clear" w:pos="1134"/>
          <w:tab w:val="num" w:pos="1854"/>
        </w:tabs>
        <w:ind w:left="1854"/>
        <w:rPr>
          <w:noProof/>
        </w:rPr>
      </w:pPr>
      <w:r>
        <w:rPr>
          <w:noProof/>
        </w:rPr>
        <w:sym w:font="Wingdings" w:char="F0FE"/>
      </w:r>
      <w:r>
        <w:rPr>
          <w:noProof/>
        </w:rPr>
        <w:t xml:space="preserve"> tijelima na koja se upućuje u člancima 208. i 209. Financijske uredbe;</w:t>
      </w:r>
    </w:p>
    <w:p w:rsidR="006C0808" w:rsidRDefault="00E3601E">
      <w:pPr>
        <w:pStyle w:val="ListDash2"/>
        <w:tabs>
          <w:tab w:val="clear" w:pos="1134"/>
          <w:tab w:val="num" w:pos="1854"/>
        </w:tabs>
        <w:ind w:left="1854"/>
        <w:rPr>
          <w:noProof/>
        </w:rPr>
      </w:pPr>
      <w:r>
        <w:rPr>
          <w:noProof/>
        </w:rPr>
        <w:sym w:font="Wingdings" w:char="F0A8"/>
      </w:r>
      <w:r>
        <w:rPr>
          <w:noProof/>
        </w:rPr>
        <w:t xml:space="preserve"> tijelima javnog prava;</w:t>
      </w:r>
    </w:p>
    <w:p w:rsidR="006C0808" w:rsidRDefault="00E3601E">
      <w:pPr>
        <w:pStyle w:val="ListDash2"/>
        <w:tabs>
          <w:tab w:val="clear" w:pos="1134"/>
          <w:tab w:val="num" w:pos="1854"/>
        </w:tabs>
        <w:ind w:left="1854"/>
        <w:rPr>
          <w:noProof/>
        </w:rPr>
      </w:pPr>
      <w:r>
        <w:rPr>
          <w:noProof/>
        </w:rPr>
        <w:sym w:font="Wingdings" w:char="F0A8"/>
      </w:r>
      <w:r>
        <w:rPr>
          <w:noProof/>
        </w:rPr>
        <w:t xml:space="preserve"> tijelima uređenima privatnim pravom koja pružaju javne usluge u mjeri u kojoj daju odgovarajuća financijska jamstva</w:t>
      </w:r>
      <w:r>
        <w:rPr>
          <w:noProof/>
        </w:rPr>
        <w:t>;</w:t>
      </w:r>
    </w:p>
    <w:p w:rsidR="006C0808" w:rsidRDefault="00E3601E">
      <w:pPr>
        <w:pStyle w:val="ListDash2"/>
        <w:tabs>
          <w:tab w:val="clear" w:pos="1134"/>
          <w:tab w:val="num" w:pos="1854"/>
        </w:tabs>
        <w:ind w:left="1854"/>
        <w:rPr>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rsidR="006C0808" w:rsidRDefault="00E3601E">
      <w:pPr>
        <w:pStyle w:val="ListDash2"/>
        <w:tabs>
          <w:tab w:val="clear" w:pos="1134"/>
          <w:tab w:val="num" w:pos="1854"/>
        </w:tabs>
        <w:ind w:left="1854"/>
        <w:rPr>
          <w:noProof/>
        </w:rPr>
      </w:pPr>
      <w:r>
        <w:rPr>
          <w:noProof/>
        </w:rPr>
        <w:sym w:font="Wingdings" w:char="F0A8"/>
      </w:r>
      <w:r>
        <w:rPr>
          <w:noProof/>
        </w:rPr>
        <w:t xml:space="preserve"> osobama kojima je povjerena provedba posebnih aktivnosti u ZVSP-u u skladu s glavom V. UEU-a i k</w:t>
      </w:r>
      <w:r>
        <w:rPr>
          <w:noProof/>
        </w:rPr>
        <w:t>oje su navedene u odgovarajućem temeljnom aktu.</w:t>
      </w:r>
    </w:p>
    <w:p w:rsidR="006C0808" w:rsidRDefault="00E3601E">
      <w:pPr>
        <w:ind w:left="720"/>
        <w:rPr>
          <w:noProof/>
        </w:rPr>
      </w:pPr>
      <w:r>
        <w:rPr>
          <w:noProof/>
        </w:rPr>
        <w:t xml:space="preserve">Napomene </w:t>
      </w:r>
    </w:p>
    <w:p w:rsidR="006C0808" w:rsidRDefault="006C0808">
      <w:pPr>
        <w:rPr>
          <w:noProof/>
        </w:rPr>
      </w:pPr>
    </w:p>
    <w:p w:rsidR="006C0808" w:rsidRDefault="006C0808">
      <w:pPr>
        <w:pBdr>
          <w:top w:val="single" w:sz="4" w:space="1" w:color="auto"/>
          <w:left w:val="single" w:sz="4" w:space="4" w:color="auto"/>
          <w:bottom w:val="single" w:sz="4" w:space="1" w:color="auto"/>
          <w:right w:val="single" w:sz="4" w:space="4" w:color="auto"/>
        </w:pBdr>
        <w:rPr>
          <w:noProof/>
          <w:color w:val="0000FF"/>
        </w:rPr>
      </w:pPr>
    </w:p>
    <w:p w:rsidR="006C0808" w:rsidRDefault="00E3601E">
      <w:pPr>
        <w:pStyle w:val="ManualHeading1"/>
        <w:rPr>
          <w:bCs/>
          <w:noProof/>
        </w:rPr>
      </w:pPr>
      <w:r>
        <w:rPr>
          <w:noProof/>
        </w:rPr>
        <w:t>2.</w:t>
      </w:r>
      <w:r>
        <w:rPr>
          <w:noProof/>
        </w:rPr>
        <w:tab/>
        <w:t>MJERE UPRAVLJANJA</w:t>
      </w:r>
    </w:p>
    <w:p w:rsidR="006C0808" w:rsidRDefault="00E3601E">
      <w:pPr>
        <w:pStyle w:val="ManualHeading2"/>
        <w:rPr>
          <w:bCs/>
          <w:noProof/>
        </w:rPr>
      </w:pPr>
      <w:r>
        <w:rPr>
          <w:noProof/>
        </w:rPr>
        <w:t>2.1.</w:t>
      </w:r>
      <w:r>
        <w:rPr>
          <w:noProof/>
        </w:rPr>
        <w:tab/>
        <w:t>Pravila praćenja i izvješćivanja</w:t>
      </w:r>
    </w:p>
    <w:p w:rsidR="006C0808" w:rsidRDefault="00E3601E">
      <w:pPr>
        <w:pStyle w:val="Text1"/>
        <w:rPr>
          <w:i/>
          <w:noProof/>
          <w:sz w:val="20"/>
        </w:rPr>
      </w:pPr>
      <w:r>
        <w:rPr>
          <w:i/>
          <w:noProof/>
          <w:sz w:val="20"/>
        </w:rPr>
        <w:t>Navesti učestalost i uvjete.</w:t>
      </w:r>
    </w:p>
    <w:p w:rsidR="006C0808" w:rsidRDefault="00E3601E">
      <w:pPr>
        <w:pStyle w:val="ManualHeading2"/>
        <w:keepNext w:val="0"/>
        <w:pBdr>
          <w:top w:val="single" w:sz="4" w:space="1" w:color="auto"/>
          <w:left w:val="single" w:sz="4" w:space="4" w:color="auto"/>
          <w:bottom w:val="single" w:sz="4" w:space="1" w:color="auto"/>
          <w:right w:val="single" w:sz="4" w:space="4" w:color="auto"/>
        </w:pBdr>
        <w:ind w:left="851" w:firstLine="0"/>
        <w:rPr>
          <w:noProof/>
        </w:rPr>
      </w:pPr>
      <w:r>
        <w:rPr>
          <w:noProof/>
        </w:rPr>
        <w:t>Sustav praćenja</w:t>
      </w:r>
    </w:p>
    <w:p w:rsidR="006C0808" w:rsidRDefault="00E3601E">
      <w:pPr>
        <w:pStyle w:val="ManualHeading2"/>
        <w:keepNext w:val="0"/>
        <w:pBdr>
          <w:top w:val="single" w:sz="4" w:space="1" w:color="auto"/>
          <w:left w:val="single" w:sz="4" w:space="4" w:color="auto"/>
          <w:bottom w:val="single" w:sz="4" w:space="1" w:color="auto"/>
          <w:right w:val="single" w:sz="4" w:space="4" w:color="auto"/>
        </w:pBdr>
        <w:ind w:left="851" w:firstLine="0"/>
        <w:rPr>
          <w:noProof/>
        </w:rPr>
      </w:pPr>
      <w:r>
        <w:rPr>
          <w:b w:val="0"/>
          <w:noProof/>
        </w:rPr>
        <w:t xml:space="preserve">U skladu s Uredbom o osnivanju br. 1211/2009 Komisija je obvezna objaviti izvješće o </w:t>
      </w:r>
      <w:r>
        <w:rPr>
          <w:b w:val="0"/>
          <w:noProof/>
        </w:rPr>
        <w:t>iskustvima stečenima tijekom djelovanja BEREC-a i Ureda BEREC-a u roku od tri godine od početka djelovanja.</w:t>
      </w:r>
    </w:p>
    <w:p w:rsidR="006C0808" w:rsidRDefault="00E3601E">
      <w:pPr>
        <w:pStyle w:val="ManualHeading2"/>
        <w:keepNext w:val="0"/>
        <w:pBdr>
          <w:top w:val="single" w:sz="4" w:space="1" w:color="auto"/>
          <w:left w:val="single" w:sz="4" w:space="4" w:color="auto"/>
          <w:bottom w:val="single" w:sz="4" w:space="1" w:color="auto"/>
          <w:right w:val="single" w:sz="4" w:space="4" w:color="auto"/>
        </w:pBdr>
        <w:ind w:left="851" w:firstLine="0"/>
        <w:rPr>
          <w:noProof/>
        </w:rPr>
      </w:pPr>
      <w:r>
        <w:rPr>
          <w:b w:val="0"/>
          <w:noProof/>
        </w:rPr>
        <w:t>U izvješću o evaluaciji za 2012., nakon općih ciljeva BEREC-a i naknadnih uloga i zadaća BEREC-a i Ureda BEREC-a, navodi se koliko je na temelju dos</w:t>
      </w:r>
      <w:r>
        <w:rPr>
          <w:b w:val="0"/>
          <w:noProof/>
        </w:rPr>
        <w:t xml:space="preserve">adašnjih iskustava bila uspješna uloga BEREC-a u smislu doprinosa razvoju unutarnjeg tržišta elektroničkih komunikacija. Cilj je evaluacije bila procjena načina rada i organizacije BEREC-a i Ureda BEREC-a te prema potrebi davanje preporuka za poboljšanja. </w:t>
      </w:r>
      <w:r>
        <w:rPr>
          <w:b w:val="0"/>
          <w:noProof/>
        </w:rPr>
        <w:t>Evaluacija je dovršena u prosincu 2012. i objavljena. Studija o evaluaciji dostavljena je i Europskom parlamentu i Vijeću, a Europski parlament izdao je Rezoluciju u kojoj je naveo svoje mišljenje o njoj</w:t>
      </w:r>
      <w:r>
        <w:rPr>
          <w:rStyle w:val="FootnoteReference"/>
          <w:b w:val="0"/>
          <w:noProof/>
        </w:rPr>
        <w:footnoteReference w:id="53"/>
      </w:r>
      <w:r>
        <w:rPr>
          <w:b w:val="0"/>
          <w:noProof/>
        </w:rPr>
        <w:t>.</w:t>
      </w:r>
      <w:r>
        <w:rPr>
          <w:noProof/>
        </w:rPr>
        <w:t xml:space="preserve"> </w:t>
      </w:r>
    </w:p>
    <w:p w:rsidR="006C0808" w:rsidRDefault="00E3601E">
      <w:pPr>
        <w:pStyle w:val="ManualHeading2"/>
        <w:keepNext w:val="0"/>
        <w:pBdr>
          <w:top w:val="single" w:sz="4" w:space="1" w:color="auto"/>
          <w:left w:val="single" w:sz="4" w:space="4" w:color="auto"/>
          <w:bottom w:val="single" w:sz="4" w:space="1" w:color="auto"/>
          <w:right w:val="single" w:sz="4" w:space="4" w:color="auto"/>
        </w:pBdr>
        <w:ind w:left="851" w:firstLine="0"/>
        <w:rPr>
          <w:b w:val="0"/>
          <w:noProof/>
        </w:rPr>
      </w:pPr>
      <w:r>
        <w:rPr>
          <w:b w:val="0"/>
          <w:noProof/>
        </w:rPr>
        <w:t>Komisija je nedavno u kontekstu revizije naručila</w:t>
      </w:r>
      <w:r>
        <w:rPr>
          <w:b w:val="0"/>
          <w:noProof/>
        </w:rPr>
        <w:t xml:space="preserve"> tri studije o </w:t>
      </w:r>
      <w:r>
        <w:rPr>
          <w:b w:val="0"/>
          <w:i/>
          <w:noProof/>
        </w:rPr>
        <w:t>„ključnim pitanjima za reviziju u području ulaska na tržište, upravljanja ograničenim resursima i općem pitanju krajnjih korisnika”</w:t>
      </w:r>
      <w:r>
        <w:rPr>
          <w:rStyle w:val="FootnoteReference"/>
          <w:b w:val="0"/>
          <w:i/>
          <w:noProof/>
        </w:rPr>
        <w:footnoteReference w:id="54"/>
      </w:r>
      <w:r>
        <w:rPr>
          <w:b w:val="0"/>
          <w:noProof/>
        </w:rPr>
        <w:t xml:space="preserve">, o </w:t>
      </w:r>
      <w:r>
        <w:rPr>
          <w:b w:val="0"/>
          <w:i/>
          <w:noProof/>
        </w:rPr>
        <w:t>„regulatornim, a posebno pristupnim režimima za modele ulaganja u mrežu u Europi”</w:t>
      </w:r>
      <w:r>
        <w:rPr>
          <w:rStyle w:val="FootnoteReference"/>
          <w:b w:val="0"/>
          <w:i/>
          <w:noProof/>
        </w:rPr>
        <w:footnoteReference w:id="55"/>
      </w:r>
      <w:r>
        <w:rPr>
          <w:noProof/>
        </w:rPr>
        <w:t xml:space="preserve"> </w:t>
      </w:r>
      <w:r>
        <w:rPr>
          <w:b w:val="0"/>
          <w:noProof/>
        </w:rPr>
        <w:t xml:space="preserve">te o </w:t>
      </w:r>
      <w:r>
        <w:rPr>
          <w:b w:val="0"/>
          <w:i/>
          <w:noProof/>
        </w:rPr>
        <w:t>„procjeni učinaka</w:t>
      </w:r>
      <w:r>
        <w:rPr>
          <w:b w:val="0"/>
          <w:i/>
          <w:noProof/>
        </w:rPr>
        <w:t xml:space="preserve"> za reviziju okvira za elektroničke komunikacije”</w:t>
      </w:r>
      <w:r>
        <w:rPr>
          <w:rStyle w:val="FootnoteReference"/>
          <w:noProof/>
        </w:rPr>
        <w:footnoteReference w:id="56"/>
      </w:r>
      <w:r>
        <w:rPr>
          <w:b w:val="0"/>
          <w:i/>
          <w:noProof/>
        </w:rPr>
        <w:t xml:space="preserve">. </w:t>
      </w:r>
      <w:r>
        <w:rPr>
          <w:b w:val="0"/>
          <w:noProof/>
        </w:rPr>
        <w:t>U potonjim dvjema studijama procjenjivali su se i struktura BEREC-a te način na koji je dosad izvršavao glavne zadaće.</w:t>
      </w:r>
    </w:p>
    <w:p w:rsidR="006C0808" w:rsidRDefault="00E3601E">
      <w:pPr>
        <w:pStyle w:val="ManualHeading2"/>
        <w:keepNext w:val="0"/>
        <w:pBdr>
          <w:top w:val="single" w:sz="4" w:space="1" w:color="auto"/>
          <w:left w:val="single" w:sz="4" w:space="4" w:color="auto"/>
          <w:bottom w:val="single" w:sz="4" w:space="1" w:color="auto"/>
          <w:right w:val="single" w:sz="4" w:space="4" w:color="auto"/>
        </w:pBdr>
        <w:ind w:left="851" w:firstLine="0"/>
        <w:rPr>
          <w:b w:val="0"/>
          <w:noProof/>
        </w:rPr>
      </w:pPr>
      <w:r>
        <w:rPr>
          <w:b w:val="0"/>
          <w:noProof/>
        </w:rPr>
        <w:t xml:space="preserve">Nova agencija podlijegat će redovnim revizijama i evaluacijama. U roku od pet godina </w:t>
      </w:r>
      <w:r>
        <w:rPr>
          <w:b w:val="0"/>
          <w:noProof/>
        </w:rPr>
        <w:t xml:space="preserve">od stupanja na snagu Uredbe te svakih pet godina nakon toga Komisija će obavljati evaluaciju u skladu sa svojim smjernicama kako bi procijenila uspješnost djelovanja BEREC-a u odnosu na njegove ciljeve, ovlasti, zadaće i lokaciju (lokacije). Evaluacija će </w:t>
      </w:r>
      <w:r>
        <w:rPr>
          <w:b w:val="0"/>
          <w:noProof/>
        </w:rPr>
        <w:t>biti posebno usmjerena na moguću potrebu za izmjenom ovlasti BEREC-a i na financijske učinke takve izmjene. Komisija Europskom parlamentu, Vijeću i Upravnom odboru mora dostaviti izvješće o nalazima evaluacije. Zaključci evaluacije moraju biti objavljeni.</w:t>
      </w:r>
    </w:p>
    <w:p w:rsidR="006C0808" w:rsidRDefault="00E3601E">
      <w:pPr>
        <w:pStyle w:val="ManualHeading2"/>
        <w:rPr>
          <w:bCs/>
          <w:noProof/>
        </w:rPr>
      </w:pPr>
      <w:r>
        <w:rPr>
          <w:noProof/>
        </w:rPr>
        <w:t>2.2.</w:t>
      </w:r>
      <w:r>
        <w:rPr>
          <w:noProof/>
        </w:rPr>
        <w:tab/>
        <w:t>Sustav upravljanja i kontrole</w:t>
      </w:r>
    </w:p>
    <w:p w:rsidR="006C0808" w:rsidRDefault="00E3601E">
      <w:pPr>
        <w:pStyle w:val="ManualHeading3"/>
        <w:rPr>
          <w:bCs/>
          <w:noProof/>
        </w:rPr>
      </w:pPr>
      <w:r>
        <w:rPr>
          <w:noProof/>
        </w:rPr>
        <w:t>2.2.1.</w:t>
      </w:r>
      <w:r>
        <w:rPr>
          <w:noProof/>
        </w:rPr>
        <w:tab/>
        <w:t>Utvrđeni rizici</w:t>
      </w:r>
    </w:p>
    <w:p w:rsidR="006C0808" w:rsidRDefault="00E3601E">
      <w:pPr>
        <w:pBdr>
          <w:top w:val="single" w:sz="4" w:space="1" w:color="auto"/>
          <w:left w:val="single" w:sz="4" w:space="4" w:color="auto"/>
          <w:bottom w:val="single" w:sz="4" w:space="1" w:color="auto"/>
          <w:right w:val="single" w:sz="4" w:space="4" w:color="auto"/>
        </w:pBdr>
        <w:ind w:left="851"/>
        <w:rPr>
          <w:noProof/>
        </w:rPr>
      </w:pPr>
      <w:r>
        <w:rPr>
          <w:noProof/>
        </w:rPr>
        <w:t>Utvrđeni su rizici ograničeni: agencija Unije već postoji, ali će se transformirati i uskladiti sa zajedničkim pristupom te će dobiti nove nadležnosti i zadaće. Stoga bi se prijedlogom ojačala njezi</w:t>
      </w:r>
      <w:r>
        <w:rPr>
          <w:noProof/>
        </w:rPr>
        <w:t>na organizacijska funkcija i ostvarila učinkovitost. Proširenje operativnih nadležnosti i zadaća ne predstavlja stvarni rizik ako se predvide odgovarajući resursi. Nove široke savjetodavne nadležnosti odnose se na područja u kojima nacionalna regulatorna t</w:t>
      </w:r>
      <w:r>
        <w:rPr>
          <w:noProof/>
        </w:rPr>
        <w:t>ijela imaju stručno znanje na kojem BEREC može graditi strukturu za suradnju, dok se nadležnosti za odlučivanje i prednormativne nadležnosti odnose na područja u kojima BEREC već ima savjetodavno iskustvo, iako će se opseg tih zadaća povećavati.</w:t>
      </w:r>
    </w:p>
    <w:p w:rsidR="006C0808" w:rsidRDefault="00E3601E">
      <w:pPr>
        <w:pBdr>
          <w:top w:val="single" w:sz="4" w:space="1" w:color="auto"/>
          <w:left w:val="single" w:sz="4" w:space="4" w:color="auto"/>
          <w:bottom w:val="single" w:sz="4" w:space="1" w:color="auto"/>
          <w:right w:val="single" w:sz="4" w:space="4" w:color="auto"/>
        </w:pBdr>
        <w:ind w:left="851"/>
        <w:rPr>
          <w:noProof/>
        </w:rPr>
      </w:pPr>
      <w:r>
        <w:rPr>
          <w:noProof/>
        </w:rPr>
        <w:t>Osim toga,</w:t>
      </w:r>
      <w:r>
        <w:rPr>
          <w:noProof/>
        </w:rPr>
        <w:t xml:space="preserve"> predloženom strukturom, upravljanjem i modelom poslovanja agencije, u skladu sa zajedničkim pristupom, osigurala bi se dostatna kontrola kako bi BEREC djelovao u smjeru postizanja svojih ciljeva. Operativni i financijski rizici predloženih promjena čine s</w:t>
      </w:r>
      <w:r>
        <w:rPr>
          <w:noProof/>
        </w:rPr>
        <w:t>e ograničenima.</w:t>
      </w:r>
    </w:p>
    <w:p w:rsidR="006C0808" w:rsidRDefault="00E3601E">
      <w:pPr>
        <w:pStyle w:val="ManualHeading3"/>
        <w:rPr>
          <w:bCs/>
          <w:noProof/>
        </w:rPr>
      </w:pPr>
      <w:r>
        <w:rPr>
          <w:noProof/>
        </w:rPr>
        <w:t>2.2.2.</w:t>
      </w:r>
      <w:r>
        <w:rPr>
          <w:noProof/>
        </w:rPr>
        <w:tab/>
        <w:t>Predviđene metode kontrole</w:t>
      </w:r>
    </w:p>
    <w:p w:rsidR="006C0808" w:rsidRDefault="00E3601E">
      <w:pPr>
        <w:pBdr>
          <w:top w:val="single" w:sz="4" w:space="1" w:color="auto"/>
          <w:left w:val="single" w:sz="4" w:space="4" w:color="auto"/>
          <w:bottom w:val="single" w:sz="4" w:space="1" w:color="auto"/>
          <w:right w:val="single" w:sz="4" w:space="4" w:color="auto"/>
        </w:pBdr>
        <w:ind w:left="851"/>
        <w:rPr>
          <w:noProof/>
        </w:rPr>
      </w:pPr>
      <w:r>
        <w:rPr>
          <w:noProof/>
        </w:rPr>
        <w:t>Vidjeti prethodne točke 2.1. i 2.2.</w:t>
      </w:r>
    </w:p>
    <w:p w:rsidR="006C0808" w:rsidRDefault="00E3601E">
      <w:pPr>
        <w:pBdr>
          <w:top w:val="single" w:sz="4" w:space="1" w:color="auto"/>
          <w:left w:val="single" w:sz="4" w:space="4" w:color="auto"/>
          <w:bottom w:val="single" w:sz="4" w:space="1" w:color="auto"/>
          <w:right w:val="single" w:sz="4" w:space="4" w:color="auto"/>
        </w:pBdr>
        <w:ind w:left="851"/>
        <w:rPr>
          <w:noProof/>
        </w:rPr>
      </w:pPr>
      <w:r>
        <w:rPr>
          <w:noProof/>
        </w:rPr>
        <w:t xml:space="preserve">Financijski izvještaji agencije podnosit će se na odobrenje Revizorskom sudu, podložno postupku davanja razrješnice, a predviđene su i revizije. </w:t>
      </w:r>
    </w:p>
    <w:p w:rsidR="006C0808" w:rsidRDefault="00E3601E">
      <w:pPr>
        <w:pBdr>
          <w:top w:val="single" w:sz="4" w:space="1" w:color="auto"/>
          <w:left w:val="single" w:sz="4" w:space="4" w:color="auto"/>
          <w:bottom w:val="single" w:sz="4" w:space="1" w:color="auto"/>
          <w:right w:val="single" w:sz="4" w:space="4" w:color="auto"/>
        </w:pBdr>
        <w:ind w:left="851"/>
        <w:rPr>
          <w:noProof/>
        </w:rPr>
      </w:pPr>
      <w:r>
        <w:rPr>
          <w:noProof/>
        </w:rPr>
        <w:t>Isto tako, djelovanje ag</w:t>
      </w:r>
      <w:r>
        <w:rPr>
          <w:noProof/>
        </w:rPr>
        <w:t>encije podliježe nadzoru Europskog ombudsmana u skladu s odredbama članka 228. Ugovora.</w:t>
      </w:r>
    </w:p>
    <w:p w:rsidR="006C0808" w:rsidRDefault="00E3601E">
      <w:pPr>
        <w:pStyle w:val="ManualHeading2"/>
        <w:rPr>
          <w:bCs/>
          <w:noProof/>
        </w:rPr>
      </w:pPr>
      <w:r>
        <w:rPr>
          <w:noProof/>
        </w:rPr>
        <w:t>2.3.</w:t>
      </w:r>
      <w:r>
        <w:rPr>
          <w:noProof/>
        </w:rPr>
        <w:tab/>
        <w:t>Mjere za sprečavanje prijevara i nepravilnosti</w:t>
      </w:r>
    </w:p>
    <w:p w:rsidR="006C0808" w:rsidRDefault="00E3601E">
      <w:pPr>
        <w:pStyle w:val="Text1"/>
        <w:rPr>
          <w:i/>
          <w:noProof/>
          <w:sz w:val="20"/>
        </w:rPr>
      </w:pPr>
      <w:r>
        <w:rPr>
          <w:i/>
          <w:noProof/>
          <w:sz w:val="20"/>
        </w:rPr>
        <w:t>Navesti postojeće ili predviđene mjere za sprečavanje i zaštitu od prijevara.</w:t>
      </w:r>
    </w:p>
    <w:p w:rsidR="006C0808" w:rsidRDefault="00E3601E">
      <w:pPr>
        <w:pBdr>
          <w:top w:val="single" w:sz="4" w:space="1" w:color="auto"/>
          <w:left w:val="single" w:sz="4" w:space="5" w:color="auto"/>
          <w:bottom w:val="single" w:sz="4" w:space="1" w:color="auto"/>
          <w:right w:val="single" w:sz="4" w:space="4" w:color="auto"/>
        </w:pBdr>
        <w:ind w:left="851"/>
        <w:rPr>
          <w:noProof/>
        </w:rPr>
      </w:pPr>
      <w:r>
        <w:rPr>
          <w:noProof/>
        </w:rPr>
        <w:t xml:space="preserve">BEREC bi primjenjivao mjere za </w:t>
      </w:r>
      <w:r>
        <w:rPr>
          <w:noProof/>
        </w:rPr>
        <w:t>sprečavanje i zaštitu od prijevara, a posebno:</w:t>
      </w:r>
    </w:p>
    <w:p w:rsidR="006C0808" w:rsidRDefault="00E3601E">
      <w:pPr>
        <w:pBdr>
          <w:top w:val="single" w:sz="4" w:space="1" w:color="auto"/>
          <w:left w:val="single" w:sz="4" w:space="5" w:color="auto"/>
          <w:bottom w:val="single" w:sz="4" w:space="1" w:color="auto"/>
          <w:right w:val="single" w:sz="4" w:space="4" w:color="auto"/>
        </w:pBdr>
        <w:ind w:left="851"/>
        <w:rPr>
          <w:noProof/>
        </w:rPr>
      </w:pPr>
      <w:r>
        <w:rPr>
          <w:noProof/>
        </w:rPr>
        <w:t>– Osoblje agencije provjerava plaćanja za sve zatražene usluge ili studije prije izvršavanja, uzimajući u obzir ugovorne obveze, ekonomska načela i dobru financijsku ili upravljačku praksu. Odredbe o sprečavan</w:t>
      </w:r>
      <w:r>
        <w:rPr>
          <w:noProof/>
        </w:rPr>
        <w:t>ju prijevara (nadzor, zahtjevi u smislu izvješćivanja itd.) bit će uključene u sve sporazume i ugovore koje agencija sklapa s primateljima plaćanja.</w:t>
      </w:r>
    </w:p>
    <w:p w:rsidR="006C0808" w:rsidRDefault="00E3601E">
      <w:pPr>
        <w:pBdr>
          <w:top w:val="single" w:sz="4" w:space="1" w:color="auto"/>
          <w:left w:val="single" w:sz="4" w:space="5" w:color="auto"/>
          <w:bottom w:val="single" w:sz="4" w:space="1" w:color="auto"/>
          <w:right w:val="single" w:sz="4" w:space="4" w:color="auto"/>
        </w:pBdr>
        <w:ind w:left="851"/>
        <w:rPr>
          <w:noProof/>
        </w:rPr>
      </w:pPr>
      <w:r>
        <w:rPr>
          <w:noProof/>
        </w:rPr>
        <w:t>– U cilju borbe protiv prijevara, korupcije i ostalih nezakonitih aktivnosti, odredbe Uredbe (EU, Euratom) </w:t>
      </w:r>
      <w:r>
        <w:rPr>
          <w:noProof/>
        </w:rPr>
        <w:t>br. 883/2013 Europskog parlamenta i Vijeća od 25. svibnja 1999. o istragama koje provodi Europski ured za borbu protiv prijevara (OLAF), primjenjuju se bez ograničenja.</w:t>
      </w:r>
    </w:p>
    <w:p w:rsidR="006C0808" w:rsidRDefault="00E3601E">
      <w:pPr>
        <w:pBdr>
          <w:top w:val="single" w:sz="4" w:space="1" w:color="auto"/>
          <w:left w:val="single" w:sz="4" w:space="5" w:color="auto"/>
          <w:bottom w:val="single" w:sz="4" w:space="1" w:color="auto"/>
          <w:right w:val="single" w:sz="4" w:space="4" w:color="auto"/>
        </w:pBdr>
        <w:ind w:left="851"/>
        <w:rPr>
          <w:noProof/>
        </w:rPr>
      </w:pPr>
      <w:r>
        <w:rPr>
          <w:noProof/>
        </w:rPr>
        <w:t>– Agencija u roku od šest mjeseci od stupanja na snagu ove Uredbe, pristupa Međuinstitu</w:t>
      </w:r>
      <w:r>
        <w:rPr>
          <w:noProof/>
        </w:rPr>
        <w:t>cionalnom sporazumu od 25. svibnja 1999. između Europskog parlamenta, Vijeća Europske unije i Komisije Europskih zajednica u vezi s internim istragama koje provodi Europski ured za borbu protiv prijevara (OLAF), te bez odgađanja izdaje odgovarajuće odredbe</w:t>
      </w:r>
      <w:r>
        <w:rPr>
          <w:noProof/>
        </w:rPr>
        <w:t xml:space="preserve"> koje se primjenjuju na sve zaposlenike agencije.</w:t>
      </w:r>
    </w:p>
    <w:p w:rsidR="006C0808" w:rsidRDefault="00E3601E">
      <w:pPr>
        <w:spacing w:before="0" w:after="200" w:line="276" w:lineRule="auto"/>
        <w:jc w:val="left"/>
        <w:rPr>
          <w:rFonts w:eastAsiaTheme="majorEastAsia"/>
          <w:b/>
          <w:smallCaps/>
          <w:noProof/>
          <w:szCs w:val="24"/>
        </w:rPr>
      </w:pPr>
      <w:r>
        <w:rPr>
          <w:noProof/>
        </w:rPr>
        <w:br w:type="page"/>
      </w:r>
    </w:p>
    <w:p w:rsidR="006C0808" w:rsidRDefault="00E3601E">
      <w:pPr>
        <w:pStyle w:val="ManualHeading1"/>
        <w:rPr>
          <w:bCs/>
          <w:noProof/>
        </w:rPr>
      </w:pPr>
      <w:r>
        <w:rPr>
          <w:noProof/>
        </w:rPr>
        <w:t>3.</w:t>
      </w:r>
      <w:r>
        <w:rPr>
          <w:noProof/>
        </w:rPr>
        <w:tab/>
        <w:t>PROCIJENJENI FINANCIJSKI UTJECAJ PRIJEDLOGA/INICIJATIVE</w:t>
      </w:r>
    </w:p>
    <w:p w:rsidR="006C0808" w:rsidRDefault="00E3601E">
      <w:pPr>
        <w:pStyle w:val="ManualHeading2"/>
        <w:rPr>
          <w:bCs/>
          <w:noProof/>
        </w:rPr>
      </w:pPr>
      <w:r>
        <w:rPr>
          <w:noProof/>
        </w:rPr>
        <w:t>3.1.</w:t>
      </w:r>
      <w:r>
        <w:rPr>
          <w:noProof/>
        </w:rPr>
        <w:tab/>
        <w:t>Naslovi višegodišnjeg financijskog okvira i proračunskih linija rashoda na koje se prijedlog/inicijativa odnosi</w:t>
      </w:r>
    </w:p>
    <w:p w:rsidR="006C0808" w:rsidRDefault="00E3601E">
      <w:pPr>
        <w:pStyle w:val="ListBullet1"/>
        <w:rPr>
          <w:noProof/>
        </w:rPr>
      </w:pPr>
      <w:r>
        <w:rPr>
          <w:noProof/>
        </w:rPr>
        <w:t>Postojeće proračunske linije</w:t>
      </w:r>
    </w:p>
    <w:p w:rsidR="006C0808" w:rsidRDefault="00E3601E">
      <w:pPr>
        <w:pStyle w:val="Text1"/>
        <w:rPr>
          <w:noProof/>
        </w:rPr>
      </w:pPr>
      <w:r>
        <w:rPr>
          <w:noProof/>
          <w:u w:val="single"/>
        </w:rPr>
        <w:t>Prema redoslijedu</w:t>
      </w:r>
      <w:r>
        <w:rPr>
          <w:noProof/>
        </w:rPr>
        <w:t xml:space="preserve"> naslova višegodišnjeg financijskog okvira i proračunskih linija.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3653"/>
        <w:gridCol w:w="1006"/>
        <w:gridCol w:w="873"/>
        <w:gridCol w:w="1316"/>
        <w:gridCol w:w="877"/>
        <w:gridCol w:w="1132"/>
      </w:tblGrid>
      <w:tr w:rsidR="006C0808">
        <w:tc>
          <w:tcPr>
            <w:tcW w:w="482" w:type="pct"/>
            <w:vMerge w:val="restart"/>
            <w:vAlign w:val="center"/>
          </w:tcPr>
          <w:p w:rsidR="006C0808" w:rsidRDefault="00E3601E">
            <w:pPr>
              <w:spacing w:before="60" w:after="60"/>
              <w:jc w:val="center"/>
              <w:rPr>
                <w:noProof/>
              </w:rPr>
            </w:pPr>
            <w:r>
              <w:rPr>
                <w:noProof/>
                <w:sz w:val="18"/>
              </w:rPr>
              <w:t>Naslov višegodišnjeg financijskog okvira</w:t>
            </w:r>
          </w:p>
        </w:tc>
        <w:tc>
          <w:tcPr>
            <w:tcW w:w="1858" w:type="pct"/>
            <w:vAlign w:val="center"/>
          </w:tcPr>
          <w:p w:rsidR="006C0808" w:rsidRDefault="00E3601E">
            <w:pPr>
              <w:spacing w:before="60" w:after="60"/>
              <w:jc w:val="center"/>
              <w:rPr>
                <w:noProof/>
              </w:rPr>
            </w:pPr>
            <w:r>
              <w:rPr>
                <w:noProof/>
                <w:sz w:val="20"/>
              </w:rPr>
              <w:t>Proračunska linija</w:t>
            </w:r>
          </w:p>
        </w:tc>
        <w:tc>
          <w:tcPr>
            <w:tcW w:w="544" w:type="pct"/>
            <w:vAlign w:val="center"/>
          </w:tcPr>
          <w:p w:rsidR="006C0808" w:rsidRDefault="00E3601E">
            <w:pPr>
              <w:spacing w:before="60" w:after="60"/>
              <w:jc w:val="center"/>
              <w:rPr>
                <w:noProof/>
              </w:rPr>
            </w:pPr>
            <w:r>
              <w:rPr>
                <w:noProof/>
                <w:sz w:val="18"/>
              </w:rPr>
              <w:t xml:space="preserve">Vrsta </w:t>
            </w:r>
            <w:r>
              <w:rPr>
                <w:noProof/>
                <w:sz w:val="18"/>
              </w:rPr>
              <w:br/>
              <w:t>rashoda</w:t>
            </w:r>
          </w:p>
        </w:tc>
        <w:tc>
          <w:tcPr>
            <w:tcW w:w="2116" w:type="pct"/>
            <w:gridSpan w:val="4"/>
            <w:vAlign w:val="center"/>
          </w:tcPr>
          <w:p w:rsidR="006C0808" w:rsidRDefault="00E3601E">
            <w:pPr>
              <w:spacing w:before="60" w:after="60"/>
              <w:jc w:val="center"/>
              <w:rPr>
                <w:noProof/>
              </w:rPr>
            </w:pPr>
            <w:r>
              <w:rPr>
                <w:noProof/>
                <w:sz w:val="20"/>
              </w:rPr>
              <w:t xml:space="preserve">Doprinos </w:t>
            </w:r>
          </w:p>
        </w:tc>
      </w:tr>
      <w:tr w:rsidR="006C0808">
        <w:tc>
          <w:tcPr>
            <w:tcW w:w="482" w:type="pct"/>
            <w:vMerge/>
            <w:vAlign w:val="center"/>
          </w:tcPr>
          <w:p w:rsidR="006C0808" w:rsidRDefault="006C0808">
            <w:pPr>
              <w:rPr>
                <w:noProof/>
                <w:sz w:val="18"/>
              </w:rPr>
            </w:pPr>
          </w:p>
        </w:tc>
        <w:tc>
          <w:tcPr>
            <w:tcW w:w="1858" w:type="pct"/>
            <w:vAlign w:val="center"/>
          </w:tcPr>
          <w:p w:rsidR="006C0808" w:rsidRDefault="00E3601E">
            <w:pPr>
              <w:jc w:val="center"/>
              <w:rPr>
                <w:noProof/>
              </w:rPr>
            </w:pPr>
            <w:r>
              <w:rPr>
                <w:noProof/>
                <w:sz w:val="20"/>
              </w:rPr>
              <w:t>Broj/opis</w:t>
            </w:r>
          </w:p>
        </w:tc>
        <w:tc>
          <w:tcPr>
            <w:tcW w:w="544" w:type="pct"/>
            <w:vAlign w:val="center"/>
          </w:tcPr>
          <w:p w:rsidR="006C0808" w:rsidRDefault="00E3601E">
            <w:pPr>
              <w:jc w:val="center"/>
              <w:rPr>
                <w:noProof/>
              </w:rPr>
            </w:pPr>
            <w:r>
              <w:rPr>
                <w:noProof/>
                <w:sz w:val="18"/>
              </w:rPr>
              <w:t>Dif./Nedif.</w:t>
            </w:r>
            <w:r>
              <w:rPr>
                <w:noProof/>
                <w:sz w:val="18"/>
              </w:rPr>
              <w:br/>
            </w:r>
            <w:r>
              <w:rPr>
                <w:noProof/>
                <w:sz w:val="18"/>
                <w:vertAlign w:val="superscript"/>
              </w:rPr>
              <w:t>(</w:t>
            </w:r>
            <w:r>
              <w:rPr>
                <w:rStyle w:val="FootnoteReference"/>
                <w:noProof/>
                <w:sz w:val="18"/>
              </w:rPr>
              <w:footnoteReference w:id="57"/>
            </w:r>
            <w:r>
              <w:rPr>
                <w:noProof/>
                <w:sz w:val="18"/>
                <w:vertAlign w:val="superscript"/>
              </w:rPr>
              <w:t>)</w:t>
            </w:r>
          </w:p>
          <w:p w:rsidR="006C0808" w:rsidRDefault="006C0808">
            <w:pPr>
              <w:jc w:val="center"/>
              <w:rPr>
                <w:noProof/>
              </w:rPr>
            </w:pPr>
          </w:p>
        </w:tc>
        <w:tc>
          <w:tcPr>
            <w:tcW w:w="482" w:type="pct"/>
            <w:vAlign w:val="center"/>
          </w:tcPr>
          <w:p w:rsidR="006C0808" w:rsidRDefault="00E3601E">
            <w:pPr>
              <w:jc w:val="center"/>
              <w:rPr>
                <w:noProof/>
              </w:rPr>
            </w:pPr>
            <w:r>
              <w:rPr>
                <w:noProof/>
                <w:sz w:val="18"/>
              </w:rPr>
              <w:t>zemalja EFTA-e</w:t>
            </w:r>
            <w:r>
              <w:rPr>
                <w:rStyle w:val="FootnoteReference"/>
                <w:noProof/>
                <w:sz w:val="18"/>
              </w:rPr>
              <w:footnoteReference w:id="58"/>
            </w:r>
          </w:p>
          <w:p w:rsidR="006C0808" w:rsidRDefault="006C0808">
            <w:pPr>
              <w:jc w:val="center"/>
              <w:rPr>
                <w:noProof/>
              </w:rPr>
            </w:pPr>
          </w:p>
        </w:tc>
        <w:tc>
          <w:tcPr>
            <w:tcW w:w="544" w:type="pct"/>
            <w:vAlign w:val="center"/>
          </w:tcPr>
          <w:p w:rsidR="006C0808" w:rsidRDefault="00E3601E">
            <w:pPr>
              <w:jc w:val="center"/>
              <w:rPr>
                <w:noProof/>
              </w:rPr>
            </w:pPr>
            <w:r>
              <w:rPr>
                <w:noProof/>
                <w:sz w:val="18"/>
              </w:rPr>
              <w:t>zemalja kandidatkinja</w:t>
            </w:r>
            <w:r>
              <w:rPr>
                <w:rStyle w:val="FootnoteReference"/>
                <w:noProof/>
                <w:sz w:val="18"/>
              </w:rPr>
              <w:footnoteReference w:id="59"/>
            </w:r>
          </w:p>
          <w:p w:rsidR="006C0808" w:rsidRDefault="006C0808">
            <w:pPr>
              <w:jc w:val="center"/>
              <w:rPr>
                <w:noProof/>
                <w:sz w:val="18"/>
              </w:rPr>
            </w:pPr>
          </w:p>
        </w:tc>
        <w:tc>
          <w:tcPr>
            <w:tcW w:w="482" w:type="pct"/>
            <w:vAlign w:val="center"/>
          </w:tcPr>
          <w:p w:rsidR="006C0808" w:rsidRDefault="00E3601E">
            <w:pPr>
              <w:jc w:val="center"/>
              <w:rPr>
                <w:noProof/>
              </w:rPr>
            </w:pPr>
            <w:r>
              <w:rPr>
                <w:noProof/>
                <w:sz w:val="18"/>
              </w:rPr>
              <w:t>trećih zemalja</w:t>
            </w:r>
          </w:p>
        </w:tc>
        <w:tc>
          <w:tcPr>
            <w:tcW w:w="608" w:type="pct"/>
            <w:vAlign w:val="center"/>
          </w:tcPr>
          <w:p w:rsidR="006C0808" w:rsidRDefault="00E3601E">
            <w:pPr>
              <w:jc w:val="center"/>
              <w:rPr>
                <w:noProof/>
              </w:rPr>
            </w:pPr>
            <w:r>
              <w:rPr>
                <w:noProof/>
                <w:sz w:val="16"/>
              </w:rPr>
              <w:t xml:space="preserve">u smislu članka 18. stavka 1. točke (aa) Financijske uredbe </w:t>
            </w:r>
          </w:p>
        </w:tc>
      </w:tr>
      <w:tr w:rsidR="006C0808">
        <w:tc>
          <w:tcPr>
            <w:tcW w:w="482" w:type="pct"/>
            <w:vAlign w:val="center"/>
          </w:tcPr>
          <w:p w:rsidR="006C0808" w:rsidRDefault="00E3601E">
            <w:pPr>
              <w:jc w:val="center"/>
              <w:rPr>
                <w:noProof/>
                <w:sz w:val="18"/>
              </w:rPr>
            </w:pPr>
            <w:r>
              <w:rPr>
                <w:noProof/>
                <w:sz w:val="16"/>
              </w:rPr>
              <w:t>1.a Konkurentnost za rast i zapošljavanje</w:t>
            </w:r>
          </w:p>
        </w:tc>
        <w:tc>
          <w:tcPr>
            <w:tcW w:w="1858" w:type="pct"/>
            <w:vAlign w:val="center"/>
          </w:tcPr>
          <w:p w:rsidR="006C0808" w:rsidRDefault="00E3601E">
            <w:pPr>
              <w:pStyle w:val="Text1"/>
              <w:spacing w:after="0"/>
              <w:ind w:left="165"/>
              <w:rPr>
                <w:noProof/>
              </w:rPr>
            </w:pPr>
            <w:hyperlink r:id="rId24" w:anchor="N60620935552-6">
              <w:r>
                <w:rPr>
                  <w:b/>
                  <w:noProof/>
                  <w:sz w:val="18"/>
                </w:rPr>
                <w:t>09 02 04</w:t>
              </w:r>
            </w:hyperlink>
            <w:r>
              <w:rPr>
                <w:b/>
                <w:noProof/>
                <w:sz w:val="18"/>
              </w:rPr>
              <w:t xml:space="preserve"> </w:t>
            </w:r>
            <w:r>
              <w:rPr>
                <w:b/>
                <w:noProof/>
                <w:sz w:val="18"/>
                <w:u w:val="single"/>
              </w:rPr>
              <w:t>Tijelo europskih regulatora za elektroničke komunikacije (BEREC) – Ured – subvencija</w:t>
            </w:r>
          </w:p>
        </w:tc>
        <w:tc>
          <w:tcPr>
            <w:tcW w:w="544" w:type="pct"/>
            <w:vAlign w:val="center"/>
          </w:tcPr>
          <w:p w:rsidR="006C0808" w:rsidRDefault="00E3601E">
            <w:pPr>
              <w:jc w:val="center"/>
              <w:rPr>
                <w:noProof/>
              </w:rPr>
            </w:pPr>
            <w:r>
              <w:rPr>
                <w:noProof/>
                <w:sz w:val="18"/>
              </w:rPr>
              <w:t>Dif.</w:t>
            </w:r>
          </w:p>
        </w:tc>
        <w:tc>
          <w:tcPr>
            <w:tcW w:w="482" w:type="pct"/>
            <w:vAlign w:val="center"/>
          </w:tcPr>
          <w:p w:rsidR="006C0808" w:rsidRDefault="00E3601E">
            <w:pPr>
              <w:jc w:val="center"/>
              <w:rPr>
                <w:noProof/>
              </w:rPr>
            </w:pPr>
            <w:r>
              <w:rPr>
                <w:noProof/>
              </w:rPr>
              <w:t>DA</w:t>
            </w:r>
          </w:p>
        </w:tc>
        <w:tc>
          <w:tcPr>
            <w:tcW w:w="544" w:type="pct"/>
            <w:vAlign w:val="center"/>
          </w:tcPr>
          <w:p w:rsidR="006C0808" w:rsidRDefault="00E3601E">
            <w:pPr>
              <w:jc w:val="center"/>
              <w:rPr>
                <w:noProof/>
              </w:rPr>
            </w:pPr>
            <w:r>
              <w:rPr>
                <w:noProof/>
              </w:rPr>
              <w:t>NE</w:t>
            </w:r>
          </w:p>
        </w:tc>
        <w:tc>
          <w:tcPr>
            <w:tcW w:w="482" w:type="pct"/>
            <w:vAlign w:val="center"/>
          </w:tcPr>
          <w:p w:rsidR="006C0808" w:rsidRDefault="00E3601E">
            <w:pPr>
              <w:jc w:val="center"/>
              <w:rPr>
                <w:noProof/>
              </w:rPr>
            </w:pPr>
            <w:r>
              <w:rPr>
                <w:noProof/>
              </w:rPr>
              <w:t>NE</w:t>
            </w:r>
          </w:p>
        </w:tc>
        <w:tc>
          <w:tcPr>
            <w:tcW w:w="608" w:type="pct"/>
            <w:vAlign w:val="center"/>
          </w:tcPr>
          <w:p w:rsidR="006C0808" w:rsidRDefault="00E3601E">
            <w:pPr>
              <w:jc w:val="center"/>
              <w:rPr>
                <w:noProof/>
              </w:rPr>
            </w:pPr>
            <w:r>
              <w:rPr>
                <w:noProof/>
              </w:rPr>
              <w:t>NE</w:t>
            </w:r>
          </w:p>
        </w:tc>
      </w:tr>
      <w:tr w:rsidR="006C0808">
        <w:tc>
          <w:tcPr>
            <w:tcW w:w="482" w:type="pct"/>
            <w:vAlign w:val="center"/>
          </w:tcPr>
          <w:p w:rsidR="006C0808" w:rsidRDefault="00E3601E">
            <w:pPr>
              <w:jc w:val="center"/>
              <w:rPr>
                <w:noProof/>
                <w:sz w:val="16"/>
                <w:szCs w:val="16"/>
              </w:rPr>
            </w:pPr>
            <w:r>
              <w:rPr>
                <w:noProof/>
                <w:sz w:val="16"/>
              </w:rPr>
              <w:t>5. Administrativni rashodi</w:t>
            </w:r>
          </w:p>
        </w:tc>
        <w:tc>
          <w:tcPr>
            <w:tcW w:w="1858" w:type="pct"/>
            <w:vAlign w:val="center"/>
          </w:tcPr>
          <w:p w:rsidR="006C0808" w:rsidRDefault="00E3601E">
            <w:pPr>
              <w:pStyle w:val="Text1"/>
              <w:spacing w:after="0"/>
              <w:ind w:left="175"/>
              <w:rPr>
                <w:b/>
                <w:noProof/>
                <w:sz w:val="18"/>
                <w:szCs w:val="18"/>
              </w:rPr>
            </w:pPr>
            <w:r>
              <w:rPr>
                <w:b/>
                <w:noProof/>
                <w:sz w:val="18"/>
              </w:rPr>
              <w:t xml:space="preserve">09 01 01 – Rashodi koji se odnose na osoblje u aktivnoj službi u području politike komunikacijskih mreža, sadržaja i </w:t>
            </w:r>
            <w:r>
              <w:rPr>
                <w:b/>
                <w:noProof/>
                <w:sz w:val="18"/>
              </w:rPr>
              <w:t>tehnologija</w:t>
            </w:r>
          </w:p>
          <w:p w:rsidR="006C0808" w:rsidRDefault="00E3601E">
            <w:pPr>
              <w:pStyle w:val="Text1"/>
              <w:spacing w:after="0"/>
              <w:ind w:left="175"/>
              <w:rPr>
                <w:b/>
                <w:noProof/>
                <w:sz w:val="18"/>
                <w:szCs w:val="18"/>
              </w:rPr>
            </w:pPr>
            <w:r>
              <w:rPr>
                <w:b/>
                <w:noProof/>
                <w:sz w:val="18"/>
              </w:rPr>
              <w:t>09 01 02 – Rashodi koji se odnose na vanjsko osoblje u aktivnoj službi u području politike komunikacijskih mreža, sadržaja i tehnologija</w:t>
            </w:r>
          </w:p>
          <w:p w:rsidR="006C0808" w:rsidRDefault="00E3601E">
            <w:pPr>
              <w:pStyle w:val="Text1"/>
              <w:spacing w:after="0"/>
              <w:ind w:left="175"/>
              <w:rPr>
                <w:b/>
                <w:noProof/>
                <w:sz w:val="18"/>
                <w:szCs w:val="18"/>
              </w:rPr>
            </w:pPr>
            <w:r>
              <w:rPr>
                <w:b/>
                <w:noProof/>
                <w:sz w:val="18"/>
              </w:rPr>
              <w:t>09 01 02 11 – Ostali rashodi upravljanja</w:t>
            </w:r>
          </w:p>
          <w:p w:rsidR="006C0808" w:rsidRDefault="006C0808">
            <w:pPr>
              <w:pStyle w:val="Text1"/>
              <w:spacing w:after="0"/>
              <w:ind w:left="175"/>
              <w:rPr>
                <w:b/>
                <w:noProof/>
                <w:sz w:val="18"/>
                <w:szCs w:val="18"/>
              </w:rPr>
            </w:pPr>
          </w:p>
        </w:tc>
        <w:tc>
          <w:tcPr>
            <w:tcW w:w="544" w:type="pct"/>
            <w:vAlign w:val="center"/>
          </w:tcPr>
          <w:p w:rsidR="006C0808" w:rsidRDefault="00E3601E">
            <w:pPr>
              <w:jc w:val="center"/>
              <w:rPr>
                <w:noProof/>
                <w:sz w:val="18"/>
              </w:rPr>
            </w:pPr>
            <w:r>
              <w:rPr>
                <w:noProof/>
                <w:sz w:val="18"/>
              </w:rPr>
              <w:t>Nedif.</w:t>
            </w:r>
          </w:p>
          <w:p w:rsidR="006C0808" w:rsidRDefault="006C0808">
            <w:pPr>
              <w:jc w:val="center"/>
              <w:rPr>
                <w:noProof/>
                <w:sz w:val="18"/>
              </w:rPr>
            </w:pPr>
          </w:p>
          <w:p w:rsidR="006C0808" w:rsidRDefault="00E3601E">
            <w:pPr>
              <w:jc w:val="center"/>
              <w:rPr>
                <w:noProof/>
                <w:sz w:val="18"/>
              </w:rPr>
            </w:pPr>
            <w:r>
              <w:rPr>
                <w:noProof/>
                <w:sz w:val="18"/>
              </w:rPr>
              <w:t>Nedif.</w:t>
            </w:r>
          </w:p>
          <w:p w:rsidR="006C0808" w:rsidRDefault="006C0808">
            <w:pPr>
              <w:rPr>
                <w:noProof/>
                <w:sz w:val="18"/>
              </w:rPr>
            </w:pPr>
          </w:p>
          <w:p w:rsidR="006C0808" w:rsidRDefault="00E3601E">
            <w:pPr>
              <w:rPr>
                <w:noProof/>
                <w:sz w:val="18"/>
              </w:rPr>
            </w:pPr>
            <w:r>
              <w:rPr>
                <w:noProof/>
                <w:sz w:val="18"/>
              </w:rPr>
              <w:t>Nedif.</w:t>
            </w:r>
          </w:p>
        </w:tc>
        <w:tc>
          <w:tcPr>
            <w:tcW w:w="482" w:type="pct"/>
            <w:vAlign w:val="center"/>
          </w:tcPr>
          <w:p w:rsidR="006C0808" w:rsidRDefault="00E3601E">
            <w:pPr>
              <w:jc w:val="center"/>
              <w:rPr>
                <w:noProof/>
              </w:rPr>
            </w:pPr>
            <w:r>
              <w:rPr>
                <w:noProof/>
              </w:rPr>
              <w:t>NE</w:t>
            </w:r>
          </w:p>
          <w:p w:rsidR="006C0808" w:rsidRDefault="006C0808">
            <w:pPr>
              <w:jc w:val="center"/>
              <w:rPr>
                <w:noProof/>
              </w:rPr>
            </w:pPr>
          </w:p>
          <w:p w:rsidR="006C0808" w:rsidRDefault="00E3601E">
            <w:pPr>
              <w:jc w:val="center"/>
              <w:rPr>
                <w:noProof/>
              </w:rPr>
            </w:pPr>
            <w:r>
              <w:rPr>
                <w:noProof/>
              </w:rPr>
              <w:t>NE</w:t>
            </w:r>
          </w:p>
          <w:p w:rsidR="006C0808" w:rsidRDefault="006C0808">
            <w:pPr>
              <w:jc w:val="center"/>
              <w:rPr>
                <w:noProof/>
              </w:rPr>
            </w:pPr>
          </w:p>
          <w:p w:rsidR="006C0808" w:rsidRDefault="00E3601E">
            <w:pPr>
              <w:jc w:val="center"/>
              <w:rPr>
                <w:noProof/>
              </w:rPr>
            </w:pPr>
            <w:r>
              <w:rPr>
                <w:noProof/>
              </w:rPr>
              <w:t>NE</w:t>
            </w:r>
          </w:p>
        </w:tc>
        <w:tc>
          <w:tcPr>
            <w:tcW w:w="544" w:type="pct"/>
            <w:vAlign w:val="center"/>
          </w:tcPr>
          <w:p w:rsidR="006C0808" w:rsidRDefault="00E3601E">
            <w:pPr>
              <w:jc w:val="center"/>
              <w:rPr>
                <w:noProof/>
              </w:rPr>
            </w:pPr>
            <w:r>
              <w:rPr>
                <w:noProof/>
              </w:rPr>
              <w:t>NE</w:t>
            </w:r>
          </w:p>
          <w:p w:rsidR="006C0808" w:rsidRDefault="006C0808">
            <w:pPr>
              <w:jc w:val="center"/>
              <w:rPr>
                <w:noProof/>
              </w:rPr>
            </w:pPr>
          </w:p>
          <w:p w:rsidR="006C0808" w:rsidRDefault="00E3601E">
            <w:pPr>
              <w:jc w:val="center"/>
              <w:rPr>
                <w:noProof/>
              </w:rPr>
            </w:pPr>
            <w:r>
              <w:rPr>
                <w:noProof/>
              </w:rPr>
              <w:t>NE</w:t>
            </w:r>
          </w:p>
          <w:p w:rsidR="006C0808" w:rsidRDefault="006C0808">
            <w:pPr>
              <w:jc w:val="center"/>
              <w:rPr>
                <w:noProof/>
              </w:rPr>
            </w:pPr>
          </w:p>
          <w:p w:rsidR="006C0808" w:rsidRDefault="00E3601E">
            <w:pPr>
              <w:jc w:val="center"/>
              <w:rPr>
                <w:noProof/>
              </w:rPr>
            </w:pPr>
            <w:r>
              <w:rPr>
                <w:noProof/>
              </w:rPr>
              <w:t>NE</w:t>
            </w:r>
          </w:p>
        </w:tc>
        <w:tc>
          <w:tcPr>
            <w:tcW w:w="482" w:type="pct"/>
            <w:vAlign w:val="center"/>
          </w:tcPr>
          <w:p w:rsidR="006C0808" w:rsidRDefault="00E3601E">
            <w:pPr>
              <w:jc w:val="center"/>
              <w:rPr>
                <w:noProof/>
              </w:rPr>
            </w:pPr>
            <w:r>
              <w:rPr>
                <w:noProof/>
              </w:rPr>
              <w:t>NE</w:t>
            </w:r>
          </w:p>
          <w:p w:rsidR="006C0808" w:rsidRDefault="006C0808">
            <w:pPr>
              <w:jc w:val="center"/>
              <w:rPr>
                <w:noProof/>
              </w:rPr>
            </w:pPr>
          </w:p>
          <w:p w:rsidR="006C0808" w:rsidRDefault="00E3601E">
            <w:pPr>
              <w:jc w:val="center"/>
              <w:rPr>
                <w:noProof/>
              </w:rPr>
            </w:pPr>
            <w:r>
              <w:rPr>
                <w:noProof/>
              </w:rPr>
              <w:t>NE</w:t>
            </w:r>
          </w:p>
          <w:p w:rsidR="006C0808" w:rsidRDefault="006C0808">
            <w:pPr>
              <w:jc w:val="center"/>
              <w:rPr>
                <w:noProof/>
              </w:rPr>
            </w:pPr>
          </w:p>
          <w:p w:rsidR="006C0808" w:rsidRDefault="00E3601E">
            <w:pPr>
              <w:jc w:val="center"/>
              <w:rPr>
                <w:noProof/>
              </w:rPr>
            </w:pPr>
            <w:r>
              <w:rPr>
                <w:noProof/>
              </w:rPr>
              <w:t>NE</w:t>
            </w:r>
          </w:p>
        </w:tc>
        <w:tc>
          <w:tcPr>
            <w:tcW w:w="608" w:type="pct"/>
            <w:vAlign w:val="center"/>
          </w:tcPr>
          <w:p w:rsidR="006C0808" w:rsidRDefault="00E3601E">
            <w:pPr>
              <w:jc w:val="center"/>
              <w:rPr>
                <w:noProof/>
              </w:rPr>
            </w:pPr>
            <w:r>
              <w:rPr>
                <w:noProof/>
              </w:rPr>
              <w:t>NE</w:t>
            </w:r>
          </w:p>
          <w:p w:rsidR="006C0808" w:rsidRDefault="006C0808">
            <w:pPr>
              <w:jc w:val="center"/>
              <w:rPr>
                <w:noProof/>
              </w:rPr>
            </w:pPr>
          </w:p>
          <w:p w:rsidR="006C0808" w:rsidRDefault="00E3601E">
            <w:pPr>
              <w:jc w:val="center"/>
              <w:rPr>
                <w:noProof/>
              </w:rPr>
            </w:pPr>
            <w:r>
              <w:rPr>
                <w:noProof/>
              </w:rPr>
              <w:t>NE</w:t>
            </w:r>
          </w:p>
          <w:p w:rsidR="006C0808" w:rsidRDefault="006C0808">
            <w:pPr>
              <w:jc w:val="center"/>
              <w:rPr>
                <w:noProof/>
              </w:rPr>
            </w:pPr>
          </w:p>
          <w:p w:rsidR="006C0808" w:rsidRDefault="00E3601E">
            <w:pPr>
              <w:jc w:val="center"/>
              <w:rPr>
                <w:noProof/>
              </w:rPr>
            </w:pPr>
            <w:r>
              <w:rPr>
                <w:noProof/>
              </w:rPr>
              <w:t>NE</w:t>
            </w:r>
          </w:p>
        </w:tc>
      </w:tr>
    </w:tbl>
    <w:p w:rsidR="006C0808" w:rsidRDefault="006C0808">
      <w:pPr>
        <w:rPr>
          <w:noProof/>
          <w:szCs w:val="24"/>
        </w:rPr>
        <w:sectPr w:rsidR="006C0808" w:rsidSect="00E3601E">
          <w:pgSz w:w="11907" w:h="16839" w:code="9"/>
          <w:pgMar w:top="1077" w:right="902" w:bottom="1247" w:left="1134" w:header="709" w:footer="510" w:gutter="0"/>
          <w:cols w:space="720"/>
          <w:rtlGutter/>
          <w:docGrid w:linePitch="326"/>
        </w:sectPr>
      </w:pPr>
    </w:p>
    <w:p w:rsidR="006C0808" w:rsidRDefault="00E3601E">
      <w:pPr>
        <w:pStyle w:val="ManualHeading2"/>
        <w:rPr>
          <w:bCs/>
          <w:noProof/>
        </w:rPr>
      </w:pPr>
      <w:r>
        <w:rPr>
          <w:noProof/>
        </w:rPr>
        <w:t>3.2.</w:t>
      </w:r>
      <w:r>
        <w:rPr>
          <w:noProof/>
        </w:rPr>
        <w:tab/>
        <w:t>Procijenjeni utjecaj na rashode</w:t>
      </w:r>
    </w:p>
    <w:p w:rsidR="006C0808" w:rsidRDefault="00E3601E">
      <w:pPr>
        <w:pStyle w:val="ManualHeading3"/>
        <w:rPr>
          <w:bCs/>
          <w:noProof/>
        </w:rPr>
      </w:pPr>
      <w:r>
        <w:rPr>
          <w:noProof/>
        </w:rPr>
        <w:t>3.2.1.</w:t>
      </w:r>
      <w:r>
        <w:rPr>
          <w:noProof/>
        </w:rPr>
        <w:tab/>
        <w:t>Sažetak procijenjenog utjecaja na rashode (u milijunima EUR)</w:t>
      </w:r>
    </w:p>
    <w:p w:rsidR="006C0808" w:rsidRDefault="006C0808">
      <w:pPr>
        <w:rPr>
          <w:noProof/>
        </w:rPr>
      </w:pPr>
    </w:p>
    <w:p w:rsidR="006C0808" w:rsidRDefault="00E3601E">
      <w:pPr>
        <w:keepNext/>
        <w:keepLines/>
        <w:jc w:val="right"/>
        <w:rPr>
          <w:noProof/>
          <w:sz w:val="16"/>
        </w:rPr>
      </w:pPr>
      <w:r>
        <w:rPr>
          <w:noProof/>
          <w:sz w:val="20"/>
        </w:rPr>
        <w:t>u milijunima EUR (do tri decimalna mjesta)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6"/>
        <w:gridCol w:w="1080"/>
        <w:gridCol w:w="5624"/>
      </w:tblGrid>
      <w:tr w:rsidR="006C0808">
        <w:tc>
          <w:tcPr>
            <w:tcW w:w="4636" w:type="dxa"/>
            <w:shd w:val="clear" w:color="C0C0C0" w:fill="auto"/>
            <w:vAlign w:val="center"/>
          </w:tcPr>
          <w:p w:rsidR="006C0808" w:rsidRDefault="00E3601E">
            <w:pPr>
              <w:keepNext/>
              <w:keepLines/>
              <w:spacing w:before="60" w:after="60"/>
              <w:jc w:val="center"/>
              <w:rPr>
                <w:noProof/>
              </w:rPr>
            </w:pPr>
            <w:r>
              <w:rPr>
                <w:b/>
                <w:noProof/>
              </w:rPr>
              <w:t xml:space="preserve">Naslov višegodišnjeg financijskog </w:t>
            </w:r>
            <w:r>
              <w:rPr>
                <w:b/>
                <w:noProof/>
              </w:rPr>
              <w:br/>
              <w:t xml:space="preserve">okvira: </w:t>
            </w:r>
          </w:p>
        </w:tc>
        <w:tc>
          <w:tcPr>
            <w:tcW w:w="1080" w:type="dxa"/>
            <w:vAlign w:val="center"/>
          </w:tcPr>
          <w:p w:rsidR="006C0808" w:rsidRDefault="00E3601E">
            <w:pPr>
              <w:keepNext/>
              <w:keepLines/>
              <w:spacing w:before="60" w:after="60"/>
              <w:rPr>
                <w:noProof/>
              </w:rPr>
            </w:pPr>
            <w:r>
              <w:rPr>
                <w:noProof/>
              </w:rPr>
              <w:t>1.a</w:t>
            </w:r>
          </w:p>
        </w:tc>
        <w:tc>
          <w:tcPr>
            <w:tcW w:w="5624" w:type="dxa"/>
            <w:vAlign w:val="center"/>
          </w:tcPr>
          <w:p w:rsidR="006C0808" w:rsidRDefault="00E3601E">
            <w:pPr>
              <w:keepNext/>
              <w:keepLines/>
              <w:spacing w:before="60" w:after="60"/>
              <w:rPr>
                <w:noProof/>
              </w:rPr>
            </w:pPr>
            <w:r>
              <w:rPr>
                <w:noProof/>
              </w:rPr>
              <w:t xml:space="preserve">Konkurentnost za rast i </w:t>
            </w:r>
            <w:r>
              <w:rPr>
                <w:noProof/>
              </w:rPr>
              <w:t>zapošljavanje</w:t>
            </w:r>
          </w:p>
        </w:tc>
      </w:tr>
    </w:tbl>
    <w:p w:rsidR="006C0808" w:rsidRDefault="006C0808">
      <w:pPr>
        <w:rPr>
          <w:noProof/>
        </w:rPr>
      </w:pPr>
    </w:p>
    <w:tbl>
      <w:tblPr>
        <w:tblW w:w="3908" w:type="pct"/>
        <w:tblLook w:val="04A0" w:firstRow="1" w:lastRow="0" w:firstColumn="1" w:lastColumn="0" w:noHBand="0" w:noVBand="1"/>
      </w:tblPr>
      <w:tblGrid>
        <w:gridCol w:w="2605"/>
        <w:gridCol w:w="1770"/>
        <w:gridCol w:w="1212"/>
        <w:gridCol w:w="1524"/>
        <w:gridCol w:w="235"/>
        <w:gridCol w:w="1522"/>
        <w:gridCol w:w="1200"/>
        <w:gridCol w:w="1446"/>
      </w:tblGrid>
      <w:tr w:rsidR="006C0808">
        <w:trPr>
          <w:trHeight w:val="300"/>
        </w:trPr>
        <w:tc>
          <w:tcPr>
            <w:tcW w:w="113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0808" w:rsidRDefault="00E3601E">
            <w:pPr>
              <w:keepNext/>
              <w:keepLines/>
              <w:jc w:val="center"/>
              <w:rPr>
                <w:b/>
                <w:noProof/>
                <w:color w:val="000000"/>
              </w:rPr>
            </w:pPr>
            <w:r>
              <w:rPr>
                <w:b/>
                <w:noProof/>
                <w:color w:val="000000"/>
                <w:sz w:val="22"/>
              </w:rPr>
              <w:t xml:space="preserve">BEREC </w:t>
            </w:r>
          </w:p>
        </w:tc>
        <w:tc>
          <w:tcPr>
            <w:tcW w:w="768" w:type="pct"/>
            <w:tcBorders>
              <w:top w:val="single" w:sz="8" w:space="0" w:color="auto"/>
              <w:left w:val="nil"/>
              <w:bottom w:val="nil"/>
              <w:right w:val="nil"/>
            </w:tcBorders>
            <w:shd w:val="clear" w:color="auto" w:fill="auto"/>
            <w:vAlign w:val="center"/>
            <w:hideMark/>
          </w:tcPr>
          <w:p w:rsidR="006C0808" w:rsidRDefault="00E3601E">
            <w:pPr>
              <w:keepNext/>
              <w:keepLines/>
              <w:rPr>
                <w:noProof/>
                <w:color w:val="000000"/>
                <w:sz w:val="20"/>
                <w:szCs w:val="20"/>
              </w:rPr>
            </w:pPr>
            <w:r>
              <w:rPr>
                <w:noProof/>
                <w:color w:val="000000"/>
                <w:sz w:val="20"/>
              </w:rPr>
              <w:t> </w:t>
            </w:r>
          </w:p>
        </w:tc>
        <w:tc>
          <w:tcPr>
            <w:tcW w:w="526" w:type="pct"/>
            <w:tcBorders>
              <w:top w:val="single" w:sz="8" w:space="0" w:color="auto"/>
              <w:left w:val="single" w:sz="8" w:space="0" w:color="auto"/>
              <w:bottom w:val="nil"/>
              <w:right w:val="single" w:sz="8" w:space="0" w:color="auto"/>
            </w:tcBorders>
            <w:shd w:val="clear" w:color="auto" w:fill="auto"/>
            <w:vAlign w:val="center"/>
            <w:hideMark/>
          </w:tcPr>
          <w:p w:rsidR="006C0808" w:rsidRDefault="00E3601E">
            <w:pPr>
              <w:keepNext/>
              <w:keepLines/>
              <w:jc w:val="center"/>
              <w:rPr>
                <w:noProof/>
                <w:color w:val="000000"/>
                <w:sz w:val="20"/>
                <w:szCs w:val="20"/>
              </w:rPr>
            </w:pPr>
            <w:r>
              <w:rPr>
                <w:noProof/>
                <w:color w:val="000000"/>
                <w:sz w:val="20"/>
              </w:rPr>
              <w:t> </w:t>
            </w:r>
          </w:p>
        </w:tc>
        <w:tc>
          <w:tcPr>
            <w:tcW w:w="662" w:type="pct"/>
            <w:tcBorders>
              <w:top w:val="single" w:sz="8" w:space="0" w:color="auto"/>
              <w:left w:val="nil"/>
              <w:bottom w:val="nil"/>
              <w:right w:val="single" w:sz="4" w:space="0" w:color="auto"/>
            </w:tcBorders>
          </w:tcPr>
          <w:p w:rsidR="006C0808" w:rsidRDefault="00E3601E">
            <w:pPr>
              <w:keepNext/>
              <w:keepLines/>
              <w:jc w:val="center"/>
              <w:rPr>
                <w:b/>
                <w:noProof/>
                <w:color w:val="000000"/>
                <w:sz w:val="20"/>
                <w:szCs w:val="20"/>
              </w:rPr>
            </w:pPr>
            <w:r>
              <w:rPr>
                <w:b/>
                <w:noProof/>
                <w:color w:val="000000"/>
                <w:sz w:val="20"/>
              </w:rPr>
              <w:t>Osnova</w:t>
            </w:r>
          </w:p>
        </w:tc>
        <w:tc>
          <w:tcPr>
            <w:tcW w:w="102" w:type="pct"/>
            <w:tcBorders>
              <w:top w:val="single" w:sz="8" w:space="0" w:color="auto"/>
              <w:left w:val="single" w:sz="4" w:space="0" w:color="auto"/>
              <w:bottom w:val="nil"/>
              <w:right w:val="single" w:sz="4" w:space="0" w:color="auto"/>
            </w:tcBorders>
          </w:tcPr>
          <w:p w:rsidR="006C0808" w:rsidRDefault="006C0808">
            <w:pPr>
              <w:keepNext/>
              <w:keepLines/>
              <w:jc w:val="center"/>
              <w:rPr>
                <w:b/>
                <w:noProof/>
                <w:color w:val="000000"/>
                <w:sz w:val="20"/>
                <w:szCs w:val="20"/>
              </w:rPr>
            </w:pPr>
          </w:p>
        </w:tc>
        <w:tc>
          <w:tcPr>
            <w:tcW w:w="661" w:type="pct"/>
            <w:tcBorders>
              <w:top w:val="single" w:sz="8" w:space="0" w:color="auto"/>
              <w:left w:val="single" w:sz="4" w:space="0" w:color="auto"/>
              <w:bottom w:val="nil"/>
              <w:right w:val="single" w:sz="8" w:space="0" w:color="auto"/>
            </w:tcBorders>
            <w:shd w:val="clear" w:color="auto" w:fill="auto"/>
            <w:vAlign w:val="center"/>
            <w:hideMark/>
          </w:tcPr>
          <w:p w:rsidR="006C0808" w:rsidRDefault="00E3601E">
            <w:pPr>
              <w:keepNext/>
              <w:keepLines/>
              <w:jc w:val="center"/>
              <w:rPr>
                <w:b/>
                <w:noProof/>
                <w:color w:val="000000"/>
                <w:sz w:val="20"/>
                <w:szCs w:val="20"/>
              </w:rPr>
            </w:pPr>
            <w:r>
              <w:rPr>
                <w:b/>
                <w:noProof/>
                <w:color w:val="000000"/>
                <w:sz w:val="20"/>
              </w:rPr>
              <w:t>Godina</w:t>
            </w:r>
          </w:p>
        </w:tc>
        <w:tc>
          <w:tcPr>
            <w:tcW w:w="521" w:type="pct"/>
            <w:tcBorders>
              <w:top w:val="single" w:sz="8" w:space="0" w:color="auto"/>
              <w:left w:val="nil"/>
              <w:bottom w:val="nil"/>
              <w:right w:val="single" w:sz="8" w:space="0" w:color="auto"/>
            </w:tcBorders>
            <w:shd w:val="clear" w:color="auto" w:fill="auto"/>
            <w:vAlign w:val="center"/>
            <w:hideMark/>
          </w:tcPr>
          <w:p w:rsidR="006C0808" w:rsidRDefault="00E3601E">
            <w:pPr>
              <w:keepNext/>
              <w:keepLines/>
              <w:jc w:val="center"/>
              <w:rPr>
                <w:b/>
                <w:noProof/>
                <w:color w:val="000000"/>
                <w:sz w:val="20"/>
                <w:szCs w:val="20"/>
              </w:rPr>
            </w:pPr>
            <w:r>
              <w:rPr>
                <w:b/>
                <w:noProof/>
                <w:color w:val="000000"/>
                <w:sz w:val="20"/>
              </w:rPr>
              <w:t>Godina</w:t>
            </w:r>
          </w:p>
        </w:tc>
        <w:tc>
          <w:tcPr>
            <w:tcW w:w="628" w:type="pct"/>
            <w:tcBorders>
              <w:top w:val="single" w:sz="8" w:space="0" w:color="auto"/>
              <w:left w:val="nil"/>
              <w:bottom w:val="nil"/>
              <w:right w:val="single" w:sz="8" w:space="0" w:color="auto"/>
            </w:tcBorders>
            <w:shd w:val="clear" w:color="auto" w:fill="auto"/>
            <w:vAlign w:val="center"/>
            <w:hideMark/>
          </w:tcPr>
          <w:p w:rsidR="006C0808" w:rsidRDefault="00E3601E">
            <w:pPr>
              <w:keepNext/>
              <w:keepLines/>
              <w:jc w:val="center"/>
              <w:rPr>
                <w:b/>
                <w:bCs/>
                <w:noProof/>
                <w:color w:val="000000"/>
                <w:sz w:val="20"/>
                <w:szCs w:val="20"/>
              </w:rPr>
            </w:pPr>
            <w:r>
              <w:rPr>
                <w:b/>
                <w:noProof/>
                <w:color w:val="000000"/>
                <w:sz w:val="20"/>
              </w:rPr>
              <w:t>UKUPNO</w:t>
            </w:r>
          </w:p>
          <w:p w:rsidR="006C0808" w:rsidRDefault="00E3601E">
            <w:pPr>
              <w:keepNext/>
              <w:keepLines/>
              <w:jc w:val="center"/>
              <w:rPr>
                <w:b/>
                <w:bCs/>
                <w:noProof/>
                <w:color w:val="000000"/>
                <w:sz w:val="20"/>
                <w:szCs w:val="20"/>
              </w:rPr>
            </w:pPr>
            <w:r>
              <w:rPr>
                <w:b/>
                <w:noProof/>
                <w:sz w:val="20"/>
              </w:rPr>
              <w:t>2019. – 2020.</w:t>
            </w:r>
          </w:p>
        </w:tc>
      </w:tr>
      <w:tr w:rsidR="006C0808">
        <w:trPr>
          <w:trHeight w:val="300"/>
        </w:trPr>
        <w:tc>
          <w:tcPr>
            <w:tcW w:w="1131" w:type="pct"/>
            <w:vMerge/>
            <w:tcBorders>
              <w:top w:val="single" w:sz="8" w:space="0" w:color="auto"/>
              <w:left w:val="single" w:sz="8" w:space="0" w:color="auto"/>
              <w:bottom w:val="single" w:sz="8" w:space="0" w:color="000000"/>
              <w:right w:val="single" w:sz="8" w:space="0" w:color="auto"/>
            </w:tcBorders>
            <w:vAlign w:val="center"/>
            <w:hideMark/>
          </w:tcPr>
          <w:p w:rsidR="006C0808" w:rsidRDefault="006C0808">
            <w:pPr>
              <w:keepNext/>
              <w:keepLines/>
              <w:rPr>
                <w:noProof/>
                <w:color w:val="000000"/>
              </w:rPr>
            </w:pPr>
          </w:p>
        </w:tc>
        <w:tc>
          <w:tcPr>
            <w:tcW w:w="768" w:type="pct"/>
            <w:tcBorders>
              <w:top w:val="nil"/>
              <w:left w:val="nil"/>
              <w:bottom w:val="nil"/>
              <w:right w:val="nil"/>
            </w:tcBorders>
            <w:shd w:val="clear" w:color="auto" w:fill="auto"/>
            <w:vAlign w:val="center"/>
            <w:hideMark/>
          </w:tcPr>
          <w:p w:rsidR="006C0808" w:rsidRDefault="00E3601E">
            <w:pPr>
              <w:keepNext/>
              <w:keepLines/>
              <w:rPr>
                <w:noProof/>
                <w:color w:val="000000"/>
                <w:sz w:val="20"/>
                <w:szCs w:val="20"/>
              </w:rPr>
            </w:pPr>
            <w:r>
              <w:rPr>
                <w:noProof/>
                <w:color w:val="000000"/>
                <w:sz w:val="20"/>
              </w:rPr>
              <w:t> </w:t>
            </w:r>
          </w:p>
        </w:tc>
        <w:tc>
          <w:tcPr>
            <w:tcW w:w="526" w:type="pct"/>
            <w:tcBorders>
              <w:top w:val="nil"/>
              <w:left w:val="single" w:sz="8" w:space="0" w:color="auto"/>
              <w:bottom w:val="nil"/>
              <w:right w:val="single" w:sz="8" w:space="0" w:color="auto"/>
            </w:tcBorders>
            <w:shd w:val="clear" w:color="auto" w:fill="auto"/>
            <w:vAlign w:val="center"/>
            <w:hideMark/>
          </w:tcPr>
          <w:p w:rsidR="006C0808" w:rsidRDefault="00E3601E">
            <w:pPr>
              <w:keepNext/>
              <w:keepLines/>
              <w:jc w:val="center"/>
              <w:rPr>
                <w:noProof/>
                <w:color w:val="000000"/>
                <w:sz w:val="20"/>
                <w:szCs w:val="20"/>
              </w:rPr>
            </w:pPr>
            <w:r>
              <w:rPr>
                <w:noProof/>
                <w:color w:val="000000"/>
                <w:sz w:val="20"/>
              </w:rPr>
              <w:t> </w:t>
            </w:r>
          </w:p>
        </w:tc>
        <w:tc>
          <w:tcPr>
            <w:tcW w:w="662" w:type="pct"/>
            <w:tcBorders>
              <w:top w:val="nil"/>
              <w:left w:val="nil"/>
              <w:bottom w:val="nil"/>
              <w:right w:val="single" w:sz="4" w:space="0" w:color="auto"/>
            </w:tcBorders>
          </w:tcPr>
          <w:p w:rsidR="006C0808" w:rsidRDefault="00E3601E">
            <w:pPr>
              <w:keepNext/>
              <w:keepLines/>
              <w:jc w:val="center"/>
              <w:rPr>
                <w:b/>
                <w:bCs/>
                <w:noProof/>
                <w:color w:val="000000"/>
                <w:sz w:val="20"/>
                <w:szCs w:val="20"/>
              </w:rPr>
            </w:pPr>
            <w:r>
              <w:rPr>
                <w:b/>
                <w:noProof/>
                <w:color w:val="000000"/>
                <w:sz w:val="20"/>
              </w:rPr>
              <w:t>2017.</w:t>
            </w:r>
            <w:r>
              <w:rPr>
                <w:rStyle w:val="FootnoteReference"/>
                <w:b/>
                <w:noProof/>
                <w:color w:val="000000"/>
                <w:sz w:val="20"/>
              </w:rPr>
              <w:footnoteReference w:id="60"/>
            </w:r>
          </w:p>
        </w:tc>
        <w:tc>
          <w:tcPr>
            <w:tcW w:w="102" w:type="pct"/>
            <w:tcBorders>
              <w:top w:val="nil"/>
              <w:left w:val="single" w:sz="4" w:space="0" w:color="auto"/>
              <w:bottom w:val="nil"/>
              <w:right w:val="single" w:sz="4" w:space="0" w:color="auto"/>
            </w:tcBorders>
          </w:tcPr>
          <w:p w:rsidR="006C0808" w:rsidRDefault="006C0808">
            <w:pPr>
              <w:keepNext/>
              <w:keepLines/>
              <w:jc w:val="center"/>
              <w:rPr>
                <w:b/>
                <w:bCs/>
                <w:noProof/>
                <w:color w:val="000000"/>
                <w:sz w:val="20"/>
                <w:szCs w:val="20"/>
              </w:rPr>
            </w:pPr>
          </w:p>
        </w:tc>
        <w:tc>
          <w:tcPr>
            <w:tcW w:w="661" w:type="pct"/>
            <w:tcBorders>
              <w:top w:val="nil"/>
              <w:left w:val="single" w:sz="4" w:space="0" w:color="auto"/>
              <w:bottom w:val="nil"/>
              <w:right w:val="single" w:sz="8" w:space="0" w:color="auto"/>
            </w:tcBorders>
            <w:shd w:val="clear" w:color="auto" w:fill="auto"/>
            <w:vAlign w:val="center"/>
            <w:hideMark/>
          </w:tcPr>
          <w:p w:rsidR="006C0808" w:rsidRDefault="00E3601E">
            <w:pPr>
              <w:keepNext/>
              <w:keepLines/>
              <w:jc w:val="center"/>
              <w:rPr>
                <w:b/>
                <w:bCs/>
                <w:noProof/>
                <w:color w:val="000000"/>
                <w:sz w:val="20"/>
                <w:szCs w:val="20"/>
              </w:rPr>
            </w:pPr>
            <w:r>
              <w:rPr>
                <w:b/>
                <w:noProof/>
                <w:color w:val="000000"/>
                <w:sz w:val="20"/>
              </w:rPr>
              <w:t>2019.</w:t>
            </w:r>
          </w:p>
        </w:tc>
        <w:tc>
          <w:tcPr>
            <w:tcW w:w="521" w:type="pct"/>
            <w:tcBorders>
              <w:top w:val="nil"/>
              <w:left w:val="nil"/>
              <w:bottom w:val="nil"/>
              <w:right w:val="single" w:sz="8" w:space="0" w:color="auto"/>
            </w:tcBorders>
            <w:shd w:val="clear" w:color="auto" w:fill="auto"/>
            <w:vAlign w:val="center"/>
            <w:hideMark/>
          </w:tcPr>
          <w:p w:rsidR="006C0808" w:rsidRDefault="00E3601E">
            <w:pPr>
              <w:keepNext/>
              <w:keepLines/>
              <w:jc w:val="center"/>
              <w:rPr>
                <w:b/>
                <w:bCs/>
                <w:noProof/>
                <w:color w:val="000000"/>
                <w:sz w:val="20"/>
                <w:szCs w:val="20"/>
              </w:rPr>
            </w:pPr>
            <w:r>
              <w:rPr>
                <w:b/>
                <w:noProof/>
                <w:color w:val="000000"/>
                <w:sz w:val="20"/>
              </w:rPr>
              <w:t>2020.</w:t>
            </w:r>
          </w:p>
        </w:tc>
        <w:tc>
          <w:tcPr>
            <w:tcW w:w="628" w:type="pct"/>
            <w:tcBorders>
              <w:top w:val="nil"/>
              <w:left w:val="nil"/>
              <w:bottom w:val="nil"/>
              <w:right w:val="single" w:sz="8" w:space="0" w:color="auto"/>
            </w:tcBorders>
            <w:shd w:val="clear" w:color="auto" w:fill="auto"/>
            <w:vAlign w:val="center"/>
            <w:hideMark/>
          </w:tcPr>
          <w:p w:rsidR="006C0808" w:rsidRDefault="006C0808">
            <w:pPr>
              <w:keepNext/>
              <w:keepLines/>
              <w:jc w:val="center"/>
              <w:rPr>
                <w:b/>
                <w:bCs/>
                <w:noProof/>
                <w:color w:val="000000"/>
                <w:sz w:val="20"/>
                <w:szCs w:val="20"/>
              </w:rPr>
            </w:pPr>
          </w:p>
        </w:tc>
      </w:tr>
      <w:tr w:rsidR="006C0808">
        <w:trPr>
          <w:trHeight w:val="315"/>
        </w:trPr>
        <w:tc>
          <w:tcPr>
            <w:tcW w:w="1131" w:type="pct"/>
            <w:vMerge/>
            <w:tcBorders>
              <w:top w:val="single" w:sz="8" w:space="0" w:color="auto"/>
              <w:left w:val="single" w:sz="8" w:space="0" w:color="auto"/>
              <w:bottom w:val="single" w:sz="8" w:space="0" w:color="000000"/>
              <w:right w:val="single" w:sz="8" w:space="0" w:color="auto"/>
            </w:tcBorders>
            <w:vAlign w:val="center"/>
            <w:hideMark/>
          </w:tcPr>
          <w:p w:rsidR="006C0808" w:rsidRDefault="006C0808">
            <w:pPr>
              <w:keepNext/>
              <w:keepLines/>
              <w:rPr>
                <w:noProof/>
                <w:color w:val="000000"/>
              </w:rPr>
            </w:pPr>
          </w:p>
        </w:tc>
        <w:tc>
          <w:tcPr>
            <w:tcW w:w="768" w:type="pct"/>
            <w:tcBorders>
              <w:top w:val="nil"/>
              <w:left w:val="nil"/>
              <w:bottom w:val="single" w:sz="8" w:space="0" w:color="auto"/>
              <w:right w:val="nil"/>
            </w:tcBorders>
            <w:shd w:val="clear" w:color="auto" w:fill="auto"/>
            <w:vAlign w:val="center"/>
            <w:hideMark/>
          </w:tcPr>
          <w:p w:rsidR="006C0808" w:rsidRDefault="00E3601E">
            <w:pPr>
              <w:keepNext/>
              <w:keepLines/>
              <w:rPr>
                <w:noProof/>
                <w:color w:val="000000"/>
                <w:sz w:val="20"/>
                <w:szCs w:val="20"/>
              </w:rPr>
            </w:pPr>
            <w:r>
              <w:rPr>
                <w:noProof/>
                <w:color w:val="000000"/>
                <w:sz w:val="20"/>
              </w:rPr>
              <w:t> </w:t>
            </w:r>
          </w:p>
        </w:tc>
        <w:tc>
          <w:tcPr>
            <w:tcW w:w="526" w:type="pct"/>
            <w:tcBorders>
              <w:top w:val="nil"/>
              <w:left w:val="single" w:sz="8" w:space="0" w:color="auto"/>
              <w:bottom w:val="single" w:sz="8" w:space="0" w:color="auto"/>
              <w:right w:val="single" w:sz="8" w:space="0" w:color="auto"/>
            </w:tcBorders>
            <w:shd w:val="clear" w:color="auto" w:fill="auto"/>
            <w:vAlign w:val="center"/>
            <w:hideMark/>
          </w:tcPr>
          <w:p w:rsidR="006C0808" w:rsidRDefault="00E3601E">
            <w:pPr>
              <w:keepNext/>
              <w:keepLines/>
              <w:jc w:val="center"/>
              <w:rPr>
                <w:noProof/>
                <w:color w:val="000000"/>
                <w:sz w:val="20"/>
                <w:szCs w:val="20"/>
              </w:rPr>
            </w:pPr>
            <w:r>
              <w:rPr>
                <w:noProof/>
                <w:color w:val="000000"/>
                <w:sz w:val="20"/>
              </w:rPr>
              <w:t> </w:t>
            </w:r>
          </w:p>
        </w:tc>
        <w:tc>
          <w:tcPr>
            <w:tcW w:w="662" w:type="pct"/>
            <w:tcBorders>
              <w:top w:val="nil"/>
              <w:left w:val="nil"/>
              <w:bottom w:val="single" w:sz="4" w:space="0" w:color="auto"/>
              <w:right w:val="single" w:sz="4" w:space="0" w:color="auto"/>
            </w:tcBorders>
          </w:tcPr>
          <w:p w:rsidR="006C0808" w:rsidRDefault="006C0808">
            <w:pPr>
              <w:keepNext/>
              <w:keepLines/>
              <w:jc w:val="center"/>
              <w:rPr>
                <w:rFonts w:ascii="Calibri" w:hAnsi="Calibri" w:cs="Calibri"/>
                <w:noProof/>
                <w:color w:val="000000"/>
                <w:highlight w:val="yellow"/>
              </w:rPr>
            </w:pPr>
          </w:p>
        </w:tc>
        <w:tc>
          <w:tcPr>
            <w:tcW w:w="102" w:type="pct"/>
            <w:tcBorders>
              <w:top w:val="nil"/>
              <w:left w:val="single" w:sz="4" w:space="0" w:color="auto"/>
              <w:bottom w:val="single" w:sz="4" w:space="0" w:color="auto"/>
              <w:right w:val="single" w:sz="4" w:space="0" w:color="auto"/>
            </w:tcBorders>
          </w:tcPr>
          <w:p w:rsidR="006C0808" w:rsidRDefault="006C0808">
            <w:pPr>
              <w:keepNext/>
              <w:keepLines/>
              <w:jc w:val="center"/>
              <w:rPr>
                <w:rFonts w:ascii="Calibri" w:hAnsi="Calibri" w:cs="Calibri"/>
                <w:noProof/>
                <w:color w:val="000000"/>
              </w:rPr>
            </w:pPr>
          </w:p>
        </w:tc>
        <w:tc>
          <w:tcPr>
            <w:tcW w:w="661" w:type="pct"/>
            <w:tcBorders>
              <w:top w:val="nil"/>
              <w:left w:val="single" w:sz="4" w:space="0" w:color="auto"/>
              <w:bottom w:val="single" w:sz="4" w:space="0" w:color="auto"/>
              <w:right w:val="single" w:sz="8" w:space="0" w:color="auto"/>
            </w:tcBorders>
            <w:shd w:val="clear" w:color="auto" w:fill="auto"/>
            <w:vAlign w:val="center"/>
          </w:tcPr>
          <w:p w:rsidR="006C0808" w:rsidRDefault="006C0808">
            <w:pPr>
              <w:keepNext/>
              <w:keepLines/>
              <w:jc w:val="center"/>
              <w:rPr>
                <w:rFonts w:ascii="Calibri" w:hAnsi="Calibri" w:cs="Calibri"/>
                <w:noProof/>
                <w:color w:val="000000"/>
              </w:rPr>
            </w:pPr>
          </w:p>
        </w:tc>
        <w:tc>
          <w:tcPr>
            <w:tcW w:w="521" w:type="pct"/>
            <w:tcBorders>
              <w:top w:val="nil"/>
              <w:left w:val="nil"/>
              <w:bottom w:val="single" w:sz="8" w:space="0" w:color="auto"/>
              <w:right w:val="single" w:sz="8" w:space="0" w:color="auto"/>
            </w:tcBorders>
            <w:shd w:val="clear" w:color="auto" w:fill="auto"/>
            <w:vAlign w:val="center"/>
          </w:tcPr>
          <w:p w:rsidR="006C0808" w:rsidRDefault="006C0808">
            <w:pPr>
              <w:keepNext/>
              <w:keepLines/>
              <w:jc w:val="center"/>
              <w:rPr>
                <w:rFonts w:ascii="Calibri" w:hAnsi="Calibri" w:cs="Calibri"/>
                <w:noProof/>
                <w:color w:val="000000"/>
                <w:highlight w:val="yellow"/>
              </w:rPr>
            </w:pPr>
          </w:p>
        </w:tc>
        <w:tc>
          <w:tcPr>
            <w:tcW w:w="628" w:type="pct"/>
            <w:tcBorders>
              <w:top w:val="nil"/>
              <w:left w:val="nil"/>
              <w:bottom w:val="single" w:sz="8" w:space="0" w:color="auto"/>
              <w:right w:val="single" w:sz="8" w:space="0" w:color="auto"/>
            </w:tcBorders>
            <w:shd w:val="clear" w:color="auto" w:fill="auto"/>
            <w:vAlign w:val="center"/>
            <w:hideMark/>
          </w:tcPr>
          <w:p w:rsidR="006C0808" w:rsidRDefault="006C0808">
            <w:pPr>
              <w:keepNext/>
              <w:keepLines/>
              <w:jc w:val="center"/>
              <w:rPr>
                <w:b/>
                <w:bCs/>
                <w:noProof/>
                <w:color w:val="000000"/>
                <w:sz w:val="20"/>
                <w:szCs w:val="20"/>
                <w:highlight w:val="yellow"/>
              </w:rPr>
            </w:pPr>
          </w:p>
        </w:tc>
      </w:tr>
      <w:tr w:rsidR="006C0808">
        <w:trPr>
          <w:trHeight w:val="315"/>
        </w:trPr>
        <w:tc>
          <w:tcPr>
            <w:tcW w:w="1131" w:type="pct"/>
            <w:vMerge w:val="restart"/>
            <w:tcBorders>
              <w:top w:val="nil"/>
              <w:left w:val="single" w:sz="8" w:space="0" w:color="auto"/>
              <w:bottom w:val="single" w:sz="8" w:space="0" w:color="000000"/>
              <w:right w:val="single" w:sz="8" w:space="0" w:color="auto"/>
            </w:tcBorders>
            <w:shd w:val="clear" w:color="auto" w:fill="auto"/>
            <w:vAlign w:val="center"/>
            <w:hideMark/>
          </w:tcPr>
          <w:p w:rsidR="006C0808" w:rsidRDefault="00E3601E">
            <w:pPr>
              <w:keepNext/>
              <w:keepLines/>
              <w:rPr>
                <w:noProof/>
                <w:color w:val="000000"/>
                <w:sz w:val="20"/>
                <w:szCs w:val="20"/>
              </w:rPr>
            </w:pPr>
            <w:r>
              <w:rPr>
                <w:noProof/>
                <w:color w:val="000000"/>
                <w:sz w:val="20"/>
              </w:rPr>
              <w:t>Rashodi za osoblje (glava 1.)</w:t>
            </w:r>
            <w:r>
              <w:rPr>
                <w:noProof/>
                <w:color w:val="000000"/>
                <w:sz w:val="20"/>
                <w:vertAlign w:val="superscript"/>
              </w:rPr>
              <w:t xml:space="preserve"> </w:t>
            </w:r>
          </w:p>
        </w:tc>
        <w:tc>
          <w:tcPr>
            <w:tcW w:w="768" w:type="pct"/>
            <w:tcBorders>
              <w:top w:val="nil"/>
              <w:left w:val="nil"/>
              <w:bottom w:val="single" w:sz="8" w:space="0" w:color="auto"/>
              <w:right w:val="single" w:sz="8" w:space="0" w:color="auto"/>
            </w:tcBorders>
            <w:shd w:val="clear" w:color="auto" w:fill="auto"/>
            <w:vAlign w:val="center"/>
            <w:hideMark/>
          </w:tcPr>
          <w:p w:rsidR="006C0808" w:rsidRDefault="00E3601E">
            <w:pPr>
              <w:keepNext/>
              <w:keepLines/>
              <w:rPr>
                <w:noProof/>
                <w:color w:val="000000"/>
                <w:sz w:val="18"/>
                <w:szCs w:val="18"/>
              </w:rPr>
            </w:pPr>
            <w:r>
              <w:rPr>
                <w:noProof/>
                <w:color w:val="000000"/>
                <w:sz w:val="18"/>
              </w:rPr>
              <w:t>Obveze</w:t>
            </w:r>
          </w:p>
        </w:tc>
        <w:tc>
          <w:tcPr>
            <w:tcW w:w="526" w:type="pct"/>
            <w:tcBorders>
              <w:top w:val="nil"/>
              <w:left w:val="nil"/>
              <w:bottom w:val="single" w:sz="8" w:space="0" w:color="auto"/>
              <w:right w:val="single" w:sz="4" w:space="0" w:color="auto"/>
            </w:tcBorders>
            <w:shd w:val="clear" w:color="auto" w:fill="auto"/>
            <w:vAlign w:val="center"/>
            <w:hideMark/>
          </w:tcPr>
          <w:p w:rsidR="006C0808" w:rsidRDefault="00E3601E">
            <w:pPr>
              <w:keepNext/>
              <w:keepLines/>
              <w:jc w:val="center"/>
              <w:rPr>
                <w:noProof/>
                <w:color w:val="000000"/>
                <w:sz w:val="14"/>
                <w:szCs w:val="14"/>
              </w:rPr>
            </w:pPr>
            <w:r>
              <w:rPr>
                <w:noProof/>
                <w:color w:val="000000"/>
                <w:sz w:val="14"/>
              </w:rPr>
              <w:t>-1</w:t>
            </w:r>
          </w:p>
        </w:tc>
        <w:tc>
          <w:tcPr>
            <w:tcW w:w="662" w:type="pct"/>
            <w:tcBorders>
              <w:top w:val="single" w:sz="4" w:space="0" w:color="auto"/>
              <w:left w:val="single" w:sz="4" w:space="0" w:color="auto"/>
              <w:bottom w:val="single" w:sz="4" w:space="0" w:color="auto"/>
              <w:right w:val="single" w:sz="4" w:space="0" w:color="auto"/>
            </w:tcBorders>
            <w:vAlign w:val="center"/>
          </w:tcPr>
          <w:p w:rsidR="006C0808" w:rsidRDefault="00E3601E">
            <w:pPr>
              <w:keepNext/>
              <w:keepLines/>
              <w:jc w:val="center"/>
              <w:rPr>
                <w:noProof/>
                <w:color w:val="000000"/>
                <w:sz w:val="20"/>
                <w:szCs w:val="20"/>
              </w:rPr>
            </w:pPr>
            <w:r>
              <w:rPr>
                <w:noProof/>
                <w:color w:val="000000"/>
                <w:sz w:val="20"/>
              </w:rPr>
              <w:t>2,302</w:t>
            </w:r>
          </w:p>
        </w:tc>
        <w:tc>
          <w:tcPr>
            <w:tcW w:w="102" w:type="pct"/>
            <w:tcBorders>
              <w:top w:val="single" w:sz="4" w:space="0" w:color="auto"/>
              <w:left w:val="single" w:sz="4" w:space="0" w:color="auto"/>
              <w:bottom w:val="single" w:sz="4" w:space="0" w:color="auto"/>
              <w:right w:val="single" w:sz="4" w:space="0" w:color="auto"/>
            </w:tcBorders>
          </w:tcPr>
          <w:p w:rsidR="006C0808" w:rsidRDefault="006C0808">
            <w:pPr>
              <w:keepNext/>
              <w:keepLines/>
              <w:jc w:val="center"/>
              <w:rPr>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6C0808" w:rsidRDefault="00E3601E">
            <w:pPr>
              <w:keepNext/>
              <w:keepLines/>
              <w:jc w:val="center"/>
              <w:rPr>
                <w:noProof/>
                <w:color w:val="000000"/>
                <w:sz w:val="20"/>
                <w:szCs w:val="20"/>
              </w:rPr>
            </w:pPr>
            <w:r>
              <w:rPr>
                <w:noProof/>
                <w:color w:val="000000"/>
                <w:sz w:val="20"/>
              </w:rPr>
              <w:t>3,410</w:t>
            </w:r>
          </w:p>
        </w:tc>
        <w:tc>
          <w:tcPr>
            <w:tcW w:w="521" w:type="pct"/>
            <w:tcBorders>
              <w:top w:val="nil"/>
              <w:left w:val="single" w:sz="4" w:space="0" w:color="auto"/>
              <w:bottom w:val="single" w:sz="8" w:space="0" w:color="auto"/>
              <w:right w:val="single" w:sz="8" w:space="0" w:color="auto"/>
            </w:tcBorders>
            <w:shd w:val="clear" w:color="auto" w:fill="auto"/>
            <w:vAlign w:val="center"/>
          </w:tcPr>
          <w:p w:rsidR="006C0808" w:rsidRDefault="00E3601E">
            <w:pPr>
              <w:keepNext/>
              <w:keepLines/>
              <w:jc w:val="center"/>
              <w:rPr>
                <w:noProof/>
                <w:color w:val="000000"/>
                <w:sz w:val="20"/>
                <w:szCs w:val="20"/>
              </w:rPr>
            </w:pPr>
            <w:r>
              <w:rPr>
                <w:noProof/>
                <w:color w:val="000000"/>
                <w:sz w:val="20"/>
              </w:rPr>
              <w:t>4,064</w:t>
            </w:r>
          </w:p>
        </w:tc>
        <w:tc>
          <w:tcPr>
            <w:tcW w:w="628" w:type="pct"/>
            <w:tcBorders>
              <w:top w:val="nil"/>
              <w:left w:val="nil"/>
              <w:bottom w:val="single" w:sz="8" w:space="0" w:color="auto"/>
              <w:right w:val="single" w:sz="8" w:space="0" w:color="auto"/>
            </w:tcBorders>
            <w:shd w:val="clear" w:color="auto" w:fill="auto"/>
            <w:vAlign w:val="center"/>
          </w:tcPr>
          <w:p w:rsidR="006C0808" w:rsidRDefault="00E3601E">
            <w:pPr>
              <w:keepNext/>
              <w:keepLines/>
              <w:jc w:val="center"/>
              <w:rPr>
                <w:b/>
                <w:noProof/>
                <w:color w:val="000000"/>
                <w:sz w:val="20"/>
                <w:szCs w:val="20"/>
              </w:rPr>
            </w:pPr>
            <w:r>
              <w:rPr>
                <w:b/>
                <w:noProof/>
                <w:color w:val="000000"/>
                <w:sz w:val="20"/>
              </w:rPr>
              <w:t>7,474</w:t>
            </w:r>
          </w:p>
        </w:tc>
      </w:tr>
      <w:tr w:rsidR="006C0808">
        <w:trPr>
          <w:trHeight w:val="315"/>
        </w:trPr>
        <w:tc>
          <w:tcPr>
            <w:tcW w:w="1131" w:type="pct"/>
            <w:vMerge/>
            <w:tcBorders>
              <w:top w:val="nil"/>
              <w:left w:val="single" w:sz="8" w:space="0" w:color="auto"/>
              <w:bottom w:val="single" w:sz="8" w:space="0" w:color="000000"/>
              <w:right w:val="single" w:sz="8" w:space="0" w:color="auto"/>
            </w:tcBorders>
            <w:vAlign w:val="center"/>
            <w:hideMark/>
          </w:tcPr>
          <w:p w:rsidR="006C0808" w:rsidRDefault="006C0808">
            <w:pPr>
              <w:keepNext/>
              <w:keepLines/>
              <w:rPr>
                <w:noProof/>
                <w:color w:val="000000"/>
                <w:sz w:val="20"/>
                <w:szCs w:val="20"/>
              </w:rPr>
            </w:pPr>
          </w:p>
        </w:tc>
        <w:tc>
          <w:tcPr>
            <w:tcW w:w="768" w:type="pct"/>
            <w:tcBorders>
              <w:top w:val="nil"/>
              <w:left w:val="nil"/>
              <w:bottom w:val="single" w:sz="8" w:space="0" w:color="auto"/>
              <w:right w:val="single" w:sz="8" w:space="0" w:color="auto"/>
            </w:tcBorders>
            <w:shd w:val="clear" w:color="auto" w:fill="auto"/>
            <w:vAlign w:val="center"/>
            <w:hideMark/>
          </w:tcPr>
          <w:p w:rsidR="006C0808" w:rsidRDefault="00E3601E">
            <w:pPr>
              <w:keepNext/>
              <w:keepLines/>
              <w:rPr>
                <w:noProof/>
                <w:color w:val="000000"/>
                <w:sz w:val="18"/>
                <w:szCs w:val="18"/>
              </w:rPr>
            </w:pPr>
            <w:r>
              <w:rPr>
                <w:noProof/>
                <w:color w:val="000000"/>
                <w:sz w:val="18"/>
              </w:rPr>
              <w:t>Plaćanja</w:t>
            </w:r>
          </w:p>
        </w:tc>
        <w:tc>
          <w:tcPr>
            <w:tcW w:w="526" w:type="pct"/>
            <w:tcBorders>
              <w:top w:val="nil"/>
              <w:left w:val="nil"/>
              <w:bottom w:val="single" w:sz="8" w:space="0" w:color="auto"/>
              <w:right w:val="single" w:sz="4" w:space="0" w:color="auto"/>
            </w:tcBorders>
            <w:shd w:val="clear" w:color="auto" w:fill="auto"/>
            <w:vAlign w:val="center"/>
            <w:hideMark/>
          </w:tcPr>
          <w:p w:rsidR="006C0808" w:rsidRDefault="00E3601E">
            <w:pPr>
              <w:keepNext/>
              <w:keepLines/>
              <w:jc w:val="center"/>
              <w:rPr>
                <w:noProof/>
                <w:color w:val="000000"/>
                <w:sz w:val="14"/>
                <w:szCs w:val="14"/>
              </w:rPr>
            </w:pPr>
            <w:r>
              <w:rPr>
                <w:noProof/>
                <w:color w:val="000000"/>
                <w:sz w:val="14"/>
              </w:rPr>
              <w:t>-2</w:t>
            </w:r>
          </w:p>
        </w:tc>
        <w:tc>
          <w:tcPr>
            <w:tcW w:w="662" w:type="pct"/>
            <w:tcBorders>
              <w:top w:val="single" w:sz="4" w:space="0" w:color="auto"/>
              <w:left w:val="single" w:sz="4" w:space="0" w:color="auto"/>
              <w:bottom w:val="single" w:sz="4" w:space="0" w:color="auto"/>
              <w:right w:val="single" w:sz="4" w:space="0" w:color="auto"/>
            </w:tcBorders>
            <w:vAlign w:val="center"/>
          </w:tcPr>
          <w:p w:rsidR="006C0808" w:rsidRDefault="00E3601E">
            <w:pPr>
              <w:keepNext/>
              <w:keepLines/>
              <w:jc w:val="center"/>
              <w:rPr>
                <w:noProof/>
                <w:color w:val="000000"/>
                <w:sz w:val="20"/>
                <w:szCs w:val="20"/>
              </w:rPr>
            </w:pPr>
            <w:r>
              <w:rPr>
                <w:noProof/>
                <w:color w:val="000000"/>
                <w:sz w:val="20"/>
              </w:rPr>
              <w:t>2,302</w:t>
            </w:r>
          </w:p>
        </w:tc>
        <w:tc>
          <w:tcPr>
            <w:tcW w:w="102" w:type="pct"/>
            <w:tcBorders>
              <w:top w:val="single" w:sz="4" w:space="0" w:color="auto"/>
              <w:left w:val="single" w:sz="4" w:space="0" w:color="auto"/>
              <w:bottom w:val="single" w:sz="4" w:space="0" w:color="auto"/>
              <w:right w:val="single" w:sz="4" w:space="0" w:color="auto"/>
            </w:tcBorders>
          </w:tcPr>
          <w:p w:rsidR="006C0808" w:rsidRDefault="006C0808">
            <w:pPr>
              <w:keepNext/>
              <w:keepLines/>
              <w:jc w:val="center"/>
              <w:rPr>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6C0808" w:rsidRDefault="00E3601E">
            <w:pPr>
              <w:keepNext/>
              <w:keepLines/>
              <w:jc w:val="center"/>
              <w:rPr>
                <w:noProof/>
                <w:color w:val="000000"/>
                <w:sz w:val="20"/>
                <w:szCs w:val="20"/>
              </w:rPr>
            </w:pPr>
            <w:r>
              <w:rPr>
                <w:noProof/>
                <w:color w:val="000000"/>
                <w:sz w:val="20"/>
              </w:rPr>
              <w:t>3,410</w:t>
            </w:r>
          </w:p>
        </w:tc>
        <w:tc>
          <w:tcPr>
            <w:tcW w:w="521" w:type="pct"/>
            <w:tcBorders>
              <w:top w:val="nil"/>
              <w:left w:val="single" w:sz="4" w:space="0" w:color="auto"/>
              <w:bottom w:val="single" w:sz="8" w:space="0" w:color="auto"/>
              <w:right w:val="single" w:sz="8" w:space="0" w:color="auto"/>
            </w:tcBorders>
            <w:shd w:val="clear" w:color="auto" w:fill="auto"/>
            <w:vAlign w:val="center"/>
          </w:tcPr>
          <w:p w:rsidR="006C0808" w:rsidRDefault="00E3601E">
            <w:pPr>
              <w:keepNext/>
              <w:keepLines/>
              <w:jc w:val="center"/>
              <w:rPr>
                <w:noProof/>
                <w:color w:val="000000"/>
                <w:sz w:val="20"/>
                <w:szCs w:val="20"/>
              </w:rPr>
            </w:pPr>
            <w:r>
              <w:rPr>
                <w:noProof/>
                <w:color w:val="000000"/>
                <w:sz w:val="20"/>
              </w:rPr>
              <w:t>4,064</w:t>
            </w:r>
          </w:p>
        </w:tc>
        <w:tc>
          <w:tcPr>
            <w:tcW w:w="628" w:type="pct"/>
            <w:tcBorders>
              <w:top w:val="nil"/>
              <w:left w:val="nil"/>
              <w:bottom w:val="single" w:sz="8" w:space="0" w:color="auto"/>
              <w:right w:val="single" w:sz="8" w:space="0" w:color="auto"/>
            </w:tcBorders>
            <w:shd w:val="clear" w:color="auto" w:fill="auto"/>
            <w:vAlign w:val="center"/>
          </w:tcPr>
          <w:p w:rsidR="006C0808" w:rsidRDefault="00E3601E">
            <w:pPr>
              <w:keepNext/>
              <w:keepLines/>
              <w:jc w:val="center"/>
              <w:rPr>
                <w:b/>
                <w:noProof/>
                <w:color w:val="000000"/>
                <w:sz w:val="20"/>
                <w:szCs w:val="20"/>
              </w:rPr>
            </w:pPr>
            <w:r>
              <w:rPr>
                <w:b/>
                <w:noProof/>
                <w:color w:val="000000"/>
                <w:sz w:val="20"/>
              </w:rPr>
              <w:t>7,474</w:t>
            </w:r>
          </w:p>
        </w:tc>
      </w:tr>
      <w:tr w:rsidR="006C0808">
        <w:trPr>
          <w:trHeight w:val="315"/>
        </w:trPr>
        <w:tc>
          <w:tcPr>
            <w:tcW w:w="1131" w:type="pct"/>
            <w:vMerge w:val="restart"/>
            <w:tcBorders>
              <w:top w:val="nil"/>
              <w:left w:val="single" w:sz="8" w:space="0" w:color="auto"/>
              <w:bottom w:val="single" w:sz="8" w:space="0" w:color="000000"/>
              <w:right w:val="single" w:sz="8" w:space="0" w:color="auto"/>
            </w:tcBorders>
            <w:shd w:val="clear" w:color="auto" w:fill="auto"/>
            <w:vAlign w:val="center"/>
            <w:hideMark/>
          </w:tcPr>
          <w:p w:rsidR="006C0808" w:rsidRDefault="00E3601E">
            <w:pPr>
              <w:keepNext/>
              <w:keepLines/>
              <w:rPr>
                <w:noProof/>
                <w:color w:val="000000"/>
                <w:sz w:val="20"/>
                <w:szCs w:val="20"/>
              </w:rPr>
            </w:pPr>
            <w:r>
              <w:rPr>
                <w:noProof/>
                <w:color w:val="000000"/>
                <w:sz w:val="20"/>
              </w:rPr>
              <w:t xml:space="preserve">Infrastruktura i operativni rashodi </w:t>
            </w:r>
            <w:r>
              <w:rPr>
                <w:noProof/>
                <w:color w:val="000000"/>
                <w:sz w:val="20"/>
              </w:rPr>
              <w:t>(glava 2.)</w:t>
            </w:r>
          </w:p>
        </w:tc>
        <w:tc>
          <w:tcPr>
            <w:tcW w:w="768" w:type="pct"/>
            <w:tcBorders>
              <w:top w:val="nil"/>
              <w:left w:val="nil"/>
              <w:bottom w:val="single" w:sz="8" w:space="0" w:color="auto"/>
              <w:right w:val="single" w:sz="8" w:space="0" w:color="auto"/>
            </w:tcBorders>
            <w:shd w:val="clear" w:color="auto" w:fill="auto"/>
            <w:vAlign w:val="center"/>
            <w:hideMark/>
          </w:tcPr>
          <w:p w:rsidR="006C0808" w:rsidRDefault="00E3601E">
            <w:pPr>
              <w:keepNext/>
              <w:keepLines/>
              <w:rPr>
                <w:noProof/>
                <w:color w:val="000000"/>
                <w:sz w:val="18"/>
                <w:szCs w:val="18"/>
              </w:rPr>
            </w:pPr>
            <w:r>
              <w:rPr>
                <w:noProof/>
                <w:color w:val="000000"/>
                <w:sz w:val="18"/>
              </w:rPr>
              <w:t>Obveze</w:t>
            </w:r>
          </w:p>
        </w:tc>
        <w:tc>
          <w:tcPr>
            <w:tcW w:w="526" w:type="pct"/>
            <w:tcBorders>
              <w:top w:val="nil"/>
              <w:left w:val="nil"/>
              <w:bottom w:val="single" w:sz="8" w:space="0" w:color="auto"/>
              <w:right w:val="single" w:sz="4" w:space="0" w:color="auto"/>
            </w:tcBorders>
            <w:shd w:val="clear" w:color="auto" w:fill="auto"/>
            <w:vAlign w:val="center"/>
            <w:hideMark/>
          </w:tcPr>
          <w:p w:rsidR="006C0808" w:rsidRDefault="00E3601E">
            <w:pPr>
              <w:keepNext/>
              <w:keepLines/>
              <w:jc w:val="center"/>
              <w:rPr>
                <w:noProof/>
                <w:color w:val="000000"/>
                <w:sz w:val="14"/>
                <w:szCs w:val="14"/>
              </w:rPr>
            </w:pPr>
            <w:r>
              <w:rPr>
                <w:noProof/>
                <w:color w:val="000000"/>
                <w:sz w:val="14"/>
              </w:rPr>
              <w:t>(1.a)</w:t>
            </w:r>
          </w:p>
        </w:tc>
        <w:tc>
          <w:tcPr>
            <w:tcW w:w="662" w:type="pct"/>
            <w:tcBorders>
              <w:top w:val="single" w:sz="4" w:space="0" w:color="auto"/>
              <w:left w:val="single" w:sz="4" w:space="0" w:color="auto"/>
              <w:bottom w:val="single" w:sz="4" w:space="0" w:color="auto"/>
              <w:right w:val="single" w:sz="4" w:space="0" w:color="auto"/>
            </w:tcBorders>
            <w:vAlign w:val="center"/>
          </w:tcPr>
          <w:p w:rsidR="006C0808" w:rsidRDefault="00E3601E">
            <w:pPr>
              <w:keepNext/>
              <w:keepLines/>
              <w:jc w:val="center"/>
              <w:rPr>
                <w:noProof/>
                <w:color w:val="000000"/>
                <w:sz w:val="20"/>
                <w:szCs w:val="20"/>
              </w:rPr>
            </w:pPr>
            <w:r>
              <w:rPr>
                <w:noProof/>
                <w:color w:val="000000"/>
                <w:sz w:val="20"/>
              </w:rPr>
              <w:t>0,359</w:t>
            </w:r>
          </w:p>
        </w:tc>
        <w:tc>
          <w:tcPr>
            <w:tcW w:w="102" w:type="pct"/>
            <w:tcBorders>
              <w:top w:val="single" w:sz="4" w:space="0" w:color="auto"/>
              <w:left w:val="single" w:sz="4" w:space="0" w:color="auto"/>
              <w:bottom w:val="single" w:sz="4" w:space="0" w:color="auto"/>
              <w:right w:val="single" w:sz="4" w:space="0" w:color="auto"/>
            </w:tcBorders>
          </w:tcPr>
          <w:p w:rsidR="006C0808" w:rsidRDefault="006C0808">
            <w:pPr>
              <w:keepNext/>
              <w:keepLines/>
              <w:jc w:val="center"/>
              <w:rPr>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6C0808" w:rsidRDefault="00E3601E">
            <w:pPr>
              <w:keepNext/>
              <w:keepLines/>
              <w:jc w:val="center"/>
              <w:rPr>
                <w:noProof/>
                <w:color w:val="000000"/>
                <w:sz w:val="20"/>
                <w:szCs w:val="20"/>
              </w:rPr>
            </w:pPr>
            <w:r>
              <w:rPr>
                <w:noProof/>
                <w:color w:val="000000"/>
                <w:sz w:val="20"/>
              </w:rPr>
              <w:t>0,444</w:t>
            </w:r>
          </w:p>
        </w:tc>
        <w:tc>
          <w:tcPr>
            <w:tcW w:w="521" w:type="pct"/>
            <w:tcBorders>
              <w:top w:val="nil"/>
              <w:left w:val="single" w:sz="4" w:space="0" w:color="auto"/>
              <w:bottom w:val="single" w:sz="8" w:space="0" w:color="auto"/>
              <w:right w:val="single" w:sz="8" w:space="0" w:color="auto"/>
            </w:tcBorders>
            <w:shd w:val="clear" w:color="auto" w:fill="auto"/>
            <w:vAlign w:val="center"/>
          </w:tcPr>
          <w:p w:rsidR="006C0808" w:rsidRDefault="00E3601E">
            <w:pPr>
              <w:keepNext/>
              <w:keepLines/>
              <w:jc w:val="center"/>
              <w:rPr>
                <w:noProof/>
                <w:color w:val="000000"/>
                <w:sz w:val="20"/>
                <w:szCs w:val="20"/>
              </w:rPr>
            </w:pPr>
            <w:r>
              <w:rPr>
                <w:noProof/>
                <w:color w:val="000000"/>
                <w:sz w:val="20"/>
              </w:rPr>
              <w:t>0,579</w:t>
            </w:r>
          </w:p>
        </w:tc>
        <w:tc>
          <w:tcPr>
            <w:tcW w:w="628" w:type="pct"/>
            <w:tcBorders>
              <w:top w:val="nil"/>
              <w:left w:val="single" w:sz="8" w:space="0" w:color="auto"/>
              <w:bottom w:val="single" w:sz="8" w:space="0" w:color="auto"/>
              <w:right w:val="single" w:sz="8" w:space="0" w:color="auto"/>
            </w:tcBorders>
            <w:shd w:val="clear" w:color="auto" w:fill="auto"/>
            <w:vAlign w:val="center"/>
          </w:tcPr>
          <w:p w:rsidR="006C0808" w:rsidRDefault="00E3601E">
            <w:pPr>
              <w:keepNext/>
              <w:keepLines/>
              <w:jc w:val="center"/>
              <w:rPr>
                <w:b/>
                <w:noProof/>
                <w:color w:val="000000"/>
                <w:sz w:val="20"/>
                <w:szCs w:val="20"/>
              </w:rPr>
            </w:pPr>
            <w:r>
              <w:rPr>
                <w:b/>
                <w:noProof/>
                <w:color w:val="000000"/>
                <w:sz w:val="20"/>
              </w:rPr>
              <w:t>1,023</w:t>
            </w:r>
          </w:p>
        </w:tc>
      </w:tr>
      <w:tr w:rsidR="006C0808">
        <w:trPr>
          <w:trHeight w:val="315"/>
        </w:trPr>
        <w:tc>
          <w:tcPr>
            <w:tcW w:w="1131" w:type="pct"/>
            <w:vMerge/>
            <w:tcBorders>
              <w:top w:val="nil"/>
              <w:left w:val="single" w:sz="8" w:space="0" w:color="auto"/>
              <w:bottom w:val="single" w:sz="8" w:space="0" w:color="000000"/>
              <w:right w:val="single" w:sz="8" w:space="0" w:color="auto"/>
            </w:tcBorders>
            <w:vAlign w:val="center"/>
            <w:hideMark/>
          </w:tcPr>
          <w:p w:rsidR="006C0808" w:rsidRDefault="006C0808">
            <w:pPr>
              <w:keepNext/>
              <w:keepLines/>
              <w:rPr>
                <w:noProof/>
                <w:color w:val="000000"/>
                <w:sz w:val="20"/>
                <w:szCs w:val="20"/>
              </w:rPr>
            </w:pPr>
          </w:p>
        </w:tc>
        <w:tc>
          <w:tcPr>
            <w:tcW w:w="768" w:type="pct"/>
            <w:tcBorders>
              <w:top w:val="nil"/>
              <w:left w:val="nil"/>
              <w:bottom w:val="single" w:sz="8" w:space="0" w:color="auto"/>
              <w:right w:val="single" w:sz="8" w:space="0" w:color="auto"/>
            </w:tcBorders>
            <w:shd w:val="clear" w:color="auto" w:fill="auto"/>
            <w:vAlign w:val="center"/>
            <w:hideMark/>
          </w:tcPr>
          <w:p w:rsidR="006C0808" w:rsidRDefault="00E3601E">
            <w:pPr>
              <w:keepNext/>
              <w:keepLines/>
              <w:rPr>
                <w:noProof/>
                <w:color w:val="000000"/>
                <w:sz w:val="18"/>
                <w:szCs w:val="18"/>
              </w:rPr>
            </w:pPr>
            <w:r>
              <w:rPr>
                <w:noProof/>
                <w:color w:val="000000"/>
                <w:sz w:val="18"/>
              </w:rPr>
              <w:t>Plaćanja</w:t>
            </w:r>
          </w:p>
        </w:tc>
        <w:tc>
          <w:tcPr>
            <w:tcW w:w="526" w:type="pct"/>
            <w:tcBorders>
              <w:top w:val="nil"/>
              <w:left w:val="nil"/>
              <w:bottom w:val="single" w:sz="8" w:space="0" w:color="auto"/>
              <w:right w:val="single" w:sz="4" w:space="0" w:color="auto"/>
            </w:tcBorders>
            <w:shd w:val="clear" w:color="auto" w:fill="auto"/>
            <w:vAlign w:val="center"/>
            <w:hideMark/>
          </w:tcPr>
          <w:p w:rsidR="006C0808" w:rsidRDefault="00E3601E">
            <w:pPr>
              <w:keepNext/>
              <w:keepLines/>
              <w:jc w:val="center"/>
              <w:rPr>
                <w:noProof/>
                <w:color w:val="000000"/>
                <w:sz w:val="14"/>
                <w:szCs w:val="14"/>
              </w:rPr>
            </w:pPr>
            <w:r>
              <w:rPr>
                <w:noProof/>
                <w:color w:val="000000"/>
                <w:sz w:val="14"/>
              </w:rPr>
              <w:t>(2.a)</w:t>
            </w:r>
          </w:p>
        </w:tc>
        <w:tc>
          <w:tcPr>
            <w:tcW w:w="662" w:type="pct"/>
            <w:tcBorders>
              <w:top w:val="single" w:sz="4" w:space="0" w:color="auto"/>
              <w:left w:val="single" w:sz="4" w:space="0" w:color="auto"/>
              <w:bottom w:val="single" w:sz="4" w:space="0" w:color="auto"/>
              <w:right w:val="single" w:sz="4" w:space="0" w:color="auto"/>
            </w:tcBorders>
            <w:vAlign w:val="center"/>
          </w:tcPr>
          <w:p w:rsidR="006C0808" w:rsidRDefault="00E3601E">
            <w:pPr>
              <w:keepNext/>
              <w:keepLines/>
              <w:jc w:val="center"/>
              <w:rPr>
                <w:noProof/>
                <w:color w:val="000000"/>
                <w:sz w:val="20"/>
                <w:szCs w:val="20"/>
              </w:rPr>
            </w:pPr>
            <w:r>
              <w:rPr>
                <w:noProof/>
                <w:color w:val="000000"/>
                <w:sz w:val="20"/>
              </w:rPr>
              <w:t>0,359</w:t>
            </w:r>
          </w:p>
        </w:tc>
        <w:tc>
          <w:tcPr>
            <w:tcW w:w="102" w:type="pct"/>
            <w:tcBorders>
              <w:top w:val="single" w:sz="4" w:space="0" w:color="auto"/>
              <w:left w:val="single" w:sz="4" w:space="0" w:color="auto"/>
              <w:bottom w:val="single" w:sz="4" w:space="0" w:color="auto"/>
              <w:right w:val="single" w:sz="4" w:space="0" w:color="auto"/>
            </w:tcBorders>
          </w:tcPr>
          <w:p w:rsidR="006C0808" w:rsidRDefault="006C0808">
            <w:pPr>
              <w:keepNext/>
              <w:keepLines/>
              <w:jc w:val="center"/>
              <w:rPr>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6C0808" w:rsidRDefault="00E3601E">
            <w:pPr>
              <w:keepNext/>
              <w:keepLines/>
              <w:jc w:val="center"/>
              <w:rPr>
                <w:noProof/>
                <w:color w:val="000000"/>
                <w:sz w:val="20"/>
                <w:szCs w:val="20"/>
              </w:rPr>
            </w:pPr>
            <w:r>
              <w:rPr>
                <w:noProof/>
                <w:color w:val="000000"/>
                <w:sz w:val="20"/>
              </w:rPr>
              <w:t>0,444</w:t>
            </w:r>
          </w:p>
        </w:tc>
        <w:tc>
          <w:tcPr>
            <w:tcW w:w="521" w:type="pct"/>
            <w:tcBorders>
              <w:top w:val="nil"/>
              <w:left w:val="single" w:sz="4" w:space="0" w:color="auto"/>
              <w:bottom w:val="single" w:sz="8" w:space="0" w:color="auto"/>
              <w:right w:val="single" w:sz="8" w:space="0" w:color="auto"/>
            </w:tcBorders>
            <w:shd w:val="clear" w:color="auto" w:fill="auto"/>
          </w:tcPr>
          <w:p w:rsidR="006C0808" w:rsidRDefault="00E3601E">
            <w:pPr>
              <w:jc w:val="center"/>
              <w:rPr>
                <w:noProof/>
              </w:rPr>
            </w:pPr>
            <w:r>
              <w:rPr>
                <w:noProof/>
                <w:color w:val="000000"/>
                <w:sz w:val="20"/>
              </w:rPr>
              <w:t>0,579</w:t>
            </w:r>
          </w:p>
        </w:tc>
        <w:tc>
          <w:tcPr>
            <w:tcW w:w="628" w:type="pct"/>
            <w:tcBorders>
              <w:top w:val="nil"/>
              <w:left w:val="single" w:sz="8" w:space="0" w:color="auto"/>
              <w:bottom w:val="single" w:sz="8" w:space="0" w:color="auto"/>
              <w:right w:val="single" w:sz="8" w:space="0" w:color="auto"/>
            </w:tcBorders>
            <w:shd w:val="clear" w:color="auto" w:fill="auto"/>
            <w:vAlign w:val="center"/>
          </w:tcPr>
          <w:p w:rsidR="006C0808" w:rsidRDefault="00E3601E">
            <w:pPr>
              <w:keepNext/>
              <w:keepLines/>
              <w:jc w:val="center"/>
              <w:rPr>
                <w:b/>
                <w:noProof/>
                <w:color w:val="000000"/>
                <w:sz w:val="20"/>
                <w:szCs w:val="20"/>
              </w:rPr>
            </w:pPr>
            <w:r>
              <w:rPr>
                <w:b/>
                <w:noProof/>
                <w:color w:val="000000"/>
                <w:sz w:val="20"/>
              </w:rPr>
              <w:t>1,023</w:t>
            </w:r>
          </w:p>
        </w:tc>
      </w:tr>
      <w:tr w:rsidR="006C0808">
        <w:trPr>
          <w:trHeight w:val="315"/>
        </w:trPr>
        <w:tc>
          <w:tcPr>
            <w:tcW w:w="1131" w:type="pct"/>
            <w:vMerge w:val="restart"/>
            <w:tcBorders>
              <w:top w:val="nil"/>
              <w:left w:val="single" w:sz="8" w:space="0" w:color="auto"/>
              <w:bottom w:val="single" w:sz="8" w:space="0" w:color="000000"/>
              <w:right w:val="single" w:sz="8" w:space="0" w:color="auto"/>
            </w:tcBorders>
            <w:shd w:val="clear" w:color="auto" w:fill="auto"/>
            <w:vAlign w:val="center"/>
            <w:hideMark/>
          </w:tcPr>
          <w:p w:rsidR="006C0808" w:rsidRDefault="00E3601E">
            <w:pPr>
              <w:keepNext/>
              <w:keepLines/>
              <w:rPr>
                <w:noProof/>
                <w:color w:val="000000"/>
                <w:sz w:val="20"/>
                <w:szCs w:val="20"/>
              </w:rPr>
            </w:pPr>
            <w:r>
              <w:rPr>
                <w:noProof/>
                <w:color w:val="000000"/>
                <w:sz w:val="20"/>
              </w:rPr>
              <w:t>Troškovi poslovanja (glava 3.)</w:t>
            </w:r>
          </w:p>
        </w:tc>
        <w:tc>
          <w:tcPr>
            <w:tcW w:w="768" w:type="pct"/>
            <w:tcBorders>
              <w:top w:val="nil"/>
              <w:left w:val="nil"/>
              <w:bottom w:val="single" w:sz="8" w:space="0" w:color="auto"/>
              <w:right w:val="single" w:sz="8" w:space="0" w:color="auto"/>
            </w:tcBorders>
            <w:shd w:val="clear" w:color="auto" w:fill="auto"/>
            <w:vAlign w:val="center"/>
            <w:hideMark/>
          </w:tcPr>
          <w:p w:rsidR="006C0808" w:rsidRDefault="00E3601E">
            <w:pPr>
              <w:keepNext/>
              <w:keepLines/>
              <w:rPr>
                <w:noProof/>
                <w:color w:val="000000"/>
                <w:sz w:val="18"/>
                <w:szCs w:val="18"/>
              </w:rPr>
            </w:pPr>
            <w:r>
              <w:rPr>
                <w:noProof/>
                <w:color w:val="000000"/>
                <w:sz w:val="18"/>
              </w:rPr>
              <w:t>Obveze</w:t>
            </w:r>
          </w:p>
        </w:tc>
        <w:tc>
          <w:tcPr>
            <w:tcW w:w="526" w:type="pct"/>
            <w:tcBorders>
              <w:top w:val="nil"/>
              <w:left w:val="nil"/>
              <w:bottom w:val="single" w:sz="8" w:space="0" w:color="auto"/>
              <w:right w:val="single" w:sz="4" w:space="0" w:color="auto"/>
            </w:tcBorders>
            <w:shd w:val="clear" w:color="auto" w:fill="auto"/>
            <w:vAlign w:val="center"/>
            <w:hideMark/>
          </w:tcPr>
          <w:p w:rsidR="006C0808" w:rsidRDefault="00E3601E">
            <w:pPr>
              <w:keepNext/>
              <w:keepLines/>
              <w:jc w:val="center"/>
              <w:rPr>
                <w:noProof/>
                <w:color w:val="000000"/>
                <w:sz w:val="14"/>
                <w:szCs w:val="14"/>
              </w:rPr>
            </w:pPr>
            <w:r>
              <w:rPr>
                <w:noProof/>
                <w:color w:val="000000"/>
                <w:sz w:val="14"/>
              </w:rPr>
              <w:t>(1.b)</w:t>
            </w:r>
          </w:p>
        </w:tc>
        <w:tc>
          <w:tcPr>
            <w:tcW w:w="662" w:type="pct"/>
            <w:tcBorders>
              <w:top w:val="single" w:sz="4" w:space="0" w:color="auto"/>
              <w:left w:val="single" w:sz="4" w:space="0" w:color="auto"/>
              <w:bottom w:val="single" w:sz="4" w:space="0" w:color="auto"/>
              <w:right w:val="single" w:sz="4" w:space="0" w:color="auto"/>
            </w:tcBorders>
            <w:vAlign w:val="center"/>
          </w:tcPr>
          <w:p w:rsidR="006C0808" w:rsidRDefault="00E3601E">
            <w:pPr>
              <w:keepNext/>
              <w:keepLines/>
              <w:jc w:val="center"/>
              <w:rPr>
                <w:noProof/>
                <w:color w:val="000000"/>
                <w:sz w:val="20"/>
                <w:szCs w:val="20"/>
              </w:rPr>
            </w:pPr>
            <w:r>
              <w:rPr>
                <w:noProof/>
                <w:color w:val="000000"/>
                <w:sz w:val="20"/>
              </w:rPr>
              <w:t>1,585</w:t>
            </w:r>
          </w:p>
        </w:tc>
        <w:tc>
          <w:tcPr>
            <w:tcW w:w="102" w:type="pct"/>
            <w:tcBorders>
              <w:top w:val="single" w:sz="4" w:space="0" w:color="auto"/>
              <w:left w:val="single" w:sz="4" w:space="0" w:color="auto"/>
              <w:bottom w:val="single" w:sz="4" w:space="0" w:color="auto"/>
              <w:right w:val="single" w:sz="4" w:space="0" w:color="auto"/>
            </w:tcBorders>
          </w:tcPr>
          <w:p w:rsidR="006C0808" w:rsidRDefault="006C0808">
            <w:pPr>
              <w:keepNext/>
              <w:keepLines/>
              <w:jc w:val="center"/>
              <w:rPr>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6C0808" w:rsidRDefault="00E3601E">
            <w:pPr>
              <w:keepNext/>
              <w:keepLines/>
              <w:jc w:val="center"/>
              <w:rPr>
                <w:noProof/>
                <w:color w:val="000000"/>
                <w:sz w:val="20"/>
                <w:szCs w:val="20"/>
              </w:rPr>
            </w:pPr>
            <w:r>
              <w:rPr>
                <w:noProof/>
                <w:color w:val="000000"/>
                <w:sz w:val="20"/>
              </w:rPr>
              <w:t>2,054</w:t>
            </w:r>
          </w:p>
        </w:tc>
        <w:tc>
          <w:tcPr>
            <w:tcW w:w="521" w:type="pct"/>
            <w:tcBorders>
              <w:top w:val="nil"/>
              <w:left w:val="single" w:sz="4" w:space="0" w:color="auto"/>
              <w:bottom w:val="single" w:sz="8" w:space="0" w:color="auto"/>
              <w:right w:val="single" w:sz="8" w:space="0" w:color="auto"/>
            </w:tcBorders>
            <w:shd w:val="clear" w:color="auto" w:fill="auto"/>
            <w:vAlign w:val="center"/>
          </w:tcPr>
          <w:p w:rsidR="006C0808" w:rsidRDefault="00E3601E">
            <w:pPr>
              <w:keepNext/>
              <w:keepLines/>
              <w:jc w:val="center"/>
              <w:rPr>
                <w:noProof/>
                <w:color w:val="000000"/>
                <w:sz w:val="20"/>
                <w:szCs w:val="20"/>
              </w:rPr>
            </w:pPr>
            <w:r>
              <w:rPr>
                <w:noProof/>
                <w:color w:val="000000"/>
                <w:sz w:val="20"/>
              </w:rPr>
              <w:t>2,812</w:t>
            </w:r>
          </w:p>
        </w:tc>
        <w:tc>
          <w:tcPr>
            <w:tcW w:w="628" w:type="pct"/>
            <w:tcBorders>
              <w:top w:val="nil"/>
              <w:left w:val="single" w:sz="8" w:space="0" w:color="auto"/>
              <w:bottom w:val="single" w:sz="8" w:space="0" w:color="auto"/>
              <w:right w:val="single" w:sz="8" w:space="0" w:color="auto"/>
            </w:tcBorders>
            <w:shd w:val="clear" w:color="auto" w:fill="auto"/>
            <w:vAlign w:val="center"/>
          </w:tcPr>
          <w:p w:rsidR="006C0808" w:rsidRDefault="00E3601E">
            <w:pPr>
              <w:keepNext/>
              <w:keepLines/>
              <w:jc w:val="center"/>
              <w:rPr>
                <w:b/>
                <w:noProof/>
                <w:color w:val="000000"/>
                <w:sz w:val="20"/>
                <w:szCs w:val="20"/>
              </w:rPr>
            </w:pPr>
            <w:r>
              <w:rPr>
                <w:b/>
                <w:noProof/>
                <w:color w:val="000000"/>
                <w:sz w:val="20"/>
              </w:rPr>
              <w:t>4,866</w:t>
            </w:r>
          </w:p>
        </w:tc>
      </w:tr>
      <w:tr w:rsidR="006C0808">
        <w:trPr>
          <w:trHeight w:val="315"/>
        </w:trPr>
        <w:tc>
          <w:tcPr>
            <w:tcW w:w="1131" w:type="pct"/>
            <w:vMerge/>
            <w:tcBorders>
              <w:top w:val="nil"/>
              <w:left w:val="single" w:sz="8" w:space="0" w:color="auto"/>
              <w:bottom w:val="single" w:sz="8" w:space="0" w:color="000000"/>
              <w:right w:val="single" w:sz="8" w:space="0" w:color="auto"/>
            </w:tcBorders>
            <w:vAlign w:val="center"/>
            <w:hideMark/>
          </w:tcPr>
          <w:p w:rsidR="006C0808" w:rsidRDefault="006C0808">
            <w:pPr>
              <w:rPr>
                <w:noProof/>
                <w:color w:val="000000"/>
                <w:sz w:val="20"/>
                <w:szCs w:val="20"/>
              </w:rPr>
            </w:pPr>
          </w:p>
        </w:tc>
        <w:tc>
          <w:tcPr>
            <w:tcW w:w="768" w:type="pct"/>
            <w:tcBorders>
              <w:top w:val="nil"/>
              <w:left w:val="nil"/>
              <w:bottom w:val="single" w:sz="8" w:space="0" w:color="auto"/>
              <w:right w:val="single" w:sz="8" w:space="0" w:color="auto"/>
            </w:tcBorders>
            <w:shd w:val="clear" w:color="auto" w:fill="auto"/>
            <w:vAlign w:val="center"/>
            <w:hideMark/>
          </w:tcPr>
          <w:p w:rsidR="006C0808" w:rsidRDefault="00E3601E">
            <w:pPr>
              <w:rPr>
                <w:noProof/>
                <w:color w:val="000000"/>
                <w:sz w:val="18"/>
                <w:szCs w:val="18"/>
              </w:rPr>
            </w:pPr>
            <w:r>
              <w:rPr>
                <w:noProof/>
                <w:color w:val="000000"/>
                <w:sz w:val="18"/>
              </w:rPr>
              <w:t>Plaćanja</w:t>
            </w:r>
          </w:p>
        </w:tc>
        <w:tc>
          <w:tcPr>
            <w:tcW w:w="526" w:type="pct"/>
            <w:tcBorders>
              <w:top w:val="nil"/>
              <w:left w:val="nil"/>
              <w:bottom w:val="single" w:sz="8" w:space="0" w:color="auto"/>
              <w:right w:val="single" w:sz="4" w:space="0" w:color="auto"/>
            </w:tcBorders>
            <w:shd w:val="clear" w:color="auto" w:fill="auto"/>
            <w:vAlign w:val="center"/>
            <w:hideMark/>
          </w:tcPr>
          <w:p w:rsidR="006C0808" w:rsidRDefault="00E3601E">
            <w:pPr>
              <w:jc w:val="center"/>
              <w:rPr>
                <w:noProof/>
                <w:color w:val="000000"/>
                <w:sz w:val="14"/>
                <w:szCs w:val="14"/>
              </w:rPr>
            </w:pPr>
            <w:r>
              <w:rPr>
                <w:noProof/>
                <w:color w:val="000000"/>
                <w:sz w:val="14"/>
              </w:rPr>
              <w:t>(2.b)</w:t>
            </w:r>
          </w:p>
        </w:tc>
        <w:tc>
          <w:tcPr>
            <w:tcW w:w="662" w:type="pct"/>
            <w:tcBorders>
              <w:top w:val="single" w:sz="4" w:space="0" w:color="auto"/>
              <w:left w:val="single" w:sz="4" w:space="0" w:color="auto"/>
              <w:bottom w:val="single" w:sz="4" w:space="0" w:color="auto"/>
              <w:right w:val="single" w:sz="4" w:space="0" w:color="auto"/>
            </w:tcBorders>
            <w:vAlign w:val="center"/>
          </w:tcPr>
          <w:p w:rsidR="006C0808" w:rsidRDefault="00E3601E">
            <w:pPr>
              <w:jc w:val="center"/>
              <w:rPr>
                <w:noProof/>
                <w:color w:val="000000"/>
                <w:sz w:val="20"/>
                <w:szCs w:val="20"/>
              </w:rPr>
            </w:pPr>
            <w:r>
              <w:rPr>
                <w:noProof/>
                <w:color w:val="000000"/>
                <w:sz w:val="20"/>
              </w:rPr>
              <w:t>1,585</w:t>
            </w:r>
          </w:p>
        </w:tc>
        <w:tc>
          <w:tcPr>
            <w:tcW w:w="102" w:type="pct"/>
            <w:tcBorders>
              <w:top w:val="single" w:sz="4" w:space="0" w:color="auto"/>
              <w:left w:val="single" w:sz="4" w:space="0" w:color="auto"/>
              <w:bottom w:val="single" w:sz="4" w:space="0" w:color="auto"/>
              <w:right w:val="single" w:sz="4" w:space="0" w:color="auto"/>
            </w:tcBorders>
          </w:tcPr>
          <w:p w:rsidR="006C0808" w:rsidRDefault="006C0808">
            <w:pPr>
              <w:jc w:val="center"/>
              <w:rPr>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6C0808" w:rsidRDefault="00E3601E">
            <w:pPr>
              <w:jc w:val="center"/>
              <w:rPr>
                <w:noProof/>
                <w:color w:val="000000"/>
                <w:sz w:val="20"/>
                <w:szCs w:val="20"/>
              </w:rPr>
            </w:pPr>
            <w:r>
              <w:rPr>
                <w:noProof/>
                <w:color w:val="000000"/>
                <w:sz w:val="20"/>
              </w:rPr>
              <w:t>2,054</w:t>
            </w:r>
          </w:p>
        </w:tc>
        <w:tc>
          <w:tcPr>
            <w:tcW w:w="521" w:type="pct"/>
            <w:tcBorders>
              <w:top w:val="nil"/>
              <w:left w:val="single" w:sz="4" w:space="0" w:color="auto"/>
              <w:bottom w:val="single" w:sz="8" w:space="0" w:color="auto"/>
              <w:right w:val="single" w:sz="8" w:space="0" w:color="auto"/>
            </w:tcBorders>
            <w:shd w:val="clear" w:color="auto" w:fill="auto"/>
            <w:vAlign w:val="center"/>
          </w:tcPr>
          <w:p w:rsidR="006C0808" w:rsidRDefault="00E3601E">
            <w:pPr>
              <w:jc w:val="center"/>
              <w:rPr>
                <w:noProof/>
                <w:color w:val="000000"/>
                <w:sz w:val="20"/>
                <w:szCs w:val="20"/>
              </w:rPr>
            </w:pPr>
            <w:r>
              <w:rPr>
                <w:noProof/>
                <w:color w:val="000000"/>
                <w:sz w:val="20"/>
              </w:rPr>
              <w:t>2,812</w:t>
            </w:r>
          </w:p>
        </w:tc>
        <w:tc>
          <w:tcPr>
            <w:tcW w:w="628" w:type="pct"/>
            <w:tcBorders>
              <w:top w:val="nil"/>
              <w:left w:val="single" w:sz="8" w:space="0" w:color="auto"/>
              <w:bottom w:val="single" w:sz="8" w:space="0" w:color="auto"/>
              <w:right w:val="single" w:sz="8" w:space="0" w:color="auto"/>
            </w:tcBorders>
            <w:shd w:val="clear" w:color="auto" w:fill="auto"/>
            <w:vAlign w:val="center"/>
          </w:tcPr>
          <w:p w:rsidR="006C0808" w:rsidRDefault="00E3601E">
            <w:pPr>
              <w:keepNext/>
              <w:keepLines/>
              <w:jc w:val="center"/>
              <w:rPr>
                <w:b/>
                <w:noProof/>
                <w:color w:val="000000"/>
                <w:sz w:val="20"/>
                <w:szCs w:val="20"/>
              </w:rPr>
            </w:pPr>
            <w:r>
              <w:rPr>
                <w:b/>
                <w:noProof/>
                <w:color w:val="000000"/>
                <w:sz w:val="20"/>
              </w:rPr>
              <w:t>4,866</w:t>
            </w:r>
          </w:p>
        </w:tc>
      </w:tr>
      <w:tr w:rsidR="006C0808">
        <w:trPr>
          <w:trHeight w:val="315"/>
        </w:trPr>
        <w:tc>
          <w:tcPr>
            <w:tcW w:w="1131" w:type="pct"/>
            <w:tcBorders>
              <w:top w:val="nil"/>
              <w:left w:val="single" w:sz="8" w:space="0" w:color="auto"/>
              <w:bottom w:val="nil"/>
              <w:right w:val="single" w:sz="8" w:space="0" w:color="auto"/>
            </w:tcBorders>
            <w:shd w:val="clear" w:color="auto" w:fill="auto"/>
            <w:vAlign w:val="center"/>
            <w:hideMark/>
          </w:tcPr>
          <w:p w:rsidR="006C0808" w:rsidRDefault="00E3601E">
            <w:pPr>
              <w:jc w:val="center"/>
              <w:rPr>
                <w:b/>
                <w:bCs/>
                <w:noProof/>
                <w:color w:val="000000"/>
              </w:rPr>
            </w:pPr>
            <w:r>
              <w:rPr>
                <w:b/>
                <w:noProof/>
                <w:color w:val="000000"/>
                <w:sz w:val="22"/>
              </w:rPr>
              <w:t>UKUPNA odobrena sredstva</w:t>
            </w:r>
          </w:p>
        </w:tc>
        <w:tc>
          <w:tcPr>
            <w:tcW w:w="768" w:type="pct"/>
            <w:tcBorders>
              <w:top w:val="nil"/>
              <w:left w:val="nil"/>
              <w:bottom w:val="single" w:sz="8" w:space="0" w:color="auto"/>
              <w:right w:val="single" w:sz="8" w:space="0" w:color="auto"/>
            </w:tcBorders>
            <w:shd w:val="clear" w:color="auto" w:fill="auto"/>
            <w:vAlign w:val="center"/>
            <w:hideMark/>
          </w:tcPr>
          <w:p w:rsidR="006C0808" w:rsidRDefault="00E3601E">
            <w:pPr>
              <w:rPr>
                <w:noProof/>
                <w:color w:val="000000"/>
                <w:sz w:val="18"/>
                <w:szCs w:val="18"/>
              </w:rPr>
            </w:pPr>
            <w:r>
              <w:rPr>
                <w:noProof/>
                <w:color w:val="000000"/>
                <w:sz w:val="18"/>
              </w:rPr>
              <w:t>Obveze</w:t>
            </w:r>
          </w:p>
        </w:tc>
        <w:tc>
          <w:tcPr>
            <w:tcW w:w="526" w:type="pct"/>
            <w:tcBorders>
              <w:top w:val="nil"/>
              <w:left w:val="nil"/>
              <w:bottom w:val="single" w:sz="8" w:space="0" w:color="auto"/>
              <w:right w:val="single" w:sz="4" w:space="0" w:color="auto"/>
            </w:tcBorders>
            <w:shd w:val="clear" w:color="auto" w:fill="auto"/>
            <w:vAlign w:val="center"/>
            <w:hideMark/>
          </w:tcPr>
          <w:p w:rsidR="006C0808" w:rsidRDefault="00E3601E">
            <w:pPr>
              <w:jc w:val="center"/>
              <w:rPr>
                <w:noProof/>
                <w:color w:val="000000"/>
                <w:sz w:val="14"/>
                <w:szCs w:val="14"/>
              </w:rPr>
            </w:pPr>
            <w:r>
              <w:rPr>
                <w:noProof/>
                <w:color w:val="000000"/>
                <w:sz w:val="14"/>
              </w:rPr>
              <w:t>= 1. + 1.a + 1.b</w:t>
            </w:r>
          </w:p>
        </w:tc>
        <w:tc>
          <w:tcPr>
            <w:tcW w:w="662" w:type="pct"/>
            <w:tcBorders>
              <w:top w:val="single" w:sz="4" w:space="0" w:color="auto"/>
              <w:left w:val="single" w:sz="4" w:space="0" w:color="auto"/>
              <w:bottom w:val="single" w:sz="4" w:space="0" w:color="auto"/>
              <w:right w:val="single" w:sz="4" w:space="0" w:color="auto"/>
            </w:tcBorders>
          </w:tcPr>
          <w:p w:rsidR="006C0808" w:rsidRDefault="00E3601E">
            <w:pPr>
              <w:jc w:val="center"/>
              <w:rPr>
                <w:noProof/>
                <w:color w:val="000000"/>
                <w:sz w:val="20"/>
                <w:szCs w:val="20"/>
              </w:rPr>
            </w:pPr>
            <w:r>
              <w:rPr>
                <w:b/>
                <w:noProof/>
                <w:color w:val="000000"/>
                <w:sz w:val="20"/>
              </w:rPr>
              <w:t>4,246</w:t>
            </w:r>
          </w:p>
        </w:tc>
        <w:tc>
          <w:tcPr>
            <w:tcW w:w="102" w:type="pct"/>
            <w:tcBorders>
              <w:top w:val="single" w:sz="4" w:space="0" w:color="auto"/>
              <w:left w:val="single" w:sz="4" w:space="0" w:color="auto"/>
              <w:bottom w:val="single" w:sz="4" w:space="0" w:color="auto"/>
              <w:right w:val="single" w:sz="4" w:space="0" w:color="auto"/>
            </w:tcBorders>
          </w:tcPr>
          <w:p w:rsidR="006C0808" w:rsidRDefault="006C0808">
            <w:pPr>
              <w:jc w:val="center"/>
              <w:rPr>
                <w:b/>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6C0808" w:rsidRDefault="00E3601E">
            <w:pPr>
              <w:jc w:val="center"/>
              <w:rPr>
                <w:b/>
                <w:noProof/>
                <w:color w:val="000000"/>
                <w:sz w:val="20"/>
                <w:szCs w:val="20"/>
              </w:rPr>
            </w:pPr>
            <w:r>
              <w:rPr>
                <w:b/>
                <w:noProof/>
                <w:color w:val="000000"/>
                <w:sz w:val="20"/>
              </w:rPr>
              <w:t>5,908</w:t>
            </w:r>
          </w:p>
        </w:tc>
        <w:tc>
          <w:tcPr>
            <w:tcW w:w="521" w:type="pct"/>
            <w:tcBorders>
              <w:top w:val="nil"/>
              <w:left w:val="single" w:sz="4" w:space="0" w:color="auto"/>
              <w:bottom w:val="single" w:sz="8" w:space="0" w:color="auto"/>
              <w:right w:val="single" w:sz="8" w:space="0" w:color="auto"/>
            </w:tcBorders>
            <w:shd w:val="clear" w:color="auto" w:fill="auto"/>
            <w:vAlign w:val="center"/>
          </w:tcPr>
          <w:p w:rsidR="006C0808" w:rsidRDefault="00E3601E">
            <w:pPr>
              <w:keepNext/>
              <w:keepLines/>
              <w:jc w:val="center"/>
              <w:rPr>
                <w:b/>
                <w:noProof/>
                <w:color w:val="000000"/>
                <w:sz w:val="20"/>
                <w:szCs w:val="20"/>
              </w:rPr>
            </w:pPr>
            <w:r>
              <w:rPr>
                <w:b/>
                <w:noProof/>
                <w:color w:val="000000"/>
                <w:sz w:val="20"/>
              </w:rPr>
              <w:t>7,455</w:t>
            </w:r>
          </w:p>
        </w:tc>
        <w:tc>
          <w:tcPr>
            <w:tcW w:w="628" w:type="pct"/>
            <w:tcBorders>
              <w:top w:val="nil"/>
              <w:left w:val="nil"/>
              <w:bottom w:val="single" w:sz="8" w:space="0" w:color="auto"/>
              <w:right w:val="single" w:sz="8" w:space="0" w:color="auto"/>
            </w:tcBorders>
            <w:shd w:val="clear" w:color="auto" w:fill="auto"/>
            <w:vAlign w:val="center"/>
          </w:tcPr>
          <w:p w:rsidR="006C0808" w:rsidRDefault="00E3601E">
            <w:pPr>
              <w:jc w:val="center"/>
              <w:rPr>
                <w:b/>
                <w:noProof/>
                <w:color w:val="000000"/>
                <w:sz w:val="20"/>
                <w:szCs w:val="20"/>
              </w:rPr>
            </w:pPr>
            <w:r>
              <w:rPr>
                <w:b/>
                <w:noProof/>
                <w:color w:val="000000"/>
                <w:sz w:val="20"/>
              </w:rPr>
              <w:t>13,363</w:t>
            </w:r>
          </w:p>
        </w:tc>
      </w:tr>
      <w:tr w:rsidR="006C0808">
        <w:trPr>
          <w:trHeight w:val="315"/>
        </w:trPr>
        <w:tc>
          <w:tcPr>
            <w:tcW w:w="1131" w:type="pct"/>
            <w:tcBorders>
              <w:top w:val="nil"/>
              <w:left w:val="single" w:sz="8" w:space="0" w:color="auto"/>
              <w:bottom w:val="single" w:sz="8" w:space="0" w:color="auto"/>
              <w:right w:val="single" w:sz="8" w:space="0" w:color="auto"/>
            </w:tcBorders>
            <w:shd w:val="clear" w:color="auto" w:fill="auto"/>
            <w:vAlign w:val="center"/>
            <w:hideMark/>
          </w:tcPr>
          <w:p w:rsidR="006C0808" w:rsidRDefault="00E3601E">
            <w:pPr>
              <w:jc w:val="center"/>
              <w:rPr>
                <w:b/>
                <w:bCs/>
                <w:noProof/>
                <w:color w:val="000000"/>
              </w:rPr>
            </w:pPr>
            <w:r>
              <w:rPr>
                <w:b/>
                <w:noProof/>
                <w:color w:val="000000"/>
                <w:sz w:val="22"/>
              </w:rPr>
              <w:t xml:space="preserve">za BEREC </w:t>
            </w:r>
          </w:p>
        </w:tc>
        <w:tc>
          <w:tcPr>
            <w:tcW w:w="768" w:type="pct"/>
            <w:tcBorders>
              <w:top w:val="nil"/>
              <w:left w:val="nil"/>
              <w:bottom w:val="single" w:sz="8" w:space="0" w:color="auto"/>
              <w:right w:val="single" w:sz="8" w:space="0" w:color="auto"/>
            </w:tcBorders>
            <w:shd w:val="clear" w:color="auto" w:fill="auto"/>
            <w:vAlign w:val="center"/>
            <w:hideMark/>
          </w:tcPr>
          <w:p w:rsidR="006C0808" w:rsidRDefault="00E3601E">
            <w:pPr>
              <w:rPr>
                <w:noProof/>
                <w:color w:val="000000"/>
                <w:sz w:val="18"/>
                <w:szCs w:val="18"/>
              </w:rPr>
            </w:pPr>
            <w:r>
              <w:rPr>
                <w:noProof/>
                <w:color w:val="000000"/>
                <w:sz w:val="18"/>
              </w:rPr>
              <w:t>Plaćanja</w:t>
            </w:r>
          </w:p>
        </w:tc>
        <w:tc>
          <w:tcPr>
            <w:tcW w:w="526" w:type="pct"/>
            <w:tcBorders>
              <w:top w:val="nil"/>
              <w:left w:val="nil"/>
              <w:bottom w:val="single" w:sz="8" w:space="0" w:color="auto"/>
              <w:right w:val="single" w:sz="4" w:space="0" w:color="auto"/>
            </w:tcBorders>
            <w:shd w:val="clear" w:color="auto" w:fill="auto"/>
            <w:vAlign w:val="center"/>
            <w:hideMark/>
          </w:tcPr>
          <w:p w:rsidR="006C0808" w:rsidRDefault="00E3601E">
            <w:pPr>
              <w:jc w:val="center"/>
              <w:rPr>
                <w:noProof/>
                <w:color w:val="000000"/>
                <w:sz w:val="14"/>
                <w:szCs w:val="14"/>
              </w:rPr>
            </w:pPr>
            <w:r>
              <w:rPr>
                <w:noProof/>
                <w:color w:val="000000"/>
                <w:sz w:val="14"/>
              </w:rPr>
              <w:t>= 2. + 2.a + 2.b</w:t>
            </w:r>
          </w:p>
        </w:tc>
        <w:tc>
          <w:tcPr>
            <w:tcW w:w="662" w:type="pct"/>
            <w:tcBorders>
              <w:top w:val="single" w:sz="4" w:space="0" w:color="auto"/>
              <w:left w:val="single" w:sz="4" w:space="0" w:color="auto"/>
              <w:bottom w:val="single" w:sz="4" w:space="0" w:color="auto"/>
              <w:right w:val="single" w:sz="4" w:space="0" w:color="auto"/>
            </w:tcBorders>
          </w:tcPr>
          <w:p w:rsidR="006C0808" w:rsidRDefault="00E3601E">
            <w:pPr>
              <w:jc w:val="center"/>
              <w:rPr>
                <w:noProof/>
                <w:color w:val="000000"/>
                <w:sz w:val="20"/>
                <w:szCs w:val="20"/>
              </w:rPr>
            </w:pPr>
            <w:r>
              <w:rPr>
                <w:b/>
                <w:noProof/>
                <w:color w:val="000000"/>
                <w:sz w:val="20"/>
              </w:rPr>
              <w:t>4,246</w:t>
            </w:r>
          </w:p>
        </w:tc>
        <w:tc>
          <w:tcPr>
            <w:tcW w:w="102" w:type="pct"/>
            <w:tcBorders>
              <w:top w:val="single" w:sz="4" w:space="0" w:color="auto"/>
              <w:left w:val="single" w:sz="4" w:space="0" w:color="auto"/>
              <w:bottom w:val="single" w:sz="4" w:space="0" w:color="auto"/>
              <w:right w:val="single" w:sz="4" w:space="0" w:color="auto"/>
            </w:tcBorders>
          </w:tcPr>
          <w:p w:rsidR="006C0808" w:rsidRDefault="006C0808">
            <w:pPr>
              <w:jc w:val="center"/>
              <w:rPr>
                <w:b/>
                <w:noProof/>
                <w:color w:val="000000"/>
                <w:sz w:val="20"/>
                <w:szCs w:val="20"/>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6C0808" w:rsidRDefault="00E3601E">
            <w:pPr>
              <w:jc w:val="center"/>
              <w:rPr>
                <w:b/>
                <w:noProof/>
                <w:color w:val="000000"/>
                <w:sz w:val="20"/>
                <w:szCs w:val="20"/>
              </w:rPr>
            </w:pPr>
            <w:r>
              <w:rPr>
                <w:b/>
                <w:noProof/>
                <w:color w:val="000000"/>
                <w:sz w:val="20"/>
              </w:rPr>
              <w:t>5,908</w:t>
            </w:r>
          </w:p>
        </w:tc>
        <w:tc>
          <w:tcPr>
            <w:tcW w:w="521" w:type="pct"/>
            <w:tcBorders>
              <w:top w:val="nil"/>
              <w:left w:val="single" w:sz="4" w:space="0" w:color="auto"/>
              <w:bottom w:val="single" w:sz="8" w:space="0" w:color="auto"/>
              <w:right w:val="single" w:sz="8" w:space="0" w:color="auto"/>
            </w:tcBorders>
            <w:shd w:val="clear" w:color="auto" w:fill="auto"/>
            <w:vAlign w:val="center"/>
          </w:tcPr>
          <w:p w:rsidR="006C0808" w:rsidRDefault="00E3601E">
            <w:pPr>
              <w:keepNext/>
              <w:keepLines/>
              <w:jc w:val="center"/>
              <w:rPr>
                <w:b/>
                <w:noProof/>
                <w:color w:val="000000"/>
                <w:sz w:val="20"/>
                <w:szCs w:val="20"/>
              </w:rPr>
            </w:pPr>
            <w:r>
              <w:rPr>
                <w:b/>
                <w:noProof/>
                <w:color w:val="000000"/>
                <w:sz w:val="20"/>
              </w:rPr>
              <w:t>7,455</w:t>
            </w:r>
          </w:p>
        </w:tc>
        <w:tc>
          <w:tcPr>
            <w:tcW w:w="628" w:type="pct"/>
            <w:tcBorders>
              <w:top w:val="nil"/>
              <w:left w:val="nil"/>
              <w:bottom w:val="single" w:sz="8" w:space="0" w:color="auto"/>
              <w:right w:val="single" w:sz="8" w:space="0" w:color="auto"/>
            </w:tcBorders>
            <w:shd w:val="clear" w:color="auto" w:fill="auto"/>
            <w:vAlign w:val="center"/>
          </w:tcPr>
          <w:p w:rsidR="006C0808" w:rsidRDefault="00E3601E">
            <w:pPr>
              <w:jc w:val="center"/>
              <w:rPr>
                <w:b/>
                <w:noProof/>
                <w:color w:val="000000"/>
                <w:sz w:val="20"/>
                <w:szCs w:val="20"/>
              </w:rPr>
            </w:pPr>
            <w:r>
              <w:rPr>
                <w:b/>
                <w:noProof/>
                <w:color w:val="000000"/>
                <w:sz w:val="20"/>
              </w:rPr>
              <w:t>13,363</w:t>
            </w:r>
            <w:r>
              <w:rPr>
                <w:rStyle w:val="FootnoteReference"/>
                <w:b/>
                <w:noProof/>
                <w:color w:val="000000"/>
                <w:sz w:val="20"/>
              </w:rPr>
              <w:footnoteReference w:id="61"/>
            </w:r>
          </w:p>
        </w:tc>
      </w:tr>
    </w:tbl>
    <w:p w:rsidR="006C0808" w:rsidRDefault="006C0808">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5624"/>
      </w:tblGrid>
      <w:tr w:rsidR="006C0808">
        <w:tc>
          <w:tcPr>
            <w:tcW w:w="4744" w:type="dxa"/>
            <w:shd w:val="clear" w:color="C0C0C0" w:fill="auto"/>
            <w:vAlign w:val="center"/>
          </w:tcPr>
          <w:p w:rsidR="006C0808" w:rsidRDefault="00E3601E">
            <w:pPr>
              <w:pageBreakBefore/>
              <w:spacing w:before="60" w:after="60"/>
              <w:rPr>
                <w:b/>
                <w:noProof/>
                <w:sz w:val="20"/>
              </w:rPr>
            </w:pPr>
            <w:r>
              <w:rPr>
                <w:noProof/>
              </w:rPr>
              <w:br w:type="page"/>
            </w:r>
            <w:r>
              <w:rPr>
                <w:b/>
                <w:noProof/>
                <w:sz w:val="20"/>
              </w:rPr>
              <w:t xml:space="preserve">Naslov višegodišnjeg financijskog </w:t>
            </w:r>
            <w:r>
              <w:rPr>
                <w:b/>
                <w:noProof/>
                <w:sz w:val="20"/>
              </w:rPr>
              <w:br/>
              <w:t xml:space="preserve">okvira: </w:t>
            </w:r>
          </w:p>
        </w:tc>
        <w:tc>
          <w:tcPr>
            <w:tcW w:w="1080" w:type="dxa"/>
            <w:shd w:val="clear" w:color="C0C0C0" w:fill="auto"/>
            <w:vAlign w:val="center"/>
          </w:tcPr>
          <w:p w:rsidR="006C0808" w:rsidRDefault="00E3601E">
            <w:pPr>
              <w:spacing w:before="60" w:after="60"/>
              <w:rPr>
                <w:b/>
                <w:noProof/>
                <w:sz w:val="20"/>
              </w:rPr>
            </w:pPr>
            <w:r>
              <w:rPr>
                <w:b/>
                <w:noProof/>
                <w:sz w:val="20"/>
              </w:rPr>
              <w:t>5.</w:t>
            </w:r>
          </w:p>
        </w:tc>
        <w:tc>
          <w:tcPr>
            <w:tcW w:w="5624" w:type="dxa"/>
            <w:vAlign w:val="center"/>
          </w:tcPr>
          <w:p w:rsidR="006C0808" w:rsidRDefault="00E3601E">
            <w:pPr>
              <w:spacing w:before="60" w:after="60"/>
              <w:rPr>
                <w:noProof/>
                <w:sz w:val="20"/>
              </w:rPr>
            </w:pPr>
            <w:r>
              <w:rPr>
                <w:noProof/>
                <w:sz w:val="20"/>
              </w:rPr>
              <w:t>„Administrativni rashodi”</w:t>
            </w:r>
          </w:p>
        </w:tc>
      </w:tr>
    </w:tbl>
    <w:p w:rsidR="006C0808" w:rsidRDefault="00E3601E">
      <w:pPr>
        <w:spacing w:before="60" w:after="60"/>
        <w:jc w:val="right"/>
        <w:rPr>
          <w:noProof/>
          <w:sz w:val="20"/>
        </w:rPr>
      </w:pPr>
      <w:r>
        <w:rPr>
          <w:noProof/>
          <w:sz w:val="20"/>
        </w:rPr>
        <w:t>u milijunima EUR (do tri decimalna mjesta)</w:t>
      </w:r>
    </w:p>
    <w:p w:rsidR="006C0808" w:rsidRDefault="006C0808">
      <w:pPr>
        <w:spacing w:before="60" w:after="60"/>
        <w:rPr>
          <w:noProof/>
          <w:sz w:val="20"/>
        </w:rPr>
      </w:pPr>
    </w:p>
    <w:tbl>
      <w:tblPr>
        <w:tblW w:w="4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489"/>
        <w:gridCol w:w="108"/>
        <w:gridCol w:w="2306"/>
        <w:gridCol w:w="1489"/>
        <w:gridCol w:w="254"/>
        <w:gridCol w:w="1323"/>
        <w:gridCol w:w="1680"/>
        <w:gridCol w:w="1678"/>
      </w:tblGrid>
      <w:tr w:rsidR="006C0808">
        <w:tc>
          <w:tcPr>
            <w:tcW w:w="1430" w:type="pct"/>
            <w:gridSpan w:val="3"/>
            <w:tcBorders>
              <w:top w:val="nil"/>
              <w:left w:val="nil"/>
              <w:right w:val="nil"/>
            </w:tcBorders>
            <w:vAlign w:val="center"/>
          </w:tcPr>
          <w:p w:rsidR="006C0808" w:rsidRDefault="006C0808">
            <w:pPr>
              <w:spacing w:before="60" w:after="60"/>
              <w:rPr>
                <w:noProof/>
                <w:sz w:val="20"/>
              </w:rPr>
            </w:pPr>
          </w:p>
        </w:tc>
        <w:tc>
          <w:tcPr>
            <w:tcW w:w="943" w:type="pct"/>
            <w:tcBorders>
              <w:top w:val="nil"/>
              <w:left w:val="nil"/>
              <w:bottom w:val="single" w:sz="4" w:space="0" w:color="auto"/>
            </w:tcBorders>
          </w:tcPr>
          <w:p w:rsidR="006C0808" w:rsidRDefault="006C0808">
            <w:pPr>
              <w:spacing w:before="60" w:after="60"/>
              <w:rPr>
                <w:noProof/>
                <w:sz w:val="20"/>
              </w:rPr>
            </w:pPr>
          </w:p>
        </w:tc>
        <w:tc>
          <w:tcPr>
            <w:tcW w:w="609" w:type="pct"/>
            <w:tcBorders>
              <w:bottom w:val="single" w:sz="4" w:space="0" w:color="auto"/>
            </w:tcBorders>
          </w:tcPr>
          <w:p w:rsidR="006C0808" w:rsidRDefault="00E3601E">
            <w:pPr>
              <w:spacing w:before="60" w:after="60"/>
              <w:jc w:val="center"/>
              <w:rPr>
                <w:noProof/>
                <w:sz w:val="20"/>
              </w:rPr>
            </w:pPr>
            <w:r>
              <w:rPr>
                <w:noProof/>
                <w:sz w:val="20"/>
              </w:rPr>
              <w:t>Osnova</w:t>
            </w:r>
            <w:r>
              <w:rPr>
                <w:noProof/>
                <w:sz w:val="20"/>
              </w:rPr>
              <w:br/>
              <w:t>2017.</w:t>
            </w:r>
            <w:r>
              <w:rPr>
                <w:rStyle w:val="FootnoteReference"/>
                <w:noProof/>
                <w:sz w:val="20"/>
              </w:rPr>
              <w:footnoteReference w:id="62"/>
            </w:r>
          </w:p>
          <w:p w:rsidR="006C0808" w:rsidRDefault="00E3601E">
            <w:pPr>
              <w:spacing w:before="60" w:after="60"/>
              <w:jc w:val="center"/>
              <w:rPr>
                <w:noProof/>
                <w:sz w:val="20"/>
              </w:rPr>
            </w:pPr>
            <w:r>
              <w:rPr>
                <w:noProof/>
                <w:sz w:val="20"/>
              </w:rPr>
              <w:t>3</w:t>
            </w:r>
          </w:p>
        </w:tc>
        <w:tc>
          <w:tcPr>
            <w:tcW w:w="104" w:type="pct"/>
          </w:tcPr>
          <w:p w:rsidR="006C0808" w:rsidRDefault="006C0808">
            <w:pPr>
              <w:spacing w:before="60" w:after="60"/>
              <w:jc w:val="center"/>
              <w:rPr>
                <w:noProof/>
                <w:sz w:val="20"/>
              </w:rPr>
            </w:pPr>
          </w:p>
        </w:tc>
        <w:tc>
          <w:tcPr>
            <w:tcW w:w="541" w:type="pct"/>
            <w:vAlign w:val="center"/>
          </w:tcPr>
          <w:p w:rsidR="006C0808" w:rsidRDefault="00E3601E">
            <w:pPr>
              <w:spacing w:before="60" w:after="60"/>
              <w:jc w:val="center"/>
              <w:rPr>
                <w:noProof/>
                <w:sz w:val="20"/>
              </w:rPr>
            </w:pPr>
            <w:r>
              <w:rPr>
                <w:noProof/>
                <w:sz w:val="20"/>
              </w:rPr>
              <w:t>Godina</w:t>
            </w:r>
            <w:r>
              <w:rPr>
                <w:noProof/>
                <w:sz w:val="20"/>
              </w:rPr>
              <w:br/>
              <w:t>2019.</w:t>
            </w:r>
          </w:p>
          <w:p w:rsidR="006C0808" w:rsidRDefault="00E3601E">
            <w:pPr>
              <w:spacing w:before="60" w:after="60"/>
              <w:jc w:val="center"/>
              <w:rPr>
                <w:noProof/>
                <w:sz w:val="20"/>
              </w:rPr>
            </w:pPr>
            <w:r>
              <w:rPr>
                <w:noProof/>
                <w:sz w:val="20"/>
              </w:rPr>
              <w:t>3</w:t>
            </w:r>
          </w:p>
        </w:tc>
        <w:tc>
          <w:tcPr>
            <w:tcW w:w="687" w:type="pct"/>
            <w:vAlign w:val="center"/>
          </w:tcPr>
          <w:p w:rsidR="006C0808" w:rsidRDefault="00E3601E">
            <w:pPr>
              <w:spacing w:before="60" w:after="60"/>
              <w:jc w:val="center"/>
              <w:rPr>
                <w:noProof/>
                <w:sz w:val="20"/>
              </w:rPr>
            </w:pPr>
            <w:r>
              <w:rPr>
                <w:noProof/>
                <w:sz w:val="20"/>
              </w:rPr>
              <w:t>Godina</w:t>
            </w:r>
            <w:r>
              <w:rPr>
                <w:noProof/>
                <w:sz w:val="20"/>
              </w:rPr>
              <w:br/>
            </w:r>
            <w:r>
              <w:rPr>
                <w:noProof/>
                <w:sz w:val="20"/>
              </w:rPr>
              <w:t>2020.</w:t>
            </w:r>
          </w:p>
          <w:p w:rsidR="006C0808" w:rsidRDefault="00E3601E">
            <w:pPr>
              <w:spacing w:before="60" w:after="60"/>
              <w:jc w:val="center"/>
              <w:rPr>
                <w:noProof/>
                <w:sz w:val="20"/>
              </w:rPr>
            </w:pPr>
            <w:r>
              <w:rPr>
                <w:noProof/>
                <w:sz w:val="20"/>
              </w:rPr>
              <w:t>3</w:t>
            </w:r>
          </w:p>
        </w:tc>
        <w:tc>
          <w:tcPr>
            <w:tcW w:w="687" w:type="pct"/>
            <w:vAlign w:val="center"/>
          </w:tcPr>
          <w:p w:rsidR="006C0808" w:rsidRDefault="00E3601E">
            <w:pPr>
              <w:spacing w:before="60" w:after="60"/>
              <w:jc w:val="center"/>
              <w:rPr>
                <w:noProof/>
                <w:sz w:val="20"/>
              </w:rPr>
            </w:pPr>
            <w:r>
              <w:rPr>
                <w:noProof/>
                <w:sz w:val="20"/>
              </w:rPr>
              <w:t>UKUPNO</w:t>
            </w:r>
          </w:p>
          <w:p w:rsidR="006C0808" w:rsidRDefault="00E3601E">
            <w:pPr>
              <w:spacing w:before="60" w:after="60"/>
              <w:jc w:val="center"/>
              <w:rPr>
                <w:noProof/>
                <w:sz w:val="20"/>
              </w:rPr>
            </w:pPr>
            <w:r>
              <w:rPr>
                <w:noProof/>
                <w:sz w:val="20"/>
              </w:rPr>
              <w:t>2019. – 2020.</w:t>
            </w:r>
            <w:r>
              <w:rPr>
                <w:rStyle w:val="FootnoteReference"/>
                <w:noProof/>
                <w:sz w:val="20"/>
              </w:rPr>
              <w:footnoteReference w:id="63"/>
            </w:r>
          </w:p>
        </w:tc>
      </w:tr>
      <w:tr w:rsidR="006C0808">
        <w:trPr>
          <w:trHeight w:val="432"/>
        </w:trPr>
        <w:tc>
          <w:tcPr>
            <w:tcW w:w="1430" w:type="pct"/>
            <w:gridSpan w:val="3"/>
            <w:tcBorders>
              <w:right w:val="nil"/>
            </w:tcBorders>
            <w:vAlign w:val="center"/>
          </w:tcPr>
          <w:p w:rsidR="006C0808" w:rsidRDefault="00E3601E">
            <w:pPr>
              <w:spacing w:before="60" w:after="60"/>
              <w:rPr>
                <w:b/>
                <w:noProof/>
                <w:sz w:val="20"/>
              </w:rPr>
            </w:pPr>
            <w:r>
              <w:rPr>
                <w:b/>
                <w:noProof/>
                <w:sz w:val="20"/>
              </w:rPr>
              <w:t>GLAVNA UPRAVA ZA KOMUNIKACIJSKE MREŽE, SADRŽAJE I TEHNOLOGIJE (GU CONNECT)</w:t>
            </w:r>
          </w:p>
        </w:tc>
        <w:tc>
          <w:tcPr>
            <w:tcW w:w="943" w:type="pct"/>
            <w:tcBorders>
              <w:top w:val="single" w:sz="4" w:space="0" w:color="auto"/>
              <w:left w:val="nil"/>
              <w:bottom w:val="nil"/>
              <w:right w:val="nil"/>
            </w:tcBorders>
          </w:tcPr>
          <w:p w:rsidR="006C0808" w:rsidRDefault="006C0808">
            <w:pPr>
              <w:spacing w:before="60" w:after="60"/>
              <w:rPr>
                <w:noProof/>
                <w:sz w:val="20"/>
              </w:rPr>
            </w:pPr>
          </w:p>
        </w:tc>
        <w:tc>
          <w:tcPr>
            <w:tcW w:w="609" w:type="pct"/>
            <w:tcBorders>
              <w:top w:val="single" w:sz="4" w:space="0" w:color="auto"/>
              <w:left w:val="nil"/>
              <w:bottom w:val="nil"/>
              <w:right w:val="nil"/>
            </w:tcBorders>
          </w:tcPr>
          <w:p w:rsidR="006C0808" w:rsidRDefault="006C0808">
            <w:pPr>
              <w:spacing w:before="60" w:after="60"/>
              <w:rPr>
                <w:noProof/>
                <w:sz w:val="20"/>
              </w:rPr>
            </w:pPr>
          </w:p>
        </w:tc>
        <w:tc>
          <w:tcPr>
            <w:tcW w:w="104" w:type="pct"/>
            <w:tcBorders>
              <w:top w:val="single" w:sz="4" w:space="0" w:color="auto"/>
              <w:left w:val="nil"/>
              <w:bottom w:val="single" w:sz="4" w:space="0" w:color="auto"/>
              <w:right w:val="nil"/>
            </w:tcBorders>
          </w:tcPr>
          <w:p w:rsidR="006C0808" w:rsidRDefault="006C0808">
            <w:pPr>
              <w:spacing w:before="60" w:after="60"/>
              <w:rPr>
                <w:noProof/>
                <w:sz w:val="20"/>
              </w:rPr>
            </w:pPr>
          </w:p>
        </w:tc>
        <w:tc>
          <w:tcPr>
            <w:tcW w:w="541" w:type="pct"/>
            <w:tcBorders>
              <w:top w:val="single" w:sz="4" w:space="0" w:color="auto"/>
              <w:left w:val="nil"/>
              <w:bottom w:val="single" w:sz="4" w:space="0" w:color="auto"/>
              <w:right w:val="nil"/>
            </w:tcBorders>
          </w:tcPr>
          <w:p w:rsidR="006C0808" w:rsidRDefault="006C0808">
            <w:pPr>
              <w:spacing w:before="60" w:after="60"/>
              <w:rPr>
                <w:noProof/>
                <w:sz w:val="20"/>
              </w:rPr>
            </w:pPr>
          </w:p>
        </w:tc>
        <w:tc>
          <w:tcPr>
            <w:tcW w:w="687" w:type="pct"/>
            <w:tcBorders>
              <w:top w:val="single" w:sz="4" w:space="0" w:color="auto"/>
              <w:left w:val="nil"/>
              <w:bottom w:val="single" w:sz="4" w:space="0" w:color="auto"/>
              <w:right w:val="nil"/>
            </w:tcBorders>
          </w:tcPr>
          <w:p w:rsidR="006C0808" w:rsidRDefault="006C0808">
            <w:pPr>
              <w:spacing w:before="60" w:after="60"/>
              <w:rPr>
                <w:noProof/>
                <w:sz w:val="20"/>
              </w:rPr>
            </w:pPr>
          </w:p>
        </w:tc>
        <w:tc>
          <w:tcPr>
            <w:tcW w:w="687" w:type="pct"/>
            <w:tcBorders>
              <w:top w:val="single" w:sz="4" w:space="0" w:color="auto"/>
              <w:left w:val="nil"/>
              <w:bottom w:val="single" w:sz="4" w:space="0" w:color="auto"/>
              <w:right w:val="single" w:sz="4" w:space="0" w:color="auto"/>
            </w:tcBorders>
          </w:tcPr>
          <w:p w:rsidR="006C0808" w:rsidRDefault="006C0808">
            <w:pPr>
              <w:spacing w:before="60" w:after="60"/>
              <w:rPr>
                <w:noProof/>
                <w:sz w:val="20"/>
              </w:rPr>
            </w:pPr>
          </w:p>
        </w:tc>
      </w:tr>
      <w:tr w:rsidR="006C0808">
        <w:trPr>
          <w:trHeight w:val="313"/>
        </w:trPr>
        <w:tc>
          <w:tcPr>
            <w:tcW w:w="2373" w:type="pct"/>
            <w:gridSpan w:val="4"/>
            <w:vAlign w:val="center"/>
          </w:tcPr>
          <w:p w:rsidR="006C0808" w:rsidRDefault="00E3601E">
            <w:pPr>
              <w:spacing w:before="60" w:after="60"/>
              <w:rPr>
                <w:noProof/>
                <w:sz w:val="20"/>
              </w:rPr>
            </w:pPr>
            <w:r>
              <w:rPr>
                <w:noProof/>
                <w:sz w:val="20"/>
              </w:rPr>
              <w:sym w:font="Wingdings" w:char="F09F"/>
            </w:r>
            <w:r>
              <w:rPr>
                <w:noProof/>
              </w:rPr>
              <w:t xml:space="preserve"> Ljudski resursi</w:t>
            </w:r>
          </w:p>
        </w:tc>
        <w:tc>
          <w:tcPr>
            <w:tcW w:w="609" w:type="pct"/>
            <w:vAlign w:val="center"/>
          </w:tcPr>
          <w:p w:rsidR="006C0808" w:rsidRDefault="00E3601E">
            <w:pPr>
              <w:keepNext/>
              <w:keepLines/>
              <w:jc w:val="center"/>
              <w:rPr>
                <w:noProof/>
                <w:color w:val="000000"/>
                <w:sz w:val="20"/>
                <w:szCs w:val="20"/>
              </w:rPr>
            </w:pPr>
            <w:r>
              <w:rPr>
                <w:noProof/>
                <w:color w:val="000000"/>
                <w:sz w:val="20"/>
              </w:rPr>
              <w:t>0,356</w:t>
            </w:r>
          </w:p>
        </w:tc>
        <w:tc>
          <w:tcPr>
            <w:tcW w:w="104" w:type="pct"/>
          </w:tcPr>
          <w:p w:rsidR="006C0808" w:rsidRDefault="006C0808">
            <w:pPr>
              <w:keepNext/>
              <w:keepLines/>
              <w:jc w:val="center"/>
              <w:rPr>
                <w:noProof/>
                <w:color w:val="000000"/>
                <w:sz w:val="20"/>
                <w:szCs w:val="20"/>
              </w:rPr>
            </w:pPr>
          </w:p>
        </w:tc>
        <w:tc>
          <w:tcPr>
            <w:tcW w:w="541" w:type="pct"/>
            <w:tcBorders>
              <w:top w:val="single" w:sz="4" w:space="0" w:color="auto"/>
            </w:tcBorders>
            <w:vAlign w:val="center"/>
          </w:tcPr>
          <w:p w:rsidR="006C0808" w:rsidRDefault="00E3601E">
            <w:pPr>
              <w:keepNext/>
              <w:keepLines/>
              <w:jc w:val="center"/>
              <w:rPr>
                <w:noProof/>
                <w:color w:val="000000"/>
                <w:sz w:val="20"/>
                <w:szCs w:val="20"/>
              </w:rPr>
            </w:pPr>
            <w:r>
              <w:rPr>
                <w:noProof/>
                <w:color w:val="000000"/>
                <w:sz w:val="20"/>
              </w:rPr>
              <w:t>0,356</w:t>
            </w:r>
          </w:p>
        </w:tc>
        <w:tc>
          <w:tcPr>
            <w:tcW w:w="687" w:type="pct"/>
            <w:tcBorders>
              <w:top w:val="single" w:sz="4" w:space="0" w:color="auto"/>
            </w:tcBorders>
            <w:vAlign w:val="center"/>
          </w:tcPr>
          <w:p w:rsidR="006C0808" w:rsidRDefault="00E3601E">
            <w:pPr>
              <w:keepNext/>
              <w:keepLines/>
              <w:jc w:val="center"/>
              <w:rPr>
                <w:noProof/>
                <w:color w:val="000000"/>
                <w:sz w:val="20"/>
                <w:szCs w:val="20"/>
              </w:rPr>
            </w:pPr>
            <w:r>
              <w:rPr>
                <w:noProof/>
                <w:color w:val="000000"/>
                <w:sz w:val="20"/>
              </w:rPr>
              <w:t>0,356</w:t>
            </w:r>
          </w:p>
        </w:tc>
        <w:tc>
          <w:tcPr>
            <w:tcW w:w="687" w:type="pct"/>
            <w:tcBorders>
              <w:top w:val="single" w:sz="4" w:space="0" w:color="auto"/>
            </w:tcBorders>
            <w:vAlign w:val="center"/>
          </w:tcPr>
          <w:p w:rsidR="006C0808" w:rsidRDefault="00E3601E">
            <w:pPr>
              <w:keepNext/>
              <w:keepLines/>
              <w:jc w:val="center"/>
              <w:rPr>
                <w:b/>
                <w:noProof/>
                <w:color w:val="000000"/>
                <w:sz w:val="20"/>
                <w:szCs w:val="20"/>
              </w:rPr>
            </w:pPr>
            <w:r>
              <w:rPr>
                <w:b/>
                <w:noProof/>
                <w:color w:val="000000"/>
                <w:sz w:val="20"/>
              </w:rPr>
              <w:t>0,712</w:t>
            </w:r>
          </w:p>
        </w:tc>
      </w:tr>
      <w:tr w:rsidR="006C0808">
        <w:trPr>
          <w:trHeight w:val="351"/>
        </w:trPr>
        <w:tc>
          <w:tcPr>
            <w:tcW w:w="2373" w:type="pct"/>
            <w:gridSpan w:val="4"/>
            <w:tcBorders>
              <w:bottom w:val="single" w:sz="4" w:space="0" w:color="auto"/>
            </w:tcBorders>
            <w:vAlign w:val="center"/>
          </w:tcPr>
          <w:p w:rsidR="006C0808" w:rsidRDefault="00E3601E">
            <w:pPr>
              <w:spacing w:before="60" w:after="60"/>
              <w:rPr>
                <w:noProof/>
                <w:sz w:val="20"/>
              </w:rPr>
            </w:pPr>
            <w:r>
              <w:rPr>
                <w:noProof/>
                <w:sz w:val="20"/>
              </w:rPr>
              <w:sym w:font="Wingdings" w:char="F09F"/>
            </w:r>
            <w:r>
              <w:rPr>
                <w:noProof/>
              </w:rPr>
              <w:t xml:space="preserve"> Ostali administrativni rashodi</w:t>
            </w:r>
          </w:p>
        </w:tc>
        <w:tc>
          <w:tcPr>
            <w:tcW w:w="609" w:type="pct"/>
            <w:tcBorders>
              <w:bottom w:val="single" w:sz="4" w:space="0" w:color="auto"/>
            </w:tcBorders>
            <w:vAlign w:val="center"/>
          </w:tcPr>
          <w:p w:rsidR="006C0808" w:rsidRDefault="00E3601E">
            <w:pPr>
              <w:keepNext/>
              <w:keepLines/>
              <w:jc w:val="center"/>
              <w:rPr>
                <w:noProof/>
                <w:color w:val="000000"/>
                <w:sz w:val="20"/>
                <w:szCs w:val="20"/>
              </w:rPr>
            </w:pPr>
            <w:r>
              <w:rPr>
                <w:noProof/>
                <w:color w:val="000000"/>
                <w:sz w:val="20"/>
              </w:rPr>
              <w:t>0,030</w:t>
            </w:r>
          </w:p>
        </w:tc>
        <w:tc>
          <w:tcPr>
            <w:tcW w:w="104" w:type="pct"/>
            <w:tcBorders>
              <w:bottom w:val="single" w:sz="4" w:space="0" w:color="auto"/>
            </w:tcBorders>
          </w:tcPr>
          <w:p w:rsidR="006C0808" w:rsidRDefault="006C0808">
            <w:pPr>
              <w:keepNext/>
              <w:keepLines/>
              <w:jc w:val="center"/>
              <w:rPr>
                <w:noProof/>
                <w:color w:val="000000"/>
                <w:sz w:val="20"/>
                <w:szCs w:val="20"/>
              </w:rPr>
            </w:pPr>
          </w:p>
        </w:tc>
        <w:tc>
          <w:tcPr>
            <w:tcW w:w="541" w:type="pct"/>
            <w:tcBorders>
              <w:bottom w:val="single" w:sz="4" w:space="0" w:color="auto"/>
            </w:tcBorders>
            <w:vAlign w:val="center"/>
          </w:tcPr>
          <w:p w:rsidR="006C0808" w:rsidRDefault="00E3601E">
            <w:pPr>
              <w:keepNext/>
              <w:keepLines/>
              <w:jc w:val="center"/>
              <w:rPr>
                <w:noProof/>
                <w:color w:val="000000"/>
                <w:sz w:val="20"/>
                <w:szCs w:val="20"/>
              </w:rPr>
            </w:pPr>
            <w:r>
              <w:rPr>
                <w:noProof/>
                <w:color w:val="000000"/>
                <w:sz w:val="20"/>
              </w:rPr>
              <w:t>0,030</w:t>
            </w:r>
          </w:p>
        </w:tc>
        <w:tc>
          <w:tcPr>
            <w:tcW w:w="687" w:type="pct"/>
            <w:tcBorders>
              <w:bottom w:val="single" w:sz="4" w:space="0" w:color="auto"/>
            </w:tcBorders>
            <w:vAlign w:val="center"/>
          </w:tcPr>
          <w:p w:rsidR="006C0808" w:rsidRDefault="00E3601E">
            <w:pPr>
              <w:keepNext/>
              <w:keepLines/>
              <w:jc w:val="center"/>
              <w:rPr>
                <w:noProof/>
                <w:color w:val="000000"/>
                <w:sz w:val="20"/>
                <w:szCs w:val="20"/>
              </w:rPr>
            </w:pPr>
            <w:r>
              <w:rPr>
                <w:noProof/>
                <w:color w:val="000000"/>
                <w:sz w:val="20"/>
              </w:rPr>
              <w:t>0,030</w:t>
            </w:r>
          </w:p>
        </w:tc>
        <w:tc>
          <w:tcPr>
            <w:tcW w:w="687" w:type="pct"/>
            <w:tcBorders>
              <w:bottom w:val="single" w:sz="4" w:space="0" w:color="auto"/>
            </w:tcBorders>
            <w:vAlign w:val="center"/>
          </w:tcPr>
          <w:p w:rsidR="006C0808" w:rsidRDefault="00E3601E">
            <w:pPr>
              <w:keepNext/>
              <w:keepLines/>
              <w:jc w:val="center"/>
              <w:rPr>
                <w:b/>
                <w:noProof/>
                <w:color w:val="000000"/>
                <w:sz w:val="20"/>
                <w:szCs w:val="20"/>
              </w:rPr>
            </w:pPr>
            <w:r>
              <w:rPr>
                <w:b/>
                <w:noProof/>
                <w:color w:val="000000"/>
                <w:sz w:val="20"/>
              </w:rPr>
              <w:t>0,060</w:t>
            </w:r>
          </w:p>
        </w:tc>
      </w:tr>
      <w:tr w:rsidR="006C0808">
        <w:tc>
          <w:tcPr>
            <w:tcW w:w="1430" w:type="pct"/>
            <w:gridSpan w:val="3"/>
            <w:tcBorders>
              <w:bottom w:val="single" w:sz="4" w:space="0" w:color="auto"/>
            </w:tcBorders>
            <w:vAlign w:val="center"/>
          </w:tcPr>
          <w:p w:rsidR="006C0808" w:rsidRDefault="00E3601E">
            <w:pPr>
              <w:spacing w:before="60" w:after="60"/>
              <w:rPr>
                <w:b/>
                <w:noProof/>
                <w:sz w:val="20"/>
              </w:rPr>
            </w:pPr>
            <w:r>
              <w:rPr>
                <w:b/>
                <w:noProof/>
                <w:sz w:val="20"/>
              </w:rPr>
              <w:t xml:space="preserve">UKUPNO ZA GLAVNU UPRAVU ZA </w:t>
            </w:r>
            <w:r>
              <w:rPr>
                <w:b/>
                <w:noProof/>
                <w:sz w:val="20"/>
              </w:rPr>
              <w:t>KOMUNIKACIJSKE MREŽE, SADRŽAJE I TEHNOLOGIJE (GU CONNECT)</w:t>
            </w:r>
          </w:p>
        </w:tc>
        <w:tc>
          <w:tcPr>
            <w:tcW w:w="943" w:type="pct"/>
            <w:tcBorders>
              <w:bottom w:val="single" w:sz="4" w:space="0" w:color="auto"/>
            </w:tcBorders>
            <w:vAlign w:val="center"/>
          </w:tcPr>
          <w:p w:rsidR="006C0808" w:rsidRDefault="006C0808">
            <w:pPr>
              <w:spacing w:before="60" w:after="60"/>
              <w:rPr>
                <w:b/>
                <w:noProof/>
                <w:sz w:val="16"/>
                <w:szCs w:val="16"/>
              </w:rPr>
            </w:pPr>
          </w:p>
        </w:tc>
        <w:tc>
          <w:tcPr>
            <w:tcW w:w="609" w:type="pct"/>
            <w:tcBorders>
              <w:bottom w:val="single" w:sz="4" w:space="0" w:color="auto"/>
            </w:tcBorders>
          </w:tcPr>
          <w:p w:rsidR="006C0808" w:rsidRDefault="00E3601E">
            <w:pPr>
              <w:keepNext/>
              <w:keepLines/>
              <w:jc w:val="center"/>
              <w:rPr>
                <w:noProof/>
                <w:color w:val="000000"/>
                <w:sz w:val="20"/>
                <w:szCs w:val="20"/>
              </w:rPr>
            </w:pPr>
            <w:r>
              <w:rPr>
                <w:noProof/>
                <w:color w:val="000000"/>
                <w:sz w:val="20"/>
              </w:rPr>
              <w:t>0,386</w:t>
            </w:r>
          </w:p>
        </w:tc>
        <w:tc>
          <w:tcPr>
            <w:tcW w:w="104" w:type="pct"/>
            <w:tcBorders>
              <w:bottom w:val="single" w:sz="4" w:space="0" w:color="auto"/>
            </w:tcBorders>
          </w:tcPr>
          <w:p w:rsidR="006C0808" w:rsidRDefault="006C0808">
            <w:pPr>
              <w:keepNext/>
              <w:keepLines/>
              <w:jc w:val="center"/>
              <w:rPr>
                <w:noProof/>
                <w:color w:val="000000"/>
                <w:sz w:val="20"/>
                <w:szCs w:val="20"/>
              </w:rPr>
            </w:pPr>
          </w:p>
        </w:tc>
        <w:tc>
          <w:tcPr>
            <w:tcW w:w="541" w:type="pct"/>
            <w:tcBorders>
              <w:bottom w:val="single" w:sz="4" w:space="0" w:color="auto"/>
            </w:tcBorders>
            <w:vAlign w:val="center"/>
          </w:tcPr>
          <w:p w:rsidR="006C0808" w:rsidRDefault="00E3601E">
            <w:pPr>
              <w:keepNext/>
              <w:keepLines/>
              <w:jc w:val="center"/>
              <w:rPr>
                <w:noProof/>
                <w:color w:val="000000"/>
                <w:sz w:val="20"/>
                <w:szCs w:val="20"/>
              </w:rPr>
            </w:pPr>
            <w:r>
              <w:rPr>
                <w:noProof/>
                <w:color w:val="000000"/>
                <w:sz w:val="20"/>
              </w:rPr>
              <w:t>0,386</w:t>
            </w:r>
          </w:p>
        </w:tc>
        <w:tc>
          <w:tcPr>
            <w:tcW w:w="687" w:type="pct"/>
            <w:tcBorders>
              <w:bottom w:val="single" w:sz="4" w:space="0" w:color="auto"/>
            </w:tcBorders>
            <w:vAlign w:val="center"/>
          </w:tcPr>
          <w:p w:rsidR="006C0808" w:rsidRDefault="00E3601E">
            <w:pPr>
              <w:keepNext/>
              <w:keepLines/>
              <w:jc w:val="center"/>
              <w:rPr>
                <w:noProof/>
                <w:color w:val="000000"/>
                <w:sz w:val="20"/>
                <w:szCs w:val="20"/>
              </w:rPr>
            </w:pPr>
            <w:r>
              <w:rPr>
                <w:noProof/>
                <w:color w:val="000000"/>
                <w:sz w:val="20"/>
              </w:rPr>
              <w:t>0,386</w:t>
            </w:r>
          </w:p>
        </w:tc>
        <w:tc>
          <w:tcPr>
            <w:tcW w:w="687" w:type="pct"/>
            <w:tcBorders>
              <w:bottom w:val="single" w:sz="4" w:space="0" w:color="auto"/>
            </w:tcBorders>
            <w:vAlign w:val="center"/>
          </w:tcPr>
          <w:p w:rsidR="006C0808" w:rsidRDefault="00E3601E">
            <w:pPr>
              <w:keepNext/>
              <w:keepLines/>
              <w:jc w:val="center"/>
              <w:rPr>
                <w:b/>
                <w:noProof/>
                <w:color w:val="000000"/>
                <w:sz w:val="20"/>
                <w:szCs w:val="20"/>
              </w:rPr>
            </w:pPr>
            <w:r>
              <w:rPr>
                <w:b/>
                <w:noProof/>
                <w:color w:val="000000"/>
                <w:sz w:val="20"/>
              </w:rPr>
              <w:t>0,772</w:t>
            </w:r>
          </w:p>
        </w:tc>
      </w:tr>
      <w:tr w:rsidR="006C0808">
        <w:tc>
          <w:tcPr>
            <w:tcW w:w="1430" w:type="pct"/>
            <w:gridSpan w:val="3"/>
            <w:tcBorders>
              <w:top w:val="single" w:sz="4" w:space="0" w:color="auto"/>
              <w:left w:val="nil"/>
              <w:bottom w:val="single" w:sz="4" w:space="0" w:color="auto"/>
              <w:right w:val="nil"/>
            </w:tcBorders>
            <w:shd w:val="clear" w:color="C0C0C0" w:fill="auto"/>
            <w:vAlign w:val="center"/>
          </w:tcPr>
          <w:p w:rsidR="006C0808" w:rsidRDefault="006C0808">
            <w:pPr>
              <w:spacing w:before="60" w:after="60"/>
              <w:rPr>
                <w:b/>
                <w:noProof/>
                <w:sz w:val="20"/>
              </w:rPr>
            </w:pPr>
          </w:p>
        </w:tc>
        <w:tc>
          <w:tcPr>
            <w:tcW w:w="943" w:type="pct"/>
            <w:tcBorders>
              <w:top w:val="single" w:sz="4" w:space="0" w:color="auto"/>
              <w:left w:val="nil"/>
              <w:bottom w:val="single" w:sz="4" w:space="0" w:color="auto"/>
              <w:right w:val="nil"/>
            </w:tcBorders>
            <w:vAlign w:val="center"/>
          </w:tcPr>
          <w:p w:rsidR="006C0808" w:rsidRDefault="006C0808">
            <w:pPr>
              <w:spacing w:before="60" w:after="60"/>
              <w:rPr>
                <w:noProof/>
                <w:sz w:val="20"/>
              </w:rPr>
            </w:pPr>
          </w:p>
        </w:tc>
        <w:tc>
          <w:tcPr>
            <w:tcW w:w="609" w:type="pct"/>
            <w:tcBorders>
              <w:top w:val="single" w:sz="4" w:space="0" w:color="auto"/>
              <w:left w:val="nil"/>
              <w:bottom w:val="single" w:sz="4" w:space="0" w:color="auto"/>
              <w:right w:val="nil"/>
            </w:tcBorders>
          </w:tcPr>
          <w:p w:rsidR="006C0808" w:rsidRDefault="006C0808">
            <w:pPr>
              <w:spacing w:before="60" w:after="60"/>
              <w:jc w:val="center"/>
              <w:rPr>
                <w:b/>
                <w:noProof/>
                <w:sz w:val="16"/>
                <w:szCs w:val="16"/>
              </w:rPr>
            </w:pPr>
          </w:p>
        </w:tc>
        <w:tc>
          <w:tcPr>
            <w:tcW w:w="104" w:type="pct"/>
            <w:tcBorders>
              <w:top w:val="single" w:sz="4" w:space="0" w:color="auto"/>
              <w:left w:val="nil"/>
              <w:bottom w:val="single" w:sz="4" w:space="0" w:color="auto"/>
              <w:right w:val="nil"/>
            </w:tcBorders>
          </w:tcPr>
          <w:p w:rsidR="006C0808" w:rsidRDefault="006C0808">
            <w:pPr>
              <w:spacing w:before="60" w:after="60"/>
              <w:jc w:val="center"/>
              <w:rPr>
                <w:b/>
                <w:noProof/>
                <w:sz w:val="16"/>
                <w:szCs w:val="16"/>
              </w:rPr>
            </w:pPr>
          </w:p>
        </w:tc>
        <w:tc>
          <w:tcPr>
            <w:tcW w:w="541" w:type="pct"/>
            <w:tcBorders>
              <w:top w:val="single" w:sz="4" w:space="0" w:color="auto"/>
              <w:left w:val="nil"/>
              <w:bottom w:val="single" w:sz="4" w:space="0" w:color="auto"/>
              <w:right w:val="nil"/>
            </w:tcBorders>
            <w:vAlign w:val="center"/>
          </w:tcPr>
          <w:p w:rsidR="006C0808" w:rsidRDefault="006C0808">
            <w:pPr>
              <w:spacing w:before="60" w:after="60"/>
              <w:jc w:val="center"/>
              <w:rPr>
                <w:b/>
                <w:noProof/>
                <w:sz w:val="16"/>
                <w:szCs w:val="16"/>
              </w:rPr>
            </w:pPr>
          </w:p>
        </w:tc>
        <w:tc>
          <w:tcPr>
            <w:tcW w:w="687" w:type="pct"/>
            <w:tcBorders>
              <w:top w:val="single" w:sz="4" w:space="0" w:color="auto"/>
              <w:left w:val="nil"/>
              <w:bottom w:val="single" w:sz="4" w:space="0" w:color="auto"/>
              <w:right w:val="nil"/>
            </w:tcBorders>
            <w:vAlign w:val="center"/>
          </w:tcPr>
          <w:p w:rsidR="006C0808" w:rsidRDefault="006C0808">
            <w:pPr>
              <w:spacing w:before="60" w:after="60"/>
              <w:jc w:val="center"/>
              <w:rPr>
                <w:b/>
                <w:noProof/>
                <w:sz w:val="16"/>
                <w:szCs w:val="16"/>
              </w:rPr>
            </w:pPr>
          </w:p>
        </w:tc>
        <w:tc>
          <w:tcPr>
            <w:tcW w:w="687" w:type="pct"/>
            <w:tcBorders>
              <w:top w:val="single" w:sz="4" w:space="0" w:color="auto"/>
              <w:left w:val="nil"/>
              <w:bottom w:val="single" w:sz="4" w:space="0" w:color="auto"/>
              <w:right w:val="nil"/>
            </w:tcBorders>
            <w:vAlign w:val="center"/>
          </w:tcPr>
          <w:p w:rsidR="006C0808" w:rsidRDefault="006C0808">
            <w:pPr>
              <w:spacing w:before="60" w:after="60"/>
              <w:jc w:val="center"/>
              <w:rPr>
                <w:b/>
                <w:noProof/>
                <w:sz w:val="16"/>
                <w:szCs w:val="16"/>
              </w:rPr>
            </w:pPr>
          </w:p>
        </w:tc>
      </w:tr>
      <w:tr w:rsidR="006C0808">
        <w:tc>
          <w:tcPr>
            <w:tcW w:w="1430" w:type="pct"/>
            <w:gridSpan w:val="3"/>
            <w:tcBorders>
              <w:bottom w:val="single" w:sz="4" w:space="0" w:color="auto"/>
            </w:tcBorders>
            <w:shd w:val="clear" w:color="C0C0C0" w:fill="auto"/>
            <w:vAlign w:val="center"/>
          </w:tcPr>
          <w:p w:rsidR="006C0808" w:rsidRDefault="00E3601E">
            <w:pPr>
              <w:spacing w:before="60" w:after="60"/>
              <w:rPr>
                <w:noProof/>
                <w:sz w:val="20"/>
              </w:rPr>
            </w:pPr>
            <w:r>
              <w:rPr>
                <w:b/>
                <w:noProof/>
                <w:sz w:val="20"/>
              </w:rPr>
              <w:t>UKUPNA odobrena sredstva</w:t>
            </w:r>
            <w:r>
              <w:rPr>
                <w:b/>
                <w:noProof/>
                <w:sz w:val="20"/>
              </w:rPr>
              <w:br/>
              <w:t>iz NASLOVA 5.</w:t>
            </w:r>
            <w:r>
              <w:rPr>
                <w:b/>
                <w:noProof/>
                <w:sz w:val="20"/>
              </w:rPr>
              <w:br/>
            </w:r>
            <w:r>
              <w:rPr>
                <w:noProof/>
                <w:sz w:val="20"/>
              </w:rPr>
              <w:t xml:space="preserve">višegodišnjeg financijskog okvira </w:t>
            </w:r>
          </w:p>
        </w:tc>
        <w:tc>
          <w:tcPr>
            <w:tcW w:w="943" w:type="pct"/>
            <w:tcBorders>
              <w:bottom w:val="single" w:sz="4" w:space="0" w:color="auto"/>
            </w:tcBorders>
            <w:vAlign w:val="center"/>
          </w:tcPr>
          <w:p w:rsidR="006C0808" w:rsidRDefault="00E3601E">
            <w:pPr>
              <w:spacing w:before="60" w:after="60"/>
              <w:rPr>
                <w:noProof/>
                <w:sz w:val="20"/>
              </w:rPr>
            </w:pPr>
            <w:r>
              <w:rPr>
                <w:noProof/>
                <w:sz w:val="20"/>
              </w:rPr>
              <w:t>(Ukupne preuzete obveze = ukupna plaćanja)</w:t>
            </w:r>
          </w:p>
        </w:tc>
        <w:tc>
          <w:tcPr>
            <w:tcW w:w="609" w:type="pct"/>
            <w:tcBorders>
              <w:bottom w:val="single" w:sz="4" w:space="0" w:color="auto"/>
            </w:tcBorders>
            <w:vAlign w:val="center"/>
          </w:tcPr>
          <w:p w:rsidR="006C0808" w:rsidRDefault="00E3601E">
            <w:pPr>
              <w:keepNext/>
              <w:keepLines/>
              <w:jc w:val="center"/>
              <w:rPr>
                <w:noProof/>
                <w:color w:val="000000"/>
                <w:sz w:val="20"/>
                <w:szCs w:val="20"/>
              </w:rPr>
            </w:pPr>
            <w:r>
              <w:rPr>
                <w:noProof/>
                <w:color w:val="000000"/>
                <w:sz w:val="20"/>
              </w:rPr>
              <w:t>0,386</w:t>
            </w:r>
          </w:p>
        </w:tc>
        <w:tc>
          <w:tcPr>
            <w:tcW w:w="104" w:type="pct"/>
            <w:tcBorders>
              <w:bottom w:val="single" w:sz="4" w:space="0" w:color="auto"/>
            </w:tcBorders>
          </w:tcPr>
          <w:p w:rsidR="006C0808" w:rsidRDefault="006C0808">
            <w:pPr>
              <w:keepNext/>
              <w:keepLines/>
              <w:jc w:val="center"/>
              <w:rPr>
                <w:noProof/>
                <w:color w:val="000000"/>
                <w:sz w:val="20"/>
                <w:szCs w:val="20"/>
              </w:rPr>
            </w:pPr>
          </w:p>
        </w:tc>
        <w:tc>
          <w:tcPr>
            <w:tcW w:w="541" w:type="pct"/>
            <w:tcBorders>
              <w:bottom w:val="single" w:sz="4" w:space="0" w:color="auto"/>
            </w:tcBorders>
            <w:vAlign w:val="center"/>
          </w:tcPr>
          <w:p w:rsidR="006C0808" w:rsidRDefault="00E3601E">
            <w:pPr>
              <w:keepNext/>
              <w:keepLines/>
              <w:jc w:val="center"/>
              <w:rPr>
                <w:noProof/>
                <w:color w:val="000000"/>
                <w:sz w:val="20"/>
                <w:szCs w:val="20"/>
              </w:rPr>
            </w:pPr>
            <w:r>
              <w:rPr>
                <w:noProof/>
                <w:color w:val="000000"/>
                <w:sz w:val="20"/>
              </w:rPr>
              <w:t>0,386</w:t>
            </w:r>
          </w:p>
        </w:tc>
        <w:tc>
          <w:tcPr>
            <w:tcW w:w="687" w:type="pct"/>
            <w:tcBorders>
              <w:bottom w:val="single" w:sz="4" w:space="0" w:color="auto"/>
            </w:tcBorders>
            <w:vAlign w:val="center"/>
          </w:tcPr>
          <w:p w:rsidR="006C0808" w:rsidRDefault="00E3601E">
            <w:pPr>
              <w:keepNext/>
              <w:keepLines/>
              <w:jc w:val="center"/>
              <w:rPr>
                <w:noProof/>
                <w:color w:val="000000"/>
                <w:sz w:val="20"/>
                <w:szCs w:val="20"/>
              </w:rPr>
            </w:pPr>
            <w:r>
              <w:rPr>
                <w:noProof/>
                <w:color w:val="000000"/>
                <w:sz w:val="20"/>
              </w:rPr>
              <w:t>0,386</w:t>
            </w:r>
          </w:p>
        </w:tc>
        <w:tc>
          <w:tcPr>
            <w:tcW w:w="687" w:type="pct"/>
            <w:tcBorders>
              <w:bottom w:val="single" w:sz="4" w:space="0" w:color="auto"/>
            </w:tcBorders>
            <w:vAlign w:val="center"/>
          </w:tcPr>
          <w:p w:rsidR="006C0808" w:rsidRDefault="00E3601E">
            <w:pPr>
              <w:keepNext/>
              <w:keepLines/>
              <w:jc w:val="center"/>
              <w:rPr>
                <w:b/>
                <w:noProof/>
                <w:sz w:val="16"/>
                <w:szCs w:val="16"/>
              </w:rPr>
            </w:pPr>
            <w:r>
              <w:rPr>
                <w:b/>
                <w:noProof/>
                <w:color w:val="000000"/>
                <w:sz w:val="20"/>
              </w:rPr>
              <w:t>0,772</w:t>
            </w:r>
          </w:p>
        </w:tc>
      </w:tr>
      <w:tr w:rsidR="006C0808">
        <w:trPr>
          <w:gridAfter w:val="7"/>
          <w:wAfter w:w="3614" w:type="pct"/>
        </w:trPr>
        <w:tc>
          <w:tcPr>
            <w:tcW w:w="777" w:type="pct"/>
            <w:tcBorders>
              <w:top w:val="single" w:sz="4" w:space="0" w:color="auto"/>
              <w:left w:val="nil"/>
              <w:bottom w:val="nil"/>
              <w:right w:val="nil"/>
            </w:tcBorders>
            <w:shd w:val="clear" w:color="C0C0C0" w:fill="auto"/>
          </w:tcPr>
          <w:p w:rsidR="006C0808" w:rsidRDefault="006C0808">
            <w:pPr>
              <w:spacing w:before="60" w:after="60"/>
              <w:jc w:val="right"/>
              <w:rPr>
                <w:noProof/>
                <w:sz w:val="20"/>
              </w:rPr>
            </w:pPr>
          </w:p>
        </w:tc>
        <w:tc>
          <w:tcPr>
            <w:tcW w:w="609" w:type="pct"/>
            <w:tcBorders>
              <w:top w:val="single" w:sz="4" w:space="0" w:color="auto"/>
              <w:left w:val="nil"/>
              <w:bottom w:val="nil"/>
              <w:right w:val="nil"/>
            </w:tcBorders>
            <w:shd w:val="clear" w:color="C0C0C0" w:fill="auto"/>
          </w:tcPr>
          <w:p w:rsidR="006C0808" w:rsidRDefault="006C0808">
            <w:pPr>
              <w:spacing w:before="60" w:after="60"/>
              <w:jc w:val="right"/>
              <w:rPr>
                <w:noProof/>
                <w:sz w:val="20"/>
              </w:rPr>
            </w:pPr>
          </w:p>
        </w:tc>
      </w:tr>
      <w:tr w:rsidR="006C0808">
        <w:tc>
          <w:tcPr>
            <w:tcW w:w="1430" w:type="pct"/>
            <w:gridSpan w:val="3"/>
            <w:tcBorders>
              <w:top w:val="nil"/>
              <w:left w:val="nil"/>
              <w:right w:val="nil"/>
            </w:tcBorders>
            <w:vAlign w:val="center"/>
          </w:tcPr>
          <w:p w:rsidR="006C0808" w:rsidRDefault="006C0808">
            <w:pPr>
              <w:spacing w:before="60" w:after="60"/>
              <w:rPr>
                <w:noProof/>
                <w:sz w:val="20"/>
              </w:rPr>
            </w:pPr>
          </w:p>
        </w:tc>
        <w:tc>
          <w:tcPr>
            <w:tcW w:w="943" w:type="pct"/>
            <w:tcBorders>
              <w:top w:val="nil"/>
              <w:left w:val="nil"/>
            </w:tcBorders>
          </w:tcPr>
          <w:p w:rsidR="006C0808" w:rsidRDefault="006C0808">
            <w:pPr>
              <w:spacing w:before="60" w:after="60"/>
              <w:rPr>
                <w:noProof/>
                <w:sz w:val="20"/>
              </w:rPr>
            </w:pPr>
          </w:p>
        </w:tc>
        <w:tc>
          <w:tcPr>
            <w:tcW w:w="609" w:type="pct"/>
          </w:tcPr>
          <w:p w:rsidR="006C0808" w:rsidRDefault="00E3601E">
            <w:pPr>
              <w:spacing w:before="60" w:after="60"/>
              <w:jc w:val="center"/>
              <w:rPr>
                <w:noProof/>
                <w:sz w:val="20"/>
              </w:rPr>
            </w:pPr>
            <w:r>
              <w:rPr>
                <w:noProof/>
                <w:sz w:val="20"/>
              </w:rPr>
              <w:t>Osnova</w:t>
            </w:r>
            <w:r>
              <w:rPr>
                <w:noProof/>
                <w:sz w:val="20"/>
              </w:rPr>
              <w:br/>
              <w:t>2017.</w:t>
            </w:r>
            <w:r>
              <w:rPr>
                <w:rStyle w:val="FootnoteReference"/>
                <w:noProof/>
                <w:sz w:val="20"/>
              </w:rPr>
              <w:footnoteReference w:id="64"/>
            </w:r>
          </w:p>
        </w:tc>
        <w:tc>
          <w:tcPr>
            <w:tcW w:w="104" w:type="pct"/>
          </w:tcPr>
          <w:p w:rsidR="006C0808" w:rsidRDefault="006C0808">
            <w:pPr>
              <w:spacing w:before="60" w:after="60"/>
              <w:jc w:val="center"/>
              <w:rPr>
                <w:noProof/>
                <w:sz w:val="20"/>
              </w:rPr>
            </w:pPr>
          </w:p>
        </w:tc>
        <w:tc>
          <w:tcPr>
            <w:tcW w:w="541" w:type="pct"/>
            <w:vAlign w:val="center"/>
          </w:tcPr>
          <w:p w:rsidR="006C0808" w:rsidRDefault="00E3601E">
            <w:pPr>
              <w:spacing w:before="60" w:after="60"/>
              <w:jc w:val="center"/>
              <w:rPr>
                <w:noProof/>
                <w:sz w:val="20"/>
              </w:rPr>
            </w:pPr>
            <w:r>
              <w:rPr>
                <w:noProof/>
                <w:sz w:val="20"/>
              </w:rPr>
              <w:t>Godina</w:t>
            </w:r>
            <w:r>
              <w:rPr>
                <w:noProof/>
                <w:sz w:val="20"/>
              </w:rPr>
              <w:br/>
              <w:t>2019.</w:t>
            </w:r>
          </w:p>
        </w:tc>
        <w:tc>
          <w:tcPr>
            <w:tcW w:w="687" w:type="pct"/>
            <w:vAlign w:val="center"/>
          </w:tcPr>
          <w:p w:rsidR="006C0808" w:rsidRDefault="00E3601E">
            <w:pPr>
              <w:spacing w:before="60" w:after="60"/>
              <w:jc w:val="center"/>
              <w:rPr>
                <w:noProof/>
                <w:sz w:val="20"/>
              </w:rPr>
            </w:pPr>
            <w:r>
              <w:rPr>
                <w:noProof/>
                <w:sz w:val="20"/>
              </w:rPr>
              <w:t>Godina</w:t>
            </w:r>
            <w:r>
              <w:rPr>
                <w:noProof/>
                <w:sz w:val="20"/>
              </w:rPr>
              <w:br/>
              <w:t>2020.</w:t>
            </w:r>
          </w:p>
        </w:tc>
        <w:tc>
          <w:tcPr>
            <w:tcW w:w="687" w:type="pct"/>
            <w:vAlign w:val="center"/>
          </w:tcPr>
          <w:p w:rsidR="006C0808" w:rsidRDefault="00E3601E">
            <w:pPr>
              <w:spacing w:before="60" w:after="60"/>
              <w:jc w:val="center"/>
              <w:rPr>
                <w:noProof/>
                <w:sz w:val="20"/>
              </w:rPr>
            </w:pPr>
            <w:r>
              <w:rPr>
                <w:noProof/>
                <w:sz w:val="20"/>
              </w:rPr>
              <w:t>UKUPNO</w:t>
            </w:r>
          </w:p>
          <w:p w:rsidR="006C0808" w:rsidRDefault="00E3601E">
            <w:pPr>
              <w:spacing w:before="60" w:after="60"/>
              <w:jc w:val="center"/>
              <w:rPr>
                <w:noProof/>
                <w:sz w:val="20"/>
              </w:rPr>
            </w:pPr>
            <w:r>
              <w:rPr>
                <w:noProof/>
                <w:sz w:val="20"/>
              </w:rPr>
              <w:t>2019. – 2020.</w:t>
            </w:r>
          </w:p>
        </w:tc>
      </w:tr>
      <w:tr w:rsidR="006C0808">
        <w:tc>
          <w:tcPr>
            <w:tcW w:w="1430" w:type="pct"/>
            <w:gridSpan w:val="3"/>
            <w:vMerge w:val="restart"/>
            <w:shd w:val="clear" w:color="auto" w:fill="C0C0C0"/>
            <w:vAlign w:val="center"/>
          </w:tcPr>
          <w:p w:rsidR="006C0808" w:rsidRDefault="00E3601E">
            <w:pPr>
              <w:spacing w:before="60" w:after="60"/>
              <w:rPr>
                <w:noProof/>
                <w:sz w:val="20"/>
              </w:rPr>
            </w:pPr>
            <w:r>
              <w:rPr>
                <w:noProof/>
                <w:sz w:val="20"/>
              </w:rPr>
              <w:t xml:space="preserve">UKUPNA odobrena sredstva </w:t>
            </w:r>
            <w:r>
              <w:rPr>
                <w:noProof/>
                <w:sz w:val="20"/>
              </w:rPr>
              <w:br/>
              <w:t>iz NASLOVA 1. – 5.</w:t>
            </w:r>
            <w:r>
              <w:rPr>
                <w:noProof/>
                <w:sz w:val="20"/>
              </w:rPr>
              <w:br/>
              <w:t xml:space="preserve">višegodišnjeg financijskog okvira </w:t>
            </w:r>
          </w:p>
        </w:tc>
        <w:tc>
          <w:tcPr>
            <w:tcW w:w="943" w:type="pct"/>
            <w:vAlign w:val="center"/>
          </w:tcPr>
          <w:p w:rsidR="006C0808" w:rsidRDefault="00E3601E">
            <w:pPr>
              <w:spacing w:before="60" w:after="60"/>
              <w:rPr>
                <w:noProof/>
                <w:sz w:val="20"/>
              </w:rPr>
            </w:pPr>
            <w:r>
              <w:rPr>
                <w:noProof/>
                <w:sz w:val="20"/>
              </w:rPr>
              <w:t>Obveze</w:t>
            </w:r>
          </w:p>
        </w:tc>
        <w:tc>
          <w:tcPr>
            <w:tcW w:w="609" w:type="pct"/>
          </w:tcPr>
          <w:p w:rsidR="006C0808" w:rsidRDefault="00E3601E">
            <w:pPr>
              <w:spacing w:before="60" w:after="60"/>
              <w:jc w:val="center"/>
              <w:rPr>
                <w:noProof/>
                <w:sz w:val="20"/>
              </w:rPr>
            </w:pPr>
            <w:r>
              <w:rPr>
                <w:noProof/>
                <w:sz w:val="20"/>
              </w:rPr>
              <w:t>4,632</w:t>
            </w:r>
          </w:p>
        </w:tc>
        <w:tc>
          <w:tcPr>
            <w:tcW w:w="104" w:type="pct"/>
          </w:tcPr>
          <w:p w:rsidR="006C0808" w:rsidRDefault="006C0808">
            <w:pPr>
              <w:jc w:val="center"/>
              <w:rPr>
                <w:noProof/>
                <w:color w:val="000000"/>
                <w:sz w:val="20"/>
                <w:szCs w:val="20"/>
              </w:rPr>
            </w:pPr>
          </w:p>
        </w:tc>
        <w:tc>
          <w:tcPr>
            <w:tcW w:w="541" w:type="pct"/>
            <w:vAlign w:val="center"/>
          </w:tcPr>
          <w:p w:rsidR="006C0808" w:rsidRDefault="00E3601E">
            <w:pPr>
              <w:jc w:val="center"/>
              <w:rPr>
                <w:noProof/>
                <w:color w:val="000000"/>
                <w:sz w:val="20"/>
                <w:szCs w:val="20"/>
              </w:rPr>
            </w:pPr>
            <w:r>
              <w:rPr>
                <w:noProof/>
                <w:color w:val="000000"/>
                <w:sz w:val="20"/>
              </w:rPr>
              <w:t>6,294</w:t>
            </w:r>
          </w:p>
        </w:tc>
        <w:tc>
          <w:tcPr>
            <w:tcW w:w="687" w:type="pct"/>
            <w:vAlign w:val="center"/>
          </w:tcPr>
          <w:p w:rsidR="006C0808" w:rsidRDefault="00E3601E">
            <w:pPr>
              <w:keepNext/>
              <w:keepLines/>
              <w:jc w:val="center"/>
              <w:rPr>
                <w:noProof/>
                <w:color w:val="000000"/>
                <w:sz w:val="20"/>
                <w:szCs w:val="20"/>
              </w:rPr>
            </w:pPr>
            <w:r>
              <w:rPr>
                <w:noProof/>
                <w:color w:val="000000"/>
                <w:sz w:val="20"/>
              </w:rPr>
              <w:t>7,841</w:t>
            </w:r>
          </w:p>
        </w:tc>
        <w:tc>
          <w:tcPr>
            <w:tcW w:w="687" w:type="pct"/>
            <w:vAlign w:val="center"/>
          </w:tcPr>
          <w:p w:rsidR="006C0808" w:rsidRDefault="00E3601E">
            <w:pPr>
              <w:spacing w:before="60" w:after="60"/>
              <w:jc w:val="center"/>
              <w:rPr>
                <w:b/>
                <w:noProof/>
                <w:sz w:val="20"/>
              </w:rPr>
            </w:pPr>
            <w:r>
              <w:rPr>
                <w:b/>
                <w:noProof/>
                <w:sz w:val="20"/>
              </w:rPr>
              <w:t>14,135</w:t>
            </w:r>
          </w:p>
        </w:tc>
      </w:tr>
      <w:tr w:rsidR="006C0808">
        <w:tc>
          <w:tcPr>
            <w:tcW w:w="1430" w:type="pct"/>
            <w:gridSpan w:val="3"/>
            <w:vMerge/>
            <w:vAlign w:val="center"/>
          </w:tcPr>
          <w:p w:rsidR="006C0808" w:rsidRDefault="006C0808">
            <w:pPr>
              <w:spacing w:before="60" w:after="60"/>
              <w:rPr>
                <w:noProof/>
                <w:sz w:val="20"/>
              </w:rPr>
            </w:pPr>
          </w:p>
        </w:tc>
        <w:tc>
          <w:tcPr>
            <w:tcW w:w="943" w:type="pct"/>
            <w:vAlign w:val="center"/>
          </w:tcPr>
          <w:p w:rsidR="006C0808" w:rsidRDefault="00E3601E">
            <w:pPr>
              <w:spacing w:before="60" w:after="60"/>
              <w:rPr>
                <w:noProof/>
                <w:sz w:val="20"/>
              </w:rPr>
            </w:pPr>
            <w:r>
              <w:rPr>
                <w:noProof/>
                <w:sz w:val="20"/>
              </w:rPr>
              <w:t>Plaćanja</w:t>
            </w:r>
          </w:p>
        </w:tc>
        <w:tc>
          <w:tcPr>
            <w:tcW w:w="609" w:type="pct"/>
          </w:tcPr>
          <w:p w:rsidR="006C0808" w:rsidRDefault="00E3601E">
            <w:pPr>
              <w:spacing w:before="60" w:after="60"/>
              <w:jc w:val="center"/>
              <w:rPr>
                <w:noProof/>
                <w:sz w:val="20"/>
              </w:rPr>
            </w:pPr>
            <w:r>
              <w:rPr>
                <w:noProof/>
                <w:sz w:val="20"/>
              </w:rPr>
              <w:t>4,632</w:t>
            </w:r>
          </w:p>
        </w:tc>
        <w:tc>
          <w:tcPr>
            <w:tcW w:w="104" w:type="pct"/>
          </w:tcPr>
          <w:p w:rsidR="006C0808" w:rsidRDefault="006C0808">
            <w:pPr>
              <w:jc w:val="center"/>
              <w:rPr>
                <w:noProof/>
                <w:color w:val="000000"/>
                <w:sz w:val="20"/>
                <w:szCs w:val="20"/>
              </w:rPr>
            </w:pPr>
          </w:p>
        </w:tc>
        <w:tc>
          <w:tcPr>
            <w:tcW w:w="541" w:type="pct"/>
            <w:vAlign w:val="center"/>
          </w:tcPr>
          <w:p w:rsidR="006C0808" w:rsidRDefault="00E3601E">
            <w:pPr>
              <w:jc w:val="center"/>
              <w:rPr>
                <w:noProof/>
                <w:color w:val="000000"/>
                <w:sz w:val="20"/>
                <w:szCs w:val="20"/>
              </w:rPr>
            </w:pPr>
            <w:r>
              <w:rPr>
                <w:noProof/>
                <w:color w:val="000000"/>
                <w:sz w:val="20"/>
              </w:rPr>
              <w:t>6,294</w:t>
            </w:r>
          </w:p>
        </w:tc>
        <w:tc>
          <w:tcPr>
            <w:tcW w:w="687" w:type="pct"/>
            <w:vAlign w:val="center"/>
          </w:tcPr>
          <w:p w:rsidR="006C0808" w:rsidRDefault="00E3601E">
            <w:pPr>
              <w:keepNext/>
              <w:keepLines/>
              <w:jc w:val="center"/>
              <w:rPr>
                <w:noProof/>
                <w:color w:val="000000"/>
                <w:sz w:val="20"/>
                <w:szCs w:val="20"/>
              </w:rPr>
            </w:pPr>
            <w:r>
              <w:rPr>
                <w:noProof/>
                <w:color w:val="000000"/>
                <w:sz w:val="20"/>
              </w:rPr>
              <w:t>7,841</w:t>
            </w:r>
          </w:p>
        </w:tc>
        <w:tc>
          <w:tcPr>
            <w:tcW w:w="687" w:type="pct"/>
            <w:vAlign w:val="center"/>
          </w:tcPr>
          <w:p w:rsidR="006C0808" w:rsidRDefault="00E3601E">
            <w:pPr>
              <w:jc w:val="center"/>
              <w:rPr>
                <w:b/>
                <w:noProof/>
                <w:color w:val="000000"/>
                <w:sz w:val="20"/>
                <w:szCs w:val="20"/>
              </w:rPr>
            </w:pPr>
            <w:r>
              <w:rPr>
                <w:b/>
                <w:noProof/>
                <w:color w:val="000000"/>
                <w:sz w:val="20"/>
              </w:rPr>
              <w:t>14,135</w:t>
            </w:r>
          </w:p>
        </w:tc>
      </w:tr>
    </w:tbl>
    <w:p w:rsidR="006C0808" w:rsidRDefault="00E3601E">
      <w:pPr>
        <w:spacing w:before="60" w:after="60"/>
        <w:rPr>
          <w:noProof/>
          <w:sz w:val="20"/>
        </w:rPr>
      </w:pPr>
      <w:r>
        <w:rPr>
          <w:noProof/>
        </w:rPr>
        <w:tab/>
      </w:r>
    </w:p>
    <w:p w:rsidR="006C0808" w:rsidRDefault="006C0808">
      <w:pPr>
        <w:spacing w:before="60" w:after="60"/>
        <w:rPr>
          <w:noProof/>
          <w:sz w:val="20"/>
        </w:rPr>
        <w:sectPr w:rsidR="006C0808" w:rsidSect="00E3601E">
          <w:headerReference w:type="default" r:id="rId25"/>
          <w:footerReference w:type="default" r:id="rId26"/>
          <w:headerReference w:type="first" r:id="rId27"/>
          <w:footerReference w:type="first" r:id="rId28"/>
          <w:pgSz w:w="16839" w:h="11907" w:orient="landscape" w:code="9"/>
          <w:pgMar w:top="902" w:right="1247" w:bottom="1134" w:left="1077" w:header="709" w:footer="510" w:gutter="0"/>
          <w:cols w:space="720"/>
          <w:rtlGutter/>
          <w:docGrid w:linePitch="326"/>
        </w:sectPr>
      </w:pPr>
    </w:p>
    <w:p w:rsidR="006C0808" w:rsidRDefault="006C0808">
      <w:pPr>
        <w:spacing w:before="60" w:after="60"/>
        <w:rPr>
          <w:i/>
          <w:noProof/>
        </w:rPr>
      </w:pPr>
    </w:p>
    <w:p w:rsidR="006C0808" w:rsidRDefault="006C0808">
      <w:pPr>
        <w:spacing w:before="60" w:after="60"/>
        <w:rPr>
          <w:i/>
          <w:noProof/>
        </w:rPr>
      </w:pPr>
    </w:p>
    <w:p w:rsidR="006C0808" w:rsidRDefault="00E3601E">
      <w:pPr>
        <w:pStyle w:val="ManualHeading3"/>
        <w:rPr>
          <w:bCs/>
          <w:noProof/>
        </w:rPr>
      </w:pPr>
      <w:r>
        <w:rPr>
          <w:noProof/>
        </w:rPr>
        <w:t>3.2.2.</w:t>
      </w:r>
      <w:r>
        <w:rPr>
          <w:noProof/>
        </w:rPr>
        <w:tab/>
        <w:t xml:space="preserve">Procijenjeni utjecaj na odobrena sredstva agencije  </w:t>
      </w:r>
    </w:p>
    <w:p w:rsidR="006C0808" w:rsidRDefault="00E3601E">
      <w:pPr>
        <w:spacing w:before="60" w:after="60"/>
        <w:ind w:left="3958" w:firstLine="720"/>
        <w:rPr>
          <w:noProof/>
        </w:rPr>
      </w:pPr>
      <w:r>
        <w:rPr>
          <w:noProof/>
        </w:rPr>
        <w:sym w:font="Wingdings" w:char="F0A8"/>
      </w:r>
      <w:r>
        <w:rPr>
          <w:noProof/>
        </w:rPr>
        <w:t xml:space="preserve"> Za prijedlog/inicijativu nisu potrebna odobrena sredstva za poslovanje</w:t>
      </w:r>
    </w:p>
    <w:p w:rsidR="006C0808" w:rsidRDefault="00E3601E">
      <w:pPr>
        <w:pStyle w:val="ListDash1"/>
        <w:jc w:val="left"/>
        <w:rPr>
          <w:noProof/>
        </w:rPr>
      </w:pPr>
      <w:r>
        <w:rPr>
          <w:noProof/>
        </w:rPr>
        <w:sym w:font="Wingdings" w:char="F078"/>
      </w:r>
      <w:r>
        <w:rPr>
          <w:noProof/>
        </w:rPr>
        <w:t xml:space="preserve"> Za prijedlog/inicijativu potrebna je upo</w:t>
      </w:r>
      <w:r>
        <w:rPr>
          <w:noProof/>
        </w:rPr>
        <w:t>treba odobrenih sredstava za poslovanje, kako je opisano u nastavku:</w:t>
      </w:r>
    </w:p>
    <w:p w:rsidR="006C0808" w:rsidRDefault="00E3601E">
      <w:pPr>
        <w:jc w:val="right"/>
        <w:rPr>
          <w:noProof/>
          <w:sz w:val="20"/>
        </w:rPr>
      </w:pPr>
      <w:r>
        <w:rPr>
          <w:noProof/>
          <w:sz w:val="20"/>
        </w:rPr>
        <w:t>Odobrena sredstva za preuzete obveze u milijunima EUR (do tri decimalna mjesta)</w:t>
      </w:r>
    </w:p>
    <w:p w:rsidR="006C0808" w:rsidRDefault="006C0808">
      <w:pPr>
        <w:jc w:val="right"/>
        <w:rPr>
          <w:noProof/>
          <w:sz w:val="20"/>
        </w:rPr>
      </w:pPr>
    </w:p>
    <w:p w:rsidR="006C0808" w:rsidRDefault="006C0808">
      <w:pPr>
        <w:jc w:val="right"/>
        <w:rPr>
          <w:noProof/>
          <w:sz w:val="20"/>
        </w:rPr>
      </w:pPr>
    </w:p>
    <w:p w:rsidR="006C0808" w:rsidRDefault="006C0808">
      <w:pPr>
        <w:jc w:val="right"/>
        <w:rPr>
          <w:noProof/>
          <w:sz w:val="20"/>
        </w:rPr>
      </w:pPr>
    </w:p>
    <w:tbl>
      <w:tblPr>
        <w:tblW w:w="3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4"/>
        <w:gridCol w:w="1511"/>
        <w:gridCol w:w="1511"/>
        <w:gridCol w:w="1509"/>
      </w:tblGrid>
      <w:tr w:rsidR="006C0808">
        <w:trPr>
          <w:cantSplit/>
          <w:jc w:val="center"/>
        </w:trPr>
        <w:tc>
          <w:tcPr>
            <w:tcW w:w="2975" w:type="pct"/>
            <w:vAlign w:val="center"/>
          </w:tcPr>
          <w:p w:rsidR="006C0808" w:rsidRDefault="00E3601E">
            <w:pPr>
              <w:keepNext/>
              <w:keepLines/>
              <w:widowControl w:val="0"/>
              <w:ind w:right="-29"/>
              <w:jc w:val="center"/>
              <w:rPr>
                <w:noProof/>
                <w:sz w:val="20"/>
                <w:szCs w:val="20"/>
              </w:rPr>
            </w:pPr>
            <w:r>
              <w:rPr>
                <w:b/>
                <w:noProof/>
                <w:sz w:val="20"/>
              </w:rPr>
              <w:t>Navesti ciljeve i neposredne rezultate</w:t>
            </w:r>
            <w:r>
              <w:rPr>
                <w:rStyle w:val="FootnoteReference"/>
                <w:b/>
                <w:noProof/>
                <w:sz w:val="20"/>
              </w:rPr>
              <w:footnoteReference w:id="65"/>
            </w:r>
          </w:p>
          <w:p w:rsidR="006C0808" w:rsidRDefault="00E3601E">
            <w:pPr>
              <w:keepNext/>
              <w:keepLines/>
              <w:widowControl w:val="0"/>
              <w:ind w:right="-29"/>
              <w:jc w:val="center"/>
              <w:rPr>
                <w:noProof/>
                <w:sz w:val="20"/>
                <w:szCs w:val="20"/>
              </w:rPr>
            </w:pPr>
            <w:r>
              <w:rPr>
                <w:noProof/>
                <w:sz w:val="20"/>
                <w:szCs w:val="20"/>
              </w:rPr>
              <w:sym w:font="Wingdings" w:char="F0F2"/>
            </w:r>
          </w:p>
        </w:tc>
        <w:tc>
          <w:tcPr>
            <w:tcW w:w="675" w:type="pct"/>
            <w:vAlign w:val="center"/>
          </w:tcPr>
          <w:p w:rsidR="006C0808" w:rsidRDefault="00E3601E">
            <w:pPr>
              <w:keepNext/>
              <w:keepLines/>
              <w:widowControl w:val="0"/>
              <w:ind w:right="-29"/>
              <w:jc w:val="center"/>
              <w:rPr>
                <w:noProof/>
                <w:sz w:val="20"/>
                <w:szCs w:val="20"/>
              </w:rPr>
            </w:pPr>
            <w:r>
              <w:rPr>
                <w:noProof/>
                <w:sz w:val="20"/>
              </w:rPr>
              <w:t>Godina</w:t>
            </w:r>
            <w:r>
              <w:rPr>
                <w:noProof/>
                <w:sz w:val="20"/>
                <w:szCs w:val="20"/>
              </w:rPr>
              <w:br/>
            </w:r>
            <w:r>
              <w:rPr>
                <w:b/>
                <w:noProof/>
                <w:sz w:val="20"/>
              </w:rPr>
              <w:t>2019.</w:t>
            </w:r>
          </w:p>
        </w:tc>
        <w:tc>
          <w:tcPr>
            <w:tcW w:w="675" w:type="pct"/>
            <w:vAlign w:val="center"/>
          </w:tcPr>
          <w:p w:rsidR="006C0808" w:rsidRDefault="00E3601E">
            <w:pPr>
              <w:keepNext/>
              <w:keepLines/>
              <w:widowControl w:val="0"/>
              <w:ind w:right="-29"/>
              <w:jc w:val="center"/>
              <w:rPr>
                <w:noProof/>
                <w:sz w:val="20"/>
                <w:szCs w:val="20"/>
              </w:rPr>
            </w:pPr>
            <w:r>
              <w:rPr>
                <w:noProof/>
                <w:sz w:val="20"/>
              </w:rPr>
              <w:t>Godina</w:t>
            </w:r>
            <w:r>
              <w:rPr>
                <w:noProof/>
                <w:sz w:val="20"/>
                <w:szCs w:val="20"/>
              </w:rPr>
              <w:br/>
            </w:r>
            <w:r>
              <w:rPr>
                <w:b/>
                <w:noProof/>
                <w:sz w:val="20"/>
              </w:rPr>
              <w:t>2020.</w:t>
            </w:r>
          </w:p>
        </w:tc>
        <w:tc>
          <w:tcPr>
            <w:tcW w:w="674" w:type="pct"/>
            <w:tcBorders>
              <w:left w:val="single" w:sz="4" w:space="0" w:color="auto"/>
              <w:bottom w:val="nil"/>
            </w:tcBorders>
            <w:vAlign w:val="center"/>
          </w:tcPr>
          <w:p w:rsidR="006C0808" w:rsidRDefault="00E3601E">
            <w:pPr>
              <w:keepNext/>
              <w:keepLines/>
              <w:widowControl w:val="0"/>
              <w:ind w:right="-29"/>
              <w:jc w:val="center"/>
              <w:rPr>
                <w:b/>
                <w:noProof/>
                <w:sz w:val="20"/>
                <w:szCs w:val="20"/>
              </w:rPr>
            </w:pPr>
            <w:r>
              <w:rPr>
                <w:b/>
                <w:noProof/>
                <w:sz w:val="20"/>
              </w:rPr>
              <w:t>UKUPNO</w:t>
            </w:r>
          </w:p>
          <w:p w:rsidR="006C0808" w:rsidRDefault="00E3601E">
            <w:pPr>
              <w:keepNext/>
              <w:keepLines/>
              <w:widowControl w:val="0"/>
              <w:ind w:right="-29"/>
              <w:jc w:val="center"/>
              <w:rPr>
                <w:noProof/>
                <w:sz w:val="20"/>
                <w:szCs w:val="20"/>
              </w:rPr>
            </w:pPr>
            <w:r>
              <w:rPr>
                <w:b/>
                <w:noProof/>
                <w:sz w:val="20"/>
              </w:rPr>
              <w:t>2019. – 2020.</w:t>
            </w:r>
          </w:p>
        </w:tc>
      </w:tr>
      <w:tr w:rsidR="006C0808">
        <w:trPr>
          <w:trHeight w:val="425"/>
          <w:jc w:val="center"/>
        </w:trPr>
        <w:tc>
          <w:tcPr>
            <w:tcW w:w="2975" w:type="pct"/>
            <w:vAlign w:val="bottom"/>
          </w:tcPr>
          <w:p w:rsidR="006C0808" w:rsidRDefault="00E3601E">
            <w:pPr>
              <w:keepNext/>
              <w:keepLines/>
              <w:widowControl w:val="0"/>
              <w:rPr>
                <w:b/>
                <w:bCs/>
                <w:noProof/>
                <w:sz w:val="20"/>
                <w:szCs w:val="20"/>
              </w:rPr>
            </w:pPr>
            <w:r>
              <w:rPr>
                <w:b/>
                <w:noProof/>
                <w:sz w:val="20"/>
              </w:rPr>
              <w:t xml:space="preserve">Posebne aktivnosti </w:t>
            </w:r>
          </w:p>
        </w:tc>
        <w:tc>
          <w:tcPr>
            <w:tcW w:w="675" w:type="pct"/>
            <w:vAlign w:val="center"/>
          </w:tcPr>
          <w:p w:rsidR="006C0808" w:rsidRDefault="006C0808">
            <w:pPr>
              <w:keepNext/>
              <w:keepLines/>
              <w:widowControl w:val="0"/>
              <w:jc w:val="right"/>
              <w:rPr>
                <w:noProof/>
                <w:sz w:val="20"/>
                <w:szCs w:val="20"/>
              </w:rPr>
            </w:pPr>
          </w:p>
        </w:tc>
        <w:tc>
          <w:tcPr>
            <w:tcW w:w="675" w:type="pct"/>
            <w:vAlign w:val="center"/>
          </w:tcPr>
          <w:p w:rsidR="006C0808" w:rsidRDefault="006C0808">
            <w:pPr>
              <w:keepNext/>
              <w:keepLines/>
              <w:widowControl w:val="0"/>
              <w:jc w:val="right"/>
              <w:rPr>
                <w:noProof/>
                <w:sz w:val="20"/>
                <w:szCs w:val="20"/>
              </w:rPr>
            </w:pPr>
          </w:p>
        </w:tc>
        <w:tc>
          <w:tcPr>
            <w:tcW w:w="674" w:type="pct"/>
            <w:tcBorders>
              <w:left w:val="single" w:sz="4" w:space="0" w:color="auto"/>
              <w:bottom w:val="nil"/>
            </w:tcBorders>
            <w:vAlign w:val="center"/>
          </w:tcPr>
          <w:p w:rsidR="006C0808" w:rsidRDefault="006C0808">
            <w:pPr>
              <w:keepNext/>
              <w:keepLines/>
              <w:widowControl w:val="0"/>
              <w:jc w:val="right"/>
              <w:rPr>
                <w:noProof/>
                <w:sz w:val="20"/>
                <w:szCs w:val="20"/>
              </w:rPr>
            </w:pPr>
          </w:p>
        </w:tc>
      </w:tr>
      <w:tr w:rsidR="006C0808">
        <w:trPr>
          <w:jc w:val="center"/>
        </w:trPr>
        <w:tc>
          <w:tcPr>
            <w:tcW w:w="2975" w:type="pct"/>
            <w:vAlign w:val="bottom"/>
          </w:tcPr>
          <w:p w:rsidR="006C0808" w:rsidRDefault="00E3601E">
            <w:pPr>
              <w:keepNext/>
              <w:keepLines/>
              <w:widowControl w:val="0"/>
              <w:rPr>
                <w:noProof/>
                <w:sz w:val="20"/>
                <w:szCs w:val="20"/>
              </w:rPr>
            </w:pPr>
            <w:r>
              <w:rPr>
                <w:noProof/>
                <w:sz w:val="20"/>
              </w:rPr>
              <w:t xml:space="preserve">Prednormativne zadaće i obvezujuće ovlasti </w:t>
            </w:r>
          </w:p>
        </w:tc>
        <w:tc>
          <w:tcPr>
            <w:tcW w:w="675" w:type="pct"/>
            <w:vAlign w:val="bottom"/>
          </w:tcPr>
          <w:p w:rsidR="006C0808" w:rsidRDefault="00E3601E">
            <w:pPr>
              <w:jc w:val="center"/>
              <w:rPr>
                <w:noProof/>
                <w:sz w:val="20"/>
                <w:szCs w:val="20"/>
              </w:rPr>
            </w:pPr>
            <w:r>
              <w:rPr>
                <w:noProof/>
                <w:sz w:val="20"/>
              </w:rPr>
              <w:t>0,226</w:t>
            </w:r>
          </w:p>
        </w:tc>
        <w:tc>
          <w:tcPr>
            <w:tcW w:w="675" w:type="pct"/>
            <w:vAlign w:val="bottom"/>
          </w:tcPr>
          <w:p w:rsidR="006C0808" w:rsidRDefault="00E3601E">
            <w:pPr>
              <w:jc w:val="center"/>
              <w:rPr>
                <w:noProof/>
                <w:sz w:val="20"/>
                <w:szCs w:val="20"/>
              </w:rPr>
            </w:pPr>
            <w:r>
              <w:rPr>
                <w:noProof/>
                <w:sz w:val="20"/>
              </w:rPr>
              <w:t>0,309</w:t>
            </w:r>
          </w:p>
        </w:tc>
        <w:tc>
          <w:tcPr>
            <w:tcW w:w="674" w:type="pct"/>
            <w:tcBorders>
              <w:left w:val="single" w:sz="4" w:space="0" w:color="auto"/>
              <w:bottom w:val="nil"/>
            </w:tcBorders>
            <w:shd w:val="clear" w:color="auto" w:fill="auto"/>
            <w:vAlign w:val="bottom"/>
          </w:tcPr>
          <w:p w:rsidR="006C0808" w:rsidRDefault="00E3601E">
            <w:pPr>
              <w:jc w:val="center"/>
              <w:rPr>
                <w:b/>
                <w:noProof/>
                <w:sz w:val="20"/>
                <w:szCs w:val="20"/>
              </w:rPr>
            </w:pPr>
            <w:r>
              <w:rPr>
                <w:b/>
                <w:noProof/>
                <w:sz w:val="20"/>
              </w:rPr>
              <w:t>0,535</w:t>
            </w:r>
          </w:p>
        </w:tc>
      </w:tr>
      <w:tr w:rsidR="006C0808">
        <w:trPr>
          <w:jc w:val="center"/>
        </w:trPr>
        <w:tc>
          <w:tcPr>
            <w:tcW w:w="2975" w:type="pct"/>
            <w:vAlign w:val="bottom"/>
          </w:tcPr>
          <w:p w:rsidR="006C0808" w:rsidRDefault="00E3601E">
            <w:pPr>
              <w:keepNext/>
              <w:keepLines/>
              <w:widowControl w:val="0"/>
              <w:rPr>
                <w:noProof/>
                <w:sz w:val="20"/>
                <w:szCs w:val="20"/>
              </w:rPr>
            </w:pPr>
            <w:r>
              <w:rPr>
                <w:noProof/>
                <w:sz w:val="20"/>
              </w:rPr>
              <w:t xml:space="preserve">Regulatorne smjernice </w:t>
            </w:r>
          </w:p>
        </w:tc>
        <w:tc>
          <w:tcPr>
            <w:tcW w:w="675" w:type="pct"/>
            <w:vAlign w:val="bottom"/>
          </w:tcPr>
          <w:p w:rsidR="006C0808" w:rsidRDefault="00E3601E">
            <w:pPr>
              <w:jc w:val="center"/>
              <w:rPr>
                <w:noProof/>
                <w:sz w:val="20"/>
                <w:szCs w:val="20"/>
              </w:rPr>
            </w:pPr>
            <w:r>
              <w:rPr>
                <w:noProof/>
                <w:sz w:val="20"/>
              </w:rPr>
              <w:t>0,698</w:t>
            </w:r>
          </w:p>
        </w:tc>
        <w:tc>
          <w:tcPr>
            <w:tcW w:w="675" w:type="pct"/>
            <w:vAlign w:val="bottom"/>
          </w:tcPr>
          <w:p w:rsidR="006C0808" w:rsidRDefault="00E3601E">
            <w:pPr>
              <w:jc w:val="center"/>
              <w:rPr>
                <w:noProof/>
                <w:sz w:val="20"/>
                <w:szCs w:val="20"/>
              </w:rPr>
            </w:pPr>
            <w:r>
              <w:rPr>
                <w:noProof/>
                <w:sz w:val="20"/>
              </w:rPr>
              <w:t>0,956</w:t>
            </w:r>
          </w:p>
        </w:tc>
        <w:tc>
          <w:tcPr>
            <w:tcW w:w="674" w:type="pct"/>
            <w:tcBorders>
              <w:left w:val="single" w:sz="4" w:space="0" w:color="auto"/>
              <w:bottom w:val="nil"/>
            </w:tcBorders>
            <w:shd w:val="clear" w:color="auto" w:fill="auto"/>
            <w:vAlign w:val="bottom"/>
          </w:tcPr>
          <w:p w:rsidR="006C0808" w:rsidRDefault="00E3601E">
            <w:pPr>
              <w:jc w:val="center"/>
              <w:rPr>
                <w:b/>
                <w:noProof/>
                <w:sz w:val="20"/>
                <w:szCs w:val="20"/>
              </w:rPr>
            </w:pPr>
            <w:r>
              <w:rPr>
                <w:b/>
                <w:noProof/>
                <w:sz w:val="20"/>
              </w:rPr>
              <w:t>1,654</w:t>
            </w:r>
          </w:p>
        </w:tc>
      </w:tr>
      <w:tr w:rsidR="006C0808">
        <w:trPr>
          <w:jc w:val="center"/>
        </w:trPr>
        <w:tc>
          <w:tcPr>
            <w:tcW w:w="2975" w:type="pct"/>
            <w:vAlign w:val="bottom"/>
          </w:tcPr>
          <w:p w:rsidR="006C0808" w:rsidRDefault="00E3601E">
            <w:pPr>
              <w:keepNext/>
              <w:keepLines/>
              <w:widowControl w:val="0"/>
              <w:rPr>
                <w:noProof/>
                <w:sz w:val="20"/>
                <w:szCs w:val="20"/>
              </w:rPr>
            </w:pPr>
            <w:r>
              <w:rPr>
                <w:noProof/>
                <w:sz w:val="20"/>
              </w:rPr>
              <w:t xml:space="preserve">Pregled tržišta </w:t>
            </w:r>
          </w:p>
        </w:tc>
        <w:tc>
          <w:tcPr>
            <w:tcW w:w="675" w:type="pct"/>
            <w:vAlign w:val="bottom"/>
          </w:tcPr>
          <w:p w:rsidR="006C0808" w:rsidRDefault="00E3601E">
            <w:pPr>
              <w:jc w:val="center"/>
              <w:rPr>
                <w:noProof/>
                <w:sz w:val="20"/>
                <w:szCs w:val="20"/>
              </w:rPr>
            </w:pPr>
            <w:r>
              <w:rPr>
                <w:noProof/>
                <w:sz w:val="20"/>
              </w:rPr>
              <w:t>0,103</w:t>
            </w:r>
          </w:p>
        </w:tc>
        <w:tc>
          <w:tcPr>
            <w:tcW w:w="675" w:type="pct"/>
            <w:vAlign w:val="bottom"/>
          </w:tcPr>
          <w:p w:rsidR="006C0808" w:rsidRDefault="00E3601E">
            <w:pPr>
              <w:jc w:val="center"/>
              <w:rPr>
                <w:noProof/>
                <w:sz w:val="20"/>
                <w:szCs w:val="20"/>
              </w:rPr>
            </w:pPr>
            <w:r>
              <w:rPr>
                <w:noProof/>
                <w:sz w:val="20"/>
              </w:rPr>
              <w:t>0,141</w:t>
            </w:r>
          </w:p>
        </w:tc>
        <w:tc>
          <w:tcPr>
            <w:tcW w:w="674" w:type="pct"/>
            <w:tcBorders>
              <w:left w:val="single" w:sz="4" w:space="0" w:color="auto"/>
              <w:bottom w:val="nil"/>
            </w:tcBorders>
            <w:shd w:val="clear" w:color="auto" w:fill="auto"/>
            <w:vAlign w:val="bottom"/>
          </w:tcPr>
          <w:p w:rsidR="006C0808" w:rsidRDefault="00E3601E">
            <w:pPr>
              <w:jc w:val="center"/>
              <w:rPr>
                <w:b/>
                <w:noProof/>
                <w:sz w:val="20"/>
                <w:szCs w:val="20"/>
              </w:rPr>
            </w:pPr>
            <w:r>
              <w:rPr>
                <w:b/>
                <w:noProof/>
                <w:sz w:val="20"/>
              </w:rPr>
              <w:t>0,244</w:t>
            </w:r>
          </w:p>
        </w:tc>
      </w:tr>
      <w:tr w:rsidR="006C0808">
        <w:trPr>
          <w:jc w:val="center"/>
        </w:trPr>
        <w:tc>
          <w:tcPr>
            <w:tcW w:w="2975" w:type="pct"/>
            <w:vAlign w:val="bottom"/>
          </w:tcPr>
          <w:p w:rsidR="006C0808" w:rsidRDefault="00E3601E">
            <w:pPr>
              <w:keepNext/>
              <w:keepLines/>
              <w:widowControl w:val="0"/>
              <w:rPr>
                <w:noProof/>
                <w:sz w:val="20"/>
                <w:szCs w:val="20"/>
              </w:rPr>
            </w:pPr>
            <w:r>
              <w:rPr>
                <w:noProof/>
                <w:sz w:val="20"/>
              </w:rPr>
              <w:t xml:space="preserve">Stručni pregled radiofrekvencijskog spektra </w:t>
            </w:r>
          </w:p>
        </w:tc>
        <w:tc>
          <w:tcPr>
            <w:tcW w:w="675" w:type="pct"/>
            <w:vAlign w:val="bottom"/>
          </w:tcPr>
          <w:p w:rsidR="006C0808" w:rsidRDefault="00E3601E">
            <w:pPr>
              <w:jc w:val="center"/>
              <w:rPr>
                <w:noProof/>
                <w:sz w:val="20"/>
                <w:szCs w:val="20"/>
              </w:rPr>
            </w:pPr>
            <w:r>
              <w:rPr>
                <w:noProof/>
                <w:sz w:val="20"/>
              </w:rPr>
              <w:t>0,041</w:t>
            </w:r>
          </w:p>
        </w:tc>
        <w:tc>
          <w:tcPr>
            <w:tcW w:w="675" w:type="pct"/>
            <w:vAlign w:val="bottom"/>
          </w:tcPr>
          <w:p w:rsidR="006C0808" w:rsidRDefault="00E3601E">
            <w:pPr>
              <w:jc w:val="center"/>
              <w:rPr>
                <w:noProof/>
                <w:sz w:val="20"/>
                <w:szCs w:val="20"/>
              </w:rPr>
            </w:pPr>
            <w:r>
              <w:rPr>
                <w:noProof/>
                <w:sz w:val="20"/>
              </w:rPr>
              <w:t>0,056</w:t>
            </w:r>
          </w:p>
        </w:tc>
        <w:tc>
          <w:tcPr>
            <w:tcW w:w="674" w:type="pct"/>
            <w:tcBorders>
              <w:left w:val="single" w:sz="4" w:space="0" w:color="auto"/>
              <w:bottom w:val="nil"/>
            </w:tcBorders>
            <w:shd w:val="clear" w:color="auto" w:fill="auto"/>
            <w:vAlign w:val="bottom"/>
          </w:tcPr>
          <w:p w:rsidR="006C0808" w:rsidRDefault="00E3601E">
            <w:pPr>
              <w:jc w:val="center"/>
              <w:rPr>
                <w:b/>
                <w:noProof/>
                <w:sz w:val="20"/>
                <w:szCs w:val="20"/>
              </w:rPr>
            </w:pPr>
            <w:r>
              <w:rPr>
                <w:b/>
                <w:noProof/>
                <w:sz w:val="20"/>
              </w:rPr>
              <w:t>0,097</w:t>
            </w:r>
          </w:p>
        </w:tc>
      </w:tr>
      <w:tr w:rsidR="006C0808">
        <w:trPr>
          <w:jc w:val="center"/>
        </w:trPr>
        <w:tc>
          <w:tcPr>
            <w:tcW w:w="2975" w:type="pct"/>
            <w:vAlign w:val="bottom"/>
          </w:tcPr>
          <w:p w:rsidR="006C0808" w:rsidRDefault="00E3601E">
            <w:pPr>
              <w:keepNext/>
              <w:keepLines/>
              <w:widowControl w:val="0"/>
              <w:rPr>
                <w:noProof/>
                <w:sz w:val="20"/>
                <w:szCs w:val="20"/>
              </w:rPr>
            </w:pPr>
            <w:r>
              <w:rPr>
                <w:noProof/>
                <w:sz w:val="20"/>
              </w:rPr>
              <w:t xml:space="preserve">Funkcije vođenja registara </w:t>
            </w:r>
          </w:p>
        </w:tc>
        <w:tc>
          <w:tcPr>
            <w:tcW w:w="675" w:type="pct"/>
            <w:vAlign w:val="bottom"/>
          </w:tcPr>
          <w:p w:rsidR="006C0808" w:rsidRDefault="00E3601E">
            <w:pPr>
              <w:jc w:val="center"/>
              <w:rPr>
                <w:noProof/>
                <w:sz w:val="20"/>
                <w:szCs w:val="20"/>
              </w:rPr>
            </w:pPr>
            <w:r>
              <w:rPr>
                <w:noProof/>
                <w:sz w:val="20"/>
              </w:rPr>
              <w:t>0,021</w:t>
            </w:r>
          </w:p>
        </w:tc>
        <w:tc>
          <w:tcPr>
            <w:tcW w:w="675" w:type="pct"/>
            <w:vAlign w:val="bottom"/>
          </w:tcPr>
          <w:p w:rsidR="006C0808" w:rsidRDefault="00E3601E">
            <w:pPr>
              <w:jc w:val="center"/>
              <w:rPr>
                <w:noProof/>
                <w:sz w:val="20"/>
                <w:szCs w:val="20"/>
              </w:rPr>
            </w:pPr>
            <w:r>
              <w:rPr>
                <w:noProof/>
                <w:sz w:val="20"/>
              </w:rPr>
              <w:t>0,028</w:t>
            </w:r>
          </w:p>
        </w:tc>
        <w:tc>
          <w:tcPr>
            <w:tcW w:w="674" w:type="pct"/>
            <w:tcBorders>
              <w:left w:val="single" w:sz="4" w:space="0" w:color="auto"/>
              <w:bottom w:val="nil"/>
            </w:tcBorders>
            <w:shd w:val="clear" w:color="auto" w:fill="auto"/>
            <w:vAlign w:val="bottom"/>
          </w:tcPr>
          <w:p w:rsidR="006C0808" w:rsidRDefault="00E3601E">
            <w:pPr>
              <w:jc w:val="center"/>
              <w:rPr>
                <w:b/>
                <w:noProof/>
                <w:sz w:val="20"/>
                <w:szCs w:val="20"/>
              </w:rPr>
            </w:pPr>
            <w:r>
              <w:rPr>
                <w:b/>
                <w:noProof/>
                <w:sz w:val="20"/>
              </w:rPr>
              <w:t>0,049</w:t>
            </w:r>
          </w:p>
        </w:tc>
      </w:tr>
      <w:tr w:rsidR="006C0808">
        <w:trPr>
          <w:jc w:val="center"/>
        </w:trPr>
        <w:tc>
          <w:tcPr>
            <w:tcW w:w="2975" w:type="pct"/>
            <w:vAlign w:val="bottom"/>
          </w:tcPr>
          <w:p w:rsidR="006C0808" w:rsidRDefault="00E3601E">
            <w:pPr>
              <w:keepNext/>
              <w:keepLines/>
              <w:widowControl w:val="0"/>
              <w:rPr>
                <w:b/>
                <w:bCs/>
                <w:noProof/>
                <w:sz w:val="20"/>
                <w:szCs w:val="20"/>
              </w:rPr>
            </w:pPr>
            <w:r>
              <w:rPr>
                <w:b/>
                <w:noProof/>
                <w:sz w:val="20"/>
              </w:rPr>
              <w:t xml:space="preserve">Horizontalne aktivnosti </w:t>
            </w:r>
          </w:p>
        </w:tc>
        <w:tc>
          <w:tcPr>
            <w:tcW w:w="675" w:type="pct"/>
            <w:vAlign w:val="bottom"/>
          </w:tcPr>
          <w:p w:rsidR="006C0808" w:rsidRDefault="006C0808">
            <w:pPr>
              <w:jc w:val="center"/>
              <w:rPr>
                <w:noProof/>
                <w:sz w:val="20"/>
                <w:szCs w:val="20"/>
              </w:rPr>
            </w:pPr>
          </w:p>
        </w:tc>
        <w:tc>
          <w:tcPr>
            <w:tcW w:w="675" w:type="pct"/>
            <w:vAlign w:val="center"/>
          </w:tcPr>
          <w:p w:rsidR="006C0808" w:rsidRDefault="006C0808">
            <w:pPr>
              <w:keepNext/>
              <w:keepLines/>
              <w:widowControl w:val="0"/>
              <w:jc w:val="right"/>
              <w:rPr>
                <w:noProof/>
                <w:sz w:val="20"/>
                <w:szCs w:val="20"/>
              </w:rPr>
            </w:pPr>
          </w:p>
        </w:tc>
        <w:tc>
          <w:tcPr>
            <w:tcW w:w="674" w:type="pct"/>
            <w:tcBorders>
              <w:left w:val="single" w:sz="4" w:space="0" w:color="auto"/>
              <w:bottom w:val="nil"/>
            </w:tcBorders>
            <w:shd w:val="clear" w:color="auto" w:fill="auto"/>
            <w:vAlign w:val="center"/>
          </w:tcPr>
          <w:p w:rsidR="006C0808" w:rsidRDefault="006C0808">
            <w:pPr>
              <w:keepNext/>
              <w:keepLines/>
              <w:widowControl w:val="0"/>
              <w:jc w:val="right"/>
              <w:rPr>
                <w:b/>
                <w:noProof/>
                <w:sz w:val="20"/>
                <w:szCs w:val="20"/>
              </w:rPr>
            </w:pPr>
          </w:p>
        </w:tc>
      </w:tr>
      <w:tr w:rsidR="006C0808">
        <w:trPr>
          <w:jc w:val="center"/>
        </w:trPr>
        <w:tc>
          <w:tcPr>
            <w:tcW w:w="2975" w:type="pct"/>
            <w:vAlign w:val="bottom"/>
          </w:tcPr>
          <w:p w:rsidR="006C0808" w:rsidRDefault="00E3601E">
            <w:pPr>
              <w:keepNext/>
              <w:keepLines/>
              <w:widowControl w:val="0"/>
              <w:rPr>
                <w:noProof/>
                <w:sz w:val="20"/>
                <w:szCs w:val="20"/>
              </w:rPr>
            </w:pPr>
            <w:r>
              <w:rPr>
                <w:noProof/>
                <w:sz w:val="20"/>
              </w:rPr>
              <w:t xml:space="preserve">Aktivnosti Upravnog odbora </w:t>
            </w:r>
          </w:p>
        </w:tc>
        <w:tc>
          <w:tcPr>
            <w:tcW w:w="675" w:type="pct"/>
            <w:vAlign w:val="bottom"/>
          </w:tcPr>
          <w:p w:rsidR="006C0808" w:rsidRDefault="00E3601E">
            <w:pPr>
              <w:jc w:val="center"/>
              <w:rPr>
                <w:noProof/>
                <w:sz w:val="20"/>
                <w:szCs w:val="20"/>
              </w:rPr>
            </w:pPr>
            <w:r>
              <w:rPr>
                <w:noProof/>
                <w:sz w:val="20"/>
              </w:rPr>
              <w:t>0,308</w:t>
            </w:r>
          </w:p>
        </w:tc>
        <w:tc>
          <w:tcPr>
            <w:tcW w:w="675" w:type="pct"/>
            <w:vAlign w:val="bottom"/>
          </w:tcPr>
          <w:p w:rsidR="006C0808" w:rsidRDefault="00E3601E">
            <w:pPr>
              <w:jc w:val="center"/>
              <w:rPr>
                <w:noProof/>
                <w:sz w:val="20"/>
                <w:szCs w:val="20"/>
              </w:rPr>
            </w:pPr>
            <w:r>
              <w:rPr>
                <w:noProof/>
                <w:sz w:val="20"/>
              </w:rPr>
              <w:t>0,422</w:t>
            </w:r>
          </w:p>
        </w:tc>
        <w:tc>
          <w:tcPr>
            <w:tcW w:w="674" w:type="pct"/>
            <w:tcBorders>
              <w:left w:val="single" w:sz="4" w:space="0" w:color="auto"/>
              <w:bottom w:val="nil"/>
            </w:tcBorders>
            <w:shd w:val="clear" w:color="auto" w:fill="auto"/>
            <w:vAlign w:val="bottom"/>
          </w:tcPr>
          <w:p w:rsidR="006C0808" w:rsidRDefault="00E3601E">
            <w:pPr>
              <w:jc w:val="center"/>
              <w:rPr>
                <w:b/>
                <w:noProof/>
                <w:sz w:val="20"/>
                <w:szCs w:val="20"/>
              </w:rPr>
            </w:pPr>
            <w:r>
              <w:rPr>
                <w:b/>
                <w:noProof/>
                <w:sz w:val="20"/>
              </w:rPr>
              <w:t>0,730</w:t>
            </w:r>
          </w:p>
        </w:tc>
      </w:tr>
      <w:tr w:rsidR="006C0808">
        <w:trPr>
          <w:jc w:val="center"/>
        </w:trPr>
        <w:tc>
          <w:tcPr>
            <w:tcW w:w="2975" w:type="pct"/>
            <w:vAlign w:val="bottom"/>
          </w:tcPr>
          <w:p w:rsidR="006C0808" w:rsidRDefault="00E3601E">
            <w:pPr>
              <w:keepNext/>
              <w:keepLines/>
              <w:widowControl w:val="0"/>
              <w:rPr>
                <w:noProof/>
                <w:sz w:val="20"/>
                <w:szCs w:val="20"/>
              </w:rPr>
            </w:pPr>
            <w:r>
              <w:rPr>
                <w:noProof/>
                <w:sz w:val="20"/>
              </w:rPr>
              <w:t xml:space="preserve">Pružanje pomoći i davanje savjeta Komisiji i ostalim institucijama EU-a </w:t>
            </w:r>
          </w:p>
        </w:tc>
        <w:tc>
          <w:tcPr>
            <w:tcW w:w="675" w:type="pct"/>
            <w:vAlign w:val="bottom"/>
          </w:tcPr>
          <w:p w:rsidR="006C0808" w:rsidRDefault="00E3601E">
            <w:pPr>
              <w:jc w:val="center"/>
              <w:rPr>
                <w:noProof/>
                <w:sz w:val="20"/>
                <w:szCs w:val="20"/>
              </w:rPr>
            </w:pPr>
            <w:r>
              <w:rPr>
                <w:noProof/>
                <w:sz w:val="20"/>
              </w:rPr>
              <w:t>0,410</w:t>
            </w:r>
          </w:p>
        </w:tc>
        <w:tc>
          <w:tcPr>
            <w:tcW w:w="675" w:type="pct"/>
            <w:vAlign w:val="bottom"/>
          </w:tcPr>
          <w:p w:rsidR="006C0808" w:rsidRDefault="00E3601E">
            <w:pPr>
              <w:jc w:val="center"/>
              <w:rPr>
                <w:noProof/>
                <w:sz w:val="20"/>
                <w:szCs w:val="20"/>
              </w:rPr>
            </w:pPr>
            <w:r>
              <w:rPr>
                <w:noProof/>
                <w:sz w:val="20"/>
              </w:rPr>
              <w:t>0,563</w:t>
            </w:r>
          </w:p>
        </w:tc>
        <w:tc>
          <w:tcPr>
            <w:tcW w:w="674" w:type="pct"/>
            <w:tcBorders>
              <w:left w:val="single" w:sz="4" w:space="0" w:color="auto"/>
              <w:bottom w:val="nil"/>
            </w:tcBorders>
            <w:shd w:val="clear" w:color="auto" w:fill="auto"/>
            <w:vAlign w:val="bottom"/>
          </w:tcPr>
          <w:p w:rsidR="006C0808" w:rsidRDefault="00E3601E">
            <w:pPr>
              <w:jc w:val="center"/>
              <w:rPr>
                <w:b/>
                <w:noProof/>
                <w:sz w:val="20"/>
                <w:szCs w:val="20"/>
              </w:rPr>
            </w:pPr>
            <w:r>
              <w:rPr>
                <w:b/>
                <w:noProof/>
                <w:sz w:val="20"/>
              </w:rPr>
              <w:t>0,973</w:t>
            </w:r>
          </w:p>
        </w:tc>
      </w:tr>
      <w:tr w:rsidR="006C0808">
        <w:trPr>
          <w:jc w:val="center"/>
        </w:trPr>
        <w:tc>
          <w:tcPr>
            <w:tcW w:w="2975" w:type="pct"/>
            <w:vAlign w:val="bottom"/>
          </w:tcPr>
          <w:p w:rsidR="006C0808" w:rsidRDefault="00E3601E">
            <w:pPr>
              <w:keepNext/>
              <w:keepLines/>
              <w:widowControl w:val="0"/>
              <w:rPr>
                <w:noProof/>
                <w:sz w:val="20"/>
                <w:szCs w:val="20"/>
              </w:rPr>
            </w:pPr>
            <w:r>
              <w:rPr>
                <w:noProof/>
                <w:sz w:val="20"/>
              </w:rPr>
              <w:t xml:space="preserve">Pružanje potpore i pomoći nacionalnim regulatornim tijelima </w:t>
            </w:r>
          </w:p>
        </w:tc>
        <w:tc>
          <w:tcPr>
            <w:tcW w:w="675" w:type="pct"/>
            <w:vAlign w:val="bottom"/>
          </w:tcPr>
          <w:p w:rsidR="006C0808" w:rsidRDefault="00E3601E">
            <w:pPr>
              <w:jc w:val="center"/>
              <w:rPr>
                <w:noProof/>
                <w:sz w:val="20"/>
                <w:szCs w:val="20"/>
              </w:rPr>
            </w:pPr>
            <w:r>
              <w:rPr>
                <w:noProof/>
                <w:sz w:val="20"/>
              </w:rPr>
              <w:t>0,041</w:t>
            </w:r>
          </w:p>
        </w:tc>
        <w:tc>
          <w:tcPr>
            <w:tcW w:w="675" w:type="pct"/>
            <w:vAlign w:val="bottom"/>
          </w:tcPr>
          <w:p w:rsidR="006C0808" w:rsidRDefault="00E3601E">
            <w:pPr>
              <w:jc w:val="center"/>
              <w:rPr>
                <w:noProof/>
                <w:sz w:val="20"/>
                <w:szCs w:val="20"/>
              </w:rPr>
            </w:pPr>
            <w:r>
              <w:rPr>
                <w:noProof/>
                <w:sz w:val="20"/>
              </w:rPr>
              <w:t>0,056</w:t>
            </w:r>
          </w:p>
        </w:tc>
        <w:tc>
          <w:tcPr>
            <w:tcW w:w="674" w:type="pct"/>
            <w:tcBorders>
              <w:left w:val="single" w:sz="4" w:space="0" w:color="auto"/>
              <w:bottom w:val="nil"/>
            </w:tcBorders>
            <w:shd w:val="clear" w:color="auto" w:fill="auto"/>
            <w:vAlign w:val="bottom"/>
          </w:tcPr>
          <w:p w:rsidR="006C0808" w:rsidRDefault="00E3601E">
            <w:pPr>
              <w:jc w:val="center"/>
              <w:rPr>
                <w:b/>
                <w:noProof/>
                <w:sz w:val="20"/>
                <w:szCs w:val="20"/>
              </w:rPr>
            </w:pPr>
            <w:r>
              <w:rPr>
                <w:b/>
                <w:noProof/>
                <w:sz w:val="20"/>
              </w:rPr>
              <w:t>0,097</w:t>
            </w:r>
          </w:p>
        </w:tc>
      </w:tr>
      <w:tr w:rsidR="006C0808">
        <w:trPr>
          <w:jc w:val="center"/>
        </w:trPr>
        <w:tc>
          <w:tcPr>
            <w:tcW w:w="2975" w:type="pct"/>
            <w:vAlign w:val="center"/>
          </w:tcPr>
          <w:p w:rsidR="006C0808" w:rsidRDefault="00E3601E">
            <w:pPr>
              <w:keepNext/>
              <w:keepLines/>
              <w:widowControl w:val="0"/>
              <w:ind w:right="-29"/>
              <w:rPr>
                <w:noProof/>
                <w:sz w:val="20"/>
                <w:szCs w:val="20"/>
              </w:rPr>
            </w:pPr>
            <w:r>
              <w:rPr>
                <w:noProof/>
                <w:sz w:val="20"/>
              </w:rPr>
              <w:t xml:space="preserve">Međunarodna suradnja </w:t>
            </w:r>
          </w:p>
        </w:tc>
        <w:tc>
          <w:tcPr>
            <w:tcW w:w="675" w:type="pct"/>
            <w:vAlign w:val="bottom"/>
          </w:tcPr>
          <w:p w:rsidR="006C0808" w:rsidRDefault="00E3601E">
            <w:pPr>
              <w:jc w:val="center"/>
              <w:rPr>
                <w:noProof/>
                <w:sz w:val="20"/>
                <w:szCs w:val="20"/>
              </w:rPr>
            </w:pPr>
            <w:r>
              <w:rPr>
                <w:noProof/>
                <w:sz w:val="20"/>
              </w:rPr>
              <w:t>0,144</w:t>
            </w:r>
          </w:p>
        </w:tc>
        <w:tc>
          <w:tcPr>
            <w:tcW w:w="675" w:type="pct"/>
            <w:vAlign w:val="bottom"/>
          </w:tcPr>
          <w:p w:rsidR="006C0808" w:rsidRDefault="00E3601E">
            <w:pPr>
              <w:jc w:val="center"/>
              <w:rPr>
                <w:noProof/>
                <w:sz w:val="20"/>
                <w:szCs w:val="20"/>
              </w:rPr>
            </w:pPr>
            <w:r>
              <w:rPr>
                <w:noProof/>
                <w:sz w:val="20"/>
              </w:rPr>
              <w:t>0,197</w:t>
            </w:r>
          </w:p>
        </w:tc>
        <w:tc>
          <w:tcPr>
            <w:tcW w:w="674" w:type="pct"/>
            <w:tcBorders>
              <w:left w:val="single" w:sz="4" w:space="0" w:color="auto"/>
              <w:bottom w:val="single" w:sz="4" w:space="0" w:color="auto"/>
            </w:tcBorders>
            <w:shd w:val="clear" w:color="auto" w:fill="auto"/>
            <w:vAlign w:val="bottom"/>
          </w:tcPr>
          <w:p w:rsidR="006C0808" w:rsidRDefault="00E3601E">
            <w:pPr>
              <w:jc w:val="center"/>
              <w:rPr>
                <w:b/>
                <w:noProof/>
                <w:sz w:val="20"/>
                <w:szCs w:val="20"/>
              </w:rPr>
            </w:pPr>
            <w:r>
              <w:rPr>
                <w:b/>
                <w:noProof/>
                <w:sz w:val="20"/>
              </w:rPr>
              <w:t>0,341</w:t>
            </w:r>
          </w:p>
        </w:tc>
      </w:tr>
      <w:tr w:rsidR="006C0808">
        <w:trPr>
          <w:jc w:val="center"/>
        </w:trPr>
        <w:tc>
          <w:tcPr>
            <w:tcW w:w="2975" w:type="pct"/>
            <w:vAlign w:val="center"/>
          </w:tcPr>
          <w:p w:rsidR="006C0808" w:rsidRDefault="00E3601E">
            <w:pPr>
              <w:keepNext/>
              <w:keepLines/>
              <w:widowControl w:val="0"/>
              <w:ind w:right="-29"/>
              <w:rPr>
                <w:noProof/>
                <w:sz w:val="20"/>
                <w:szCs w:val="20"/>
              </w:rPr>
            </w:pPr>
            <w:r>
              <w:rPr>
                <w:noProof/>
                <w:sz w:val="20"/>
              </w:rPr>
              <w:t xml:space="preserve">Pružanje regulatornog/stručnog osposobljavanja nacionalnim regulatornim tijelima </w:t>
            </w:r>
          </w:p>
        </w:tc>
        <w:tc>
          <w:tcPr>
            <w:tcW w:w="675" w:type="pct"/>
            <w:vAlign w:val="bottom"/>
          </w:tcPr>
          <w:p w:rsidR="006C0808" w:rsidRDefault="00E3601E">
            <w:pPr>
              <w:jc w:val="center"/>
              <w:rPr>
                <w:noProof/>
                <w:sz w:val="20"/>
                <w:szCs w:val="20"/>
              </w:rPr>
            </w:pPr>
            <w:r>
              <w:rPr>
                <w:noProof/>
                <w:sz w:val="20"/>
              </w:rPr>
              <w:t>0,062</w:t>
            </w:r>
          </w:p>
        </w:tc>
        <w:tc>
          <w:tcPr>
            <w:tcW w:w="675" w:type="pct"/>
            <w:vAlign w:val="bottom"/>
          </w:tcPr>
          <w:p w:rsidR="006C0808" w:rsidRDefault="00E3601E">
            <w:pPr>
              <w:jc w:val="center"/>
              <w:rPr>
                <w:noProof/>
                <w:sz w:val="20"/>
                <w:szCs w:val="20"/>
              </w:rPr>
            </w:pPr>
            <w:r>
              <w:rPr>
                <w:noProof/>
                <w:sz w:val="20"/>
              </w:rPr>
              <w:t>0,084</w:t>
            </w:r>
          </w:p>
        </w:tc>
        <w:tc>
          <w:tcPr>
            <w:tcW w:w="674" w:type="pct"/>
            <w:tcBorders>
              <w:left w:val="single" w:sz="4" w:space="0" w:color="auto"/>
              <w:bottom w:val="single" w:sz="4" w:space="0" w:color="auto"/>
            </w:tcBorders>
            <w:shd w:val="clear" w:color="auto" w:fill="auto"/>
            <w:vAlign w:val="bottom"/>
          </w:tcPr>
          <w:p w:rsidR="006C0808" w:rsidRDefault="00E3601E">
            <w:pPr>
              <w:jc w:val="center"/>
              <w:rPr>
                <w:b/>
                <w:noProof/>
                <w:sz w:val="20"/>
                <w:szCs w:val="20"/>
              </w:rPr>
            </w:pPr>
            <w:r>
              <w:rPr>
                <w:b/>
                <w:noProof/>
                <w:sz w:val="20"/>
              </w:rPr>
              <w:t>0,146</w:t>
            </w:r>
          </w:p>
        </w:tc>
      </w:tr>
      <w:tr w:rsidR="006C0808">
        <w:trPr>
          <w:jc w:val="center"/>
        </w:trPr>
        <w:tc>
          <w:tcPr>
            <w:tcW w:w="2975" w:type="pct"/>
            <w:vAlign w:val="center"/>
          </w:tcPr>
          <w:p w:rsidR="006C0808" w:rsidRDefault="00E3601E">
            <w:pPr>
              <w:keepNext/>
              <w:keepLines/>
              <w:widowControl w:val="0"/>
              <w:ind w:right="-29"/>
              <w:rPr>
                <w:b/>
                <w:noProof/>
                <w:sz w:val="20"/>
                <w:szCs w:val="20"/>
              </w:rPr>
            </w:pPr>
            <w:r>
              <w:rPr>
                <w:b/>
                <w:noProof/>
                <w:sz w:val="20"/>
              </w:rPr>
              <w:t>UKUPNI TROŠAK</w:t>
            </w:r>
          </w:p>
        </w:tc>
        <w:tc>
          <w:tcPr>
            <w:tcW w:w="675" w:type="pct"/>
            <w:vAlign w:val="bottom"/>
          </w:tcPr>
          <w:p w:rsidR="006C0808" w:rsidRDefault="00E3601E">
            <w:pPr>
              <w:jc w:val="center"/>
              <w:rPr>
                <w:b/>
                <w:noProof/>
                <w:sz w:val="20"/>
                <w:szCs w:val="20"/>
              </w:rPr>
            </w:pPr>
            <w:r>
              <w:rPr>
                <w:b/>
                <w:noProof/>
                <w:sz w:val="20"/>
              </w:rPr>
              <w:t>2,054</w:t>
            </w:r>
          </w:p>
        </w:tc>
        <w:tc>
          <w:tcPr>
            <w:tcW w:w="675" w:type="pct"/>
            <w:vAlign w:val="bottom"/>
          </w:tcPr>
          <w:p w:rsidR="006C0808" w:rsidRDefault="00E3601E">
            <w:pPr>
              <w:jc w:val="center"/>
              <w:rPr>
                <w:b/>
                <w:noProof/>
                <w:sz w:val="20"/>
                <w:szCs w:val="20"/>
              </w:rPr>
            </w:pPr>
            <w:r>
              <w:rPr>
                <w:b/>
                <w:noProof/>
                <w:sz w:val="20"/>
              </w:rPr>
              <w:t>2,812</w:t>
            </w:r>
          </w:p>
        </w:tc>
        <w:tc>
          <w:tcPr>
            <w:tcW w:w="674" w:type="pct"/>
            <w:tcBorders>
              <w:left w:val="single" w:sz="4" w:space="0" w:color="auto"/>
              <w:bottom w:val="single" w:sz="4" w:space="0" w:color="auto"/>
            </w:tcBorders>
            <w:shd w:val="clear" w:color="auto" w:fill="auto"/>
            <w:vAlign w:val="center"/>
          </w:tcPr>
          <w:p w:rsidR="006C0808" w:rsidRDefault="00E3601E">
            <w:pPr>
              <w:jc w:val="center"/>
              <w:rPr>
                <w:b/>
                <w:noProof/>
                <w:sz w:val="20"/>
                <w:szCs w:val="20"/>
              </w:rPr>
            </w:pPr>
            <w:r>
              <w:rPr>
                <w:b/>
                <w:noProof/>
                <w:sz w:val="20"/>
              </w:rPr>
              <w:t>4,866</w:t>
            </w:r>
          </w:p>
        </w:tc>
      </w:tr>
    </w:tbl>
    <w:p w:rsidR="006C0808" w:rsidRDefault="006C0808">
      <w:pPr>
        <w:rPr>
          <w:noProof/>
        </w:rPr>
      </w:pPr>
    </w:p>
    <w:p w:rsidR="006C0808" w:rsidRDefault="006C0808">
      <w:pPr>
        <w:rPr>
          <w:noProof/>
          <w:sz w:val="20"/>
          <w:szCs w:val="20"/>
        </w:rPr>
      </w:pPr>
    </w:p>
    <w:p w:rsidR="006C0808" w:rsidRDefault="006C0808">
      <w:pPr>
        <w:keepLines/>
        <w:autoSpaceDE w:val="0"/>
        <w:autoSpaceDN w:val="0"/>
        <w:adjustRightInd w:val="0"/>
        <w:rPr>
          <w:noProof/>
        </w:rPr>
        <w:sectPr w:rsidR="006C0808" w:rsidSect="00E3601E">
          <w:pgSz w:w="16839" w:h="11907" w:orient="landscape" w:code="9"/>
          <w:pgMar w:top="1417" w:right="1417" w:bottom="1417" w:left="1417" w:header="708" w:footer="708" w:gutter="0"/>
          <w:cols w:space="708"/>
          <w:rtlGutter/>
          <w:docGrid w:linePitch="360"/>
        </w:sectPr>
      </w:pPr>
    </w:p>
    <w:p w:rsidR="006C0808" w:rsidRDefault="00E3601E">
      <w:pPr>
        <w:keepLines/>
        <w:autoSpaceDE w:val="0"/>
        <w:autoSpaceDN w:val="0"/>
        <w:adjustRightInd w:val="0"/>
        <w:rPr>
          <w:noProof/>
        </w:rPr>
      </w:pPr>
      <w:r>
        <w:rPr>
          <w:noProof/>
        </w:rPr>
        <w:t xml:space="preserve">BEREC će imati važnu i snažniju ulogu u </w:t>
      </w:r>
      <w:r>
        <w:rPr>
          <w:noProof/>
        </w:rPr>
        <w:t>osiguranju učinkovite provedbe predloženog zakonodavnog paketa uz brojne dodatne zadaće. Navedene su zadaće tehničke prirode i bit će usmjerene na područja u kojima postoji prekogranična dimenzija ili u kojima smjernice BEREC-a mogu pomoći nacionalnim regu</w:t>
      </w:r>
      <w:r>
        <w:rPr>
          <w:noProof/>
        </w:rPr>
        <w:t>latornim tijelima u osiguranju dosljedne provedbe regulatornog okvira za elektroničke komunikacije.</w:t>
      </w:r>
    </w:p>
    <w:p w:rsidR="006C0808" w:rsidRDefault="00E3601E">
      <w:pPr>
        <w:keepLines/>
        <w:autoSpaceDE w:val="0"/>
        <w:autoSpaceDN w:val="0"/>
        <w:adjustRightInd w:val="0"/>
        <w:rPr>
          <w:noProof/>
        </w:rPr>
      </w:pPr>
      <w:r>
        <w:rPr>
          <w:noProof/>
        </w:rPr>
        <w:t>Točnije, BEREC će imati određene prednormativne zadaće (posebno u pogledu izračuna najvećih cijena završavanja poziva) te određene obvezujuće ovlasti jer će</w:t>
      </w:r>
      <w:r>
        <w:rPr>
          <w:noProof/>
        </w:rPr>
        <w:t xml:space="preserve"> donositi odluke o identifikaciji transnacionalnih tržišta te o predlošku sažetka ugovora (te nove zadaće obuhvaćene su stavkom „Prednormativne zadaće i obvezujuće ovlasti” u prethodnoj tablici).</w:t>
      </w:r>
    </w:p>
    <w:p w:rsidR="006C0808" w:rsidRDefault="00E3601E">
      <w:pPr>
        <w:keepLines/>
        <w:autoSpaceDE w:val="0"/>
        <w:autoSpaceDN w:val="0"/>
        <w:adjustRightInd w:val="0"/>
        <w:rPr>
          <w:noProof/>
        </w:rPr>
      </w:pPr>
      <w:r>
        <w:rPr>
          <w:noProof/>
        </w:rPr>
        <w:t>Davat će i smjernice o provedbi obveza nacionalnih regulator</w:t>
      </w:r>
      <w:r>
        <w:rPr>
          <w:noProof/>
        </w:rPr>
        <w:t>nih tijela u pogledu zemljopisnih ispitivanja infrastrukture/ulaganja i o zajedničkim pristupima zadovoljavanju transnacionalne potražnje krajnjih korisnika. Donosit će i smjernice o minimalnim kriterijima za standardnu ponudu, o troškovnim modelima za odr</w:t>
      </w:r>
      <w:r>
        <w:rPr>
          <w:noProof/>
        </w:rPr>
        <w:t>eđivanje cijena završavanja poziva, o zahtjevima za upravljanje brojevnim označavanjem te o relevantnoj kvaliteti parametara usluge i primjenjivim metodama mjerenja. Osim toga, BEREC izvješćuje o mogućoj prijetnji povezivanju s kraja na kraj krajnjih koris</w:t>
      </w:r>
      <w:r>
        <w:rPr>
          <w:noProof/>
        </w:rPr>
        <w:t>nika ili prijetnji učinkovitom pristupu hitnim službama u kontekstu identificiranja potrebe za standardima (te nove zadaće obuhvaćene su stavkom „Regulatorne smjernice”).</w:t>
      </w:r>
    </w:p>
    <w:p w:rsidR="006C0808" w:rsidRDefault="00E3601E">
      <w:pPr>
        <w:keepLines/>
        <w:autoSpaceDE w:val="0"/>
        <w:autoSpaceDN w:val="0"/>
        <w:adjustRightInd w:val="0"/>
        <w:rPr>
          <w:noProof/>
        </w:rPr>
      </w:pPr>
      <w:r>
        <w:rPr>
          <w:noProof/>
        </w:rPr>
        <w:t>Ojačana je uloga BEREC-a u odnosu na postupke unutarnjeg tržišta za regulaciju tržišt</w:t>
      </w:r>
      <w:r>
        <w:rPr>
          <w:noProof/>
        </w:rPr>
        <w:t>a. Mišljenje BEREC-a sad će imati mjerodavnu ulogu kad Komisija bude odlučivala o tome treba li nacionalno regulatorno tijelo povući nacrt regulatorne mjere. Samo u slučajevima u kojima BEREC dijeli ozbiljne sumnje Komisije predlaže se da Komisija može don</w:t>
      </w:r>
      <w:r>
        <w:rPr>
          <w:noProof/>
        </w:rPr>
        <w:t>ijeti odluku kojom od nacionalnog regulatornog tijela traži povlačenje prijavljenih mjera (te nove zadaće obuhvaćene su stavkom „Pregled tržišta”).</w:t>
      </w:r>
    </w:p>
    <w:p w:rsidR="006C0808" w:rsidRDefault="00E3601E">
      <w:pPr>
        <w:keepLines/>
        <w:autoSpaceDE w:val="0"/>
        <w:autoSpaceDN w:val="0"/>
        <w:adjustRightInd w:val="0"/>
        <w:rPr>
          <w:rFonts w:eastAsia="Calibri"/>
          <w:iCs/>
          <w:noProof/>
        </w:rPr>
      </w:pPr>
      <w:r>
        <w:rPr>
          <w:noProof/>
        </w:rPr>
        <w:t>BEREC će biti odgovoran i za novi postupak stručnog pregleda u pogledu postupka dodjele prava upotrebe radio</w:t>
      </w:r>
      <w:r>
        <w:rPr>
          <w:noProof/>
        </w:rPr>
        <w:t>frekvencijskog spektra. To se prvenstveno odnosi na pregled nacionalnih mjera pri dodjeli prava upotrebe radiofrekvencijskog spektra koja mogu utjecati na funkcioniranje bežičnih tržišta ili na drugi način u velikoj mjeri oblikovati vrednovanje resursa rad</w:t>
      </w:r>
      <w:r>
        <w:rPr>
          <w:noProof/>
        </w:rPr>
        <w:t>iofrekvencijskog spektra. BEREC će davati neobvezujuća mišljenja o navedenim nacrtima mjera na temelju tehničke i ekonomske procjene (te nove zadaće obuhvaćene su stavkom „Stručni pregled radiofrekvencijskog spektra”).</w:t>
      </w:r>
    </w:p>
    <w:p w:rsidR="006C0808" w:rsidRDefault="00E3601E">
      <w:pPr>
        <w:keepLines/>
        <w:autoSpaceDE w:val="0"/>
        <w:autoSpaceDN w:val="0"/>
        <w:adjustRightInd w:val="0"/>
        <w:rPr>
          <w:noProof/>
        </w:rPr>
      </w:pPr>
      <w:r>
        <w:rPr>
          <w:noProof/>
        </w:rPr>
        <w:t>BEREC-u će se povjeriti i odgovornost</w:t>
      </w:r>
      <w:r>
        <w:rPr>
          <w:noProof/>
        </w:rPr>
        <w:t xml:space="preserve"> za vođenje registra poduzeća koja pružaju elektroničke komunikacijske mreže i usluge i registra brojeva s pravom izvanteritorijalne upotrebe (te nove zadaće obuhvaćene su stavkom „Funkcije vođenja registara”.</w:t>
      </w:r>
    </w:p>
    <w:p w:rsidR="006C0808" w:rsidRDefault="00E3601E">
      <w:pPr>
        <w:keepLines/>
        <w:autoSpaceDE w:val="0"/>
        <w:autoSpaceDN w:val="0"/>
        <w:adjustRightInd w:val="0"/>
        <w:rPr>
          <w:noProof/>
          <w:szCs w:val="24"/>
        </w:rPr>
      </w:pPr>
      <w:r>
        <w:rPr>
          <w:noProof/>
        </w:rPr>
        <w:t xml:space="preserve">Osim toga, određene zadaće koje su BEREC-u </w:t>
      </w:r>
      <w:r>
        <w:rPr>
          <w:noProof/>
        </w:rPr>
        <w:t>dodijeljene Uredbom br. 531/2012 (Uredba o roamingu) i Uredbom br. 2015/2120 (Uredba o jedinstvenom telekomunikacijskom tržištu), odnosno davanje smjernica o mrežnoj neutralnosti, pružanje podataka za nacrte provedbenih akata Komisije u području roaminga i</w:t>
      </w:r>
      <w:r>
        <w:rPr>
          <w:noProof/>
        </w:rPr>
        <w:t>td., odsad će se izvršavati pod okriljem nove agencije i zahtijevat će određene dodatne resurse</w:t>
      </w:r>
      <w:r>
        <w:rPr>
          <w:rStyle w:val="FootnoteReference"/>
          <w:noProof/>
        </w:rPr>
        <w:footnoteReference w:id="66"/>
      </w:r>
      <w:r>
        <w:rPr>
          <w:noProof/>
        </w:rPr>
        <w:t xml:space="preserve"> (vidjeti stavke „Regulatorne smjernice” i „Pružanje pomoći i davanje savjeta Komisiji i ostalim institucijama EU-a”).</w:t>
      </w:r>
    </w:p>
    <w:p w:rsidR="006C0808" w:rsidRDefault="00E3601E">
      <w:pPr>
        <w:keepLines/>
        <w:autoSpaceDE w:val="0"/>
        <w:autoSpaceDN w:val="0"/>
        <w:adjustRightInd w:val="0"/>
        <w:rPr>
          <w:noProof/>
        </w:rPr>
      </w:pPr>
      <w:r>
        <w:rPr>
          <w:noProof/>
        </w:rPr>
        <w:t>Isto tako, osnivanjem punopravne agencije</w:t>
      </w:r>
      <w:r>
        <w:rPr>
          <w:noProof/>
        </w:rPr>
        <w:t xml:space="preserve"> određene horizontalne aktivnosti, koje trenutačno uglavnom obavlja osoblje nacionalnih regulatornih tijela (primjerice pripreme programa rada BEREC-a, uključujući regulatorne aktivnosti koje trenutačno obavlja osoblje nacionalnog regulatornog tijela preds</w:t>
      </w:r>
      <w:r>
        <w:rPr>
          <w:noProof/>
        </w:rPr>
        <w:t>jednika koji preuzima dužnost, pripreme radnih dogovora za suradnju s tijelima trećih zemalja itd.), u određenoj će se mjeri objediniti u novoj agenciji.</w:t>
      </w:r>
    </w:p>
    <w:p w:rsidR="006C0808" w:rsidRDefault="00E3601E">
      <w:pPr>
        <w:keepLines/>
        <w:autoSpaceDE w:val="0"/>
        <w:autoSpaceDN w:val="0"/>
        <w:adjustRightInd w:val="0"/>
        <w:rPr>
          <w:noProof/>
        </w:rPr>
      </w:pPr>
      <w:r>
        <w:rPr>
          <w:noProof/>
        </w:rPr>
        <w:t>Znatno proširenje zadaća podrazumijeva potrebu za dodjelom dodatnih resursa, uključujući ljudske resur</w:t>
      </w:r>
      <w:r>
        <w:rPr>
          <w:noProof/>
        </w:rPr>
        <w:t>se, kako bi BEREC osigurao primjereno funkcioniranje i izvršavanje svojih zadaća.</w:t>
      </w:r>
    </w:p>
    <w:p w:rsidR="006C0808" w:rsidRDefault="00E3601E">
      <w:pPr>
        <w:pStyle w:val="ManualHeading3"/>
        <w:rPr>
          <w:rStyle w:val="Heading3Char"/>
          <w:noProof/>
          <w:lang w:val="nl-NL"/>
        </w:rPr>
      </w:pPr>
      <w:r>
        <w:rPr>
          <w:rStyle w:val="Heading3Char"/>
          <w:noProof/>
          <w:lang w:val="nl-NL"/>
        </w:rPr>
        <w:t>3.2.3.</w:t>
      </w:r>
      <w:r>
        <w:rPr>
          <w:noProof/>
        </w:rPr>
        <w:tab/>
        <w:t>Procijenjen utjecaj na ljudske resurse Agencije</w:t>
      </w:r>
    </w:p>
    <w:p w:rsidR="006C0808" w:rsidRDefault="00E3601E">
      <w:pPr>
        <w:pStyle w:val="ManualHeading4"/>
        <w:rPr>
          <w:noProof/>
        </w:rPr>
      </w:pPr>
      <w:r>
        <w:rPr>
          <w:noProof/>
        </w:rPr>
        <w:t>3.2.3.1.</w:t>
      </w:r>
      <w:r>
        <w:rPr>
          <w:noProof/>
        </w:rPr>
        <w:tab/>
        <w:t>Sažetak</w:t>
      </w:r>
    </w:p>
    <w:p w:rsidR="006C0808" w:rsidRDefault="00E3601E">
      <w:pPr>
        <w:pStyle w:val="ListDash1"/>
        <w:rPr>
          <w:noProof/>
        </w:rPr>
      </w:pPr>
      <w:r>
        <w:rPr>
          <w:noProof/>
        </w:rPr>
        <w:sym w:font="Wingdings" w:char="F0A8"/>
      </w:r>
      <w:r>
        <w:rPr>
          <w:noProof/>
        </w:rPr>
        <w:t xml:space="preserve"> Za prijedlog/inicijativu nisu potrebna odobrena administrativna sredstva</w:t>
      </w:r>
    </w:p>
    <w:p w:rsidR="006C0808" w:rsidRDefault="00E3601E">
      <w:pPr>
        <w:pStyle w:val="ListDash1"/>
        <w:rPr>
          <w:noProof/>
        </w:rPr>
      </w:pPr>
      <w:r>
        <w:rPr>
          <w:noProof/>
        </w:rPr>
        <w:sym w:font="Wingdings" w:char="F078"/>
      </w:r>
      <w:r>
        <w:rPr>
          <w:noProof/>
        </w:rPr>
        <w:t xml:space="preserve"> Za prijedlog/inicijativu potrebna je upotreba odobrenih administrativnih sredstava, kako je opisano u nastavku:</w:t>
      </w:r>
    </w:p>
    <w:p w:rsidR="006C0808" w:rsidRDefault="00E3601E">
      <w:pPr>
        <w:pStyle w:val="ListDash1"/>
        <w:spacing w:after="60"/>
        <w:jc w:val="right"/>
        <w:rPr>
          <w:i/>
          <w:noProof/>
          <w:sz w:val="20"/>
        </w:rPr>
      </w:pPr>
      <w:r>
        <w:rPr>
          <w:i/>
          <w:noProof/>
          <w:sz w:val="20"/>
        </w:rPr>
        <w:t>Procjenu navesti u ekvivalentima punog radnog vremena</w:t>
      </w:r>
    </w:p>
    <w:p w:rsidR="006C0808" w:rsidRDefault="006C0808">
      <w:pPr>
        <w:rPr>
          <w:noProof/>
          <w:sz w:val="20"/>
        </w:rPr>
      </w:pPr>
    </w:p>
    <w:tbl>
      <w:tblPr>
        <w:tblW w:w="354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72"/>
        <w:gridCol w:w="1467"/>
        <w:gridCol w:w="274"/>
        <w:gridCol w:w="1318"/>
        <w:gridCol w:w="1559"/>
      </w:tblGrid>
      <w:tr w:rsidR="006C0808">
        <w:tc>
          <w:tcPr>
            <w:tcW w:w="1496" w:type="pct"/>
            <w:tcBorders>
              <w:bottom w:val="single" w:sz="2" w:space="0" w:color="auto"/>
            </w:tcBorders>
          </w:tcPr>
          <w:p w:rsidR="006C0808" w:rsidRDefault="00E3601E">
            <w:pPr>
              <w:spacing w:before="60" w:after="60"/>
              <w:jc w:val="center"/>
              <w:rPr>
                <w:b/>
                <w:noProof/>
                <w:sz w:val="20"/>
              </w:rPr>
            </w:pPr>
            <w:r>
              <w:rPr>
                <w:b/>
                <w:noProof/>
                <w:sz w:val="20"/>
              </w:rPr>
              <w:t xml:space="preserve">Ljudski resursi </w:t>
            </w:r>
          </w:p>
        </w:tc>
        <w:tc>
          <w:tcPr>
            <w:tcW w:w="1113" w:type="pct"/>
          </w:tcPr>
          <w:p w:rsidR="006C0808" w:rsidRDefault="00E3601E">
            <w:pPr>
              <w:spacing w:before="60" w:after="60"/>
              <w:jc w:val="center"/>
              <w:rPr>
                <w:noProof/>
                <w:sz w:val="20"/>
              </w:rPr>
            </w:pPr>
            <w:r>
              <w:rPr>
                <w:noProof/>
                <w:sz w:val="20"/>
              </w:rPr>
              <w:t>Osnovno brojčano stanje</w:t>
            </w:r>
            <w:r>
              <w:rPr>
                <w:noProof/>
                <w:sz w:val="20"/>
              </w:rPr>
              <w:br/>
            </w:r>
            <w:r>
              <w:rPr>
                <w:b/>
                <w:noProof/>
                <w:sz w:val="20"/>
              </w:rPr>
              <w:t>2017.</w:t>
            </w:r>
            <w:r>
              <w:rPr>
                <w:rStyle w:val="FootnoteReference"/>
                <w:b/>
                <w:noProof/>
                <w:sz w:val="20"/>
              </w:rPr>
              <w:footnoteReference w:id="67"/>
            </w:r>
          </w:p>
        </w:tc>
        <w:tc>
          <w:tcPr>
            <w:tcW w:w="208" w:type="pct"/>
          </w:tcPr>
          <w:p w:rsidR="006C0808" w:rsidRDefault="006C0808">
            <w:pPr>
              <w:spacing w:before="60" w:after="60"/>
              <w:jc w:val="center"/>
              <w:rPr>
                <w:noProof/>
                <w:sz w:val="20"/>
              </w:rPr>
            </w:pPr>
          </w:p>
        </w:tc>
        <w:tc>
          <w:tcPr>
            <w:tcW w:w="1000" w:type="pct"/>
            <w:vAlign w:val="center"/>
          </w:tcPr>
          <w:p w:rsidR="006C0808" w:rsidRDefault="00E3601E">
            <w:pPr>
              <w:spacing w:before="60" w:after="60"/>
              <w:jc w:val="center"/>
              <w:rPr>
                <w:noProof/>
                <w:sz w:val="20"/>
              </w:rPr>
            </w:pPr>
            <w:r>
              <w:rPr>
                <w:noProof/>
                <w:sz w:val="20"/>
              </w:rPr>
              <w:t>Godina</w:t>
            </w:r>
            <w:r>
              <w:rPr>
                <w:noProof/>
                <w:sz w:val="20"/>
              </w:rPr>
              <w:br/>
            </w:r>
            <w:r>
              <w:rPr>
                <w:b/>
                <w:noProof/>
                <w:sz w:val="20"/>
              </w:rPr>
              <w:t>2019.</w:t>
            </w:r>
          </w:p>
        </w:tc>
        <w:tc>
          <w:tcPr>
            <w:tcW w:w="1183" w:type="pct"/>
            <w:vAlign w:val="center"/>
          </w:tcPr>
          <w:p w:rsidR="006C0808" w:rsidRDefault="00E3601E">
            <w:pPr>
              <w:spacing w:before="60" w:after="60"/>
              <w:jc w:val="center"/>
              <w:rPr>
                <w:noProof/>
              </w:rPr>
            </w:pPr>
            <w:r>
              <w:rPr>
                <w:noProof/>
                <w:sz w:val="20"/>
              </w:rPr>
              <w:t>Godina</w:t>
            </w:r>
            <w:r>
              <w:rPr>
                <w:noProof/>
                <w:sz w:val="20"/>
              </w:rPr>
              <w:br/>
            </w:r>
            <w:r>
              <w:rPr>
                <w:b/>
                <w:noProof/>
                <w:sz w:val="20"/>
              </w:rPr>
              <w:t>2020.</w:t>
            </w:r>
          </w:p>
        </w:tc>
      </w:tr>
      <w:tr w:rsidR="006C0808">
        <w:tc>
          <w:tcPr>
            <w:tcW w:w="1496" w:type="pct"/>
            <w:tcBorders>
              <w:bottom w:val="single" w:sz="4" w:space="0" w:color="auto"/>
            </w:tcBorders>
            <w:vAlign w:val="center"/>
          </w:tcPr>
          <w:p w:rsidR="006C0808" w:rsidRDefault="00E3601E">
            <w:pPr>
              <w:shd w:val="clear" w:color="auto" w:fill="FFFFFF"/>
              <w:spacing w:before="60" w:after="60"/>
              <w:ind w:left="72"/>
              <w:rPr>
                <w:noProof/>
                <w:sz w:val="20"/>
              </w:rPr>
            </w:pPr>
            <w:r>
              <w:rPr>
                <w:noProof/>
                <w:sz w:val="20"/>
              </w:rPr>
              <w:t xml:space="preserve">Osnovno brojčano stanje </w:t>
            </w:r>
          </w:p>
        </w:tc>
        <w:tc>
          <w:tcPr>
            <w:tcW w:w="1113" w:type="pct"/>
            <w:vAlign w:val="center"/>
          </w:tcPr>
          <w:p w:rsidR="006C0808" w:rsidRDefault="00E3601E">
            <w:pPr>
              <w:shd w:val="clear" w:color="auto" w:fill="FFFFFF"/>
              <w:spacing w:before="60" w:after="60"/>
              <w:jc w:val="center"/>
              <w:rPr>
                <w:noProof/>
                <w:sz w:val="20"/>
              </w:rPr>
            </w:pPr>
            <w:r>
              <w:rPr>
                <w:noProof/>
                <w:sz w:val="20"/>
              </w:rPr>
              <w:t>26</w:t>
            </w:r>
          </w:p>
        </w:tc>
        <w:tc>
          <w:tcPr>
            <w:tcW w:w="208" w:type="pct"/>
          </w:tcPr>
          <w:p w:rsidR="006C0808" w:rsidRDefault="006C0808">
            <w:pPr>
              <w:shd w:val="clear" w:color="auto" w:fill="FFFFFF"/>
              <w:spacing w:before="60" w:after="60"/>
              <w:jc w:val="center"/>
              <w:rPr>
                <w:noProof/>
                <w:sz w:val="20"/>
              </w:rPr>
            </w:pPr>
          </w:p>
        </w:tc>
        <w:tc>
          <w:tcPr>
            <w:tcW w:w="1000" w:type="pct"/>
            <w:vAlign w:val="center"/>
          </w:tcPr>
          <w:p w:rsidR="006C0808" w:rsidRDefault="00E3601E">
            <w:pPr>
              <w:shd w:val="clear" w:color="auto" w:fill="FFFFFF"/>
              <w:spacing w:before="60" w:after="60"/>
              <w:jc w:val="center"/>
              <w:rPr>
                <w:noProof/>
                <w:sz w:val="20"/>
              </w:rPr>
            </w:pPr>
            <w:r>
              <w:rPr>
                <w:noProof/>
                <w:sz w:val="20"/>
              </w:rPr>
              <w:t>26</w:t>
            </w:r>
          </w:p>
        </w:tc>
        <w:tc>
          <w:tcPr>
            <w:tcW w:w="1183" w:type="pct"/>
            <w:vAlign w:val="center"/>
          </w:tcPr>
          <w:p w:rsidR="006C0808" w:rsidRDefault="00E3601E">
            <w:pPr>
              <w:shd w:val="clear" w:color="auto" w:fill="FFFFFF"/>
              <w:spacing w:before="60" w:after="60"/>
              <w:jc w:val="center"/>
              <w:rPr>
                <w:noProof/>
                <w:sz w:val="20"/>
              </w:rPr>
            </w:pPr>
            <w:r>
              <w:rPr>
                <w:noProof/>
                <w:sz w:val="20"/>
              </w:rPr>
              <w:t>26</w:t>
            </w:r>
          </w:p>
        </w:tc>
      </w:tr>
      <w:tr w:rsidR="006C0808">
        <w:tc>
          <w:tcPr>
            <w:tcW w:w="1496" w:type="pct"/>
            <w:tcBorders>
              <w:top w:val="single" w:sz="4" w:space="0" w:color="auto"/>
            </w:tcBorders>
            <w:shd w:val="clear" w:color="auto" w:fill="FFFFFF"/>
            <w:vAlign w:val="center"/>
          </w:tcPr>
          <w:p w:rsidR="006C0808" w:rsidRDefault="00E3601E">
            <w:pPr>
              <w:shd w:val="clear" w:color="auto" w:fill="FFFFFF"/>
              <w:spacing w:before="60" w:after="60"/>
              <w:ind w:left="72"/>
              <w:rPr>
                <w:noProof/>
                <w:sz w:val="20"/>
              </w:rPr>
            </w:pPr>
            <w:r>
              <w:rPr>
                <w:noProof/>
                <w:sz w:val="20"/>
              </w:rPr>
              <w:t xml:space="preserve">Izmjene </w:t>
            </w:r>
          </w:p>
        </w:tc>
        <w:tc>
          <w:tcPr>
            <w:tcW w:w="1113" w:type="pct"/>
            <w:shd w:val="clear" w:color="auto" w:fill="FFFFFF"/>
            <w:vAlign w:val="center"/>
          </w:tcPr>
          <w:p w:rsidR="006C0808" w:rsidRDefault="00E3601E">
            <w:pPr>
              <w:shd w:val="clear" w:color="auto" w:fill="FFFFFF"/>
              <w:spacing w:before="60" w:after="60"/>
              <w:jc w:val="center"/>
              <w:rPr>
                <w:noProof/>
                <w:sz w:val="20"/>
              </w:rPr>
            </w:pPr>
            <w:r>
              <w:rPr>
                <w:noProof/>
                <w:sz w:val="20"/>
              </w:rPr>
              <w:t>0</w:t>
            </w:r>
          </w:p>
        </w:tc>
        <w:tc>
          <w:tcPr>
            <w:tcW w:w="208" w:type="pct"/>
            <w:shd w:val="clear" w:color="auto" w:fill="FFFFFF"/>
          </w:tcPr>
          <w:p w:rsidR="006C0808" w:rsidRDefault="006C0808">
            <w:pPr>
              <w:shd w:val="clear" w:color="auto" w:fill="FFFFFF"/>
              <w:spacing w:before="60" w:after="60"/>
              <w:jc w:val="center"/>
              <w:rPr>
                <w:noProof/>
                <w:sz w:val="20"/>
              </w:rPr>
            </w:pPr>
          </w:p>
        </w:tc>
        <w:tc>
          <w:tcPr>
            <w:tcW w:w="1000" w:type="pct"/>
            <w:shd w:val="clear" w:color="auto" w:fill="FFFFFF"/>
            <w:vAlign w:val="center"/>
          </w:tcPr>
          <w:p w:rsidR="006C0808" w:rsidRDefault="00E3601E">
            <w:pPr>
              <w:shd w:val="clear" w:color="auto" w:fill="FFFFFF"/>
              <w:spacing w:before="60" w:after="60"/>
              <w:jc w:val="center"/>
              <w:rPr>
                <w:noProof/>
                <w:sz w:val="20"/>
              </w:rPr>
            </w:pPr>
            <w:r>
              <w:rPr>
                <w:noProof/>
                <w:sz w:val="20"/>
              </w:rPr>
              <w:t>9</w:t>
            </w:r>
          </w:p>
        </w:tc>
        <w:tc>
          <w:tcPr>
            <w:tcW w:w="1183" w:type="pct"/>
            <w:vAlign w:val="center"/>
          </w:tcPr>
          <w:p w:rsidR="006C0808" w:rsidRDefault="00E3601E">
            <w:pPr>
              <w:shd w:val="clear" w:color="auto" w:fill="FFFFFF"/>
              <w:spacing w:before="60" w:after="60"/>
              <w:jc w:val="center"/>
              <w:rPr>
                <w:noProof/>
                <w:sz w:val="20"/>
              </w:rPr>
            </w:pPr>
            <w:r>
              <w:rPr>
                <w:noProof/>
                <w:sz w:val="20"/>
              </w:rPr>
              <w:t>18</w:t>
            </w:r>
          </w:p>
        </w:tc>
      </w:tr>
      <w:tr w:rsidR="006C0808">
        <w:tc>
          <w:tcPr>
            <w:tcW w:w="1496" w:type="pct"/>
            <w:shd w:val="clear" w:color="auto" w:fill="FFFFFF"/>
            <w:vAlign w:val="center"/>
          </w:tcPr>
          <w:p w:rsidR="006C0808" w:rsidRDefault="00E3601E">
            <w:pPr>
              <w:spacing w:before="60" w:after="60"/>
              <w:rPr>
                <w:b/>
                <w:noProof/>
                <w:sz w:val="20"/>
              </w:rPr>
            </w:pPr>
            <w:r>
              <w:rPr>
                <w:b/>
                <w:noProof/>
                <w:sz w:val="20"/>
              </w:rPr>
              <w:t>Izmijenjeno osnovno brojčano stanje</w:t>
            </w:r>
          </w:p>
        </w:tc>
        <w:tc>
          <w:tcPr>
            <w:tcW w:w="1113" w:type="pct"/>
            <w:shd w:val="clear" w:color="auto" w:fill="FFFFFF"/>
            <w:vAlign w:val="center"/>
          </w:tcPr>
          <w:p w:rsidR="006C0808" w:rsidRDefault="00E3601E">
            <w:pPr>
              <w:shd w:val="clear" w:color="auto" w:fill="FFFFFF"/>
              <w:spacing w:before="60" w:after="60"/>
              <w:jc w:val="center"/>
              <w:rPr>
                <w:b/>
                <w:noProof/>
                <w:sz w:val="20"/>
              </w:rPr>
            </w:pPr>
            <w:r>
              <w:rPr>
                <w:b/>
                <w:noProof/>
                <w:sz w:val="20"/>
              </w:rPr>
              <w:t>26</w:t>
            </w:r>
          </w:p>
        </w:tc>
        <w:tc>
          <w:tcPr>
            <w:tcW w:w="208" w:type="pct"/>
            <w:shd w:val="clear" w:color="auto" w:fill="FFFFFF"/>
          </w:tcPr>
          <w:p w:rsidR="006C0808" w:rsidRDefault="006C0808">
            <w:pPr>
              <w:shd w:val="clear" w:color="auto" w:fill="FFFFFF"/>
              <w:spacing w:before="60" w:after="60"/>
              <w:jc w:val="center"/>
              <w:rPr>
                <w:b/>
                <w:noProof/>
                <w:sz w:val="20"/>
              </w:rPr>
            </w:pPr>
          </w:p>
        </w:tc>
        <w:tc>
          <w:tcPr>
            <w:tcW w:w="1000" w:type="pct"/>
            <w:shd w:val="clear" w:color="auto" w:fill="FFFFFF"/>
            <w:vAlign w:val="center"/>
          </w:tcPr>
          <w:p w:rsidR="006C0808" w:rsidRDefault="00E3601E">
            <w:pPr>
              <w:shd w:val="clear" w:color="auto" w:fill="FFFFFF"/>
              <w:spacing w:before="60" w:after="60"/>
              <w:jc w:val="center"/>
              <w:rPr>
                <w:b/>
                <w:noProof/>
                <w:sz w:val="20"/>
              </w:rPr>
            </w:pPr>
            <w:r>
              <w:rPr>
                <w:b/>
                <w:noProof/>
                <w:sz w:val="20"/>
              </w:rPr>
              <w:t>35</w:t>
            </w:r>
          </w:p>
        </w:tc>
        <w:tc>
          <w:tcPr>
            <w:tcW w:w="1183" w:type="pct"/>
            <w:vAlign w:val="center"/>
          </w:tcPr>
          <w:p w:rsidR="006C0808" w:rsidRDefault="00E3601E">
            <w:pPr>
              <w:shd w:val="clear" w:color="auto" w:fill="FFFFFF"/>
              <w:spacing w:before="60" w:after="60"/>
              <w:jc w:val="center"/>
              <w:rPr>
                <w:b/>
                <w:noProof/>
                <w:sz w:val="20"/>
              </w:rPr>
            </w:pPr>
            <w:r>
              <w:rPr>
                <w:b/>
                <w:noProof/>
                <w:sz w:val="20"/>
              </w:rPr>
              <w:t>44</w:t>
            </w:r>
          </w:p>
        </w:tc>
      </w:tr>
      <w:tr w:rsidR="006C0808">
        <w:tc>
          <w:tcPr>
            <w:tcW w:w="1496" w:type="pct"/>
            <w:vAlign w:val="center"/>
          </w:tcPr>
          <w:p w:rsidR="006C0808" w:rsidRDefault="00E3601E">
            <w:pPr>
              <w:shd w:val="clear" w:color="auto" w:fill="FFFFFF"/>
              <w:spacing w:before="60" w:after="60"/>
              <w:ind w:left="72"/>
              <w:rPr>
                <w:b/>
                <w:noProof/>
                <w:sz w:val="20"/>
              </w:rPr>
            </w:pPr>
            <w:r>
              <w:rPr>
                <w:b/>
                <w:noProof/>
                <w:sz w:val="20"/>
              </w:rPr>
              <w:t xml:space="preserve">Broj stalno zaposlenog osoblja (AD/AST) </w:t>
            </w:r>
          </w:p>
        </w:tc>
        <w:tc>
          <w:tcPr>
            <w:tcW w:w="1113" w:type="pct"/>
            <w:vAlign w:val="center"/>
          </w:tcPr>
          <w:p w:rsidR="006C0808" w:rsidRDefault="00E3601E">
            <w:pPr>
              <w:shd w:val="clear" w:color="auto" w:fill="FFFFFF"/>
              <w:spacing w:before="60" w:after="60"/>
              <w:jc w:val="center"/>
              <w:rPr>
                <w:b/>
                <w:noProof/>
                <w:sz w:val="20"/>
              </w:rPr>
            </w:pPr>
            <w:r>
              <w:rPr>
                <w:b/>
                <w:noProof/>
                <w:sz w:val="20"/>
              </w:rPr>
              <w:t>14</w:t>
            </w:r>
          </w:p>
        </w:tc>
        <w:tc>
          <w:tcPr>
            <w:tcW w:w="208" w:type="pct"/>
          </w:tcPr>
          <w:p w:rsidR="006C0808" w:rsidRDefault="006C0808">
            <w:pPr>
              <w:shd w:val="clear" w:color="auto" w:fill="FFFFFF"/>
              <w:spacing w:before="60" w:after="60"/>
              <w:jc w:val="center"/>
              <w:rPr>
                <w:b/>
                <w:noProof/>
                <w:sz w:val="20"/>
              </w:rPr>
            </w:pPr>
          </w:p>
        </w:tc>
        <w:tc>
          <w:tcPr>
            <w:tcW w:w="1000" w:type="pct"/>
            <w:vAlign w:val="center"/>
          </w:tcPr>
          <w:p w:rsidR="006C0808" w:rsidRDefault="00E3601E">
            <w:pPr>
              <w:shd w:val="clear" w:color="auto" w:fill="FFFFFF"/>
              <w:spacing w:before="60" w:after="60"/>
              <w:jc w:val="center"/>
              <w:rPr>
                <w:b/>
                <w:noProof/>
                <w:sz w:val="20"/>
              </w:rPr>
            </w:pPr>
            <w:r>
              <w:rPr>
                <w:b/>
                <w:noProof/>
                <w:sz w:val="20"/>
              </w:rPr>
              <w:t>14</w:t>
            </w:r>
          </w:p>
        </w:tc>
        <w:tc>
          <w:tcPr>
            <w:tcW w:w="1183" w:type="pct"/>
            <w:vAlign w:val="center"/>
          </w:tcPr>
          <w:p w:rsidR="006C0808" w:rsidRDefault="00E3601E">
            <w:pPr>
              <w:shd w:val="clear" w:color="auto" w:fill="FFFFFF"/>
              <w:spacing w:before="60" w:after="60"/>
              <w:jc w:val="center"/>
              <w:rPr>
                <w:b/>
                <w:noProof/>
                <w:sz w:val="20"/>
              </w:rPr>
            </w:pPr>
            <w:r>
              <w:rPr>
                <w:b/>
                <w:noProof/>
                <w:sz w:val="20"/>
              </w:rPr>
              <w:t>14</w:t>
            </w:r>
          </w:p>
        </w:tc>
      </w:tr>
      <w:tr w:rsidR="006C0808">
        <w:tc>
          <w:tcPr>
            <w:tcW w:w="1496" w:type="pct"/>
            <w:vAlign w:val="center"/>
          </w:tcPr>
          <w:p w:rsidR="006C0808" w:rsidRDefault="00E3601E">
            <w:pPr>
              <w:shd w:val="clear" w:color="auto" w:fill="FFFFFF"/>
              <w:spacing w:before="60" w:after="60"/>
              <w:ind w:left="72"/>
              <w:rPr>
                <w:b/>
                <w:noProof/>
                <w:sz w:val="20"/>
              </w:rPr>
            </w:pPr>
            <w:r>
              <w:rPr>
                <w:b/>
                <w:noProof/>
                <w:sz w:val="20"/>
              </w:rPr>
              <w:t xml:space="preserve">Vanjsko osoblje (EPRV) </w:t>
            </w:r>
          </w:p>
        </w:tc>
        <w:tc>
          <w:tcPr>
            <w:tcW w:w="1113" w:type="pct"/>
            <w:vAlign w:val="center"/>
          </w:tcPr>
          <w:p w:rsidR="006C0808" w:rsidRDefault="00E3601E">
            <w:pPr>
              <w:shd w:val="clear" w:color="auto" w:fill="FFFFFF"/>
              <w:spacing w:before="60" w:after="60"/>
              <w:jc w:val="center"/>
              <w:rPr>
                <w:b/>
                <w:noProof/>
                <w:sz w:val="20"/>
              </w:rPr>
            </w:pPr>
            <w:r>
              <w:rPr>
                <w:b/>
                <w:noProof/>
                <w:sz w:val="20"/>
              </w:rPr>
              <w:t>12</w:t>
            </w:r>
          </w:p>
        </w:tc>
        <w:tc>
          <w:tcPr>
            <w:tcW w:w="208" w:type="pct"/>
          </w:tcPr>
          <w:p w:rsidR="006C0808" w:rsidRDefault="006C0808">
            <w:pPr>
              <w:shd w:val="clear" w:color="auto" w:fill="FFFFFF"/>
              <w:spacing w:before="60" w:after="60"/>
              <w:jc w:val="center"/>
              <w:rPr>
                <w:b/>
                <w:noProof/>
                <w:sz w:val="20"/>
              </w:rPr>
            </w:pPr>
          </w:p>
        </w:tc>
        <w:tc>
          <w:tcPr>
            <w:tcW w:w="1000" w:type="pct"/>
            <w:vAlign w:val="center"/>
          </w:tcPr>
          <w:p w:rsidR="006C0808" w:rsidRDefault="00E3601E">
            <w:pPr>
              <w:shd w:val="clear" w:color="auto" w:fill="FFFFFF"/>
              <w:spacing w:before="60" w:after="60"/>
              <w:jc w:val="center"/>
              <w:rPr>
                <w:b/>
                <w:noProof/>
                <w:sz w:val="20"/>
              </w:rPr>
            </w:pPr>
            <w:r>
              <w:rPr>
                <w:b/>
                <w:noProof/>
                <w:sz w:val="20"/>
              </w:rPr>
              <w:t>21</w:t>
            </w:r>
          </w:p>
        </w:tc>
        <w:tc>
          <w:tcPr>
            <w:tcW w:w="1183" w:type="pct"/>
            <w:vAlign w:val="center"/>
          </w:tcPr>
          <w:p w:rsidR="006C0808" w:rsidRDefault="00E3601E">
            <w:pPr>
              <w:shd w:val="clear" w:color="auto" w:fill="FFFFFF"/>
              <w:spacing w:before="60" w:after="60"/>
              <w:jc w:val="center"/>
              <w:rPr>
                <w:b/>
                <w:noProof/>
                <w:sz w:val="20"/>
              </w:rPr>
            </w:pPr>
            <w:r>
              <w:rPr>
                <w:b/>
                <w:noProof/>
                <w:sz w:val="20"/>
              </w:rPr>
              <w:t>30</w:t>
            </w:r>
          </w:p>
        </w:tc>
      </w:tr>
      <w:tr w:rsidR="006C0808">
        <w:tc>
          <w:tcPr>
            <w:tcW w:w="1496" w:type="pct"/>
            <w:shd w:val="clear" w:color="auto" w:fill="FFFFFF"/>
            <w:vAlign w:val="center"/>
          </w:tcPr>
          <w:p w:rsidR="006C0808" w:rsidRDefault="00E3601E">
            <w:pPr>
              <w:shd w:val="clear" w:color="auto" w:fill="FFFFFF"/>
              <w:spacing w:before="60" w:after="60"/>
              <w:ind w:left="72"/>
              <w:rPr>
                <w:i/>
                <w:noProof/>
                <w:sz w:val="20"/>
              </w:rPr>
            </w:pPr>
            <w:r>
              <w:rPr>
                <w:i/>
                <w:noProof/>
                <w:sz w:val="20"/>
              </w:rPr>
              <w:t xml:space="preserve">od čega ugovorno osoblje </w:t>
            </w:r>
          </w:p>
        </w:tc>
        <w:tc>
          <w:tcPr>
            <w:tcW w:w="1113" w:type="pct"/>
            <w:shd w:val="clear" w:color="auto" w:fill="FFFFFF"/>
            <w:vAlign w:val="center"/>
          </w:tcPr>
          <w:p w:rsidR="006C0808" w:rsidRDefault="00E3601E">
            <w:pPr>
              <w:shd w:val="clear" w:color="auto" w:fill="FFFFFF"/>
              <w:spacing w:before="60" w:after="60"/>
              <w:jc w:val="center"/>
              <w:rPr>
                <w:noProof/>
                <w:sz w:val="20"/>
              </w:rPr>
            </w:pPr>
            <w:r>
              <w:rPr>
                <w:noProof/>
                <w:sz w:val="20"/>
              </w:rPr>
              <w:t>8</w:t>
            </w:r>
          </w:p>
        </w:tc>
        <w:tc>
          <w:tcPr>
            <w:tcW w:w="208" w:type="pct"/>
            <w:shd w:val="clear" w:color="auto" w:fill="FFFFFF"/>
          </w:tcPr>
          <w:p w:rsidR="006C0808" w:rsidRDefault="006C0808">
            <w:pPr>
              <w:shd w:val="clear" w:color="auto" w:fill="FFFFFF"/>
              <w:spacing w:before="60" w:after="60"/>
              <w:jc w:val="center"/>
              <w:rPr>
                <w:noProof/>
                <w:sz w:val="20"/>
              </w:rPr>
            </w:pPr>
          </w:p>
        </w:tc>
        <w:tc>
          <w:tcPr>
            <w:tcW w:w="1000" w:type="pct"/>
            <w:shd w:val="clear" w:color="auto" w:fill="FFFFFF"/>
            <w:vAlign w:val="center"/>
          </w:tcPr>
          <w:p w:rsidR="006C0808" w:rsidRDefault="00E3601E">
            <w:pPr>
              <w:shd w:val="clear" w:color="auto" w:fill="FFFFFF"/>
              <w:spacing w:before="60" w:after="60"/>
              <w:jc w:val="center"/>
              <w:rPr>
                <w:noProof/>
                <w:sz w:val="20"/>
              </w:rPr>
            </w:pPr>
            <w:r>
              <w:rPr>
                <w:noProof/>
                <w:sz w:val="20"/>
              </w:rPr>
              <w:t>13</w:t>
            </w:r>
          </w:p>
        </w:tc>
        <w:tc>
          <w:tcPr>
            <w:tcW w:w="1183" w:type="pct"/>
            <w:vAlign w:val="center"/>
          </w:tcPr>
          <w:p w:rsidR="006C0808" w:rsidRDefault="00E3601E">
            <w:pPr>
              <w:shd w:val="clear" w:color="auto" w:fill="FFFFFF"/>
              <w:spacing w:before="60" w:after="60"/>
              <w:jc w:val="center"/>
              <w:rPr>
                <w:noProof/>
                <w:sz w:val="20"/>
              </w:rPr>
            </w:pPr>
            <w:r>
              <w:rPr>
                <w:noProof/>
                <w:sz w:val="20"/>
              </w:rPr>
              <w:t>19</w:t>
            </w:r>
          </w:p>
        </w:tc>
      </w:tr>
      <w:tr w:rsidR="006C0808">
        <w:tc>
          <w:tcPr>
            <w:tcW w:w="1496" w:type="pct"/>
            <w:shd w:val="clear" w:color="auto" w:fill="FFFFFF"/>
            <w:vAlign w:val="center"/>
          </w:tcPr>
          <w:p w:rsidR="006C0808" w:rsidRDefault="00E3601E">
            <w:pPr>
              <w:shd w:val="clear" w:color="auto" w:fill="FFFFFF"/>
              <w:spacing w:before="60" w:after="60"/>
              <w:jc w:val="center"/>
              <w:rPr>
                <w:noProof/>
                <w:sz w:val="20"/>
              </w:rPr>
            </w:pPr>
            <w:r>
              <w:rPr>
                <w:i/>
                <w:noProof/>
                <w:sz w:val="20"/>
              </w:rPr>
              <w:t xml:space="preserve">od čega upućeni nacionalni </w:t>
            </w:r>
            <w:r>
              <w:rPr>
                <w:i/>
                <w:noProof/>
                <w:sz w:val="20"/>
              </w:rPr>
              <w:t>stručnjaci (UNS)</w:t>
            </w:r>
            <w:r>
              <w:rPr>
                <w:noProof/>
                <w:sz w:val="20"/>
              </w:rPr>
              <w:t xml:space="preserve"> </w:t>
            </w:r>
          </w:p>
        </w:tc>
        <w:tc>
          <w:tcPr>
            <w:tcW w:w="1113" w:type="pct"/>
            <w:vAlign w:val="center"/>
          </w:tcPr>
          <w:p w:rsidR="006C0808" w:rsidRDefault="00E3601E">
            <w:pPr>
              <w:shd w:val="clear" w:color="auto" w:fill="FFFFFF"/>
              <w:spacing w:before="60" w:after="60"/>
              <w:jc w:val="center"/>
              <w:rPr>
                <w:noProof/>
                <w:sz w:val="20"/>
              </w:rPr>
            </w:pPr>
            <w:r>
              <w:rPr>
                <w:noProof/>
                <w:sz w:val="20"/>
              </w:rPr>
              <w:t>4</w:t>
            </w:r>
          </w:p>
        </w:tc>
        <w:tc>
          <w:tcPr>
            <w:tcW w:w="208" w:type="pct"/>
          </w:tcPr>
          <w:p w:rsidR="006C0808" w:rsidRDefault="006C0808">
            <w:pPr>
              <w:shd w:val="clear" w:color="auto" w:fill="FFFFFF"/>
              <w:spacing w:before="60" w:after="60"/>
              <w:jc w:val="center"/>
              <w:rPr>
                <w:noProof/>
                <w:sz w:val="20"/>
              </w:rPr>
            </w:pPr>
          </w:p>
        </w:tc>
        <w:tc>
          <w:tcPr>
            <w:tcW w:w="1000" w:type="pct"/>
            <w:vAlign w:val="center"/>
          </w:tcPr>
          <w:p w:rsidR="006C0808" w:rsidRDefault="00E3601E">
            <w:pPr>
              <w:shd w:val="clear" w:color="auto" w:fill="FFFFFF"/>
              <w:spacing w:before="60" w:after="60"/>
              <w:jc w:val="center"/>
              <w:rPr>
                <w:noProof/>
                <w:sz w:val="20"/>
              </w:rPr>
            </w:pPr>
            <w:r>
              <w:rPr>
                <w:noProof/>
                <w:sz w:val="20"/>
              </w:rPr>
              <w:t>8</w:t>
            </w:r>
          </w:p>
        </w:tc>
        <w:tc>
          <w:tcPr>
            <w:tcW w:w="1183" w:type="pct"/>
            <w:vAlign w:val="center"/>
          </w:tcPr>
          <w:p w:rsidR="006C0808" w:rsidRDefault="00E3601E">
            <w:pPr>
              <w:shd w:val="clear" w:color="auto" w:fill="FFFFFF"/>
              <w:spacing w:before="60" w:after="60"/>
              <w:jc w:val="center"/>
              <w:rPr>
                <w:noProof/>
                <w:sz w:val="20"/>
              </w:rPr>
            </w:pPr>
            <w:r>
              <w:rPr>
                <w:noProof/>
                <w:sz w:val="20"/>
              </w:rPr>
              <w:t>11</w:t>
            </w:r>
          </w:p>
        </w:tc>
      </w:tr>
      <w:tr w:rsidR="006C0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6" w:type="pct"/>
            <w:tcBorders>
              <w:top w:val="single" w:sz="12" w:space="0" w:color="auto"/>
              <w:left w:val="single" w:sz="12" w:space="0" w:color="auto"/>
              <w:bottom w:val="single" w:sz="12" w:space="0" w:color="auto"/>
              <w:right w:val="single" w:sz="2" w:space="0" w:color="auto"/>
            </w:tcBorders>
            <w:vAlign w:val="center"/>
          </w:tcPr>
          <w:p w:rsidR="006C0808" w:rsidRDefault="00E3601E">
            <w:pPr>
              <w:spacing w:before="60" w:after="60"/>
              <w:rPr>
                <w:b/>
                <w:noProof/>
                <w:highlight w:val="yellow"/>
              </w:rPr>
            </w:pPr>
            <w:r>
              <w:rPr>
                <w:b/>
                <w:noProof/>
              </w:rPr>
              <w:t xml:space="preserve">Ukupno osoblja </w:t>
            </w:r>
          </w:p>
        </w:tc>
        <w:tc>
          <w:tcPr>
            <w:tcW w:w="1113" w:type="pct"/>
            <w:tcBorders>
              <w:top w:val="single" w:sz="12" w:space="0" w:color="auto"/>
              <w:left w:val="single" w:sz="2" w:space="0" w:color="auto"/>
              <w:bottom w:val="single" w:sz="12" w:space="0" w:color="auto"/>
              <w:right w:val="single" w:sz="2" w:space="0" w:color="auto"/>
            </w:tcBorders>
            <w:vAlign w:val="center"/>
          </w:tcPr>
          <w:p w:rsidR="006C0808" w:rsidRDefault="00E3601E">
            <w:pPr>
              <w:spacing w:before="60" w:after="60"/>
              <w:jc w:val="center"/>
              <w:rPr>
                <w:b/>
                <w:noProof/>
                <w:sz w:val="20"/>
              </w:rPr>
            </w:pPr>
            <w:r>
              <w:rPr>
                <w:b/>
                <w:noProof/>
                <w:sz w:val="20"/>
              </w:rPr>
              <w:t>26</w:t>
            </w:r>
          </w:p>
        </w:tc>
        <w:tc>
          <w:tcPr>
            <w:tcW w:w="208" w:type="pct"/>
            <w:tcBorders>
              <w:top w:val="single" w:sz="12" w:space="0" w:color="auto"/>
              <w:left w:val="single" w:sz="2" w:space="0" w:color="auto"/>
              <w:bottom w:val="single" w:sz="12" w:space="0" w:color="auto"/>
              <w:right w:val="single" w:sz="2" w:space="0" w:color="auto"/>
            </w:tcBorders>
          </w:tcPr>
          <w:p w:rsidR="006C0808" w:rsidRDefault="006C0808">
            <w:pPr>
              <w:spacing w:before="60" w:after="60"/>
              <w:jc w:val="center"/>
              <w:rPr>
                <w:b/>
                <w:noProof/>
                <w:sz w:val="20"/>
              </w:rPr>
            </w:pPr>
          </w:p>
        </w:tc>
        <w:tc>
          <w:tcPr>
            <w:tcW w:w="1000" w:type="pct"/>
            <w:tcBorders>
              <w:top w:val="single" w:sz="12" w:space="0" w:color="auto"/>
              <w:left w:val="single" w:sz="2" w:space="0" w:color="auto"/>
              <w:bottom w:val="single" w:sz="12" w:space="0" w:color="auto"/>
              <w:right w:val="single" w:sz="2" w:space="0" w:color="auto"/>
            </w:tcBorders>
            <w:vAlign w:val="center"/>
          </w:tcPr>
          <w:p w:rsidR="006C0808" w:rsidRDefault="00E3601E">
            <w:pPr>
              <w:spacing w:before="60" w:after="60"/>
              <w:jc w:val="center"/>
              <w:rPr>
                <w:b/>
                <w:noProof/>
                <w:sz w:val="20"/>
              </w:rPr>
            </w:pPr>
            <w:r>
              <w:rPr>
                <w:b/>
                <w:noProof/>
                <w:sz w:val="20"/>
              </w:rPr>
              <w:t>35</w:t>
            </w:r>
          </w:p>
        </w:tc>
        <w:tc>
          <w:tcPr>
            <w:tcW w:w="1183" w:type="pct"/>
            <w:tcBorders>
              <w:top w:val="single" w:sz="12" w:space="0" w:color="auto"/>
              <w:left w:val="single" w:sz="2" w:space="0" w:color="auto"/>
              <w:bottom w:val="single" w:sz="12" w:space="0" w:color="auto"/>
              <w:right w:val="single" w:sz="2" w:space="0" w:color="auto"/>
            </w:tcBorders>
            <w:vAlign w:val="center"/>
          </w:tcPr>
          <w:p w:rsidR="006C0808" w:rsidRDefault="00E3601E">
            <w:pPr>
              <w:spacing w:before="60" w:after="60"/>
              <w:jc w:val="center"/>
              <w:rPr>
                <w:b/>
                <w:noProof/>
                <w:sz w:val="20"/>
              </w:rPr>
            </w:pPr>
            <w:r>
              <w:rPr>
                <w:b/>
                <w:noProof/>
                <w:sz w:val="20"/>
              </w:rPr>
              <w:t>44.</w:t>
            </w:r>
            <w:r>
              <w:rPr>
                <w:rStyle w:val="FootnoteReference"/>
                <w:b/>
                <w:noProof/>
                <w:sz w:val="20"/>
              </w:rPr>
              <w:footnoteReference w:id="68"/>
            </w:r>
          </w:p>
        </w:tc>
      </w:tr>
    </w:tbl>
    <w:p w:rsidR="006C0808" w:rsidRDefault="006C0808">
      <w:pPr>
        <w:jc w:val="center"/>
        <w:rPr>
          <w:noProof/>
          <w:sz w:val="20"/>
          <w:highlight w:val="yellow"/>
        </w:rPr>
      </w:pPr>
    </w:p>
    <w:p w:rsidR="006C0808" w:rsidRDefault="006C0808">
      <w:pPr>
        <w:pStyle w:val="ListDash1"/>
        <w:spacing w:after="60"/>
        <w:jc w:val="right"/>
        <w:rPr>
          <w:i/>
          <w:noProof/>
          <w:sz w:val="20"/>
        </w:rPr>
      </w:pPr>
    </w:p>
    <w:tbl>
      <w:tblPr>
        <w:tblW w:w="335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49"/>
        <w:gridCol w:w="1390"/>
        <w:gridCol w:w="289"/>
        <w:gridCol w:w="1117"/>
        <w:gridCol w:w="1284"/>
      </w:tblGrid>
      <w:tr w:rsidR="006C0808">
        <w:tc>
          <w:tcPr>
            <w:tcW w:w="1724" w:type="pct"/>
            <w:tcBorders>
              <w:bottom w:val="single" w:sz="2" w:space="0" w:color="auto"/>
            </w:tcBorders>
          </w:tcPr>
          <w:p w:rsidR="006C0808" w:rsidRDefault="00E3601E">
            <w:pPr>
              <w:spacing w:before="60" w:after="60"/>
              <w:jc w:val="center"/>
              <w:rPr>
                <w:b/>
                <w:noProof/>
                <w:sz w:val="20"/>
              </w:rPr>
            </w:pPr>
            <w:r>
              <w:rPr>
                <w:b/>
                <w:noProof/>
                <w:sz w:val="20"/>
              </w:rPr>
              <w:t>Rashodi za osoblje</w:t>
            </w:r>
            <w:r>
              <w:rPr>
                <w:rStyle w:val="FootnoteReference"/>
                <w:b/>
                <w:noProof/>
                <w:sz w:val="20"/>
              </w:rPr>
              <w:footnoteReference w:id="69"/>
            </w:r>
            <w:r>
              <w:rPr>
                <w:b/>
                <w:noProof/>
                <w:sz w:val="20"/>
              </w:rPr>
              <w:t xml:space="preserve"> </w:t>
            </w:r>
          </w:p>
        </w:tc>
        <w:tc>
          <w:tcPr>
            <w:tcW w:w="1116" w:type="pct"/>
          </w:tcPr>
          <w:p w:rsidR="006C0808" w:rsidRDefault="00E3601E">
            <w:pPr>
              <w:spacing w:before="60" w:after="60"/>
              <w:jc w:val="center"/>
              <w:rPr>
                <w:noProof/>
                <w:sz w:val="20"/>
              </w:rPr>
            </w:pPr>
            <w:r>
              <w:rPr>
                <w:noProof/>
                <w:sz w:val="20"/>
              </w:rPr>
              <w:t>Osnovno brojčano stanje</w:t>
            </w:r>
            <w:r>
              <w:rPr>
                <w:noProof/>
                <w:sz w:val="20"/>
              </w:rPr>
              <w:br/>
            </w:r>
            <w:r>
              <w:rPr>
                <w:b/>
                <w:noProof/>
                <w:sz w:val="20"/>
              </w:rPr>
              <w:t>2017.</w:t>
            </w:r>
          </w:p>
        </w:tc>
        <w:tc>
          <w:tcPr>
            <w:tcW w:w="232" w:type="pct"/>
          </w:tcPr>
          <w:p w:rsidR="006C0808" w:rsidRDefault="006C0808">
            <w:pPr>
              <w:spacing w:before="60" w:after="60"/>
              <w:jc w:val="center"/>
              <w:rPr>
                <w:noProof/>
                <w:sz w:val="20"/>
              </w:rPr>
            </w:pPr>
          </w:p>
        </w:tc>
        <w:tc>
          <w:tcPr>
            <w:tcW w:w="897" w:type="pct"/>
            <w:vAlign w:val="center"/>
          </w:tcPr>
          <w:p w:rsidR="006C0808" w:rsidRDefault="00E3601E">
            <w:pPr>
              <w:spacing w:before="60" w:after="60"/>
              <w:jc w:val="center"/>
              <w:rPr>
                <w:noProof/>
                <w:sz w:val="20"/>
              </w:rPr>
            </w:pPr>
            <w:r>
              <w:rPr>
                <w:noProof/>
                <w:sz w:val="20"/>
              </w:rPr>
              <w:t>Godina</w:t>
            </w:r>
            <w:r>
              <w:rPr>
                <w:noProof/>
                <w:sz w:val="20"/>
              </w:rPr>
              <w:br/>
            </w:r>
            <w:r>
              <w:rPr>
                <w:b/>
                <w:noProof/>
                <w:sz w:val="20"/>
              </w:rPr>
              <w:t>2019.</w:t>
            </w:r>
          </w:p>
        </w:tc>
        <w:tc>
          <w:tcPr>
            <w:tcW w:w="1031" w:type="pct"/>
            <w:vAlign w:val="center"/>
          </w:tcPr>
          <w:p w:rsidR="006C0808" w:rsidRDefault="00E3601E">
            <w:pPr>
              <w:spacing w:before="60" w:after="60"/>
              <w:jc w:val="center"/>
              <w:rPr>
                <w:noProof/>
              </w:rPr>
            </w:pPr>
            <w:r>
              <w:rPr>
                <w:noProof/>
                <w:sz w:val="20"/>
              </w:rPr>
              <w:t>Godina</w:t>
            </w:r>
            <w:r>
              <w:rPr>
                <w:noProof/>
                <w:sz w:val="20"/>
              </w:rPr>
              <w:br/>
            </w:r>
            <w:r>
              <w:rPr>
                <w:b/>
                <w:noProof/>
                <w:sz w:val="20"/>
              </w:rPr>
              <w:t>2020.</w:t>
            </w:r>
          </w:p>
        </w:tc>
      </w:tr>
      <w:tr w:rsidR="006C0808">
        <w:tc>
          <w:tcPr>
            <w:tcW w:w="1724" w:type="pct"/>
            <w:tcBorders>
              <w:bottom w:val="single" w:sz="4" w:space="0" w:color="auto"/>
            </w:tcBorders>
            <w:vAlign w:val="center"/>
          </w:tcPr>
          <w:p w:rsidR="006C0808" w:rsidRDefault="00E3601E">
            <w:pPr>
              <w:autoSpaceDE w:val="0"/>
              <w:autoSpaceDN w:val="0"/>
              <w:adjustRightInd w:val="0"/>
              <w:rPr>
                <w:b/>
                <w:bCs/>
                <w:noProof/>
                <w:sz w:val="20"/>
                <w:szCs w:val="20"/>
              </w:rPr>
            </w:pPr>
            <w:r>
              <w:rPr>
                <w:b/>
                <w:noProof/>
                <w:sz w:val="20"/>
              </w:rPr>
              <w:t>Broj stalno</w:t>
            </w:r>
          </w:p>
          <w:p w:rsidR="006C0808" w:rsidRDefault="00E3601E">
            <w:pPr>
              <w:autoSpaceDE w:val="0"/>
              <w:autoSpaceDN w:val="0"/>
              <w:adjustRightInd w:val="0"/>
              <w:rPr>
                <w:b/>
                <w:bCs/>
                <w:noProof/>
                <w:sz w:val="20"/>
                <w:szCs w:val="20"/>
              </w:rPr>
            </w:pPr>
            <w:r>
              <w:rPr>
                <w:b/>
                <w:noProof/>
                <w:sz w:val="20"/>
              </w:rPr>
              <w:t xml:space="preserve">zaposlenog osoblja </w:t>
            </w:r>
          </w:p>
        </w:tc>
        <w:tc>
          <w:tcPr>
            <w:tcW w:w="1116" w:type="pct"/>
            <w:vAlign w:val="center"/>
          </w:tcPr>
          <w:p w:rsidR="006C0808" w:rsidRDefault="00E3601E">
            <w:pPr>
              <w:shd w:val="clear" w:color="auto" w:fill="FFFFFF"/>
              <w:spacing w:before="60" w:after="60"/>
              <w:jc w:val="center"/>
              <w:rPr>
                <w:noProof/>
                <w:sz w:val="20"/>
              </w:rPr>
            </w:pPr>
            <w:r>
              <w:rPr>
                <w:noProof/>
                <w:sz w:val="20"/>
              </w:rPr>
              <w:t>–</w:t>
            </w:r>
          </w:p>
        </w:tc>
        <w:tc>
          <w:tcPr>
            <w:tcW w:w="232" w:type="pct"/>
          </w:tcPr>
          <w:p w:rsidR="006C0808" w:rsidRDefault="006C0808">
            <w:pPr>
              <w:shd w:val="clear" w:color="auto" w:fill="FFFFFF"/>
              <w:spacing w:before="60" w:after="60"/>
              <w:jc w:val="center"/>
              <w:rPr>
                <w:noProof/>
                <w:sz w:val="20"/>
              </w:rPr>
            </w:pPr>
          </w:p>
        </w:tc>
        <w:tc>
          <w:tcPr>
            <w:tcW w:w="897" w:type="pct"/>
            <w:vAlign w:val="center"/>
          </w:tcPr>
          <w:p w:rsidR="006C0808" w:rsidRDefault="00E3601E">
            <w:pPr>
              <w:shd w:val="clear" w:color="auto" w:fill="FFFFFF"/>
              <w:spacing w:before="60" w:after="60"/>
              <w:jc w:val="center"/>
              <w:rPr>
                <w:noProof/>
                <w:sz w:val="20"/>
              </w:rPr>
            </w:pPr>
            <w:r>
              <w:rPr>
                <w:noProof/>
                <w:sz w:val="20"/>
              </w:rPr>
              <w:t>1,876</w:t>
            </w:r>
          </w:p>
        </w:tc>
        <w:tc>
          <w:tcPr>
            <w:tcW w:w="1031" w:type="pct"/>
            <w:vAlign w:val="center"/>
          </w:tcPr>
          <w:p w:rsidR="006C0808" w:rsidRDefault="00E3601E">
            <w:pPr>
              <w:shd w:val="clear" w:color="auto" w:fill="FFFFFF"/>
              <w:spacing w:before="60" w:after="60"/>
              <w:jc w:val="center"/>
              <w:rPr>
                <w:noProof/>
                <w:sz w:val="20"/>
              </w:rPr>
            </w:pPr>
            <w:r>
              <w:rPr>
                <w:noProof/>
                <w:sz w:val="20"/>
              </w:rPr>
              <w:t>1,876</w:t>
            </w:r>
          </w:p>
        </w:tc>
      </w:tr>
      <w:tr w:rsidR="006C0808">
        <w:tc>
          <w:tcPr>
            <w:tcW w:w="1724" w:type="pct"/>
            <w:tcBorders>
              <w:top w:val="single" w:sz="4" w:space="0" w:color="auto"/>
            </w:tcBorders>
            <w:shd w:val="clear" w:color="auto" w:fill="FFFFFF"/>
            <w:vAlign w:val="center"/>
          </w:tcPr>
          <w:p w:rsidR="006C0808" w:rsidRDefault="00E3601E">
            <w:pPr>
              <w:shd w:val="clear" w:color="auto" w:fill="FFFFFF"/>
              <w:spacing w:before="60" w:after="60"/>
              <w:ind w:left="72"/>
              <w:rPr>
                <w:noProof/>
                <w:sz w:val="20"/>
              </w:rPr>
            </w:pPr>
            <w:r>
              <w:rPr>
                <w:b/>
                <w:noProof/>
                <w:sz w:val="20"/>
              </w:rPr>
              <w:t>Vanjsko osoblje (EPRV)</w:t>
            </w:r>
          </w:p>
        </w:tc>
        <w:tc>
          <w:tcPr>
            <w:tcW w:w="1116" w:type="pct"/>
            <w:shd w:val="clear" w:color="auto" w:fill="FFFFFF"/>
            <w:vAlign w:val="center"/>
          </w:tcPr>
          <w:p w:rsidR="006C0808" w:rsidRDefault="006C0808">
            <w:pPr>
              <w:shd w:val="clear" w:color="auto" w:fill="FFFFFF"/>
              <w:spacing w:before="60" w:after="60"/>
              <w:jc w:val="center"/>
              <w:rPr>
                <w:noProof/>
                <w:sz w:val="20"/>
              </w:rPr>
            </w:pPr>
          </w:p>
        </w:tc>
        <w:tc>
          <w:tcPr>
            <w:tcW w:w="232" w:type="pct"/>
            <w:shd w:val="clear" w:color="auto" w:fill="FFFFFF"/>
          </w:tcPr>
          <w:p w:rsidR="006C0808" w:rsidRDefault="006C0808">
            <w:pPr>
              <w:shd w:val="clear" w:color="auto" w:fill="FFFFFF"/>
              <w:spacing w:before="60" w:after="60"/>
              <w:jc w:val="center"/>
              <w:rPr>
                <w:noProof/>
                <w:sz w:val="20"/>
              </w:rPr>
            </w:pPr>
          </w:p>
        </w:tc>
        <w:tc>
          <w:tcPr>
            <w:tcW w:w="897" w:type="pct"/>
            <w:shd w:val="clear" w:color="auto" w:fill="FFFFFF"/>
            <w:vAlign w:val="center"/>
          </w:tcPr>
          <w:p w:rsidR="006C0808" w:rsidRDefault="006C0808">
            <w:pPr>
              <w:shd w:val="clear" w:color="auto" w:fill="FFFFFF"/>
              <w:spacing w:before="60" w:after="60"/>
              <w:jc w:val="center"/>
              <w:rPr>
                <w:noProof/>
                <w:sz w:val="20"/>
              </w:rPr>
            </w:pPr>
          </w:p>
        </w:tc>
        <w:tc>
          <w:tcPr>
            <w:tcW w:w="1031" w:type="pct"/>
            <w:vAlign w:val="center"/>
          </w:tcPr>
          <w:p w:rsidR="006C0808" w:rsidRDefault="006C0808">
            <w:pPr>
              <w:shd w:val="clear" w:color="auto" w:fill="FFFFFF"/>
              <w:spacing w:before="60" w:after="60"/>
              <w:jc w:val="center"/>
              <w:rPr>
                <w:noProof/>
                <w:sz w:val="20"/>
              </w:rPr>
            </w:pPr>
          </w:p>
        </w:tc>
      </w:tr>
      <w:tr w:rsidR="006C0808">
        <w:tc>
          <w:tcPr>
            <w:tcW w:w="1724" w:type="pct"/>
            <w:shd w:val="clear" w:color="auto" w:fill="FFFFFF"/>
            <w:vAlign w:val="center"/>
          </w:tcPr>
          <w:p w:rsidR="006C0808" w:rsidRDefault="00E3601E">
            <w:pPr>
              <w:autoSpaceDE w:val="0"/>
              <w:autoSpaceDN w:val="0"/>
              <w:adjustRightInd w:val="0"/>
              <w:rPr>
                <w:noProof/>
                <w:sz w:val="20"/>
                <w:szCs w:val="20"/>
              </w:rPr>
            </w:pPr>
            <w:r>
              <w:rPr>
                <w:noProof/>
                <w:sz w:val="20"/>
              </w:rPr>
              <w:t>– od čega ugovorno</w:t>
            </w:r>
          </w:p>
          <w:p w:rsidR="006C0808" w:rsidRDefault="00E3601E">
            <w:pPr>
              <w:spacing w:before="60" w:after="60"/>
              <w:rPr>
                <w:b/>
                <w:noProof/>
                <w:sz w:val="20"/>
              </w:rPr>
            </w:pPr>
            <w:r>
              <w:rPr>
                <w:noProof/>
                <w:sz w:val="20"/>
              </w:rPr>
              <w:t>osoblje</w:t>
            </w:r>
          </w:p>
        </w:tc>
        <w:tc>
          <w:tcPr>
            <w:tcW w:w="1116" w:type="pct"/>
            <w:shd w:val="clear" w:color="auto" w:fill="FFFFFF"/>
            <w:vAlign w:val="center"/>
          </w:tcPr>
          <w:p w:rsidR="006C0808" w:rsidRDefault="00E3601E">
            <w:pPr>
              <w:shd w:val="clear" w:color="auto" w:fill="FFFFFF"/>
              <w:spacing w:before="60" w:after="60"/>
              <w:jc w:val="center"/>
              <w:rPr>
                <w:noProof/>
                <w:sz w:val="20"/>
              </w:rPr>
            </w:pPr>
            <w:r>
              <w:rPr>
                <w:noProof/>
                <w:sz w:val="20"/>
              </w:rPr>
              <w:t>–</w:t>
            </w:r>
          </w:p>
        </w:tc>
        <w:tc>
          <w:tcPr>
            <w:tcW w:w="232" w:type="pct"/>
            <w:shd w:val="clear" w:color="auto" w:fill="FFFFFF"/>
          </w:tcPr>
          <w:p w:rsidR="006C0808" w:rsidRDefault="006C0808">
            <w:pPr>
              <w:shd w:val="clear" w:color="auto" w:fill="FFFFFF"/>
              <w:spacing w:before="60" w:after="60"/>
              <w:jc w:val="center"/>
              <w:rPr>
                <w:noProof/>
                <w:sz w:val="20"/>
              </w:rPr>
            </w:pPr>
          </w:p>
        </w:tc>
        <w:tc>
          <w:tcPr>
            <w:tcW w:w="897" w:type="pct"/>
            <w:shd w:val="clear" w:color="auto" w:fill="FFFFFF"/>
            <w:vAlign w:val="center"/>
          </w:tcPr>
          <w:p w:rsidR="006C0808" w:rsidRDefault="00E3601E">
            <w:pPr>
              <w:shd w:val="clear" w:color="auto" w:fill="FFFFFF"/>
              <w:spacing w:before="60" w:after="60"/>
              <w:jc w:val="center"/>
              <w:rPr>
                <w:noProof/>
                <w:sz w:val="20"/>
              </w:rPr>
            </w:pPr>
            <w:r>
              <w:rPr>
                <w:noProof/>
                <w:sz w:val="20"/>
              </w:rPr>
              <w:t>0,910</w:t>
            </w:r>
          </w:p>
        </w:tc>
        <w:tc>
          <w:tcPr>
            <w:tcW w:w="1031" w:type="pct"/>
            <w:vAlign w:val="center"/>
          </w:tcPr>
          <w:p w:rsidR="006C0808" w:rsidRDefault="00E3601E">
            <w:pPr>
              <w:shd w:val="clear" w:color="auto" w:fill="FFFFFF"/>
              <w:spacing w:before="60" w:after="60"/>
              <w:jc w:val="center"/>
              <w:rPr>
                <w:noProof/>
                <w:sz w:val="20"/>
              </w:rPr>
            </w:pPr>
            <w:r>
              <w:rPr>
                <w:noProof/>
                <w:sz w:val="20"/>
              </w:rPr>
              <w:t>1,330</w:t>
            </w:r>
          </w:p>
        </w:tc>
      </w:tr>
      <w:tr w:rsidR="006C0808">
        <w:tc>
          <w:tcPr>
            <w:tcW w:w="1724" w:type="pct"/>
            <w:vAlign w:val="center"/>
          </w:tcPr>
          <w:p w:rsidR="006C0808" w:rsidRDefault="00E3601E">
            <w:pPr>
              <w:rPr>
                <w:b/>
                <w:noProof/>
                <w:sz w:val="20"/>
              </w:rPr>
            </w:pPr>
            <w:r>
              <w:rPr>
                <w:noProof/>
                <w:sz w:val="20"/>
              </w:rPr>
              <w:t>– od čega upućeni nacionalni stručnjaci (UNS)</w:t>
            </w:r>
          </w:p>
        </w:tc>
        <w:tc>
          <w:tcPr>
            <w:tcW w:w="1116" w:type="pct"/>
            <w:vAlign w:val="center"/>
          </w:tcPr>
          <w:p w:rsidR="006C0808" w:rsidRDefault="00E3601E">
            <w:pPr>
              <w:shd w:val="clear" w:color="auto" w:fill="FFFFFF"/>
              <w:spacing w:before="60" w:after="60"/>
              <w:jc w:val="center"/>
              <w:rPr>
                <w:noProof/>
                <w:sz w:val="20"/>
              </w:rPr>
            </w:pPr>
            <w:r>
              <w:rPr>
                <w:noProof/>
                <w:sz w:val="20"/>
              </w:rPr>
              <w:t>–</w:t>
            </w:r>
          </w:p>
        </w:tc>
        <w:tc>
          <w:tcPr>
            <w:tcW w:w="232" w:type="pct"/>
          </w:tcPr>
          <w:p w:rsidR="006C0808" w:rsidRDefault="006C0808">
            <w:pPr>
              <w:shd w:val="clear" w:color="auto" w:fill="FFFFFF"/>
              <w:spacing w:before="60" w:after="60"/>
              <w:jc w:val="center"/>
              <w:rPr>
                <w:noProof/>
                <w:sz w:val="20"/>
              </w:rPr>
            </w:pPr>
          </w:p>
        </w:tc>
        <w:tc>
          <w:tcPr>
            <w:tcW w:w="897" w:type="pct"/>
            <w:vAlign w:val="center"/>
          </w:tcPr>
          <w:p w:rsidR="006C0808" w:rsidRDefault="00E3601E">
            <w:pPr>
              <w:shd w:val="clear" w:color="auto" w:fill="FFFFFF"/>
              <w:spacing w:before="60" w:after="60"/>
              <w:jc w:val="center"/>
              <w:rPr>
                <w:noProof/>
                <w:sz w:val="20"/>
              </w:rPr>
            </w:pPr>
            <w:r>
              <w:rPr>
                <w:noProof/>
                <w:sz w:val="20"/>
              </w:rPr>
              <w:t>0,624</w:t>
            </w:r>
          </w:p>
        </w:tc>
        <w:tc>
          <w:tcPr>
            <w:tcW w:w="1031" w:type="pct"/>
            <w:vAlign w:val="center"/>
          </w:tcPr>
          <w:p w:rsidR="006C0808" w:rsidRDefault="00E3601E">
            <w:pPr>
              <w:shd w:val="clear" w:color="auto" w:fill="FFFFFF"/>
              <w:spacing w:before="60" w:after="60"/>
              <w:jc w:val="center"/>
              <w:rPr>
                <w:noProof/>
                <w:sz w:val="20"/>
              </w:rPr>
            </w:pPr>
            <w:r>
              <w:rPr>
                <w:noProof/>
                <w:sz w:val="20"/>
              </w:rPr>
              <w:t>0,858</w:t>
            </w:r>
          </w:p>
        </w:tc>
      </w:tr>
      <w:tr w:rsidR="006C0808">
        <w:tc>
          <w:tcPr>
            <w:tcW w:w="1724" w:type="pct"/>
            <w:tcBorders>
              <w:top w:val="single" w:sz="4" w:space="0" w:color="auto"/>
            </w:tcBorders>
            <w:shd w:val="clear" w:color="auto" w:fill="FFFFFF"/>
            <w:vAlign w:val="center"/>
          </w:tcPr>
          <w:p w:rsidR="006C0808" w:rsidRDefault="00E3601E">
            <w:pPr>
              <w:shd w:val="clear" w:color="auto" w:fill="FFFFFF"/>
              <w:spacing w:before="60" w:after="60"/>
              <w:ind w:left="72"/>
              <w:rPr>
                <w:b/>
                <w:noProof/>
                <w:sz w:val="20"/>
              </w:rPr>
            </w:pPr>
            <w:r>
              <w:rPr>
                <w:b/>
                <w:noProof/>
                <w:sz w:val="20"/>
              </w:rPr>
              <w:t>Ukupno osoblja</w:t>
            </w:r>
          </w:p>
        </w:tc>
        <w:tc>
          <w:tcPr>
            <w:tcW w:w="1116" w:type="pct"/>
            <w:shd w:val="clear" w:color="auto" w:fill="FFFFFF"/>
            <w:vAlign w:val="center"/>
          </w:tcPr>
          <w:p w:rsidR="006C0808" w:rsidRDefault="00E3601E">
            <w:pPr>
              <w:shd w:val="clear" w:color="auto" w:fill="FFFFFF"/>
              <w:spacing w:before="60" w:after="60"/>
              <w:jc w:val="center"/>
              <w:rPr>
                <w:b/>
                <w:noProof/>
                <w:sz w:val="20"/>
                <w:highlight w:val="cyan"/>
              </w:rPr>
            </w:pPr>
            <w:r>
              <w:rPr>
                <w:b/>
                <w:noProof/>
                <w:sz w:val="20"/>
              </w:rPr>
              <w:t>2,302</w:t>
            </w:r>
          </w:p>
        </w:tc>
        <w:tc>
          <w:tcPr>
            <w:tcW w:w="232" w:type="pct"/>
            <w:shd w:val="clear" w:color="auto" w:fill="FFFFFF"/>
          </w:tcPr>
          <w:p w:rsidR="006C0808" w:rsidRDefault="006C0808">
            <w:pPr>
              <w:shd w:val="clear" w:color="auto" w:fill="FFFFFF"/>
              <w:spacing w:before="60" w:after="60"/>
              <w:jc w:val="center"/>
              <w:rPr>
                <w:b/>
                <w:noProof/>
                <w:sz w:val="20"/>
              </w:rPr>
            </w:pPr>
          </w:p>
        </w:tc>
        <w:tc>
          <w:tcPr>
            <w:tcW w:w="897" w:type="pct"/>
            <w:shd w:val="clear" w:color="auto" w:fill="FFFFFF"/>
            <w:vAlign w:val="center"/>
          </w:tcPr>
          <w:p w:rsidR="006C0808" w:rsidRDefault="00E3601E">
            <w:pPr>
              <w:shd w:val="clear" w:color="auto" w:fill="FFFFFF"/>
              <w:spacing w:before="60" w:after="60"/>
              <w:jc w:val="center"/>
              <w:rPr>
                <w:b/>
                <w:noProof/>
                <w:sz w:val="20"/>
              </w:rPr>
            </w:pPr>
            <w:r>
              <w:rPr>
                <w:b/>
                <w:noProof/>
                <w:sz w:val="20"/>
              </w:rPr>
              <w:t>3,410</w:t>
            </w:r>
          </w:p>
        </w:tc>
        <w:tc>
          <w:tcPr>
            <w:tcW w:w="1031" w:type="pct"/>
            <w:vAlign w:val="center"/>
          </w:tcPr>
          <w:p w:rsidR="006C0808" w:rsidRDefault="00E3601E">
            <w:pPr>
              <w:shd w:val="clear" w:color="auto" w:fill="FFFFFF"/>
              <w:spacing w:before="60" w:after="60"/>
              <w:jc w:val="center"/>
              <w:rPr>
                <w:b/>
                <w:noProof/>
                <w:sz w:val="20"/>
              </w:rPr>
            </w:pPr>
            <w:r>
              <w:rPr>
                <w:b/>
                <w:noProof/>
                <w:sz w:val="20"/>
              </w:rPr>
              <w:t>4,064</w:t>
            </w:r>
          </w:p>
        </w:tc>
      </w:tr>
    </w:tbl>
    <w:p w:rsidR="006C0808" w:rsidRDefault="006C0808">
      <w:pPr>
        <w:rPr>
          <w:b/>
          <w:noProof/>
          <w:sz w:val="20"/>
          <w:highlight w:val="yellow"/>
        </w:rPr>
      </w:pPr>
    </w:p>
    <w:p w:rsidR="006C0808" w:rsidRDefault="006C0808">
      <w:pPr>
        <w:autoSpaceDE w:val="0"/>
        <w:autoSpaceDN w:val="0"/>
        <w:adjustRightInd w:val="0"/>
        <w:rPr>
          <w:noProof/>
          <w:sz w:val="22"/>
        </w:rPr>
      </w:pPr>
    </w:p>
    <w:tbl>
      <w:tblPr>
        <w:tblpPr w:leftFromText="180" w:rightFromText="180" w:vertAnchor="text" w:horzAnchor="margin" w:tblpXSpec="center" w:tblpY="32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91"/>
        <w:gridCol w:w="7598"/>
      </w:tblGrid>
      <w:tr w:rsidR="006C0808">
        <w:trPr>
          <w:trHeight w:val="585"/>
        </w:trPr>
        <w:tc>
          <w:tcPr>
            <w:tcW w:w="9289" w:type="dxa"/>
            <w:gridSpan w:val="2"/>
            <w:tcBorders>
              <w:bottom w:val="single" w:sz="2" w:space="0" w:color="auto"/>
            </w:tcBorders>
          </w:tcPr>
          <w:p w:rsidR="006C0808" w:rsidRDefault="00E3601E">
            <w:pPr>
              <w:keepNext/>
              <w:keepLines/>
              <w:spacing w:before="60" w:after="60"/>
              <w:jc w:val="center"/>
              <w:rPr>
                <w:b/>
                <w:noProof/>
                <w:sz w:val="20"/>
              </w:rPr>
            </w:pPr>
            <w:r>
              <w:rPr>
                <w:b/>
                <w:noProof/>
                <w:sz w:val="20"/>
              </w:rPr>
              <w:t>Dodatno osoblje potrebno BEREC-u u 2020. radi provedbe zadaća u skladu s proširenim ovlastima</w:t>
            </w:r>
            <w:r>
              <w:rPr>
                <w:rStyle w:val="FootnoteReference"/>
                <w:b/>
                <w:noProof/>
                <w:sz w:val="20"/>
              </w:rPr>
              <w:footnoteReference w:id="70"/>
            </w:r>
            <w:r>
              <w:rPr>
                <w:b/>
                <w:noProof/>
                <w:sz w:val="20"/>
              </w:rPr>
              <w:t xml:space="preserve"> </w:t>
            </w:r>
          </w:p>
          <w:p w:rsidR="006C0808" w:rsidRDefault="00E3601E">
            <w:pPr>
              <w:keepNext/>
              <w:keepLines/>
              <w:spacing w:before="60" w:after="60"/>
              <w:jc w:val="center"/>
              <w:rPr>
                <w:b/>
                <w:noProof/>
                <w:sz w:val="20"/>
              </w:rPr>
            </w:pPr>
            <w:r>
              <w:rPr>
                <w:b/>
                <w:noProof/>
                <w:sz w:val="20"/>
              </w:rPr>
              <w:t>(podaci prema zadaćama)</w:t>
            </w:r>
          </w:p>
        </w:tc>
      </w:tr>
      <w:tr w:rsidR="006C0808">
        <w:trPr>
          <w:trHeight w:val="585"/>
        </w:trPr>
        <w:tc>
          <w:tcPr>
            <w:tcW w:w="1691" w:type="dxa"/>
            <w:tcBorders>
              <w:bottom w:val="single" w:sz="2" w:space="0" w:color="auto"/>
            </w:tcBorders>
          </w:tcPr>
          <w:p w:rsidR="006C0808" w:rsidRDefault="006C0808">
            <w:pPr>
              <w:keepNext/>
              <w:keepLines/>
              <w:jc w:val="center"/>
              <w:rPr>
                <w:b/>
                <w:i/>
                <w:noProof/>
                <w:sz w:val="20"/>
              </w:rPr>
            </w:pPr>
          </w:p>
          <w:p w:rsidR="006C0808" w:rsidRDefault="00E3601E">
            <w:pPr>
              <w:keepNext/>
              <w:keepLines/>
              <w:jc w:val="center"/>
              <w:rPr>
                <w:b/>
                <w:i/>
                <w:noProof/>
                <w:sz w:val="20"/>
              </w:rPr>
            </w:pPr>
            <w:r>
              <w:rPr>
                <w:b/>
                <w:i/>
                <w:noProof/>
                <w:sz w:val="20"/>
              </w:rPr>
              <w:t>Ukupno osoblja</w:t>
            </w:r>
          </w:p>
          <w:p w:rsidR="006C0808" w:rsidRDefault="00E3601E">
            <w:pPr>
              <w:keepNext/>
              <w:keepLines/>
              <w:spacing w:before="60" w:after="60"/>
              <w:jc w:val="center"/>
              <w:rPr>
                <w:b/>
                <w:noProof/>
                <w:sz w:val="20"/>
              </w:rPr>
            </w:pPr>
            <w:r>
              <w:rPr>
                <w:b/>
                <w:i/>
                <w:noProof/>
                <w:sz w:val="20"/>
              </w:rPr>
              <w:t>(EPRV)</w:t>
            </w:r>
          </w:p>
        </w:tc>
        <w:tc>
          <w:tcPr>
            <w:tcW w:w="7598" w:type="dxa"/>
          </w:tcPr>
          <w:p w:rsidR="006C0808" w:rsidRDefault="006C0808">
            <w:pPr>
              <w:keepNext/>
              <w:keepLines/>
              <w:jc w:val="center"/>
              <w:rPr>
                <w:b/>
                <w:i/>
                <w:noProof/>
                <w:sz w:val="20"/>
              </w:rPr>
            </w:pPr>
          </w:p>
          <w:p w:rsidR="006C0808" w:rsidRDefault="00E3601E">
            <w:pPr>
              <w:keepNext/>
              <w:keepLines/>
              <w:jc w:val="center"/>
              <w:rPr>
                <w:b/>
                <w:noProof/>
                <w:sz w:val="20"/>
              </w:rPr>
            </w:pPr>
            <w:r>
              <w:rPr>
                <w:b/>
                <w:i/>
                <w:noProof/>
                <w:sz w:val="20"/>
              </w:rPr>
              <w:t>Nove zadaće</w:t>
            </w:r>
          </w:p>
        </w:tc>
      </w:tr>
      <w:tr w:rsidR="006C0808">
        <w:trPr>
          <w:trHeight w:val="585"/>
        </w:trPr>
        <w:tc>
          <w:tcPr>
            <w:tcW w:w="1691" w:type="dxa"/>
            <w:tcBorders>
              <w:bottom w:val="single" w:sz="4" w:space="0" w:color="auto"/>
            </w:tcBorders>
            <w:vAlign w:val="center"/>
          </w:tcPr>
          <w:p w:rsidR="006C0808" w:rsidRDefault="00E3601E">
            <w:pPr>
              <w:keepNext/>
              <w:keepLines/>
              <w:shd w:val="clear" w:color="auto" w:fill="FFFFFF"/>
              <w:ind w:left="72"/>
              <w:jc w:val="center"/>
              <w:rPr>
                <w:noProof/>
                <w:sz w:val="20"/>
                <w:szCs w:val="20"/>
              </w:rPr>
            </w:pPr>
            <w:r>
              <w:rPr>
                <w:b/>
                <w:noProof/>
                <w:sz w:val="20"/>
              </w:rPr>
              <w:t>4</w:t>
            </w:r>
          </w:p>
        </w:tc>
        <w:tc>
          <w:tcPr>
            <w:tcW w:w="7598" w:type="dxa"/>
            <w:vAlign w:val="bottom"/>
          </w:tcPr>
          <w:p w:rsidR="006C0808" w:rsidRDefault="00E3601E">
            <w:pPr>
              <w:keepNext/>
              <w:keepLines/>
              <w:rPr>
                <w:noProof/>
                <w:sz w:val="20"/>
                <w:szCs w:val="20"/>
              </w:rPr>
            </w:pPr>
            <w:r>
              <w:rPr>
                <w:noProof/>
                <w:sz w:val="20"/>
              </w:rPr>
              <w:t xml:space="preserve">Prednormativne zadaće i obvezujuće ovlasti </w:t>
            </w:r>
          </w:p>
        </w:tc>
      </w:tr>
      <w:tr w:rsidR="006C0808">
        <w:trPr>
          <w:trHeight w:val="585"/>
        </w:trPr>
        <w:tc>
          <w:tcPr>
            <w:tcW w:w="1691" w:type="dxa"/>
            <w:tcBorders>
              <w:top w:val="single" w:sz="4" w:space="0" w:color="auto"/>
            </w:tcBorders>
            <w:shd w:val="clear" w:color="auto" w:fill="FFFFFF"/>
            <w:vAlign w:val="center"/>
          </w:tcPr>
          <w:p w:rsidR="006C0808" w:rsidRDefault="00E3601E">
            <w:pPr>
              <w:keepNext/>
              <w:keepLines/>
              <w:shd w:val="clear" w:color="auto" w:fill="FFFFFF"/>
              <w:spacing w:before="60" w:after="60"/>
              <w:ind w:left="72"/>
              <w:jc w:val="center"/>
              <w:rPr>
                <w:b/>
                <w:noProof/>
                <w:sz w:val="20"/>
                <w:szCs w:val="20"/>
              </w:rPr>
            </w:pPr>
            <w:r>
              <w:rPr>
                <w:b/>
                <w:noProof/>
                <w:sz w:val="20"/>
              </w:rPr>
              <w:t>5</w:t>
            </w:r>
          </w:p>
        </w:tc>
        <w:tc>
          <w:tcPr>
            <w:tcW w:w="7598" w:type="dxa"/>
            <w:shd w:val="clear" w:color="auto" w:fill="FFFFFF"/>
            <w:vAlign w:val="bottom"/>
          </w:tcPr>
          <w:p w:rsidR="006C0808" w:rsidRDefault="00E3601E">
            <w:pPr>
              <w:keepNext/>
              <w:keepLines/>
              <w:rPr>
                <w:noProof/>
                <w:sz w:val="20"/>
                <w:szCs w:val="20"/>
              </w:rPr>
            </w:pPr>
            <w:r>
              <w:rPr>
                <w:noProof/>
                <w:sz w:val="20"/>
              </w:rPr>
              <w:t xml:space="preserve">Regulatorne smjernice </w:t>
            </w:r>
          </w:p>
        </w:tc>
      </w:tr>
      <w:tr w:rsidR="006C0808">
        <w:trPr>
          <w:trHeight w:val="585"/>
        </w:trPr>
        <w:tc>
          <w:tcPr>
            <w:tcW w:w="1691" w:type="dxa"/>
            <w:tcBorders>
              <w:top w:val="single" w:sz="4" w:space="0" w:color="auto"/>
            </w:tcBorders>
            <w:shd w:val="clear" w:color="auto" w:fill="FFFFFF"/>
            <w:vAlign w:val="center"/>
          </w:tcPr>
          <w:p w:rsidR="006C0808" w:rsidRDefault="006C0808">
            <w:pPr>
              <w:keepNext/>
              <w:keepLines/>
              <w:shd w:val="clear" w:color="auto" w:fill="FFFFFF"/>
              <w:spacing w:before="60" w:after="60"/>
              <w:ind w:left="72"/>
              <w:jc w:val="center"/>
              <w:rPr>
                <w:b/>
                <w:noProof/>
                <w:sz w:val="20"/>
                <w:szCs w:val="20"/>
              </w:rPr>
            </w:pPr>
          </w:p>
          <w:p w:rsidR="006C0808" w:rsidRDefault="00E3601E">
            <w:pPr>
              <w:keepNext/>
              <w:keepLines/>
              <w:shd w:val="clear" w:color="auto" w:fill="FFFFFF"/>
              <w:spacing w:before="60" w:after="60"/>
              <w:ind w:left="72"/>
              <w:jc w:val="center"/>
              <w:rPr>
                <w:b/>
                <w:noProof/>
                <w:sz w:val="20"/>
                <w:szCs w:val="20"/>
              </w:rPr>
            </w:pPr>
            <w:r>
              <w:rPr>
                <w:b/>
                <w:noProof/>
                <w:sz w:val="20"/>
              </w:rPr>
              <w:t>2</w:t>
            </w:r>
          </w:p>
        </w:tc>
        <w:tc>
          <w:tcPr>
            <w:tcW w:w="7598" w:type="dxa"/>
            <w:shd w:val="clear" w:color="auto" w:fill="FFFFFF"/>
            <w:vAlign w:val="bottom"/>
          </w:tcPr>
          <w:p w:rsidR="006C0808" w:rsidRDefault="00E3601E">
            <w:pPr>
              <w:keepNext/>
              <w:keepLines/>
              <w:rPr>
                <w:noProof/>
                <w:sz w:val="20"/>
                <w:szCs w:val="20"/>
              </w:rPr>
            </w:pPr>
            <w:r>
              <w:rPr>
                <w:noProof/>
                <w:sz w:val="20"/>
              </w:rPr>
              <w:t xml:space="preserve">Pregled tržišta </w:t>
            </w:r>
          </w:p>
        </w:tc>
      </w:tr>
      <w:tr w:rsidR="006C0808">
        <w:trPr>
          <w:trHeight w:val="585"/>
        </w:trPr>
        <w:tc>
          <w:tcPr>
            <w:tcW w:w="1691" w:type="dxa"/>
            <w:shd w:val="clear" w:color="auto" w:fill="FFFFFF"/>
            <w:vAlign w:val="center"/>
          </w:tcPr>
          <w:p w:rsidR="006C0808" w:rsidRDefault="00E3601E">
            <w:pPr>
              <w:keepNext/>
              <w:keepLines/>
              <w:spacing w:before="60" w:after="60"/>
              <w:jc w:val="center"/>
              <w:rPr>
                <w:b/>
                <w:noProof/>
                <w:sz w:val="20"/>
                <w:szCs w:val="20"/>
              </w:rPr>
            </w:pPr>
            <w:r>
              <w:rPr>
                <w:b/>
                <w:noProof/>
                <w:sz w:val="20"/>
              </w:rPr>
              <w:t>1</w:t>
            </w:r>
          </w:p>
        </w:tc>
        <w:tc>
          <w:tcPr>
            <w:tcW w:w="7598" w:type="dxa"/>
            <w:shd w:val="clear" w:color="auto" w:fill="FFFFFF"/>
            <w:vAlign w:val="bottom"/>
          </w:tcPr>
          <w:p w:rsidR="006C0808" w:rsidRDefault="00E3601E">
            <w:pPr>
              <w:keepNext/>
              <w:keepLines/>
              <w:rPr>
                <w:noProof/>
                <w:sz w:val="20"/>
                <w:szCs w:val="20"/>
              </w:rPr>
            </w:pPr>
            <w:r>
              <w:rPr>
                <w:noProof/>
                <w:sz w:val="20"/>
              </w:rPr>
              <w:t xml:space="preserve">Stručni pregled radiofrekvencijskog spektra </w:t>
            </w:r>
          </w:p>
        </w:tc>
      </w:tr>
      <w:tr w:rsidR="006C0808">
        <w:trPr>
          <w:trHeight w:val="585"/>
        </w:trPr>
        <w:tc>
          <w:tcPr>
            <w:tcW w:w="1691" w:type="dxa"/>
            <w:vAlign w:val="center"/>
          </w:tcPr>
          <w:p w:rsidR="006C0808" w:rsidRDefault="00E3601E">
            <w:pPr>
              <w:keepNext/>
              <w:keepLines/>
              <w:shd w:val="clear" w:color="auto" w:fill="FFFFFF"/>
              <w:spacing w:before="60" w:after="60"/>
              <w:ind w:left="72"/>
              <w:jc w:val="center"/>
              <w:rPr>
                <w:b/>
                <w:noProof/>
                <w:sz w:val="20"/>
                <w:szCs w:val="20"/>
              </w:rPr>
            </w:pPr>
            <w:r>
              <w:rPr>
                <w:b/>
                <w:noProof/>
                <w:sz w:val="20"/>
              </w:rPr>
              <w:t>1</w:t>
            </w:r>
          </w:p>
        </w:tc>
        <w:tc>
          <w:tcPr>
            <w:tcW w:w="7598" w:type="dxa"/>
            <w:vAlign w:val="bottom"/>
          </w:tcPr>
          <w:p w:rsidR="006C0808" w:rsidRDefault="00E3601E">
            <w:pPr>
              <w:keepNext/>
              <w:keepLines/>
              <w:rPr>
                <w:noProof/>
                <w:sz w:val="20"/>
                <w:szCs w:val="20"/>
              </w:rPr>
            </w:pPr>
            <w:r>
              <w:rPr>
                <w:noProof/>
                <w:sz w:val="20"/>
              </w:rPr>
              <w:t xml:space="preserve">Funkcije vođenja registara </w:t>
            </w:r>
          </w:p>
        </w:tc>
      </w:tr>
      <w:tr w:rsidR="006C0808">
        <w:trPr>
          <w:trHeight w:val="585"/>
        </w:trPr>
        <w:tc>
          <w:tcPr>
            <w:tcW w:w="1691" w:type="dxa"/>
            <w:vAlign w:val="center"/>
          </w:tcPr>
          <w:p w:rsidR="006C0808" w:rsidRDefault="00E3601E">
            <w:pPr>
              <w:keepNext/>
              <w:keepLines/>
              <w:shd w:val="clear" w:color="auto" w:fill="FFFFFF"/>
              <w:spacing w:before="60" w:after="60"/>
              <w:ind w:left="72"/>
              <w:jc w:val="center"/>
              <w:rPr>
                <w:b/>
                <w:noProof/>
                <w:sz w:val="20"/>
                <w:szCs w:val="20"/>
              </w:rPr>
            </w:pPr>
            <w:r>
              <w:rPr>
                <w:b/>
                <w:noProof/>
                <w:sz w:val="20"/>
              </w:rPr>
              <w:t>1</w:t>
            </w:r>
          </w:p>
        </w:tc>
        <w:tc>
          <w:tcPr>
            <w:tcW w:w="7598" w:type="dxa"/>
            <w:vAlign w:val="center"/>
          </w:tcPr>
          <w:p w:rsidR="006C0808" w:rsidRDefault="00E3601E">
            <w:pPr>
              <w:keepNext/>
              <w:keepLines/>
              <w:rPr>
                <w:noProof/>
                <w:sz w:val="20"/>
                <w:szCs w:val="20"/>
              </w:rPr>
            </w:pPr>
            <w:r>
              <w:rPr>
                <w:noProof/>
                <w:sz w:val="20"/>
              </w:rPr>
              <w:t>Međunarodna suradnja</w:t>
            </w:r>
          </w:p>
        </w:tc>
      </w:tr>
      <w:tr w:rsidR="006C0808">
        <w:trPr>
          <w:trHeight w:val="585"/>
        </w:trPr>
        <w:tc>
          <w:tcPr>
            <w:tcW w:w="1691" w:type="dxa"/>
            <w:vAlign w:val="center"/>
          </w:tcPr>
          <w:p w:rsidR="006C0808" w:rsidRDefault="00E3601E">
            <w:pPr>
              <w:keepNext/>
              <w:keepLines/>
              <w:shd w:val="clear" w:color="auto" w:fill="FFFFFF"/>
              <w:spacing w:before="60" w:after="60"/>
              <w:ind w:left="72"/>
              <w:jc w:val="center"/>
              <w:rPr>
                <w:b/>
                <w:noProof/>
                <w:sz w:val="20"/>
                <w:szCs w:val="20"/>
              </w:rPr>
            </w:pPr>
            <w:r>
              <w:rPr>
                <w:b/>
                <w:noProof/>
                <w:sz w:val="20"/>
              </w:rPr>
              <w:t>2</w:t>
            </w:r>
          </w:p>
        </w:tc>
        <w:tc>
          <w:tcPr>
            <w:tcW w:w="7598" w:type="dxa"/>
            <w:vAlign w:val="center"/>
          </w:tcPr>
          <w:p w:rsidR="006C0808" w:rsidRDefault="00E3601E">
            <w:pPr>
              <w:keepNext/>
              <w:keepLines/>
              <w:rPr>
                <w:noProof/>
                <w:sz w:val="20"/>
                <w:szCs w:val="20"/>
              </w:rPr>
            </w:pPr>
            <w:r>
              <w:rPr>
                <w:noProof/>
                <w:sz w:val="20"/>
              </w:rPr>
              <w:t xml:space="preserve">Pružanje pomoći i davanje savjeta Komisiji i ostalim </w:t>
            </w:r>
            <w:r>
              <w:rPr>
                <w:noProof/>
                <w:sz w:val="20"/>
              </w:rPr>
              <w:t>institucijama EU-a</w:t>
            </w:r>
          </w:p>
        </w:tc>
      </w:tr>
      <w:tr w:rsidR="006C0808">
        <w:trPr>
          <w:trHeight w:val="585"/>
        </w:trPr>
        <w:tc>
          <w:tcPr>
            <w:tcW w:w="1691" w:type="dxa"/>
            <w:vAlign w:val="center"/>
          </w:tcPr>
          <w:p w:rsidR="006C0808" w:rsidRDefault="00E3601E">
            <w:pPr>
              <w:keepNext/>
              <w:keepLines/>
              <w:shd w:val="clear" w:color="auto" w:fill="FFFFFF"/>
              <w:spacing w:before="60" w:after="60"/>
              <w:ind w:left="72"/>
              <w:jc w:val="center"/>
              <w:rPr>
                <w:b/>
                <w:noProof/>
                <w:sz w:val="20"/>
              </w:rPr>
            </w:pPr>
            <w:r>
              <w:rPr>
                <w:b/>
                <w:noProof/>
                <w:sz w:val="20"/>
              </w:rPr>
              <w:t>2</w:t>
            </w:r>
          </w:p>
        </w:tc>
        <w:tc>
          <w:tcPr>
            <w:tcW w:w="7598" w:type="dxa"/>
            <w:vAlign w:val="center"/>
          </w:tcPr>
          <w:p w:rsidR="006C0808" w:rsidRDefault="00E3601E">
            <w:pPr>
              <w:keepNext/>
              <w:keepLines/>
              <w:shd w:val="clear" w:color="auto" w:fill="FFFFFF"/>
              <w:spacing w:before="60" w:after="60"/>
              <w:rPr>
                <w:noProof/>
                <w:sz w:val="20"/>
              </w:rPr>
            </w:pPr>
            <w:r>
              <w:rPr>
                <w:noProof/>
                <w:sz w:val="20"/>
              </w:rPr>
              <w:t xml:space="preserve">Upravljačka i administrativna potpora </w:t>
            </w:r>
          </w:p>
        </w:tc>
      </w:tr>
      <w:tr w:rsidR="006C0808">
        <w:trPr>
          <w:trHeight w:val="585"/>
        </w:trPr>
        <w:tc>
          <w:tcPr>
            <w:tcW w:w="1691" w:type="dxa"/>
            <w:vAlign w:val="center"/>
          </w:tcPr>
          <w:p w:rsidR="006C0808" w:rsidRDefault="00E3601E">
            <w:pPr>
              <w:keepNext/>
              <w:keepLines/>
              <w:shd w:val="clear" w:color="auto" w:fill="FFFFFF"/>
              <w:spacing w:before="60" w:after="60"/>
              <w:ind w:left="72"/>
              <w:jc w:val="center"/>
              <w:rPr>
                <w:b/>
                <w:noProof/>
                <w:sz w:val="20"/>
              </w:rPr>
            </w:pPr>
            <w:r>
              <w:rPr>
                <w:b/>
                <w:noProof/>
                <w:sz w:val="20"/>
              </w:rPr>
              <w:t>18</w:t>
            </w:r>
          </w:p>
        </w:tc>
        <w:tc>
          <w:tcPr>
            <w:tcW w:w="7598" w:type="dxa"/>
            <w:vAlign w:val="center"/>
          </w:tcPr>
          <w:p w:rsidR="006C0808" w:rsidRDefault="006C0808">
            <w:pPr>
              <w:keepNext/>
              <w:keepLines/>
              <w:rPr>
                <w:noProof/>
                <w:sz w:val="20"/>
                <w:szCs w:val="20"/>
              </w:rPr>
            </w:pPr>
          </w:p>
        </w:tc>
      </w:tr>
    </w:tbl>
    <w:p w:rsidR="006C0808" w:rsidRDefault="006C0808">
      <w:pPr>
        <w:jc w:val="center"/>
        <w:rPr>
          <w:noProof/>
          <w:u w:val="single"/>
        </w:rPr>
      </w:pPr>
    </w:p>
    <w:p w:rsidR="006C0808" w:rsidRDefault="00E3601E">
      <w:pPr>
        <w:pStyle w:val="ManualHeading4"/>
        <w:rPr>
          <w:b/>
          <w:bCs/>
          <w:noProof/>
        </w:rPr>
      </w:pPr>
      <w:r>
        <w:rPr>
          <w:noProof/>
        </w:rPr>
        <w:t>3.2.3.2.</w:t>
      </w:r>
      <w:r>
        <w:rPr>
          <w:noProof/>
        </w:rPr>
        <w:tab/>
        <w:t>Procjena potrebnih ljudskih resursa za matičnu glavnu upravu</w:t>
      </w:r>
    </w:p>
    <w:p w:rsidR="006C0808" w:rsidRDefault="00E3601E">
      <w:pPr>
        <w:pStyle w:val="ListDash1"/>
        <w:keepNext/>
        <w:keepLines/>
        <w:numPr>
          <w:ilvl w:val="0"/>
          <w:numId w:val="14"/>
        </w:numPr>
        <w:rPr>
          <w:noProof/>
        </w:rPr>
      </w:pPr>
      <w:r>
        <w:rPr>
          <w:noProof/>
        </w:rPr>
        <w:sym w:font="Wingdings" w:char="F0A8"/>
      </w:r>
      <w:r>
        <w:rPr>
          <w:noProof/>
        </w:rPr>
        <w:t xml:space="preserve"> Za prijedlog/inicijativu nisu potrebni ljudski resursi</w:t>
      </w:r>
    </w:p>
    <w:p w:rsidR="006C0808" w:rsidRDefault="00E3601E">
      <w:pPr>
        <w:pStyle w:val="ListDash1"/>
        <w:keepNext/>
        <w:keepLines/>
        <w:numPr>
          <w:ilvl w:val="0"/>
          <w:numId w:val="14"/>
        </w:numPr>
        <w:rPr>
          <w:noProof/>
        </w:rPr>
      </w:pPr>
      <w:r>
        <w:rPr>
          <w:noProof/>
        </w:rPr>
        <w:sym w:font="Wingdings" w:char="F078"/>
      </w:r>
      <w:r>
        <w:rPr>
          <w:noProof/>
        </w:rPr>
        <w:t xml:space="preserve"> Za prijedlog/inicijativu potrebni su sljedeći ljudski resursi:</w:t>
      </w:r>
    </w:p>
    <w:p w:rsidR="006C0808" w:rsidRDefault="006C0808">
      <w:pPr>
        <w:rPr>
          <w:noProof/>
        </w:rPr>
      </w:pPr>
    </w:p>
    <w:p w:rsidR="006C0808" w:rsidRDefault="00E3601E">
      <w:pPr>
        <w:spacing w:after="60"/>
        <w:jc w:val="right"/>
        <w:rPr>
          <w:i/>
          <w:noProof/>
          <w:sz w:val="20"/>
        </w:rPr>
      </w:pPr>
      <w:r>
        <w:rPr>
          <w:i/>
          <w:noProof/>
          <w:sz w:val="20"/>
        </w:rPr>
        <w:t>Procjenu navesti u cijelom iznosu (ili najviše do jednog decimalnog mjesta)</w:t>
      </w:r>
    </w:p>
    <w:p w:rsidR="006C0808" w:rsidRDefault="006C0808">
      <w:pPr>
        <w:spacing w:after="60"/>
        <w:jc w:val="right"/>
        <w:rPr>
          <w:i/>
          <w:noProof/>
          <w:sz w:val="20"/>
        </w:rPr>
      </w:pPr>
    </w:p>
    <w:tbl>
      <w:tblPr>
        <w:tblW w:w="343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48"/>
        <w:gridCol w:w="1016"/>
        <w:gridCol w:w="1016"/>
      </w:tblGrid>
      <w:tr w:rsidR="006C0808">
        <w:trPr>
          <w:trHeight w:val="289"/>
        </w:trPr>
        <w:tc>
          <w:tcPr>
            <w:tcW w:w="3407" w:type="pct"/>
            <w:shd w:val="clear" w:color="auto" w:fill="auto"/>
          </w:tcPr>
          <w:p w:rsidR="006C0808" w:rsidRDefault="006C0808">
            <w:pPr>
              <w:spacing w:before="40" w:after="40"/>
              <w:jc w:val="center"/>
              <w:rPr>
                <w:i/>
                <w:noProof/>
                <w:sz w:val="20"/>
              </w:rPr>
            </w:pPr>
          </w:p>
        </w:tc>
        <w:tc>
          <w:tcPr>
            <w:tcW w:w="796" w:type="pct"/>
            <w:shd w:val="clear" w:color="auto" w:fill="auto"/>
            <w:vAlign w:val="center"/>
          </w:tcPr>
          <w:p w:rsidR="006C0808" w:rsidRDefault="006C0808">
            <w:pPr>
              <w:spacing w:before="60" w:after="60"/>
              <w:jc w:val="center"/>
              <w:rPr>
                <w:noProof/>
                <w:sz w:val="20"/>
              </w:rPr>
            </w:pPr>
          </w:p>
          <w:p w:rsidR="006C0808" w:rsidRDefault="00E3601E">
            <w:pPr>
              <w:spacing w:before="60" w:after="60"/>
              <w:jc w:val="center"/>
              <w:rPr>
                <w:noProof/>
              </w:rPr>
            </w:pPr>
            <w:r>
              <w:rPr>
                <w:noProof/>
                <w:sz w:val="20"/>
              </w:rPr>
              <w:t>Godina</w:t>
            </w:r>
            <w:r>
              <w:rPr>
                <w:noProof/>
                <w:sz w:val="20"/>
              </w:rPr>
              <w:br/>
            </w:r>
            <w:r>
              <w:rPr>
                <w:b/>
                <w:noProof/>
                <w:sz w:val="20"/>
              </w:rPr>
              <w:t>2019.</w:t>
            </w:r>
          </w:p>
          <w:p w:rsidR="006C0808" w:rsidRDefault="006C0808">
            <w:pPr>
              <w:jc w:val="center"/>
              <w:rPr>
                <w:noProof/>
                <w:sz w:val="20"/>
              </w:rPr>
            </w:pPr>
          </w:p>
        </w:tc>
        <w:tc>
          <w:tcPr>
            <w:tcW w:w="796" w:type="pct"/>
            <w:shd w:val="clear" w:color="auto" w:fill="auto"/>
            <w:vAlign w:val="center"/>
          </w:tcPr>
          <w:p w:rsidR="006C0808" w:rsidRDefault="00E3601E">
            <w:pPr>
              <w:spacing w:before="60" w:after="60"/>
              <w:jc w:val="center"/>
              <w:rPr>
                <w:noProof/>
              </w:rPr>
            </w:pPr>
            <w:r>
              <w:rPr>
                <w:noProof/>
                <w:sz w:val="20"/>
              </w:rPr>
              <w:t>Godina</w:t>
            </w:r>
            <w:r>
              <w:rPr>
                <w:noProof/>
                <w:sz w:val="20"/>
              </w:rPr>
              <w:br/>
            </w:r>
            <w:r>
              <w:rPr>
                <w:b/>
                <w:noProof/>
                <w:sz w:val="20"/>
              </w:rPr>
              <w:t>2020.</w:t>
            </w:r>
          </w:p>
        </w:tc>
      </w:tr>
      <w:tr w:rsidR="006C0808">
        <w:trPr>
          <w:trHeight w:val="289"/>
        </w:trPr>
        <w:tc>
          <w:tcPr>
            <w:tcW w:w="3407" w:type="pct"/>
            <w:shd w:val="clear" w:color="auto" w:fill="auto"/>
            <w:vAlign w:val="center"/>
          </w:tcPr>
          <w:p w:rsidR="006C0808" w:rsidRDefault="00E3601E">
            <w:pPr>
              <w:numPr>
                <w:ilvl w:val="0"/>
                <w:numId w:val="16"/>
              </w:numPr>
              <w:tabs>
                <w:tab w:val="left" w:pos="208"/>
              </w:tabs>
              <w:spacing w:beforeLines="20" w:before="48" w:afterLines="20" w:after="48"/>
              <w:ind w:left="208" w:hanging="120"/>
              <w:rPr>
                <w:b/>
                <w:noProof/>
                <w:sz w:val="20"/>
              </w:rPr>
            </w:pPr>
            <w:r>
              <w:rPr>
                <w:b/>
                <w:noProof/>
                <w:sz w:val="20"/>
              </w:rPr>
              <w:t>Plan radnih mjesta (dužnosnici i privremeno osoblje)</w:t>
            </w:r>
          </w:p>
        </w:tc>
        <w:tc>
          <w:tcPr>
            <w:tcW w:w="796" w:type="pct"/>
            <w:shd w:val="clear" w:color="auto" w:fill="auto"/>
            <w:vAlign w:val="center"/>
          </w:tcPr>
          <w:p w:rsidR="006C0808" w:rsidRDefault="006C0808">
            <w:pPr>
              <w:spacing w:beforeLines="20" w:before="48" w:afterLines="20" w:after="48"/>
              <w:jc w:val="center"/>
              <w:rPr>
                <w:noProof/>
                <w:sz w:val="20"/>
              </w:rPr>
            </w:pPr>
          </w:p>
        </w:tc>
        <w:tc>
          <w:tcPr>
            <w:tcW w:w="796" w:type="pct"/>
            <w:shd w:val="clear" w:color="auto" w:fill="auto"/>
            <w:vAlign w:val="center"/>
          </w:tcPr>
          <w:p w:rsidR="006C0808" w:rsidRDefault="006C0808">
            <w:pPr>
              <w:spacing w:beforeLines="20" w:before="48" w:afterLines="20" w:after="48"/>
              <w:jc w:val="center"/>
              <w:rPr>
                <w:noProof/>
                <w:sz w:val="20"/>
              </w:rPr>
            </w:pPr>
          </w:p>
        </w:tc>
      </w:tr>
      <w:tr w:rsidR="006C0808">
        <w:trPr>
          <w:trHeight w:val="289"/>
        </w:trPr>
        <w:tc>
          <w:tcPr>
            <w:tcW w:w="3407" w:type="pct"/>
            <w:shd w:val="clear" w:color="auto" w:fill="auto"/>
            <w:vAlign w:val="center"/>
          </w:tcPr>
          <w:p w:rsidR="006C0808" w:rsidRDefault="00E3601E">
            <w:pPr>
              <w:spacing w:beforeLines="20" w:before="48" w:afterLines="20" w:after="48"/>
              <w:ind w:left="984"/>
              <w:rPr>
                <w:b/>
                <w:noProof/>
                <w:sz w:val="20"/>
              </w:rPr>
            </w:pPr>
            <w:r>
              <w:rPr>
                <w:noProof/>
                <w:sz w:val="20"/>
              </w:rPr>
              <w:t xml:space="preserve">XX 01 01 01 (Sjedište i </w:t>
            </w:r>
            <w:r>
              <w:rPr>
                <w:noProof/>
                <w:sz w:val="20"/>
              </w:rPr>
              <w:t>predstavništva Komisije)</w:t>
            </w:r>
          </w:p>
        </w:tc>
        <w:tc>
          <w:tcPr>
            <w:tcW w:w="796" w:type="pct"/>
            <w:shd w:val="clear" w:color="auto" w:fill="auto"/>
            <w:vAlign w:val="center"/>
          </w:tcPr>
          <w:p w:rsidR="006C0808" w:rsidRDefault="00E3601E">
            <w:pPr>
              <w:spacing w:beforeLines="20" w:before="48" w:afterLines="20" w:after="48"/>
              <w:jc w:val="center"/>
              <w:rPr>
                <w:noProof/>
                <w:sz w:val="20"/>
              </w:rPr>
            </w:pPr>
            <w:r>
              <w:rPr>
                <w:noProof/>
                <w:sz w:val="20"/>
              </w:rPr>
              <w:t>3</w:t>
            </w:r>
          </w:p>
        </w:tc>
        <w:tc>
          <w:tcPr>
            <w:tcW w:w="796" w:type="pct"/>
            <w:shd w:val="clear" w:color="auto" w:fill="auto"/>
            <w:vAlign w:val="center"/>
          </w:tcPr>
          <w:p w:rsidR="006C0808" w:rsidRDefault="00E3601E">
            <w:pPr>
              <w:spacing w:beforeLines="20" w:before="48" w:afterLines="20" w:after="48"/>
              <w:jc w:val="center"/>
              <w:rPr>
                <w:noProof/>
                <w:sz w:val="20"/>
              </w:rPr>
            </w:pPr>
            <w:r>
              <w:rPr>
                <w:noProof/>
                <w:sz w:val="20"/>
              </w:rPr>
              <w:t>3</w:t>
            </w:r>
          </w:p>
        </w:tc>
      </w:tr>
      <w:tr w:rsidR="006C0808">
        <w:trPr>
          <w:trHeight w:val="289"/>
        </w:trPr>
        <w:tc>
          <w:tcPr>
            <w:tcW w:w="3407" w:type="pct"/>
            <w:shd w:val="clear" w:color="auto" w:fill="auto"/>
            <w:vAlign w:val="center"/>
          </w:tcPr>
          <w:p w:rsidR="006C0808" w:rsidRDefault="00E3601E">
            <w:pPr>
              <w:spacing w:beforeLines="20" w:before="48" w:afterLines="20" w:after="48"/>
              <w:ind w:left="208" w:hanging="120"/>
              <w:rPr>
                <w:noProof/>
                <w:sz w:val="20"/>
              </w:rPr>
            </w:pPr>
            <w:r>
              <w:rPr>
                <w:b/>
                <w:noProof/>
                <w:sz w:val="20"/>
              </w:rPr>
              <w:sym w:font="Wingdings" w:char="F09F"/>
            </w:r>
            <w:r>
              <w:rPr>
                <w:noProof/>
              </w:rPr>
              <w:t xml:space="preserve"> </w:t>
            </w:r>
            <w:r>
              <w:rPr>
                <w:b/>
                <w:noProof/>
              </w:rPr>
              <w:t>Vanjsko osoblje (u ekvivalentu punog radnog vremena:</w:t>
            </w:r>
            <w:r>
              <w:rPr>
                <w:b/>
                <w:noProof/>
                <w:sz w:val="20"/>
              </w:rPr>
              <w:t xml:space="preserve"> EPRV)</w:t>
            </w:r>
            <w:r>
              <w:rPr>
                <w:rStyle w:val="FootnoteReference"/>
                <w:noProof/>
              </w:rPr>
              <w:footnoteReference w:id="71"/>
            </w:r>
          </w:p>
        </w:tc>
        <w:tc>
          <w:tcPr>
            <w:tcW w:w="796" w:type="pct"/>
            <w:shd w:val="clear" w:color="auto" w:fill="auto"/>
            <w:vAlign w:val="center"/>
          </w:tcPr>
          <w:p w:rsidR="006C0808" w:rsidRDefault="006C0808">
            <w:pPr>
              <w:spacing w:beforeLines="20" w:before="48" w:afterLines="20" w:after="48"/>
              <w:jc w:val="center"/>
              <w:rPr>
                <w:noProof/>
                <w:sz w:val="20"/>
              </w:rPr>
            </w:pPr>
          </w:p>
        </w:tc>
        <w:tc>
          <w:tcPr>
            <w:tcW w:w="796" w:type="pct"/>
            <w:shd w:val="clear" w:color="auto" w:fill="auto"/>
            <w:vAlign w:val="center"/>
          </w:tcPr>
          <w:p w:rsidR="006C0808" w:rsidRDefault="006C0808">
            <w:pPr>
              <w:spacing w:beforeLines="20" w:before="48" w:afterLines="20" w:after="48"/>
              <w:jc w:val="center"/>
              <w:rPr>
                <w:noProof/>
                <w:sz w:val="20"/>
              </w:rPr>
            </w:pPr>
          </w:p>
        </w:tc>
      </w:tr>
      <w:tr w:rsidR="006C0808">
        <w:trPr>
          <w:trHeight w:val="289"/>
        </w:trPr>
        <w:tc>
          <w:tcPr>
            <w:tcW w:w="3407" w:type="pct"/>
            <w:shd w:val="clear" w:color="auto" w:fill="auto"/>
            <w:vAlign w:val="center"/>
          </w:tcPr>
          <w:p w:rsidR="006C0808" w:rsidRDefault="00E3601E">
            <w:pPr>
              <w:spacing w:beforeLines="20" w:before="48" w:afterLines="20" w:after="48"/>
              <w:ind w:left="986"/>
              <w:rPr>
                <w:b/>
                <w:noProof/>
                <w:sz w:val="20"/>
              </w:rPr>
            </w:pPr>
            <w:r>
              <w:rPr>
                <w:noProof/>
                <w:sz w:val="20"/>
              </w:rPr>
              <w:t>XX 01 02 01 (UO, UNS, INT iz „globalne omotnice”)</w:t>
            </w:r>
          </w:p>
        </w:tc>
        <w:tc>
          <w:tcPr>
            <w:tcW w:w="796" w:type="pct"/>
            <w:shd w:val="clear" w:color="auto" w:fill="auto"/>
            <w:vAlign w:val="center"/>
          </w:tcPr>
          <w:p w:rsidR="006C0808" w:rsidRDefault="006C0808">
            <w:pPr>
              <w:spacing w:beforeLines="20" w:before="48" w:afterLines="20" w:after="48"/>
              <w:jc w:val="center"/>
              <w:rPr>
                <w:noProof/>
                <w:sz w:val="20"/>
              </w:rPr>
            </w:pPr>
          </w:p>
        </w:tc>
        <w:tc>
          <w:tcPr>
            <w:tcW w:w="796" w:type="pct"/>
            <w:shd w:val="clear" w:color="auto" w:fill="auto"/>
            <w:vAlign w:val="center"/>
          </w:tcPr>
          <w:p w:rsidR="006C0808" w:rsidRDefault="006C0808">
            <w:pPr>
              <w:spacing w:beforeLines="20" w:before="48" w:afterLines="20" w:after="48"/>
              <w:jc w:val="center"/>
              <w:rPr>
                <w:noProof/>
                <w:sz w:val="20"/>
              </w:rPr>
            </w:pPr>
          </w:p>
        </w:tc>
      </w:tr>
      <w:tr w:rsidR="006C0808">
        <w:trPr>
          <w:trHeight w:val="289"/>
        </w:trPr>
        <w:tc>
          <w:tcPr>
            <w:tcW w:w="3407" w:type="pct"/>
            <w:shd w:val="clear" w:color="auto" w:fill="auto"/>
            <w:vAlign w:val="center"/>
          </w:tcPr>
          <w:p w:rsidR="006C0808" w:rsidRDefault="006C0808">
            <w:pPr>
              <w:spacing w:beforeLines="20" w:before="48" w:afterLines="20" w:after="48"/>
              <w:ind w:left="986"/>
              <w:rPr>
                <w:noProof/>
                <w:sz w:val="20"/>
              </w:rPr>
            </w:pPr>
          </w:p>
        </w:tc>
        <w:tc>
          <w:tcPr>
            <w:tcW w:w="796" w:type="pct"/>
            <w:shd w:val="clear" w:color="auto" w:fill="auto"/>
            <w:vAlign w:val="center"/>
          </w:tcPr>
          <w:p w:rsidR="006C0808" w:rsidRDefault="006C0808">
            <w:pPr>
              <w:spacing w:beforeLines="20" w:before="48" w:afterLines="20" w:after="48"/>
              <w:jc w:val="center"/>
              <w:rPr>
                <w:noProof/>
                <w:sz w:val="20"/>
              </w:rPr>
            </w:pPr>
          </w:p>
        </w:tc>
        <w:tc>
          <w:tcPr>
            <w:tcW w:w="796" w:type="pct"/>
            <w:shd w:val="clear" w:color="auto" w:fill="auto"/>
            <w:vAlign w:val="center"/>
          </w:tcPr>
          <w:p w:rsidR="006C0808" w:rsidRDefault="006C0808">
            <w:pPr>
              <w:spacing w:beforeLines="20" w:before="48" w:afterLines="20" w:after="48"/>
              <w:jc w:val="center"/>
              <w:rPr>
                <w:noProof/>
                <w:sz w:val="20"/>
              </w:rPr>
            </w:pPr>
          </w:p>
        </w:tc>
      </w:tr>
      <w:tr w:rsidR="006C0808">
        <w:trPr>
          <w:trHeight w:val="289"/>
        </w:trPr>
        <w:tc>
          <w:tcPr>
            <w:tcW w:w="3407" w:type="pct"/>
            <w:tcBorders>
              <w:top w:val="double" w:sz="4" w:space="0" w:color="auto"/>
            </w:tcBorders>
            <w:shd w:val="clear" w:color="auto" w:fill="auto"/>
            <w:vAlign w:val="center"/>
          </w:tcPr>
          <w:p w:rsidR="006C0808" w:rsidRDefault="00E3601E">
            <w:pPr>
              <w:spacing w:beforeLines="20" w:before="48" w:afterLines="20" w:after="48"/>
              <w:ind w:left="986"/>
              <w:rPr>
                <w:noProof/>
                <w:sz w:val="20"/>
              </w:rPr>
            </w:pPr>
            <w:r>
              <w:rPr>
                <w:b/>
                <w:noProof/>
                <w:sz w:val="20"/>
              </w:rPr>
              <w:t>UKUPNO</w:t>
            </w:r>
          </w:p>
        </w:tc>
        <w:tc>
          <w:tcPr>
            <w:tcW w:w="796" w:type="pct"/>
            <w:tcBorders>
              <w:top w:val="double" w:sz="4" w:space="0" w:color="auto"/>
            </w:tcBorders>
            <w:shd w:val="clear" w:color="auto" w:fill="auto"/>
            <w:vAlign w:val="center"/>
          </w:tcPr>
          <w:p w:rsidR="006C0808" w:rsidRDefault="00E3601E">
            <w:pPr>
              <w:spacing w:beforeLines="20" w:before="48" w:afterLines="20" w:after="48"/>
              <w:jc w:val="center"/>
              <w:rPr>
                <w:b/>
                <w:noProof/>
                <w:sz w:val="20"/>
              </w:rPr>
            </w:pPr>
            <w:r>
              <w:rPr>
                <w:b/>
                <w:noProof/>
                <w:sz w:val="20"/>
              </w:rPr>
              <w:t>3</w:t>
            </w:r>
          </w:p>
        </w:tc>
        <w:tc>
          <w:tcPr>
            <w:tcW w:w="796" w:type="pct"/>
            <w:tcBorders>
              <w:top w:val="double" w:sz="4" w:space="0" w:color="auto"/>
            </w:tcBorders>
            <w:shd w:val="clear" w:color="auto" w:fill="auto"/>
            <w:vAlign w:val="center"/>
          </w:tcPr>
          <w:p w:rsidR="006C0808" w:rsidRDefault="00E3601E">
            <w:pPr>
              <w:spacing w:beforeLines="20" w:before="48" w:afterLines="20" w:after="48"/>
              <w:jc w:val="center"/>
              <w:rPr>
                <w:b/>
                <w:noProof/>
                <w:sz w:val="20"/>
              </w:rPr>
            </w:pPr>
            <w:r>
              <w:rPr>
                <w:b/>
                <w:noProof/>
                <w:sz w:val="20"/>
              </w:rPr>
              <w:t>3</w:t>
            </w:r>
          </w:p>
        </w:tc>
      </w:tr>
    </w:tbl>
    <w:p w:rsidR="006C0808" w:rsidRDefault="00E3601E">
      <w:pPr>
        <w:spacing w:before="60" w:after="60"/>
        <w:ind w:left="851"/>
        <w:rPr>
          <w:noProof/>
        </w:rPr>
      </w:pPr>
      <w:r>
        <w:rPr>
          <w:b/>
          <w:noProof/>
        </w:rPr>
        <w:t>XX</w:t>
      </w:r>
      <w:r>
        <w:rPr>
          <w:noProof/>
        </w:rPr>
        <w:t xml:space="preserve"> se odnosi na odgovarajuće područje politike ili glavu proračuna.</w:t>
      </w:r>
    </w:p>
    <w:p w:rsidR="006C0808" w:rsidRDefault="00E3601E">
      <w:pPr>
        <w:ind w:left="850"/>
        <w:rPr>
          <w:noProof/>
          <w:sz w:val="22"/>
        </w:rPr>
      </w:pPr>
      <w:r>
        <w:rPr>
          <w:noProof/>
          <w:sz w:val="22"/>
        </w:rPr>
        <w:t xml:space="preserve">Potrebe za ljudskim </w:t>
      </w:r>
      <w:r>
        <w:rPr>
          <w:noProof/>
          <w:sz w:val="22"/>
        </w:rPr>
        <w:t>resursima pokrit će se osobljem glavne uprave kojemu je već povjereno upravljanje djelovanjem i/ili koje je preraspoređeno unutar glavne uprave te, prema potrebi, bilo kojim dodatnim sredstvima koja se mogu dodijeliti nadležnoj glavnoj upravi u okviru godi</w:t>
      </w:r>
      <w:r>
        <w:rPr>
          <w:noProof/>
          <w:sz w:val="22"/>
        </w:rPr>
        <w:t>šnjeg postupka dodjele sredstava uzimajući u obzir proračunska ograničenja.</w:t>
      </w:r>
    </w:p>
    <w:p w:rsidR="006C0808" w:rsidRDefault="006C0808">
      <w:pPr>
        <w:spacing w:before="60" w:after="60"/>
        <w:ind w:left="851"/>
        <w:rPr>
          <w:noProof/>
        </w:rPr>
      </w:pPr>
    </w:p>
    <w:p w:rsidR="006C0808" w:rsidRDefault="006C0808">
      <w:pPr>
        <w:spacing w:before="60" w:after="60"/>
        <w:ind w:left="851"/>
        <w:rPr>
          <w:noProof/>
        </w:rPr>
      </w:pPr>
    </w:p>
    <w:p w:rsidR="006C0808" w:rsidRDefault="00E3601E">
      <w:pPr>
        <w:rPr>
          <w:noProof/>
          <w:sz w:val="20"/>
        </w:rPr>
      </w:pPr>
      <w:r>
        <w:rPr>
          <w:noProof/>
          <w:sz w:val="20"/>
        </w:rPr>
        <w:t>Opis zadaća koje treba obaviti: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328"/>
        <w:gridCol w:w="6961"/>
      </w:tblGrid>
      <w:tr w:rsidR="006C0808">
        <w:tc>
          <w:tcPr>
            <w:tcW w:w="1253" w:type="pct"/>
          </w:tcPr>
          <w:p w:rsidR="006C0808" w:rsidRDefault="00E3601E">
            <w:pPr>
              <w:rPr>
                <w:noProof/>
                <w:sz w:val="20"/>
              </w:rPr>
            </w:pPr>
            <w:r>
              <w:rPr>
                <w:noProof/>
                <w:sz w:val="20"/>
              </w:rPr>
              <w:t>Dužnosnici i privremeno osoblje</w:t>
            </w:r>
          </w:p>
        </w:tc>
        <w:tc>
          <w:tcPr>
            <w:tcW w:w="3747" w:type="pct"/>
          </w:tcPr>
          <w:p w:rsidR="006C0808" w:rsidRDefault="00E3601E">
            <w:pPr>
              <w:rPr>
                <w:noProof/>
                <w:sz w:val="20"/>
              </w:rPr>
            </w:pPr>
            <w:r>
              <w:rPr>
                <w:noProof/>
                <w:sz w:val="20"/>
              </w:rPr>
              <w:t>Predstavljanje Komisije u Upravnom odboru Agencije. Izrada mišljenja Komisije o jedinstvenom programskom dokumentu</w:t>
            </w:r>
            <w:r>
              <w:rPr>
                <w:noProof/>
                <w:sz w:val="20"/>
              </w:rPr>
              <w:t xml:space="preserve"> BEREC-a i nadzor njegove provedbe. Nadzor pripreme proračuna agencije i praćenje njegova izvršenja. Pružanje pomoći agenciji u razvoju aktivnosti u skladu s politikama Unije, među ostalim sudjelovanjem na sastancima radne skupine. </w:t>
            </w:r>
          </w:p>
        </w:tc>
      </w:tr>
      <w:tr w:rsidR="006C0808">
        <w:tc>
          <w:tcPr>
            <w:tcW w:w="1253" w:type="pct"/>
          </w:tcPr>
          <w:p w:rsidR="006C0808" w:rsidRDefault="00E3601E">
            <w:pPr>
              <w:spacing w:before="60" w:after="60"/>
              <w:rPr>
                <w:noProof/>
                <w:sz w:val="20"/>
              </w:rPr>
            </w:pPr>
            <w:r>
              <w:rPr>
                <w:noProof/>
                <w:sz w:val="20"/>
              </w:rPr>
              <w:t>Vanjsko osoblje</w:t>
            </w:r>
          </w:p>
        </w:tc>
        <w:tc>
          <w:tcPr>
            <w:tcW w:w="3747" w:type="pct"/>
          </w:tcPr>
          <w:p w:rsidR="006C0808" w:rsidRDefault="006C0808">
            <w:pPr>
              <w:rPr>
                <w:noProof/>
                <w:sz w:val="20"/>
              </w:rPr>
            </w:pPr>
          </w:p>
        </w:tc>
      </w:tr>
    </w:tbl>
    <w:p w:rsidR="006C0808" w:rsidRDefault="006C0808">
      <w:pPr>
        <w:pStyle w:val="Text1"/>
        <w:ind w:left="720"/>
        <w:rPr>
          <w:noProof/>
        </w:rPr>
      </w:pPr>
    </w:p>
    <w:p w:rsidR="006C0808" w:rsidRDefault="00E3601E">
      <w:pPr>
        <w:pStyle w:val="ManualHeading3"/>
        <w:rPr>
          <w:bCs/>
          <w:noProof/>
        </w:rPr>
      </w:pPr>
      <w:r>
        <w:rPr>
          <w:noProof/>
        </w:rPr>
        <w:t>3.2.4.</w:t>
      </w:r>
      <w:r>
        <w:rPr>
          <w:noProof/>
        </w:rPr>
        <w:tab/>
        <w:t>Usklađenost s tekućim višegodišnjim financijskim okvirom</w:t>
      </w:r>
    </w:p>
    <w:p w:rsidR="006C0808" w:rsidRDefault="00E3601E">
      <w:pPr>
        <w:pStyle w:val="ListDash1"/>
        <w:rPr>
          <w:noProof/>
        </w:rPr>
      </w:pPr>
      <w:r>
        <w:rPr>
          <w:noProof/>
        </w:rPr>
        <w:sym w:font="Wingdings" w:char="F0A8"/>
      </w:r>
      <w:r>
        <w:rPr>
          <w:noProof/>
        </w:rPr>
        <w:tab/>
        <w:t>Prijedlog/inicijativa u skladu je s tekućim višegodišnjim financijskim okvirom</w:t>
      </w:r>
    </w:p>
    <w:p w:rsidR="006C0808" w:rsidRDefault="00E3601E">
      <w:pPr>
        <w:pStyle w:val="ListDash1"/>
        <w:rPr>
          <w:noProof/>
        </w:rPr>
      </w:pPr>
      <w:r>
        <w:rPr>
          <w:noProof/>
        </w:rPr>
        <w:sym w:font="Wingdings" w:char="F078"/>
      </w:r>
      <w:r>
        <w:rPr>
          <w:noProof/>
        </w:rPr>
        <w:t xml:space="preserve"> Prijedlog/inicijativa uključuje reprogramiranje relevantnog naslova višegodišnjeg financijskog okvira</w:t>
      </w:r>
    </w:p>
    <w:p w:rsidR="006C0808" w:rsidRDefault="00E3601E">
      <w:pPr>
        <w:pStyle w:val="Text1"/>
        <w:pBdr>
          <w:top w:val="single" w:sz="4" w:space="1" w:color="auto"/>
          <w:left w:val="single" w:sz="4" w:space="4" w:color="auto"/>
          <w:bottom w:val="single" w:sz="4" w:space="1" w:color="auto"/>
          <w:right w:val="single" w:sz="4" w:space="0" w:color="auto"/>
        </w:pBdr>
        <w:rPr>
          <w:noProof/>
          <w:sz w:val="20"/>
        </w:rPr>
      </w:pPr>
      <w:r>
        <w:rPr>
          <w:noProof/>
          <w:sz w:val="20"/>
        </w:rPr>
        <w:t>Objasni</w:t>
      </w:r>
      <w:r>
        <w:rPr>
          <w:noProof/>
          <w:sz w:val="20"/>
        </w:rPr>
        <w:t>ti o kakvom je reprogramiranju riječ te navesti odgovarajuće proračunske linije i iznose.</w:t>
      </w:r>
    </w:p>
    <w:p w:rsidR="006C0808" w:rsidRDefault="00E3601E">
      <w:pPr>
        <w:pStyle w:val="ListDash1"/>
        <w:rPr>
          <w:noProof/>
        </w:rPr>
      </w:pPr>
      <w:r>
        <w:rPr>
          <w:noProof/>
        </w:rPr>
        <w:sym w:font="Wingdings" w:char="F0A8"/>
      </w:r>
      <w:r>
        <w:rPr>
          <w:noProof/>
        </w:rPr>
        <w:tab/>
        <w:t>Za prijedlog/inicijativu potrebna je primjena instrumenta za financijsku fleksibilnost ili revizija višegodišnjeg financijskog okvira</w:t>
      </w:r>
      <w:r>
        <w:rPr>
          <w:rStyle w:val="FootnoteReference"/>
          <w:noProof/>
        </w:rPr>
        <w:footnoteReference w:id="72"/>
      </w:r>
      <w:r>
        <w:rPr>
          <w:noProof/>
        </w:rPr>
        <w:t>.</w:t>
      </w:r>
    </w:p>
    <w:p w:rsidR="006C0808" w:rsidRDefault="00E3601E">
      <w:pPr>
        <w:pStyle w:val="Text1"/>
        <w:pBdr>
          <w:top w:val="single" w:sz="4" w:space="1" w:color="auto"/>
          <w:left w:val="single" w:sz="4" w:space="4" w:color="auto"/>
          <w:bottom w:val="single" w:sz="4" w:space="1" w:color="auto"/>
          <w:right w:val="single" w:sz="4" w:space="4" w:color="auto"/>
        </w:pBdr>
        <w:rPr>
          <w:noProof/>
        </w:rPr>
      </w:pPr>
      <w:r>
        <w:rPr>
          <w:noProof/>
          <w:sz w:val="20"/>
        </w:rPr>
        <w:t>Objasniti što je potrebno te</w:t>
      </w:r>
      <w:r>
        <w:rPr>
          <w:noProof/>
          <w:sz w:val="20"/>
        </w:rPr>
        <w:t xml:space="preserve"> navesti odgovarajuće naslove, proračunske linije i iznose.</w:t>
      </w:r>
    </w:p>
    <w:p w:rsidR="006C0808" w:rsidRDefault="00E3601E">
      <w:pPr>
        <w:pStyle w:val="ManualHeading3"/>
        <w:rPr>
          <w:bCs/>
          <w:noProof/>
        </w:rPr>
      </w:pPr>
      <w:r>
        <w:rPr>
          <w:noProof/>
        </w:rPr>
        <w:t>3.2.5.</w:t>
      </w:r>
      <w:r>
        <w:rPr>
          <w:noProof/>
        </w:rPr>
        <w:tab/>
        <w:t>Doprinosi trećih strana</w:t>
      </w:r>
    </w:p>
    <w:p w:rsidR="006C0808" w:rsidRDefault="00E3601E">
      <w:pPr>
        <w:pStyle w:val="ListDash1"/>
        <w:keepNext/>
        <w:keepLines/>
        <w:rPr>
          <w:noProof/>
        </w:rPr>
      </w:pPr>
      <w:r>
        <w:rPr>
          <w:noProof/>
        </w:rPr>
        <w:sym w:font="Wingdings" w:char="F0A8"/>
      </w:r>
      <w:r>
        <w:rPr>
          <w:noProof/>
        </w:rPr>
        <w:tab/>
        <w:t>Prijedlogom/inicijativom ne predviđa se sudjelovanje trećih strana u financiranju.</w:t>
      </w:r>
    </w:p>
    <w:p w:rsidR="006C0808" w:rsidRDefault="00E3601E">
      <w:pPr>
        <w:pStyle w:val="ListDash1"/>
        <w:keepNext/>
        <w:keepLines/>
        <w:rPr>
          <w:noProof/>
        </w:rPr>
      </w:pPr>
      <w:r>
        <w:rPr>
          <w:noProof/>
        </w:rPr>
        <w:sym w:font="Wingdings" w:char="F078"/>
      </w:r>
      <w:r>
        <w:rPr>
          <w:noProof/>
        </w:rPr>
        <w:t xml:space="preserve"> Prijedlogom/inicijativom predviđa se sufinanciranje prema sljedećoj procjeni:</w:t>
      </w:r>
    </w:p>
    <w:p w:rsidR="006C0808" w:rsidRDefault="006C0808">
      <w:pPr>
        <w:rPr>
          <w:noProof/>
        </w:rPr>
      </w:pPr>
    </w:p>
    <w:p w:rsidR="006C0808" w:rsidRDefault="00E3601E">
      <w:pPr>
        <w:keepNext/>
        <w:keepLines/>
        <w:jc w:val="right"/>
        <w:rPr>
          <w:noProof/>
          <w:sz w:val="20"/>
        </w:rPr>
      </w:pPr>
      <w:r>
        <w:rPr>
          <w:noProof/>
          <w:sz w:val="20"/>
        </w:rPr>
        <w:t>Odobrena sredstva u milijunima EUR (do tri decimalna mjesta)</w:t>
      </w:r>
    </w:p>
    <w:tbl>
      <w:tblPr>
        <w:tblW w:w="28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75"/>
        <w:gridCol w:w="1687"/>
        <w:gridCol w:w="2010"/>
      </w:tblGrid>
      <w:tr w:rsidR="006C0808">
        <w:trPr>
          <w:cantSplit/>
        </w:trPr>
        <w:tc>
          <w:tcPr>
            <w:tcW w:w="1494" w:type="pct"/>
          </w:tcPr>
          <w:p w:rsidR="006C0808" w:rsidRDefault="006C0808">
            <w:pPr>
              <w:keepNext/>
              <w:keepLines/>
              <w:spacing w:before="60" w:after="60"/>
              <w:rPr>
                <w:noProof/>
                <w:sz w:val="20"/>
              </w:rPr>
            </w:pPr>
          </w:p>
        </w:tc>
        <w:tc>
          <w:tcPr>
            <w:tcW w:w="1600" w:type="pct"/>
            <w:vAlign w:val="center"/>
          </w:tcPr>
          <w:p w:rsidR="006C0808" w:rsidRDefault="00E3601E">
            <w:pPr>
              <w:keepNext/>
              <w:keepLines/>
              <w:jc w:val="center"/>
              <w:rPr>
                <w:noProof/>
              </w:rPr>
            </w:pPr>
            <w:r>
              <w:rPr>
                <w:noProof/>
                <w:sz w:val="20"/>
              </w:rPr>
              <w:t>Godina</w:t>
            </w:r>
            <w:r>
              <w:rPr>
                <w:noProof/>
                <w:sz w:val="20"/>
              </w:rPr>
              <w:br/>
            </w:r>
            <w:r>
              <w:rPr>
                <w:b/>
                <w:noProof/>
                <w:sz w:val="20"/>
              </w:rPr>
              <w:t>2019.</w:t>
            </w:r>
          </w:p>
        </w:tc>
        <w:tc>
          <w:tcPr>
            <w:tcW w:w="1906" w:type="pct"/>
            <w:vAlign w:val="center"/>
          </w:tcPr>
          <w:p w:rsidR="006C0808" w:rsidRDefault="00E3601E">
            <w:pPr>
              <w:keepNext/>
              <w:keepLines/>
              <w:jc w:val="center"/>
              <w:rPr>
                <w:noProof/>
              </w:rPr>
            </w:pPr>
            <w:r>
              <w:rPr>
                <w:noProof/>
                <w:sz w:val="20"/>
              </w:rPr>
              <w:t>Godina</w:t>
            </w:r>
            <w:r>
              <w:rPr>
                <w:noProof/>
                <w:sz w:val="20"/>
              </w:rPr>
              <w:br/>
            </w:r>
            <w:r>
              <w:rPr>
                <w:b/>
                <w:noProof/>
                <w:sz w:val="20"/>
              </w:rPr>
              <w:t>2020.</w:t>
            </w:r>
          </w:p>
        </w:tc>
      </w:tr>
      <w:tr w:rsidR="006C0808">
        <w:trPr>
          <w:cantSplit/>
        </w:trPr>
        <w:tc>
          <w:tcPr>
            <w:tcW w:w="1494" w:type="pct"/>
          </w:tcPr>
          <w:p w:rsidR="006C0808" w:rsidRDefault="00E3601E">
            <w:pPr>
              <w:keepNext/>
              <w:keepLines/>
              <w:rPr>
                <w:noProof/>
              </w:rPr>
            </w:pPr>
            <w:r>
              <w:rPr>
                <w:noProof/>
                <w:sz w:val="20"/>
              </w:rPr>
              <w:t>EFTA</w:t>
            </w:r>
            <w:r>
              <w:rPr>
                <w:i/>
                <w:noProof/>
                <w:sz w:val="20"/>
              </w:rPr>
              <w:t xml:space="preserve"> </w:t>
            </w:r>
          </w:p>
        </w:tc>
        <w:tc>
          <w:tcPr>
            <w:tcW w:w="1600" w:type="pct"/>
            <w:vAlign w:val="center"/>
          </w:tcPr>
          <w:p w:rsidR="006C0808" w:rsidRDefault="00E3601E">
            <w:pPr>
              <w:keepNext/>
              <w:keepLines/>
              <w:spacing w:before="60" w:after="60"/>
              <w:jc w:val="center"/>
              <w:rPr>
                <w:noProof/>
                <w:sz w:val="20"/>
              </w:rPr>
            </w:pPr>
            <w:r>
              <w:rPr>
                <w:noProof/>
                <w:sz w:val="20"/>
              </w:rPr>
              <w:t>p. m</w:t>
            </w:r>
            <w:r>
              <w:rPr>
                <w:rStyle w:val="FootnoteReference"/>
                <w:noProof/>
                <w:sz w:val="20"/>
              </w:rPr>
              <w:footnoteReference w:id="73"/>
            </w:r>
            <w:r>
              <w:rPr>
                <w:noProof/>
              </w:rPr>
              <w:t>.</w:t>
            </w:r>
          </w:p>
        </w:tc>
        <w:tc>
          <w:tcPr>
            <w:tcW w:w="1906" w:type="pct"/>
            <w:vAlign w:val="center"/>
          </w:tcPr>
          <w:p w:rsidR="006C0808" w:rsidRDefault="00E3601E">
            <w:pPr>
              <w:keepNext/>
              <w:keepLines/>
              <w:spacing w:before="60" w:after="60"/>
              <w:jc w:val="center"/>
              <w:rPr>
                <w:noProof/>
                <w:sz w:val="20"/>
              </w:rPr>
            </w:pPr>
            <w:r>
              <w:rPr>
                <w:noProof/>
                <w:sz w:val="20"/>
              </w:rPr>
              <w:t>p. m.</w:t>
            </w:r>
          </w:p>
        </w:tc>
      </w:tr>
      <w:tr w:rsidR="006C0808">
        <w:trPr>
          <w:cantSplit/>
        </w:trPr>
        <w:tc>
          <w:tcPr>
            <w:tcW w:w="1494" w:type="pct"/>
          </w:tcPr>
          <w:p w:rsidR="006C0808" w:rsidRDefault="00E3601E">
            <w:pPr>
              <w:keepNext/>
              <w:keepLines/>
              <w:spacing w:before="60" w:after="60"/>
              <w:rPr>
                <w:noProof/>
                <w:sz w:val="20"/>
              </w:rPr>
            </w:pPr>
            <w:r>
              <w:rPr>
                <w:noProof/>
                <w:sz w:val="20"/>
              </w:rPr>
              <w:t>Ostali doprinosi (države članice, nacionalna regulatorna tijela itd.)</w:t>
            </w:r>
          </w:p>
        </w:tc>
        <w:tc>
          <w:tcPr>
            <w:tcW w:w="1600" w:type="pct"/>
            <w:vAlign w:val="center"/>
          </w:tcPr>
          <w:p w:rsidR="006C0808" w:rsidRDefault="00E3601E">
            <w:pPr>
              <w:keepNext/>
              <w:keepLines/>
              <w:spacing w:before="60" w:after="60"/>
              <w:jc w:val="center"/>
              <w:rPr>
                <w:noProof/>
                <w:sz w:val="20"/>
              </w:rPr>
            </w:pPr>
            <w:r>
              <w:rPr>
                <w:noProof/>
                <w:sz w:val="20"/>
              </w:rPr>
              <w:t>p. m.</w:t>
            </w:r>
          </w:p>
        </w:tc>
        <w:tc>
          <w:tcPr>
            <w:tcW w:w="1906" w:type="pct"/>
            <w:vAlign w:val="center"/>
          </w:tcPr>
          <w:p w:rsidR="006C0808" w:rsidRDefault="00E3601E">
            <w:pPr>
              <w:keepNext/>
              <w:keepLines/>
              <w:spacing w:before="60" w:after="60"/>
              <w:jc w:val="center"/>
              <w:rPr>
                <w:noProof/>
                <w:sz w:val="20"/>
              </w:rPr>
            </w:pPr>
            <w:r>
              <w:rPr>
                <w:noProof/>
                <w:sz w:val="20"/>
              </w:rPr>
              <w:t>p. m.</w:t>
            </w:r>
          </w:p>
        </w:tc>
      </w:tr>
      <w:tr w:rsidR="006C0808">
        <w:trPr>
          <w:cantSplit/>
        </w:trPr>
        <w:tc>
          <w:tcPr>
            <w:tcW w:w="1494" w:type="pct"/>
          </w:tcPr>
          <w:p w:rsidR="006C0808" w:rsidRDefault="00E3601E">
            <w:pPr>
              <w:keepNext/>
              <w:keepLines/>
              <w:spacing w:before="60" w:after="60"/>
              <w:rPr>
                <w:noProof/>
              </w:rPr>
            </w:pPr>
            <w:r>
              <w:rPr>
                <w:noProof/>
                <w:sz w:val="20"/>
              </w:rPr>
              <w:t xml:space="preserve">UKUPNA odobrena sredstva sufinanciranja </w:t>
            </w:r>
          </w:p>
        </w:tc>
        <w:tc>
          <w:tcPr>
            <w:tcW w:w="1600" w:type="pct"/>
            <w:vAlign w:val="center"/>
          </w:tcPr>
          <w:p w:rsidR="006C0808" w:rsidRDefault="00E3601E">
            <w:pPr>
              <w:keepNext/>
              <w:keepLines/>
              <w:spacing w:before="60" w:after="60"/>
              <w:jc w:val="center"/>
              <w:rPr>
                <w:noProof/>
                <w:sz w:val="20"/>
              </w:rPr>
            </w:pPr>
            <w:r>
              <w:rPr>
                <w:noProof/>
                <w:sz w:val="20"/>
              </w:rPr>
              <w:t>p. m.</w:t>
            </w:r>
          </w:p>
        </w:tc>
        <w:tc>
          <w:tcPr>
            <w:tcW w:w="1906" w:type="pct"/>
            <w:vAlign w:val="center"/>
          </w:tcPr>
          <w:p w:rsidR="006C0808" w:rsidRDefault="00E3601E">
            <w:pPr>
              <w:keepNext/>
              <w:keepLines/>
              <w:spacing w:before="60" w:after="60"/>
              <w:jc w:val="center"/>
              <w:rPr>
                <w:noProof/>
                <w:sz w:val="20"/>
              </w:rPr>
            </w:pPr>
            <w:r>
              <w:rPr>
                <w:noProof/>
                <w:sz w:val="20"/>
              </w:rPr>
              <w:t>p. m.</w:t>
            </w:r>
          </w:p>
        </w:tc>
      </w:tr>
    </w:tbl>
    <w:p w:rsidR="006C0808" w:rsidRDefault="00E3601E">
      <w:pPr>
        <w:pStyle w:val="ManualHeading2"/>
        <w:rPr>
          <w:bCs/>
          <w:noProof/>
        </w:rPr>
      </w:pPr>
      <w:r>
        <w:rPr>
          <w:noProof/>
        </w:rPr>
        <w:br w:type="page"/>
        <w:t>3.3.</w:t>
      </w:r>
      <w:r>
        <w:rPr>
          <w:noProof/>
        </w:rPr>
        <w:tab/>
      </w:r>
      <w:r>
        <w:rPr>
          <w:noProof/>
        </w:rPr>
        <w:t>Procijenjeni utjecaj na prihode</w:t>
      </w:r>
    </w:p>
    <w:p w:rsidR="006C0808" w:rsidRDefault="00E3601E">
      <w:pPr>
        <w:pStyle w:val="ListDash1"/>
        <w:rPr>
          <w:noProof/>
        </w:rPr>
      </w:pPr>
      <w:r>
        <w:rPr>
          <w:noProof/>
        </w:rPr>
        <w:sym w:font="Wingdings" w:char="F078"/>
      </w:r>
      <w:r>
        <w:rPr>
          <w:noProof/>
        </w:rPr>
        <w:tab/>
        <w:t>Prijedlog/inicijativa nema financijski utjecaj na prihode.</w:t>
      </w:r>
    </w:p>
    <w:p w:rsidR="006C0808" w:rsidRDefault="00E3601E">
      <w:pPr>
        <w:pStyle w:val="ListDash1"/>
        <w:rPr>
          <w:noProof/>
        </w:rPr>
      </w:pPr>
      <w:r>
        <w:rPr>
          <w:noProof/>
        </w:rPr>
        <w:sym w:font="Wingdings" w:char="F0A8"/>
      </w:r>
      <w:r>
        <w:rPr>
          <w:noProof/>
        </w:rPr>
        <w:tab/>
        <w:t>Prijedlog/inicijativa ima sljedeći financijski utjecaj:</w:t>
      </w:r>
    </w:p>
    <w:p w:rsidR="006C0808" w:rsidRDefault="00E3601E">
      <w:pPr>
        <w:pStyle w:val="ListDash2"/>
        <w:rPr>
          <w:noProof/>
        </w:rPr>
      </w:pPr>
      <w:r>
        <w:rPr>
          <w:noProof/>
        </w:rPr>
        <w:sym w:font="Wingdings" w:char="F0A8"/>
      </w:r>
      <w:r>
        <w:rPr>
          <w:noProof/>
        </w:rPr>
        <w:tab/>
        <w:t>na vlastita sredstva</w:t>
      </w:r>
    </w:p>
    <w:p w:rsidR="006C0808" w:rsidRDefault="00E3601E">
      <w:pPr>
        <w:pStyle w:val="ListDash2"/>
        <w:rPr>
          <w:noProof/>
        </w:rPr>
      </w:pPr>
      <w:r>
        <w:rPr>
          <w:noProof/>
        </w:rPr>
        <w:sym w:font="Wingdings" w:char="F0A8"/>
      </w:r>
      <w:r>
        <w:rPr>
          <w:noProof/>
        </w:rPr>
        <w:tab/>
        <w:t>na razne prihode</w:t>
      </w:r>
    </w:p>
    <w:p w:rsidR="006C0808" w:rsidRDefault="006C0808">
      <w:pPr>
        <w:pBdr>
          <w:top w:val="nil"/>
          <w:left w:val="nil"/>
          <w:bottom w:val="nil"/>
          <w:right w:val="nil"/>
          <w:between w:val="nil"/>
          <w:bar w:val="nil"/>
        </w:pBdr>
        <w:spacing w:before="0" w:after="240"/>
        <w:rPr>
          <w:rFonts w:eastAsia="Arial Unicode MS"/>
          <w:noProof/>
        </w:rPr>
      </w:pPr>
    </w:p>
    <w:p w:rsidR="006C0808" w:rsidRDefault="006C0808">
      <w:pPr>
        <w:jc w:val="center"/>
        <w:rPr>
          <w:noProof/>
        </w:rPr>
      </w:pPr>
    </w:p>
    <w:sectPr w:rsidR="006C0808" w:rsidSect="00E3601E">
      <w:headerReference w:type="default" r:id="rId29"/>
      <w:footerReference w:type="default" r:id="rId30"/>
      <w:headerReference w:type="first" r:id="rId31"/>
      <w:footerReference w:type="first" r:id="rId3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808" w:rsidRDefault="00E3601E">
      <w:pPr>
        <w:spacing w:before="0" w:after="0"/>
      </w:pPr>
      <w:r>
        <w:separator/>
      </w:r>
    </w:p>
  </w:endnote>
  <w:endnote w:type="continuationSeparator" w:id="0">
    <w:p w:rsidR="006C0808" w:rsidRDefault="00E360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1E" w:rsidRPr="00E3601E" w:rsidRDefault="00E3601E" w:rsidP="00E360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08" w:rsidRPr="00E3601E" w:rsidRDefault="00E3601E" w:rsidP="00E3601E">
    <w:pPr>
      <w:pStyle w:val="Footer"/>
      <w:rPr>
        <w:rFonts w:ascii="Arial" w:hAnsi="Arial" w:cs="Arial"/>
        <w:b/>
        <w:sz w:val="48"/>
      </w:rPr>
    </w:pPr>
    <w:r w:rsidRPr="00E3601E">
      <w:rPr>
        <w:rFonts w:ascii="Arial" w:hAnsi="Arial" w:cs="Arial"/>
        <w:b/>
        <w:sz w:val="48"/>
      </w:rPr>
      <w:t>HR</w:t>
    </w:r>
    <w:r w:rsidRPr="00E3601E">
      <w:rPr>
        <w:rFonts w:ascii="Arial" w:hAnsi="Arial" w:cs="Arial"/>
        <w:b/>
        <w:sz w:val="48"/>
      </w:rPr>
      <w:tab/>
    </w:r>
    <w:r w:rsidRPr="00E3601E">
      <w:rPr>
        <w:rFonts w:ascii="Arial" w:hAnsi="Arial" w:cs="Arial"/>
        <w:b/>
        <w:sz w:val="48"/>
      </w:rPr>
      <w:tab/>
    </w:r>
    <w:fldSimple w:instr=" DOCVARIABLE &quot;LW_Confidence&quot; \* MERGEFORMAT ">
      <w:r>
        <w:t xml:space="preserve"> </w:t>
      </w:r>
    </w:fldSimple>
    <w:r w:rsidRPr="00E3601E">
      <w:tab/>
    </w:r>
    <w:proofErr w:type="spellStart"/>
    <w:r w:rsidRPr="00E3601E">
      <w:rPr>
        <w:rFonts w:ascii="Arial" w:hAnsi="Arial" w:cs="Arial"/>
        <w:b/>
        <w:sz w:val="48"/>
      </w:rPr>
      <w:t>HR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1E" w:rsidRPr="00E3601E" w:rsidRDefault="00E3601E" w:rsidP="00E360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1E" w:rsidRPr="00E3601E" w:rsidRDefault="00E3601E" w:rsidP="00E3601E">
    <w:pPr>
      <w:pStyle w:val="Footer"/>
      <w:rPr>
        <w:rFonts w:ascii="Arial" w:hAnsi="Arial" w:cs="Arial"/>
        <w:b/>
        <w:sz w:val="48"/>
      </w:rPr>
    </w:pPr>
    <w:r w:rsidRPr="00E3601E">
      <w:rPr>
        <w:rFonts w:ascii="Arial" w:hAnsi="Arial" w:cs="Arial"/>
        <w:b/>
        <w:sz w:val="48"/>
      </w:rPr>
      <w:t>HR</w:t>
    </w:r>
    <w:r w:rsidRPr="00E3601E">
      <w:rPr>
        <w:rFonts w:ascii="Arial" w:hAnsi="Arial" w:cs="Arial"/>
        <w:b/>
        <w:sz w:val="48"/>
      </w:rPr>
      <w:tab/>
    </w:r>
    <w:r>
      <w:fldChar w:fldCharType="begin"/>
    </w:r>
    <w:r>
      <w:instrText xml:space="preserve"> PAGE  \* MERGEFORMAT </w:instrText>
    </w:r>
    <w:r>
      <w:fldChar w:fldCharType="separate"/>
    </w:r>
    <w:r>
      <w:rPr>
        <w:noProof/>
      </w:rPr>
      <w:t>48</w:t>
    </w:r>
    <w:r>
      <w:fldChar w:fldCharType="end"/>
    </w:r>
    <w:r>
      <w:tab/>
    </w:r>
    <w:fldSimple w:instr=" DOCVARIABLE &quot;LW_Confidence&quot; \* MERGEFORMAT ">
      <w:r>
        <w:t xml:space="preserve"> </w:t>
      </w:r>
    </w:fldSimple>
    <w:r w:rsidRPr="00E3601E">
      <w:tab/>
    </w:r>
    <w:r w:rsidRPr="00E3601E">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1E" w:rsidRPr="00E3601E" w:rsidRDefault="00E3601E" w:rsidP="00E3601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1E" w:rsidRPr="00E3601E" w:rsidRDefault="00E3601E" w:rsidP="00E3601E">
    <w:pPr>
      <w:pStyle w:val="FooterLandscape"/>
      <w:rPr>
        <w:rFonts w:ascii="Arial" w:hAnsi="Arial" w:cs="Arial"/>
        <w:b/>
        <w:sz w:val="48"/>
      </w:rPr>
    </w:pPr>
    <w:r w:rsidRPr="00E3601E">
      <w:rPr>
        <w:rFonts w:ascii="Arial" w:hAnsi="Arial" w:cs="Arial"/>
        <w:b/>
        <w:sz w:val="48"/>
      </w:rPr>
      <w:t>HR</w:t>
    </w:r>
    <w:r w:rsidRPr="00E3601E">
      <w:rPr>
        <w:rFonts w:ascii="Arial" w:hAnsi="Arial" w:cs="Arial"/>
        <w:b/>
        <w:sz w:val="48"/>
      </w:rPr>
      <w:tab/>
    </w:r>
    <w:r>
      <w:fldChar w:fldCharType="begin"/>
    </w:r>
    <w:r>
      <w:instrText xml:space="preserve"> PAGE  \* MERGEFORMAT </w:instrText>
    </w:r>
    <w:r>
      <w:fldChar w:fldCharType="separate"/>
    </w:r>
    <w:r>
      <w:rPr>
        <w:noProof/>
      </w:rPr>
      <w:t>54</w:t>
    </w:r>
    <w:r>
      <w:fldChar w:fldCharType="end"/>
    </w:r>
    <w:r>
      <w:tab/>
    </w:r>
    <w:fldSimple w:instr=" DOCVARIABLE &quot;LW_Confidence&quot; \* MERGEFORMAT ">
      <w:r>
        <w:t xml:space="preserve"> </w:t>
      </w:r>
    </w:fldSimple>
    <w:r w:rsidRPr="00E3601E">
      <w:tab/>
    </w:r>
    <w:r w:rsidRPr="00E3601E">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1E" w:rsidRPr="00E3601E" w:rsidRDefault="00E3601E" w:rsidP="00E3601E">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1E" w:rsidRPr="00E3601E" w:rsidRDefault="00E3601E" w:rsidP="00E3601E">
    <w:pPr>
      <w:pStyle w:val="Footer"/>
      <w:rPr>
        <w:rFonts w:ascii="Arial" w:hAnsi="Arial" w:cs="Arial"/>
        <w:b/>
        <w:sz w:val="48"/>
      </w:rPr>
    </w:pPr>
    <w:r w:rsidRPr="00E3601E">
      <w:rPr>
        <w:rFonts w:ascii="Arial" w:hAnsi="Arial" w:cs="Arial"/>
        <w:b/>
        <w:sz w:val="48"/>
      </w:rPr>
      <w:t>HR</w:t>
    </w:r>
    <w:r w:rsidRPr="00E3601E">
      <w:rPr>
        <w:rFonts w:ascii="Arial" w:hAnsi="Arial" w:cs="Arial"/>
        <w:b/>
        <w:sz w:val="48"/>
      </w:rPr>
      <w:tab/>
    </w:r>
    <w:r>
      <w:fldChar w:fldCharType="begin"/>
    </w:r>
    <w:r>
      <w:instrText xml:space="preserve"> PAGE  \* MERGEFORMAT </w:instrText>
    </w:r>
    <w:r>
      <w:fldChar w:fldCharType="separate"/>
    </w:r>
    <w:r>
      <w:rPr>
        <w:noProof/>
      </w:rPr>
      <w:t>60</w:t>
    </w:r>
    <w:r>
      <w:fldChar w:fldCharType="end"/>
    </w:r>
    <w:r>
      <w:tab/>
    </w:r>
    <w:fldSimple w:instr=" DOCVARIABLE &quot;LW_Confidence&quot; \* MERGEFORMAT ">
      <w:r>
        <w:t xml:space="preserve"> </w:t>
      </w:r>
    </w:fldSimple>
    <w:r w:rsidRPr="00E3601E">
      <w:tab/>
    </w:r>
    <w:r w:rsidRPr="00E3601E">
      <w:rPr>
        <w:rFonts w:ascii="Arial" w:hAnsi="Arial" w:cs="Arial"/>
        <w:b/>
        <w:sz w:val="48"/>
      </w:rPr>
      <w:t>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1E" w:rsidRPr="00E3601E" w:rsidRDefault="00E3601E" w:rsidP="00E36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808" w:rsidRDefault="00E3601E">
      <w:pPr>
        <w:spacing w:before="0" w:after="0"/>
      </w:pPr>
      <w:r>
        <w:separator/>
      </w:r>
    </w:p>
  </w:footnote>
  <w:footnote w:type="continuationSeparator" w:id="0">
    <w:p w:rsidR="006C0808" w:rsidRDefault="00E3601E">
      <w:pPr>
        <w:spacing w:before="0" w:after="0"/>
      </w:pPr>
      <w:r>
        <w:continuationSeparator/>
      </w:r>
    </w:p>
  </w:footnote>
  <w:footnote w:id="1">
    <w:p w:rsidR="006C0808" w:rsidRDefault="00E3601E">
      <w:pPr>
        <w:pStyle w:val="FootnoteText"/>
      </w:pPr>
      <w:r>
        <w:rPr>
          <w:rStyle w:val="FootnoteReference"/>
        </w:rPr>
        <w:footnoteRef/>
      </w:r>
      <w:r>
        <w:tab/>
        <w:t xml:space="preserve">COM(2015) 192 </w:t>
      </w:r>
      <w:proofErr w:type="spellStart"/>
      <w:r>
        <w:t>final</w:t>
      </w:r>
      <w:proofErr w:type="spellEnd"/>
      <w:r>
        <w:t>.</w:t>
      </w:r>
    </w:p>
  </w:footnote>
  <w:footnote w:id="2">
    <w:p w:rsidR="006C0808" w:rsidRDefault="00E3601E">
      <w:pPr>
        <w:pStyle w:val="FootnoteText"/>
        <w:rPr>
          <w:lang w:val="nn-NO"/>
        </w:rPr>
      </w:pPr>
      <w:r>
        <w:rPr>
          <w:rStyle w:val="FootnoteReference"/>
        </w:rPr>
        <w:footnoteRef/>
      </w:r>
      <w:r>
        <w:tab/>
        <w:t xml:space="preserve">Rezolucija Europskog parlamenta od 19. siječnja 2016. </w:t>
      </w:r>
      <w:r>
        <w:rPr>
          <w:lang w:val="nn-NO"/>
        </w:rPr>
        <w:t xml:space="preserve">„Ususret </w:t>
      </w:r>
      <w:proofErr w:type="spellStart"/>
      <w:r>
        <w:rPr>
          <w:lang w:val="nn-NO"/>
        </w:rPr>
        <w:t>digitalnom</w:t>
      </w:r>
      <w:proofErr w:type="spellEnd"/>
      <w:r>
        <w:rPr>
          <w:lang w:val="nn-NO"/>
        </w:rPr>
        <w:t xml:space="preserve"> </w:t>
      </w:r>
      <w:proofErr w:type="spellStart"/>
      <w:r>
        <w:rPr>
          <w:lang w:val="nn-NO"/>
        </w:rPr>
        <w:t>jedinstvenom</w:t>
      </w:r>
      <w:proofErr w:type="spellEnd"/>
      <w:r>
        <w:rPr>
          <w:lang w:val="nn-NO"/>
        </w:rPr>
        <w:t xml:space="preserve"> </w:t>
      </w:r>
      <w:proofErr w:type="spellStart"/>
      <w:r>
        <w:rPr>
          <w:lang w:val="nn-NO"/>
        </w:rPr>
        <w:t>tržištu</w:t>
      </w:r>
      <w:proofErr w:type="spellEnd"/>
      <w:r>
        <w:rPr>
          <w:lang w:val="nn-NO"/>
        </w:rPr>
        <w:t>” (TA(2016)0009).</w:t>
      </w:r>
    </w:p>
  </w:footnote>
  <w:footnote w:id="3">
    <w:p w:rsidR="006C0808" w:rsidRDefault="00E3601E">
      <w:pPr>
        <w:pStyle w:val="FootnoteText"/>
        <w:rPr>
          <w:lang w:val="nn-NO"/>
        </w:rPr>
      </w:pPr>
      <w:r>
        <w:rPr>
          <w:rStyle w:val="FootnoteReference"/>
        </w:rPr>
        <w:footnoteRef/>
      </w:r>
      <w:r>
        <w:rPr>
          <w:lang w:val="nn-NO"/>
        </w:rPr>
        <w:tab/>
      </w:r>
      <w:proofErr w:type="spellStart"/>
      <w:r>
        <w:rPr>
          <w:lang w:val="nn-NO"/>
        </w:rPr>
        <w:t>Zajednička</w:t>
      </w:r>
      <w:proofErr w:type="spellEnd"/>
      <w:r>
        <w:rPr>
          <w:lang w:val="nn-NO"/>
        </w:rPr>
        <w:t xml:space="preserve"> </w:t>
      </w:r>
      <w:proofErr w:type="spellStart"/>
      <w:r>
        <w:rPr>
          <w:lang w:val="nn-NO"/>
        </w:rPr>
        <w:t>izjava</w:t>
      </w:r>
      <w:proofErr w:type="spellEnd"/>
      <w:r>
        <w:rPr>
          <w:lang w:val="nn-NO"/>
        </w:rPr>
        <w:t xml:space="preserve"> </w:t>
      </w:r>
      <w:proofErr w:type="spellStart"/>
      <w:r>
        <w:rPr>
          <w:lang w:val="nn-NO"/>
        </w:rPr>
        <w:t>Europskog</w:t>
      </w:r>
      <w:proofErr w:type="spellEnd"/>
      <w:r>
        <w:rPr>
          <w:lang w:val="nn-NO"/>
        </w:rPr>
        <w:t xml:space="preserve"> parlamenta, </w:t>
      </w:r>
      <w:proofErr w:type="spellStart"/>
      <w:r>
        <w:rPr>
          <w:lang w:val="nn-NO"/>
        </w:rPr>
        <w:t>Vijeća</w:t>
      </w:r>
      <w:proofErr w:type="spellEnd"/>
      <w:r>
        <w:rPr>
          <w:lang w:val="nn-NO"/>
        </w:rPr>
        <w:t xml:space="preserve"> i </w:t>
      </w:r>
      <w:proofErr w:type="spellStart"/>
      <w:r>
        <w:rPr>
          <w:lang w:val="nn-NO"/>
        </w:rPr>
        <w:t>Komisije</w:t>
      </w:r>
      <w:proofErr w:type="spellEnd"/>
      <w:r>
        <w:rPr>
          <w:lang w:val="nn-NO"/>
        </w:rPr>
        <w:t xml:space="preserve"> o</w:t>
      </w:r>
      <w:r>
        <w:rPr>
          <w:lang w:val="nn-NO"/>
        </w:rPr>
        <w:t xml:space="preserve"> </w:t>
      </w:r>
      <w:proofErr w:type="spellStart"/>
      <w:r>
        <w:rPr>
          <w:lang w:val="nn-NO"/>
        </w:rPr>
        <w:t>decentraliziranim</w:t>
      </w:r>
      <w:proofErr w:type="spellEnd"/>
      <w:r>
        <w:rPr>
          <w:lang w:val="nn-NO"/>
        </w:rPr>
        <w:t xml:space="preserve"> </w:t>
      </w:r>
      <w:proofErr w:type="spellStart"/>
      <w:r>
        <w:rPr>
          <w:lang w:val="nn-NO"/>
        </w:rPr>
        <w:t>agencijama</w:t>
      </w:r>
      <w:proofErr w:type="spellEnd"/>
      <w:r>
        <w:rPr>
          <w:lang w:val="nn-NO"/>
        </w:rPr>
        <w:t xml:space="preserve"> od 19. </w:t>
      </w:r>
      <w:proofErr w:type="spellStart"/>
      <w:r>
        <w:rPr>
          <w:lang w:val="nn-NO"/>
        </w:rPr>
        <w:t>srpnja</w:t>
      </w:r>
      <w:proofErr w:type="spellEnd"/>
      <w:r>
        <w:rPr>
          <w:lang w:val="nn-NO"/>
        </w:rPr>
        <w:t> 2012.</w:t>
      </w:r>
    </w:p>
  </w:footnote>
  <w:footnote w:id="4">
    <w:p w:rsidR="006C0808" w:rsidRDefault="00E3601E">
      <w:pPr>
        <w:pStyle w:val="FootnoteText"/>
        <w:rPr>
          <w:lang w:val="nn-NO"/>
        </w:rPr>
      </w:pPr>
      <w:r>
        <w:rPr>
          <w:rStyle w:val="FootnoteReference"/>
        </w:rPr>
        <w:footnoteRef/>
      </w:r>
      <w:r>
        <w:rPr>
          <w:lang w:val="nn-NO"/>
        </w:rPr>
        <w:tab/>
        <w:t xml:space="preserve">Direktiva 2002/58/EZ </w:t>
      </w:r>
      <w:proofErr w:type="spellStart"/>
      <w:r>
        <w:rPr>
          <w:lang w:val="nn-NO"/>
        </w:rPr>
        <w:t>Europskog</w:t>
      </w:r>
      <w:proofErr w:type="spellEnd"/>
      <w:r>
        <w:rPr>
          <w:lang w:val="nn-NO"/>
        </w:rPr>
        <w:t xml:space="preserve"> parlamenta i </w:t>
      </w:r>
      <w:proofErr w:type="spellStart"/>
      <w:r>
        <w:rPr>
          <w:lang w:val="nn-NO"/>
        </w:rPr>
        <w:t>Vijeća</w:t>
      </w:r>
      <w:proofErr w:type="spellEnd"/>
      <w:r>
        <w:rPr>
          <w:lang w:val="nn-NO"/>
        </w:rPr>
        <w:t xml:space="preserve"> od 12. </w:t>
      </w:r>
      <w:proofErr w:type="spellStart"/>
      <w:r>
        <w:rPr>
          <w:lang w:val="nn-NO"/>
        </w:rPr>
        <w:t>srpnja</w:t>
      </w:r>
      <w:proofErr w:type="spellEnd"/>
      <w:r>
        <w:rPr>
          <w:lang w:val="nn-NO"/>
        </w:rPr>
        <w:t xml:space="preserve"> 2002. o </w:t>
      </w:r>
      <w:proofErr w:type="spellStart"/>
      <w:r>
        <w:rPr>
          <w:lang w:val="nn-NO"/>
        </w:rPr>
        <w:t>obradi</w:t>
      </w:r>
      <w:proofErr w:type="spellEnd"/>
      <w:r>
        <w:rPr>
          <w:lang w:val="nn-NO"/>
        </w:rPr>
        <w:t xml:space="preserve"> </w:t>
      </w:r>
      <w:proofErr w:type="spellStart"/>
      <w:r>
        <w:rPr>
          <w:lang w:val="nn-NO"/>
        </w:rPr>
        <w:t>osobnih</w:t>
      </w:r>
      <w:proofErr w:type="spellEnd"/>
      <w:r>
        <w:rPr>
          <w:lang w:val="nn-NO"/>
        </w:rPr>
        <w:t xml:space="preserve"> </w:t>
      </w:r>
      <w:proofErr w:type="spellStart"/>
      <w:r>
        <w:rPr>
          <w:lang w:val="nn-NO"/>
        </w:rPr>
        <w:t>podataka</w:t>
      </w:r>
      <w:proofErr w:type="spellEnd"/>
      <w:r>
        <w:rPr>
          <w:lang w:val="nn-NO"/>
        </w:rPr>
        <w:t xml:space="preserve"> i </w:t>
      </w:r>
      <w:proofErr w:type="spellStart"/>
      <w:r>
        <w:rPr>
          <w:lang w:val="nn-NO"/>
        </w:rPr>
        <w:t>zaštiti</w:t>
      </w:r>
      <w:proofErr w:type="spellEnd"/>
      <w:r>
        <w:rPr>
          <w:lang w:val="nn-NO"/>
        </w:rPr>
        <w:t xml:space="preserve"> </w:t>
      </w:r>
      <w:proofErr w:type="spellStart"/>
      <w:r>
        <w:rPr>
          <w:lang w:val="nn-NO"/>
        </w:rPr>
        <w:t>privatnosti</w:t>
      </w:r>
      <w:proofErr w:type="spellEnd"/>
      <w:r>
        <w:rPr>
          <w:lang w:val="nn-NO"/>
        </w:rPr>
        <w:t xml:space="preserve"> u </w:t>
      </w:r>
      <w:proofErr w:type="spellStart"/>
      <w:r>
        <w:rPr>
          <w:lang w:val="nn-NO"/>
        </w:rPr>
        <w:t>području</w:t>
      </w:r>
      <w:proofErr w:type="spellEnd"/>
      <w:r>
        <w:rPr>
          <w:lang w:val="nn-NO"/>
        </w:rPr>
        <w:t xml:space="preserve"> </w:t>
      </w:r>
      <w:proofErr w:type="spellStart"/>
      <w:r>
        <w:rPr>
          <w:lang w:val="nn-NO"/>
        </w:rPr>
        <w:t>elektroničkih</w:t>
      </w:r>
      <w:proofErr w:type="spellEnd"/>
      <w:r>
        <w:rPr>
          <w:lang w:val="nn-NO"/>
        </w:rPr>
        <w:t xml:space="preserve"> </w:t>
      </w:r>
      <w:proofErr w:type="spellStart"/>
      <w:r>
        <w:rPr>
          <w:lang w:val="nn-NO"/>
        </w:rPr>
        <w:t>komunikacija</w:t>
      </w:r>
      <w:proofErr w:type="spellEnd"/>
      <w:r>
        <w:rPr>
          <w:lang w:val="nn-NO"/>
        </w:rPr>
        <w:t xml:space="preserve"> (SL L 201, 31.7.2002., </w:t>
      </w:r>
      <w:proofErr w:type="spellStart"/>
      <w:r>
        <w:rPr>
          <w:lang w:val="nn-NO"/>
        </w:rPr>
        <w:t>str</w:t>
      </w:r>
      <w:proofErr w:type="spellEnd"/>
      <w:r>
        <w:rPr>
          <w:lang w:val="nn-NO"/>
        </w:rPr>
        <w:t>. 37.).</w:t>
      </w:r>
    </w:p>
  </w:footnote>
  <w:footnote w:id="5">
    <w:p w:rsidR="006C0808" w:rsidRDefault="00E3601E">
      <w:pPr>
        <w:pStyle w:val="FootnoteText"/>
        <w:rPr>
          <w:lang w:val="nn-NO"/>
        </w:rPr>
      </w:pPr>
      <w:r>
        <w:rPr>
          <w:rStyle w:val="FootnoteReference"/>
        </w:rPr>
        <w:footnoteRef/>
      </w:r>
      <w:r>
        <w:rPr>
          <w:lang w:val="nn-NO"/>
        </w:rPr>
        <w:tab/>
        <w:t xml:space="preserve">To </w:t>
      </w:r>
      <w:proofErr w:type="spellStart"/>
      <w:r>
        <w:rPr>
          <w:lang w:val="nn-NO"/>
        </w:rPr>
        <w:t>je</w:t>
      </w:r>
      <w:proofErr w:type="spellEnd"/>
      <w:r>
        <w:rPr>
          <w:lang w:val="nn-NO"/>
        </w:rPr>
        <w:t xml:space="preserve"> </w:t>
      </w:r>
      <w:proofErr w:type="spellStart"/>
      <w:r>
        <w:rPr>
          <w:lang w:val="nn-NO"/>
        </w:rPr>
        <w:t>ocjen</w:t>
      </w:r>
      <w:r>
        <w:rPr>
          <w:lang w:val="nn-NO"/>
        </w:rPr>
        <w:t>jivanje</w:t>
      </w:r>
      <w:proofErr w:type="spellEnd"/>
      <w:r>
        <w:rPr>
          <w:lang w:val="nn-NO"/>
        </w:rPr>
        <w:t xml:space="preserve"> </w:t>
      </w:r>
      <w:proofErr w:type="spellStart"/>
      <w:r>
        <w:rPr>
          <w:lang w:val="nn-NO"/>
        </w:rPr>
        <w:t>provedeno</w:t>
      </w:r>
      <w:proofErr w:type="spellEnd"/>
      <w:r>
        <w:rPr>
          <w:lang w:val="nn-NO"/>
        </w:rPr>
        <w:t xml:space="preserve"> u </w:t>
      </w:r>
      <w:proofErr w:type="spellStart"/>
      <w:r>
        <w:rPr>
          <w:lang w:val="nn-NO"/>
        </w:rPr>
        <w:t>skladu</w:t>
      </w:r>
      <w:proofErr w:type="spellEnd"/>
      <w:r>
        <w:rPr>
          <w:lang w:val="nn-NO"/>
        </w:rPr>
        <w:t xml:space="preserve"> sa </w:t>
      </w:r>
      <w:proofErr w:type="spellStart"/>
      <w:r>
        <w:rPr>
          <w:lang w:val="nn-NO"/>
        </w:rPr>
        <w:t>zahtjevima</w:t>
      </w:r>
      <w:proofErr w:type="spellEnd"/>
      <w:r>
        <w:rPr>
          <w:lang w:val="nn-NO"/>
        </w:rPr>
        <w:t xml:space="preserve"> </w:t>
      </w:r>
      <w:proofErr w:type="spellStart"/>
      <w:r>
        <w:rPr>
          <w:lang w:val="nn-NO"/>
        </w:rPr>
        <w:t>iz</w:t>
      </w:r>
      <w:proofErr w:type="spellEnd"/>
      <w:r>
        <w:rPr>
          <w:lang w:val="nn-NO"/>
        </w:rPr>
        <w:t xml:space="preserve"> </w:t>
      </w:r>
      <w:proofErr w:type="spellStart"/>
      <w:r>
        <w:rPr>
          <w:lang w:val="nn-NO"/>
        </w:rPr>
        <w:t>članka</w:t>
      </w:r>
      <w:proofErr w:type="spellEnd"/>
      <w:r>
        <w:rPr>
          <w:lang w:val="nn-NO"/>
        </w:rPr>
        <w:t xml:space="preserve"> 15. </w:t>
      </w:r>
      <w:proofErr w:type="spellStart"/>
      <w:r>
        <w:rPr>
          <w:lang w:val="nn-NO"/>
        </w:rPr>
        <w:t>Uredbe</w:t>
      </w:r>
      <w:proofErr w:type="spellEnd"/>
      <w:r>
        <w:rPr>
          <w:lang w:val="nn-NO"/>
        </w:rPr>
        <w:t xml:space="preserve"> o BEREC-u: „</w:t>
      </w:r>
      <w:proofErr w:type="spellStart"/>
      <w:r>
        <w:rPr>
          <w:lang w:val="nn-NO"/>
        </w:rPr>
        <w:t>Studija</w:t>
      </w:r>
      <w:proofErr w:type="spellEnd"/>
      <w:r>
        <w:rPr>
          <w:lang w:val="nn-NO"/>
        </w:rPr>
        <w:t xml:space="preserve"> o </w:t>
      </w:r>
      <w:proofErr w:type="spellStart"/>
      <w:r>
        <w:rPr>
          <w:lang w:val="nn-NO"/>
        </w:rPr>
        <w:t>ocjenjivanju</w:t>
      </w:r>
      <w:proofErr w:type="spellEnd"/>
      <w:r>
        <w:rPr>
          <w:lang w:val="nn-NO"/>
        </w:rPr>
        <w:t xml:space="preserve"> BEREC-a i </w:t>
      </w:r>
      <w:proofErr w:type="spellStart"/>
      <w:r>
        <w:rPr>
          <w:lang w:val="nn-NO"/>
        </w:rPr>
        <w:t>Ureda</w:t>
      </w:r>
      <w:proofErr w:type="spellEnd"/>
      <w:r>
        <w:rPr>
          <w:lang w:val="nn-NO"/>
        </w:rPr>
        <w:t xml:space="preserve"> BEREC-a” </w:t>
      </w:r>
      <w:proofErr w:type="spellStart"/>
      <w:r>
        <w:rPr>
          <w:lang w:val="nn-NO"/>
        </w:rPr>
        <w:t>koju</w:t>
      </w:r>
      <w:proofErr w:type="spellEnd"/>
      <w:r>
        <w:rPr>
          <w:lang w:val="nn-NO"/>
        </w:rPr>
        <w:t xml:space="preserve"> </w:t>
      </w:r>
      <w:proofErr w:type="spellStart"/>
      <w:r>
        <w:rPr>
          <w:lang w:val="nn-NO"/>
        </w:rPr>
        <w:t>je</w:t>
      </w:r>
      <w:proofErr w:type="spellEnd"/>
      <w:r>
        <w:rPr>
          <w:lang w:val="nn-NO"/>
        </w:rPr>
        <w:t xml:space="preserve"> </w:t>
      </w:r>
      <w:proofErr w:type="spellStart"/>
      <w:r>
        <w:rPr>
          <w:lang w:val="nn-NO"/>
        </w:rPr>
        <w:t>provelo</w:t>
      </w:r>
      <w:proofErr w:type="spellEnd"/>
      <w:r>
        <w:rPr>
          <w:lang w:val="nn-NO"/>
        </w:rPr>
        <w:t xml:space="preserve"> </w:t>
      </w:r>
      <w:proofErr w:type="spellStart"/>
      <w:r>
        <w:rPr>
          <w:lang w:val="nn-NO"/>
        </w:rPr>
        <w:t>društvo</w:t>
      </w:r>
      <w:proofErr w:type="spellEnd"/>
      <w:r>
        <w:rPr>
          <w:lang w:val="nn-NO"/>
        </w:rPr>
        <w:t xml:space="preserve"> </w:t>
      </w:r>
      <w:proofErr w:type="spellStart"/>
      <w:r>
        <w:rPr>
          <w:lang w:val="nn-NO"/>
        </w:rPr>
        <w:t>PwC</w:t>
      </w:r>
      <w:proofErr w:type="spellEnd"/>
      <w:r>
        <w:rPr>
          <w:lang w:val="nn-NO"/>
        </w:rPr>
        <w:t xml:space="preserve"> </w:t>
      </w:r>
      <w:proofErr w:type="spellStart"/>
      <w:r>
        <w:rPr>
          <w:lang w:val="nn-NO"/>
        </w:rPr>
        <w:t>iz</w:t>
      </w:r>
      <w:proofErr w:type="spellEnd"/>
      <w:r>
        <w:rPr>
          <w:lang w:val="nn-NO"/>
        </w:rPr>
        <w:t xml:space="preserve"> </w:t>
      </w:r>
      <w:proofErr w:type="spellStart"/>
      <w:r>
        <w:rPr>
          <w:lang w:val="nn-NO"/>
        </w:rPr>
        <w:t>rujna</w:t>
      </w:r>
      <w:proofErr w:type="spellEnd"/>
      <w:r>
        <w:rPr>
          <w:lang w:val="nn-NO"/>
        </w:rPr>
        <w:t xml:space="preserve"> 2012., </w:t>
      </w:r>
      <w:proofErr w:type="spellStart"/>
      <w:r>
        <w:rPr>
          <w:lang w:val="nn-NO"/>
        </w:rPr>
        <w:t>Radni</w:t>
      </w:r>
      <w:proofErr w:type="spellEnd"/>
      <w:r>
        <w:rPr>
          <w:lang w:val="nn-NO"/>
        </w:rPr>
        <w:t xml:space="preserve"> dokument </w:t>
      </w:r>
      <w:proofErr w:type="spellStart"/>
      <w:r>
        <w:rPr>
          <w:lang w:val="nn-NO"/>
        </w:rPr>
        <w:t>službi</w:t>
      </w:r>
      <w:proofErr w:type="spellEnd"/>
      <w:r>
        <w:rPr>
          <w:lang w:val="nn-NO"/>
        </w:rPr>
        <w:t xml:space="preserve"> </w:t>
      </w:r>
      <w:proofErr w:type="spellStart"/>
      <w:r>
        <w:rPr>
          <w:lang w:val="nn-NO"/>
        </w:rPr>
        <w:t>Komisije</w:t>
      </w:r>
      <w:proofErr w:type="spellEnd"/>
      <w:r>
        <w:rPr>
          <w:lang w:val="nn-NO"/>
        </w:rPr>
        <w:t xml:space="preserve"> </w:t>
      </w:r>
      <w:proofErr w:type="spellStart"/>
      <w:r>
        <w:rPr>
          <w:lang w:val="nn-NO"/>
        </w:rPr>
        <w:t>iz</w:t>
      </w:r>
      <w:proofErr w:type="spellEnd"/>
      <w:r>
        <w:rPr>
          <w:lang w:val="nn-NO"/>
        </w:rPr>
        <w:t xml:space="preserve"> </w:t>
      </w:r>
      <w:proofErr w:type="spellStart"/>
      <w:r>
        <w:rPr>
          <w:lang w:val="nn-NO"/>
        </w:rPr>
        <w:t>travnja</w:t>
      </w:r>
      <w:proofErr w:type="spellEnd"/>
      <w:r>
        <w:rPr>
          <w:lang w:val="nn-NO"/>
        </w:rPr>
        <w:t xml:space="preserve"> 2013. (SWD(2013) 152 final), </w:t>
      </w:r>
      <w:proofErr w:type="spellStart"/>
      <w:r>
        <w:rPr>
          <w:lang w:val="nn-NO"/>
        </w:rPr>
        <w:t>nakon</w:t>
      </w:r>
      <w:proofErr w:type="spellEnd"/>
      <w:r>
        <w:rPr>
          <w:lang w:val="nn-NO"/>
        </w:rPr>
        <w:t xml:space="preserve"> </w:t>
      </w:r>
      <w:proofErr w:type="spellStart"/>
      <w:r>
        <w:rPr>
          <w:lang w:val="nn-NO"/>
        </w:rPr>
        <w:t>kojeg</w:t>
      </w:r>
      <w:proofErr w:type="spellEnd"/>
      <w:r>
        <w:rPr>
          <w:lang w:val="nn-NO"/>
        </w:rPr>
        <w:t xml:space="preserve"> </w:t>
      </w:r>
      <w:proofErr w:type="spellStart"/>
      <w:r>
        <w:rPr>
          <w:lang w:val="nn-NO"/>
        </w:rPr>
        <w:t>je</w:t>
      </w:r>
      <w:proofErr w:type="spellEnd"/>
      <w:r>
        <w:rPr>
          <w:lang w:val="nn-NO"/>
        </w:rPr>
        <w:t xml:space="preserve"> </w:t>
      </w:r>
      <w:proofErr w:type="spellStart"/>
      <w:r>
        <w:rPr>
          <w:lang w:val="nn-NO"/>
        </w:rPr>
        <w:t>slij</w:t>
      </w:r>
      <w:r>
        <w:rPr>
          <w:lang w:val="nn-NO"/>
        </w:rPr>
        <w:t>edilo</w:t>
      </w:r>
      <w:proofErr w:type="spellEnd"/>
      <w:r>
        <w:rPr>
          <w:lang w:val="nn-NO"/>
        </w:rPr>
        <w:t xml:space="preserve"> </w:t>
      </w:r>
      <w:proofErr w:type="spellStart"/>
      <w:r>
        <w:rPr>
          <w:lang w:val="nn-NO"/>
        </w:rPr>
        <w:t>Izvješće</w:t>
      </w:r>
      <w:proofErr w:type="spellEnd"/>
      <w:r>
        <w:rPr>
          <w:lang w:val="nn-NO"/>
        </w:rPr>
        <w:t xml:space="preserve"> </w:t>
      </w:r>
      <w:proofErr w:type="spellStart"/>
      <w:r>
        <w:rPr>
          <w:lang w:val="nn-NO"/>
        </w:rPr>
        <w:t>Europskog</w:t>
      </w:r>
      <w:proofErr w:type="spellEnd"/>
      <w:r>
        <w:rPr>
          <w:lang w:val="nn-NO"/>
        </w:rPr>
        <w:t xml:space="preserve"> parlamenta </w:t>
      </w:r>
      <w:proofErr w:type="spellStart"/>
      <w:r>
        <w:rPr>
          <w:lang w:val="nn-NO"/>
        </w:rPr>
        <w:t>iz</w:t>
      </w:r>
      <w:proofErr w:type="spellEnd"/>
      <w:r>
        <w:rPr>
          <w:lang w:val="nn-NO"/>
        </w:rPr>
        <w:t xml:space="preserve"> </w:t>
      </w:r>
      <w:proofErr w:type="spellStart"/>
      <w:r>
        <w:rPr>
          <w:lang w:val="nn-NO"/>
        </w:rPr>
        <w:t>studenoga</w:t>
      </w:r>
      <w:proofErr w:type="spellEnd"/>
      <w:r>
        <w:rPr>
          <w:lang w:val="nn-NO"/>
        </w:rPr>
        <w:t xml:space="preserve"> 2013. (2013/2053(INI), A7- 0378/2013). S </w:t>
      </w:r>
      <w:proofErr w:type="spellStart"/>
      <w:r>
        <w:rPr>
          <w:lang w:val="nn-NO"/>
        </w:rPr>
        <w:t>rezultatom</w:t>
      </w:r>
      <w:proofErr w:type="spellEnd"/>
      <w:r>
        <w:rPr>
          <w:lang w:val="nn-NO"/>
        </w:rPr>
        <w:t xml:space="preserve"> toga </w:t>
      </w:r>
      <w:proofErr w:type="spellStart"/>
      <w:r>
        <w:rPr>
          <w:lang w:val="nn-NO"/>
        </w:rPr>
        <w:t>ocjenjivanja</w:t>
      </w:r>
      <w:proofErr w:type="spellEnd"/>
      <w:r>
        <w:rPr>
          <w:lang w:val="nn-NO"/>
        </w:rPr>
        <w:t xml:space="preserve"> </w:t>
      </w:r>
      <w:proofErr w:type="spellStart"/>
      <w:r>
        <w:rPr>
          <w:lang w:val="nn-NO"/>
        </w:rPr>
        <w:t>potreban</w:t>
      </w:r>
      <w:proofErr w:type="spellEnd"/>
      <w:r>
        <w:rPr>
          <w:lang w:val="nn-NO"/>
        </w:rPr>
        <w:t xml:space="preserve"> </w:t>
      </w:r>
      <w:proofErr w:type="spellStart"/>
      <w:r>
        <w:rPr>
          <w:lang w:val="nn-NO"/>
        </w:rPr>
        <w:t>je</w:t>
      </w:r>
      <w:proofErr w:type="spellEnd"/>
      <w:r>
        <w:rPr>
          <w:lang w:val="nn-NO"/>
        </w:rPr>
        <w:t xml:space="preserve"> </w:t>
      </w:r>
      <w:proofErr w:type="spellStart"/>
      <w:r>
        <w:rPr>
          <w:lang w:val="nn-NO"/>
        </w:rPr>
        <w:t>oprez</w:t>
      </w:r>
      <w:proofErr w:type="spellEnd"/>
      <w:r>
        <w:rPr>
          <w:lang w:val="nn-NO"/>
        </w:rPr>
        <w:t xml:space="preserve"> </w:t>
      </w:r>
      <w:proofErr w:type="spellStart"/>
      <w:r>
        <w:rPr>
          <w:lang w:val="nn-NO"/>
        </w:rPr>
        <w:t>jer</w:t>
      </w:r>
      <w:proofErr w:type="spellEnd"/>
      <w:r>
        <w:rPr>
          <w:lang w:val="nn-NO"/>
        </w:rPr>
        <w:t xml:space="preserve"> </w:t>
      </w:r>
      <w:proofErr w:type="spellStart"/>
      <w:r>
        <w:rPr>
          <w:lang w:val="nn-NO"/>
        </w:rPr>
        <w:t>neke</w:t>
      </w:r>
      <w:proofErr w:type="spellEnd"/>
      <w:r>
        <w:rPr>
          <w:lang w:val="nn-NO"/>
        </w:rPr>
        <w:t xml:space="preserve"> BEREC-</w:t>
      </w:r>
      <w:proofErr w:type="spellStart"/>
      <w:r>
        <w:rPr>
          <w:lang w:val="nn-NO"/>
        </w:rPr>
        <w:t>ove</w:t>
      </w:r>
      <w:proofErr w:type="spellEnd"/>
      <w:r>
        <w:rPr>
          <w:lang w:val="nn-NO"/>
        </w:rPr>
        <w:t xml:space="preserve"> </w:t>
      </w:r>
      <w:proofErr w:type="spellStart"/>
      <w:r>
        <w:rPr>
          <w:lang w:val="nn-NO"/>
        </w:rPr>
        <w:t>zadaće</w:t>
      </w:r>
      <w:proofErr w:type="spellEnd"/>
      <w:r>
        <w:rPr>
          <w:lang w:val="nn-NO"/>
        </w:rPr>
        <w:t xml:space="preserve"> u tome </w:t>
      </w:r>
      <w:proofErr w:type="spellStart"/>
      <w:r>
        <w:rPr>
          <w:lang w:val="nn-NO"/>
        </w:rPr>
        <w:t>trenutku</w:t>
      </w:r>
      <w:proofErr w:type="spellEnd"/>
      <w:r>
        <w:rPr>
          <w:lang w:val="nn-NO"/>
        </w:rPr>
        <w:t xml:space="preserve"> </w:t>
      </w:r>
      <w:proofErr w:type="spellStart"/>
      <w:r>
        <w:rPr>
          <w:lang w:val="nn-NO"/>
        </w:rPr>
        <w:t>nisu</w:t>
      </w:r>
      <w:proofErr w:type="spellEnd"/>
      <w:r>
        <w:rPr>
          <w:lang w:val="nn-NO"/>
        </w:rPr>
        <w:t xml:space="preserve"> bile </w:t>
      </w:r>
      <w:proofErr w:type="spellStart"/>
      <w:r>
        <w:rPr>
          <w:lang w:val="nn-NO"/>
        </w:rPr>
        <w:t>provedene</w:t>
      </w:r>
      <w:proofErr w:type="spellEnd"/>
      <w:r>
        <w:rPr>
          <w:lang w:val="nn-NO"/>
        </w:rPr>
        <w:t xml:space="preserve">. </w:t>
      </w:r>
      <w:proofErr w:type="spellStart"/>
      <w:r>
        <w:rPr>
          <w:lang w:val="nn-NO"/>
        </w:rPr>
        <w:t>Ocjenjivanjem</w:t>
      </w:r>
      <w:proofErr w:type="spellEnd"/>
      <w:r>
        <w:rPr>
          <w:lang w:val="nn-NO"/>
        </w:rPr>
        <w:t xml:space="preserve"> </w:t>
      </w:r>
      <w:proofErr w:type="spellStart"/>
      <w:r>
        <w:rPr>
          <w:lang w:val="nn-NO"/>
        </w:rPr>
        <w:t>se</w:t>
      </w:r>
      <w:proofErr w:type="spellEnd"/>
      <w:r>
        <w:rPr>
          <w:lang w:val="nn-NO"/>
        </w:rPr>
        <w:t xml:space="preserve"> </w:t>
      </w:r>
      <w:proofErr w:type="spellStart"/>
      <w:r>
        <w:rPr>
          <w:lang w:val="nn-NO"/>
        </w:rPr>
        <w:t>nije</w:t>
      </w:r>
      <w:proofErr w:type="spellEnd"/>
      <w:r>
        <w:rPr>
          <w:lang w:val="nn-NO"/>
        </w:rPr>
        <w:t xml:space="preserve"> </w:t>
      </w:r>
      <w:proofErr w:type="spellStart"/>
      <w:r>
        <w:rPr>
          <w:lang w:val="nn-NO"/>
        </w:rPr>
        <w:t>procjenjivala</w:t>
      </w:r>
      <w:proofErr w:type="spellEnd"/>
      <w:r>
        <w:rPr>
          <w:lang w:val="nn-NO"/>
        </w:rPr>
        <w:t xml:space="preserve"> </w:t>
      </w:r>
      <w:proofErr w:type="spellStart"/>
      <w:r>
        <w:rPr>
          <w:lang w:val="nn-NO"/>
        </w:rPr>
        <w:t>moguća</w:t>
      </w:r>
      <w:proofErr w:type="spellEnd"/>
      <w:r>
        <w:rPr>
          <w:lang w:val="nn-NO"/>
        </w:rPr>
        <w:t xml:space="preserve"> </w:t>
      </w:r>
      <w:proofErr w:type="spellStart"/>
      <w:r>
        <w:rPr>
          <w:lang w:val="nn-NO"/>
        </w:rPr>
        <w:t>usklađenost</w:t>
      </w:r>
      <w:proofErr w:type="spellEnd"/>
      <w:r>
        <w:rPr>
          <w:lang w:val="nn-NO"/>
        </w:rPr>
        <w:t xml:space="preserve"> B</w:t>
      </w:r>
      <w:r>
        <w:rPr>
          <w:lang w:val="nn-NO"/>
        </w:rPr>
        <w:t>EREC-</w:t>
      </w:r>
      <w:proofErr w:type="spellStart"/>
      <w:r>
        <w:rPr>
          <w:lang w:val="nn-NO"/>
        </w:rPr>
        <w:t>ova</w:t>
      </w:r>
      <w:proofErr w:type="spellEnd"/>
      <w:r>
        <w:rPr>
          <w:lang w:val="nn-NO"/>
        </w:rPr>
        <w:t xml:space="preserve"> </w:t>
      </w:r>
      <w:proofErr w:type="spellStart"/>
      <w:r>
        <w:rPr>
          <w:lang w:val="nn-NO"/>
        </w:rPr>
        <w:t>Ureda</w:t>
      </w:r>
      <w:proofErr w:type="spellEnd"/>
      <w:r>
        <w:rPr>
          <w:lang w:val="nn-NO"/>
        </w:rPr>
        <w:t xml:space="preserve"> sa </w:t>
      </w:r>
      <w:proofErr w:type="spellStart"/>
      <w:r>
        <w:rPr>
          <w:lang w:val="nn-NO"/>
        </w:rPr>
        <w:t>zajedničkim</w:t>
      </w:r>
      <w:proofErr w:type="spellEnd"/>
      <w:r>
        <w:rPr>
          <w:lang w:val="nn-NO"/>
        </w:rPr>
        <w:t xml:space="preserve"> </w:t>
      </w:r>
      <w:proofErr w:type="spellStart"/>
      <w:r>
        <w:rPr>
          <w:lang w:val="nn-NO"/>
        </w:rPr>
        <w:t>pristupom</w:t>
      </w:r>
      <w:proofErr w:type="spellEnd"/>
      <w:r>
        <w:rPr>
          <w:lang w:val="nn-NO"/>
        </w:rPr>
        <w:t xml:space="preserve"> </w:t>
      </w:r>
      <w:proofErr w:type="spellStart"/>
      <w:r>
        <w:rPr>
          <w:lang w:val="nn-NO"/>
        </w:rPr>
        <w:t>decentraliziranim</w:t>
      </w:r>
      <w:proofErr w:type="spellEnd"/>
      <w:r>
        <w:rPr>
          <w:lang w:val="nn-NO"/>
        </w:rPr>
        <w:t xml:space="preserve"> </w:t>
      </w:r>
      <w:proofErr w:type="spellStart"/>
      <w:r>
        <w:rPr>
          <w:lang w:val="nn-NO"/>
        </w:rPr>
        <w:t>agencijama</w:t>
      </w:r>
      <w:proofErr w:type="spellEnd"/>
      <w:r>
        <w:rPr>
          <w:lang w:val="nn-NO"/>
        </w:rPr>
        <w:t>.</w:t>
      </w:r>
    </w:p>
  </w:footnote>
  <w:footnote w:id="6">
    <w:p w:rsidR="006C0808" w:rsidRDefault="00E3601E">
      <w:pPr>
        <w:pStyle w:val="FootnoteText"/>
        <w:rPr>
          <w:lang w:val="sv-SE"/>
        </w:rPr>
      </w:pPr>
      <w:r>
        <w:rPr>
          <w:rStyle w:val="FootnoteReference"/>
        </w:rPr>
        <w:footnoteRef/>
      </w:r>
      <w:r>
        <w:rPr>
          <w:lang w:val="sv-SE"/>
        </w:rPr>
        <w:tab/>
      </w:r>
      <w:proofErr w:type="spellStart"/>
      <w:r>
        <w:rPr>
          <w:lang w:val="sv-SE"/>
        </w:rPr>
        <w:t>Mišljenje</w:t>
      </w:r>
      <w:proofErr w:type="spellEnd"/>
      <w:r>
        <w:rPr>
          <w:lang w:val="sv-SE"/>
        </w:rPr>
        <w:t xml:space="preserve"> </w:t>
      </w:r>
      <w:proofErr w:type="spellStart"/>
      <w:r>
        <w:rPr>
          <w:lang w:val="sv-SE"/>
        </w:rPr>
        <w:t>Odbora</w:t>
      </w:r>
      <w:proofErr w:type="spellEnd"/>
      <w:r>
        <w:rPr>
          <w:lang w:val="sv-SE"/>
        </w:rPr>
        <w:t xml:space="preserve"> </w:t>
      </w:r>
      <w:proofErr w:type="spellStart"/>
      <w:r>
        <w:rPr>
          <w:lang w:val="sv-SE"/>
        </w:rPr>
        <w:t>regulatora</w:t>
      </w:r>
      <w:proofErr w:type="spellEnd"/>
      <w:r>
        <w:rPr>
          <w:lang w:val="sv-SE"/>
        </w:rPr>
        <w:t xml:space="preserve"> </w:t>
      </w:r>
      <w:proofErr w:type="spellStart"/>
      <w:r>
        <w:rPr>
          <w:lang w:val="sv-SE"/>
        </w:rPr>
        <w:t>BoR</w:t>
      </w:r>
      <w:proofErr w:type="spellEnd"/>
      <w:r>
        <w:rPr>
          <w:lang w:val="sv-SE"/>
        </w:rPr>
        <w:t xml:space="preserve"> (15) 206 </w:t>
      </w:r>
      <w:proofErr w:type="spellStart"/>
      <w:r>
        <w:rPr>
          <w:lang w:val="sv-SE"/>
        </w:rPr>
        <w:t>od</w:t>
      </w:r>
      <w:proofErr w:type="spellEnd"/>
      <w:r>
        <w:rPr>
          <w:lang w:val="sv-SE"/>
        </w:rPr>
        <w:t> 10. </w:t>
      </w:r>
      <w:proofErr w:type="spellStart"/>
      <w:r>
        <w:rPr>
          <w:lang w:val="sv-SE"/>
        </w:rPr>
        <w:t>prosinca</w:t>
      </w:r>
      <w:proofErr w:type="spellEnd"/>
      <w:r>
        <w:rPr>
          <w:lang w:val="sv-SE"/>
        </w:rPr>
        <w:t> 2015.</w:t>
      </w:r>
    </w:p>
  </w:footnote>
  <w:footnote w:id="7">
    <w:p w:rsidR="006C0808" w:rsidRDefault="00E3601E">
      <w:pPr>
        <w:pStyle w:val="FootnoteText"/>
        <w:ind w:left="0" w:firstLine="0"/>
        <w:rPr>
          <w:sz w:val="18"/>
          <w:lang w:val="sv-SE"/>
        </w:rPr>
      </w:pPr>
      <w:r>
        <w:rPr>
          <w:rStyle w:val="FootnoteReference"/>
        </w:rPr>
        <w:footnoteRef/>
      </w:r>
      <w:r>
        <w:rPr>
          <w:lang w:val="sv-SE"/>
        </w:rPr>
        <w:tab/>
      </w:r>
      <w:hyperlink r:id="rId1">
        <w:r>
          <w:rPr>
            <w:rStyle w:val="Hyperlink"/>
            <w:sz w:val="18"/>
            <w:lang w:val="sv-SE"/>
          </w:rPr>
          <w:t>http://berec.europa.eu/eng/document_register/subject_matter/berec/opinions/5577-berec-opinion-on-the-review-of-the-eu-electronic-communications-regulatory-framework</w:t>
        </w:r>
      </w:hyperlink>
      <w:r>
        <w:rPr>
          <w:rStyle w:val="Hyperlink"/>
          <w:sz w:val="18"/>
          <w:lang w:val="sv-SE"/>
        </w:rPr>
        <w:t>.</w:t>
      </w:r>
    </w:p>
  </w:footnote>
  <w:footnote w:id="8">
    <w:p w:rsidR="006C0808" w:rsidRDefault="00E3601E">
      <w:pPr>
        <w:pStyle w:val="FootnoteText"/>
        <w:ind w:left="0" w:firstLine="0"/>
        <w:rPr>
          <w:sz w:val="18"/>
          <w:lang w:val="sv-SE"/>
        </w:rPr>
      </w:pPr>
      <w:r>
        <w:rPr>
          <w:rStyle w:val="FootnoteReference"/>
        </w:rPr>
        <w:footnoteRef/>
      </w:r>
      <w:r>
        <w:rPr>
          <w:lang w:val="sv-SE"/>
        </w:rPr>
        <w:tab/>
      </w:r>
      <w:hyperlink r:id="rId2">
        <w:r>
          <w:rPr>
            <w:rStyle w:val="Hyperlink"/>
            <w:sz w:val="18"/>
            <w:lang w:val="sv-SE"/>
          </w:rPr>
          <w:t>http://rspg-spectrum.eu/wp-content/uploads/2013/05/RSPG 16-001-DSM_opinion.pdf</w:t>
        </w:r>
      </w:hyperlink>
      <w:r>
        <w:rPr>
          <w:rStyle w:val="Hyperlink"/>
          <w:sz w:val="18"/>
          <w:lang w:val="sv-SE"/>
        </w:rPr>
        <w:t>.</w:t>
      </w:r>
    </w:p>
  </w:footnote>
  <w:footnote w:id="9">
    <w:p w:rsidR="006C0808" w:rsidRDefault="00E3601E">
      <w:pPr>
        <w:pStyle w:val="FootnoteText"/>
        <w:rPr>
          <w:sz w:val="18"/>
          <w:szCs w:val="18"/>
          <w:lang w:val="sv-SE"/>
        </w:rPr>
      </w:pPr>
      <w:r>
        <w:rPr>
          <w:rStyle w:val="FootnoteReference"/>
        </w:rPr>
        <w:footnoteRef/>
      </w:r>
      <w:r>
        <w:rPr>
          <w:lang w:val="sv-SE"/>
        </w:rPr>
        <w:tab/>
      </w:r>
      <w:proofErr w:type="spellStart"/>
      <w:r>
        <w:rPr>
          <w:sz w:val="18"/>
          <w:lang w:val="sv-SE"/>
        </w:rPr>
        <w:t>Rezolucija</w:t>
      </w:r>
      <w:proofErr w:type="spellEnd"/>
      <w:r>
        <w:rPr>
          <w:sz w:val="18"/>
          <w:lang w:val="sv-SE"/>
        </w:rPr>
        <w:t xml:space="preserve"> </w:t>
      </w:r>
      <w:proofErr w:type="spellStart"/>
      <w:r>
        <w:rPr>
          <w:sz w:val="18"/>
          <w:lang w:val="sv-SE"/>
        </w:rPr>
        <w:t>Europskog</w:t>
      </w:r>
      <w:proofErr w:type="spellEnd"/>
      <w:r>
        <w:rPr>
          <w:sz w:val="18"/>
          <w:lang w:val="sv-SE"/>
        </w:rPr>
        <w:t xml:space="preserve"> </w:t>
      </w:r>
      <w:proofErr w:type="spellStart"/>
      <w:r>
        <w:rPr>
          <w:sz w:val="18"/>
          <w:lang w:val="sv-SE"/>
        </w:rPr>
        <w:t>parlamenta</w:t>
      </w:r>
      <w:proofErr w:type="spellEnd"/>
      <w:r>
        <w:rPr>
          <w:sz w:val="18"/>
          <w:lang w:val="sv-SE"/>
        </w:rPr>
        <w:t xml:space="preserve"> </w:t>
      </w:r>
      <w:proofErr w:type="spellStart"/>
      <w:r>
        <w:rPr>
          <w:sz w:val="18"/>
          <w:lang w:val="sv-SE"/>
        </w:rPr>
        <w:t>od</w:t>
      </w:r>
      <w:proofErr w:type="spellEnd"/>
      <w:r>
        <w:rPr>
          <w:sz w:val="18"/>
          <w:lang w:val="sv-SE"/>
        </w:rPr>
        <w:t xml:space="preserve"> 19. </w:t>
      </w:r>
      <w:proofErr w:type="spellStart"/>
      <w:r>
        <w:rPr>
          <w:sz w:val="18"/>
          <w:lang w:val="sv-SE"/>
        </w:rPr>
        <w:t>siječnja</w:t>
      </w:r>
      <w:proofErr w:type="spellEnd"/>
      <w:r>
        <w:rPr>
          <w:sz w:val="18"/>
          <w:lang w:val="sv-SE"/>
        </w:rPr>
        <w:t xml:space="preserve"> 2016. o </w:t>
      </w:r>
      <w:proofErr w:type="spellStart"/>
      <w:r>
        <w:rPr>
          <w:sz w:val="18"/>
          <w:lang w:val="sv-SE"/>
        </w:rPr>
        <w:t>ususret</w:t>
      </w:r>
      <w:proofErr w:type="spellEnd"/>
      <w:r>
        <w:rPr>
          <w:sz w:val="18"/>
          <w:lang w:val="sv-SE"/>
        </w:rPr>
        <w:t xml:space="preserve"> </w:t>
      </w:r>
      <w:proofErr w:type="spellStart"/>
      <w:r>
        <w:rPr>
          <w:sz w:val="18"/>
          <w:lang w:val="sv-SE"/>
        </w:rPr>
        <w:t>digitalnom</w:t>
      </w:r>
      <w:proofErr w:type="spellEnd"/>
      <w:r>
        <w:rPr>
          <w:sz w:val="18"/>
          <w:lang w:val="sv-SE"/>
        </w:rPr>
        <w:t xml:space="preserve"> </w:t>
      </w:r>
      <w:proofErr w:type="spellStart"/>
      <w:r>
        <w:rPr>
          <w:sz w:val="18"/>
          <w:lang w:val="sv-SE"/>
        </w:rPr>
        <w:t>jedinstvenom</w:t>
      </w:r>
      <w:proofErr w:type="spellEnd"/>
      <w:r>
        <w:rPr>
          <w:sz w:val="18"/>
          <w:lang w:val="sv-SE"/>
        </w:rPr>
        <w:t xml:space="preserve"> </w:t>
      </w:r>
      <w:proofErr w:type="spellStart"/>
      <w:r>
        <w:rPr>
          <w:sz w:val="18"/>
          <w:lang w:val="sv-SE"/>
        </w:rPr>
        <w:t>tržištu</w:t>
      </w:r>
      <w:proofErr w:type="spellEnd"/>
      <w:r>
        <w:rPr>
          <w:sz w:val="18"/>
          <w:lang w:val="sv-SE"/>
        </w:rPr>
        <w:t xml:space="preserve"> (</w:t>
      </w:r>
      <w:hyperlink r:id="rId3">
        <w:r>
          <w:rPr>
            <w:rStyle w:val="Hyperlink"/>
            <w:sz w:val="18"/>
            <w:lang w:val="sv-SE"/>
          </w:rPr>
          <w:t>2015/2147(INI)</w:t>
        </w:r>
      </w:hyperlink>
      <w:r>
        <w:rPr>
          <w:sz w:val="18"/>
          <w:lang w:val="sv-SE"/>
        </w:rPr>
        <w:t>).</w:t>
      </w:r>
    </w:p>
  </w:footnote>
  <w:footnote w:id="10">
    <w:p w:rsidR="006C0808" w:rsidRDefault="00E3601E">
      <w:pPr>
        <w:pStyle w:val="FootnoteText"/>
        <w:rPr>
          <w:sz w:val="18"/>
          <w:szCs w:val="18"/>
          <w:lang w:val="sv-SE"/>
        </w:rPr>
      </w:pPr>
      <w:r>
        <w:rPr>
          <w:rStyle w:val="FootnoteReference"/>
        </w:rPr>
        <w:footnoteRef/>
      </w:r>
      <w:r>
        <w:rPr>
          <w:lang w:val="sv-SE"/>
        </w:rPr>
        <w:tab/>
      </w:r>
      <w:proofErr w:type="spellStart"/>
      <w:r>
        <w:rPr>
          <w:sz w:val="18"/>
          <w:lang w:val="sv-SE"/>
        </w:rPr>
        <w:t>Zaključci</w:t>
      </w:r>
      <w:proofErr w:type="spellEnd"/>
      <w:r>
        <w:rPr>
          <w:sz w:val="18"/>
          <w:lang w:val="sv-SE"/>
        </w:rPr>
        <w:t xml:space="preserve"> sa </w:t>
      </w:r>
      <w:proofErr w:type="spellStart"/>
      <w:r>
        <w:rPr>
          <w:sz w:val="18"/>
          <w:lang w:val="sv-SE"/>
        </w:rPr>
        <w:t>sastanka</w:t>
      </w:r>
      <w:proofErr w:type="spellEnd"/>
      <w:r>
        <w:rPr>
          <w:sz w:val="18"/>
          <w:lang w:val="sv-SE"/>
        </w:rPr>
        <w:t xml:space="preserve"> </w:t>
      </w:r>
      <w:proofErr w:type="spellStart"/>
      <w:r>
        <w:rPr>
          <w:sz w:val="18"/>
          <w:lang w:val="sv-SE"/>
        </w:rPr>
        <w:t>Europskog</w:t>
      </w:r>
      <w:proofErr w:type="spellEnd"/>
      <w:r>
        <w:rPr>
          <w:sz w:val="18"/>
          <w:lang w:val="sv-SE"/>
        </w:rPr>
        <w:t xml:space="preserve"> </w:t>
      </w:r>
      <w:proofErr w:type="spellStart"/>
      <w:r>
        <w:rPr>
          <w:sz w:val="18"/>
          <w:lang w:val="sv-SE"/>
        </w:rPr>
        <w:t>vijeća</w:t>
      </w:r>
      <w:proofErr w:type="spellEnd"/>
      <w:r>
        <w:rPr>
          <w:sz w:val="18"/>
          <w:lang w:val="sv-SE"/>
        </w:rPr>
        <w:t xml:space="preserve"> 28. </w:t>
      </w:r>
      <w:proofErr w:type="spellStart"/>
      <w:r>
        <w:rPr>
          <w:sz w:val="18"/>
          <w:lang w:val="sv-SE"/>
        </w:rPr>
        <w:t>lipnja</w:t>
      </w:r>
      <w:proofErr w:type="spellEnd"/>
      <w:r>
        <w:rPr>
          <w:sz w:val="18"/>
          <w:lang w:val="sv-SE"/>
        </w:rPr>
        <w:t> 2016. (EUCO 26/16)</w:t>
      </w:r>
    </w:p>
  </w:footnote>
  <w:footnote w:id="11">
    <w:p w:rsidR="006C0808" w:rsidRDefault="00E3601E">
      <w:pPr>
        <w:pStyle w:val="FootnoteText"/>
        <w:rPr>
          <w:lang w:val="sv-SE"/>
        </w:rPr>
      </w:pPr>
      <w:r>
        <w:rPr>
          <w:rStyle w:val="FootnoteReference"/>
        </w:rPr>
        <w:footnoteRef/>
      </w:r>
      <w:r>
        <w:rPr>
          <w:lang w:val="sv-SE"/>
        </w:rPr>
        <w:tab/>
      </w:r>
      <w:proofErr w:type="spellStart"/>
      <w:r>
        <w:rPr>
          <w:sz w:val="18"/>
          <w:lang w:val="sv-SE"/>
        </w:rPr>
        <w:t>Stručni</w:t>
      </w:r>
      <w:proofErr w:type="spellEnd"/>
      <w:r>
        <w:rPr>
          <w:sz w:val="18"/>
          <w:lang w:val="sv-SE"/>
        </w:rPr>
        <w:t xml:space="preserve"> </w:t>
      </w:r>
      <w:proofErr w:type="spellStart"/>
      <w:r>
        <w:rPr>
          <w:sz w:val="18"/>
          <w:lang w:val="sv-SE"/>
        </w:rPr>
        <w:t>profili</w:t>
      </w:r>
      <w:proofErr w:type="spellEnd"/>
      <w:r>
        <w:rPr>
          <w:sz w:val="18"/>
          <w:lang w:val="sv-SE"/>
        </w:rPr>
        <w:t xml:space="preserve"> i </w:t>
      </w:r>
      <w:proofErr w:type="spellStart"/>
      <w:r>
        <w:rPr>
          <w:sz w:val="18"/>
          <w:lang w:val="sv-SE"/>
        </w:rPr>
        <w:t>izvješće</w:t>
      </w:r>
      <w:proofErr w:type="spellEnd"/>
      <w:r>
        <w:rPr>
          <w:sz w:val="18"/>
          <w:lang w:val="sv-SE"/>
        </w:rPr>
        <w:t xml:space="preserve"> o </w:t>
      </w:r>
      <w:proofErr w:type="spellStart"/>
      <w:r>
        <w:rPr>
          <w:sz w:val="18"/>
          <w:lang w:val="sv-SE"/>
        </w:rPr>
        <w:t>toj</w:t>
      </w:r>
      <w:proofErr w:type="spellEnd"/>
      <w:r>
        <w:rPr>
          <w:sz w:val="18"/>
          <w:lang w:val="sv-SE"/>
        </w:rPr>
        <w:t xml:space="preserve"> </w:t>
      </w:r>
      <w:proofErr w:type="spellStart"/>
      <w:r>
        <w:rPr>
          <w:sz w:val="18"/>
          <w:lang w:val="sv-SE"/>
        </w:rPr>
        <w:t>raspravi</w:t>
      </w:r>
      <w:proofErr w:type="spellEnd"/>
      <w:r>
        <w:rPr>
          <w:sz w:val="18"/>
          <w:lang w:val="sv-SE"/>
        </w:rPr>
        <w:t xml:space="preserve"> </w:t>
      </w:r>
      <w:proofErr w:type="spellStart"/>
      <w:r>
        <w:rPr>
          <w:sz w:val="18"/>
          <w:lang w:val="sv-SE"/>
        </w:rPr>
        <w:t>predstavljeni</w:t>
      </w:r>
      <w:proofErr w:type="spellEnd"/>
      <w:r>
        <w:rPr>
          <w:sz w:val="18"/>
          <w:lang w:val="sv-SE"/>
        </w:rPr>
        <w:t xml:space="preserve"> </w:t>
      </w:r>
      <w:proofErr w:type="spellStart"/>
      <w:r>
        <w:rPr>
          <w:sz w:val="18"/>
          <w:lang w:val="sv-SE"/>
        </w:rPr>
        <w:t>su</w:t>
      </w:r>
      <w:proofErr w:type="spellEnd"/>
      <w:r>
        <w:rPr>
          <w:sz w:val="18"/>
          <w:lang w:val="sv-SE"/>
        </w:rPr>
        <w:t xml:space="preserve"> u </w:t>
      </w:r>
      <w:proofErr w:type="spellStart"/>
      <w:r>
        <w:rPr>
          <w:sz w:val="18"/>
          <w:lang w:val="sv-SE"/>
        </w:rPr>
        <w:t>Prilogu</w:t>
      </w:r>
      <w:proofErr w:type="spellEnd"/>
      <w:r>
        <w:rPr>
          <w:sz w:val="18"/>
          <w:lang w:val="sv-SE"/>
        </w:rPr>
        <w:t xml:space="preserve"> 13. </w:t>
      </w:r>
      <w:proofErr w:type="spellStart"/>
      <w:r>
        <w:rPr>
          <w:sz w:val="18"/>
          <w:lang w:val="sv-SE"/>
        </w:rPr>
        <w:t>procjene</w:t>
      </w:r>
      <w:proofErr w:type="spellEnd"/>
      <w:r>
        <w:rPr>
          <w:sz w:val="18"/>
          <w:lang w:val="sv-SE"/>
        </w:rPr>
        <w:t xml:space="preserve"> </w:t>
      </w:r>
      <w:proofErr w:type="spellStart"/>
      <w:r>
        <w:rPr>
          <w:sz w:val="18"/>
          <w:lang w:val="sv-SE"/>
        </w:rPr>
        <w:t>učinka</w:t>
      </w:r>
      <w:proofErr w:type="spellEnd"/>
      <w:r>
        <w:rPr>
          <w:sz w:val="18"/>
          <w:lang w:val="sv-SE"/>
        </w:rPr>
        <w:t>.</w:t>
      </w:r>
    </w:p>
  </w:footnote>
  <w:footnote w:id="12">
    <w:p w:rsidR="006C0808" w:rsidRDefault="00E3601E">
      <w:pPr>
        <w:pStyle w:val="FootnoteText"/>
        <w:rPr>
          <w:sz w:val="18"/>
          <w:szCs w:val="18"/>
          <w:lang w:val="sv-SE"/>
        </w:rPr>
      </w:pPr>
      <w:r>
        <w:rPr>
          <w:rStyle w:val="FootnoteReference"/>
        </w:rPr>
        <w:footnoteRef/>
      </w:r>
      <w:r>
        <w:rPr>
          <w:lang w:val="sv-SE"/>
        </w:rPr>
        <w:tab/>
      </w:r>
      <w:hyperlink r:id="rId4">
        <w:r>
          <w:rPr>
            <w:sz w:val="18"/>
            <w:lang w:val="sv-SE"/>
          </w:rPr>
          <w:t>http://ec.europa.eu/smart-regulation/impact/ia_carried_out/cia_2016_en.htm</w:t>
        </w:r>
      </w:hyperlink>
    </w:p>
    <w:p w:rsidR="006C0808" w:rsidRDefault="006C0808">
      <w:pPr>
        <w:pStyle w:val="FootnoteText"/>
        <w:rPr>
          <w:lang w:val="sv-SE"/>
        </w:rPr>
      </w:pPr>
    </w:p>
  </w:footnote>
  <w:footnote w:id="13">
    <w:p w:rsidR="006C0808" w:rsidRDefault="00E3601E">
      <w:pPr>
        <w:pStyle w:val="FootnoteText"/>
        <w:rPr>
          <w:sz w:val="18"/>
          <w:szCs w:val="18"/>
          <w:lang w:val="sv-SE"/>
        </w:rPr>
      </w:pPr>
      <w:r>
        <w:rPr>
          <w:rStyle w:val="FootnoteReference"/>
        </w:rPr>
        <w:footnoteRef/>
      </w:r>
      <w:r>
        <w:rPr>
          <w:lang w:val="sv-SE"/>
        </w:rPr>
        <w:tab/>
      </w:r>
      <w:proofErr w:type="spellStart"/>
      <w:r>
        <w:rPr>
          <w:sz w:val="18"/>
          <w:lang w:val="sv-SE"/>
        </w:rPr>
        <w:t>Analizirana</w:t>
      </w:r>
      <w:proofErr w:type="spellEnd"/>
      <w:r>
        <w:rPr>
          <w:sz w:val="18"/>
          <w:lang w:val="sv-SE"/>
        </w:rPr>
        <w:t xml:space="preserve"> je </w:t>
      </w:r>
      <w:proofErr w:type="spellStart"/>
      <w:r>
        <w:rPr>
          <w:sz w:val="18"/>
          <w:lang w:val="sv-SE"/>
        </w:rPr>
        <w:t>mogućnost</w:t>
      </w:r>
      <w:proofErr w:type="spellEnd"/>
      <w:r>
        <w:rPr>
          <w:sz w:val="18"/>
          <w:lang w:val="sv-SE"/>
        </w:rPr>
        <w:t xml:space="preserve"> </w:t>
      </w:r>
      <w:proofErr w:type="spellStart"/>
      <w:r>
        <w:rPr>
          <w:sz w:val="18"/>
          <w:lang w:val="sv-SE"/>
        </w:rPr>
        <w:t>istraživanja</w:t>
      </w:r>
      <w:proofErr w:type="spellEnd"/>
      <w:r>
        <w:rPr>
          <w:sz w:val="18"/>
          <w:lang w:val="sv-SE"/>
        </w:rPr>
        <w:t xml:space="preserve"> </w:t>
      </w:r>
      <w:proofErr w:type="spellStart"/>
      <w:r>
        <w:rPr>
          <w:sz w:val="18"/>
          <w:lang w:val="sv-SE"/>
        </w:rPr>
        <w:t>povećanja</w:t>
      </w:r>
      <w:proofErr w:type="spellEnd"/>
      <w:r>
        <w:rPr>
          <w:sz w:val="18"/>
          <w:lang w:val="sv-SE"/>
        </w:rPr>
        <w:t xml:space="preserve"> </w:t>
      </w:r>
      <w:proofErr w:type="spellStart"/>
      <w:r>
        <w:rPr>
          <w:sz w:val="18"/>
          <w:lang w:val="sv-SE"/>
        </w:rPr>
        <w:t>učinkovitosti</w:t>
      </w:r>
      <w:proofErr w:type="spellEnd"/>
      <w:r>
        <w:rPr>
          <w:sz w:val="18"/>
          <w:lang w:val="sv-SE"/>
        </w:rPr>
        <w:t xml:space="preserve"> i </w:t>
      </w:r>
      <w:proofErr w:type="spellStart"/>
      <w:r>
        <w:rPr>
          <w:sz w:val="18"/>
          <w:lang w:val="sv-SE"/>
        </w:rPr>
        <w:t>sinergija</w:t>
      </w:r>
      <w:proofErr w:type="spellEnd"/>
      <w:r>
        <w:rPr>
          <w:sz w:val="18"/>
          <w:lang w:val="sv-SE"/>
        </w:rPr>
        <w:t xml:space="preserve"> s </w:t>
      </w:r>
      <w:proofErr w:type="spellStart"/>
      <w:r>
        <w:rPr>
          <w:sz w:val="18"/>
          <w:lang w:val="sv-SE"/>
        </w:rPr>
        <w:t>drugim</w:t>
      </w:r>
      <w:proofErr w:type="spellEnd"/>
      <w:r>
        <w:rPr>
          <w:sz w:val="18"/>
          <w:lang w:val="sv-SE"/>
        </w:rPr>
        <w:t xml:space="preserve"> </w:t>
      </w:r>
      <w:proofErr w:type="spellStart"/>
      <w:r>
        <w:rPr>
          <w:sz w:val="18"/>
          <w:lang w:val="sv-SE"/>
        </w:rPr>
        <w:t>postojećim</w:t>
      </w:r>
      <w:proofErr w:type="spellEnd"/>
      <w:r>
        <w:rPr>
          <w:sz w:val="18"/>
          <w:lang w:val="sv-SE"/>
        </w:rPr>
        <w:t xml:space="preserve"> </w:t>
      </w:r>
      <w:proofErr w:type="spellStart"/>
      <w:r>
        <w:rPr>
          <w:sz w:val="18"/>
          <w:lang w:val="sv-SE"/>
        </w:rPr>
        <w:t>agencijama</w:t>
      </w:r>
      <w:proofErr w:type="spellEnd"/>
      <w:r>
        <w:rPr>
          <w:sz w:val="18"/>
          <w:lang w:val="sv-SE"/>
        </w:rPr>
        <w:t xml:space="preserve"> </w:t>
      </w:r>
      <w:proofErr w:type="spellStart"/>
      <w:r>
        <w:rPr>
          <w:sz w:val="18"/>
          <w:lang w:val="sv-SE"/>
        </w:rPr>
        <w:t>Unije</w:t>
      </w:r>
      <w:proofErr w:type="spellEnd"/>
      <w:r>
        <w:rPr>
          <w:sz w:val="18"/>
          <w:lang w:val="sv-SE"/>
        </w:rPr>
        <w:t xml:space="preserve">, </w:t>
      </w:r>
      <w:proofErr w:type="spellStart"/>
      <w:r>
        <w:rPr>
          <w:sz w:val="18"/>
          <w:lang w:val="sv-SE"/>
        </w:rPr>
        <w:t>posebno</w:t>
      </w:r>
      <w:proofErr w:type="spellEnd"/>
      <w:r>
        <w:rPr>
          <w:sz w:val="18"/>
          <w:lang w:val="sv-SE"/>
        </w:rPr>
        <w:t xml:space="preserve"> s </w:t>
      </w:r>
      <w:proofErr w:type="spellStart"/>
      <w:r>
        <w:rPr>
          <w:sz w:val="18"/>
          <w:lang w:val="sv-SE"/>
        </w:rPr>
        <w:t>Europskom</w:t>
      </w:r>
      <w:proofErr w:type="spellEnd"/>
      <w:r>
        <w:rPr>
          <w:sz w:val="18"/>
          <w:lang w:val="sv-SE"/>
        </w:rPr>
        <w:t xml:space="preserve"> </w:t>
      </w:r>
      <w:proofErr w:type="spellStart"/>
      <w:r>
        <w:rPr>
          <w:sz w:val="18"/>
          <w:lang w:val="sv-SE"/>
        </w:rPr>
        <w:t>agencijom</w:t>
      </w:r>
      <w:proofErr w:type="spellEnd"/>
      <w:r>
        <w:rPr>
          <w:sz w:val="18"/>
          <w:lang w:val="sv-SE"/>
        </w:rPr>
        <w:t xml:space="preserve"> </w:t>
      </w:r>
      <w:proofErr w:type="spellStart"/>
      <w:r>
        <w:rPr>
          <w:sz w:val="18"/>
          <w:lang w:val="sv-SE"/>
        </w:rPr>
        <w:t>za</w:t>
      </w:r>
      <w:proofErr w:type="spellEnd"/>
      <w:r>
        <w:rPr>
          <w:sz w:val="18"/>
          <w:lang w:val="sv-SE"/>
        </w:rPr>
        <w:t xml:space="preserve"> </w:t>
      </w:r>
      <w:proofErr w:type="spellStart"/>
      <w:r>
        <w:rPr>
          <w:sz w:val="18"/>
          <w:lang w:val="sv-SE"/>
        </w:rPr>
        <w:t>mrežnu</w:t>
      </w:r>
      <w:proofErr w:type="spellEnd"/>
      <w:r>
        <w:rPr>
          <w:sz w:val="18"/>
          <w:lang w:val="sv-SE"/>
        </w:rPr>
        <w:t xml:space="preserve"> i </w:t>
      </w:r>
      <w:proofErr w:type="spellStart"/>
      <w:r>
        <w:rPr>
          <w:sz w:val="18"/>
          <w:lang w:val="sv-SE"/>
        </w:rPr>
        <w:t>informacijsku</w:t>
      </w:r>
      <w:proofErr w:type="spellEnd"/>
      <w:r>
        <w:rPr>
          <w:sz w:val="18"/>
          <w:lang w:val="sv-SE"/>
        </w:rPr>
        <w:t xml:space="preserve"> </w:t>
      </w:r>
      <w:proofErr w:type="spellStart"/>
      <w:r>
        <w:rPr>
          <w:sz w:val="18"/>
          <w:lang w:val="sv-SE"/>
        </w:rPr>
        <w:t>sigurnost</w:t>
      </w:r>
      <w:proofErr w:type="spellEnd"/>
      <w:r>
        <w:rPr>
          <w:sz w:val="18"/>
          <w:lang w:val="sv-SE"/>
        </w:rPr>
        <w:t xml:space="preserve">. </w:t>
      </w:r>
      <w:proofErr w:type="spellStart"/>
      <w:r>
        <w:rPr>
          <w:sz w:val="18"/>
          <w:lang w:val="sv-SE"/>
        </w:rPr>
        <w:t>Međutim</w:t>
      </w:r>
      <w:proofErr w:type="spellEnd"/>
      <w:r>
        <w:rPr>
          <w:sz w:val="18"/>
          <w:lang w:val="sv-SE"/>
        </w:rPr>
        <w:t xml:space="preserve">, </w:t>
      </w:r>
      <w:proofErr w:type="spellStart"/>
      <w:r>
        <w:rPr>
          <w:sz w:val="18"/>
          <w:lang w:val="sv-SE"/>
        </w:rPr>
        <w:t>moguće</w:t>
      </w:r>
      <w:proofErr w:type="spellEnd"/>
      <w:r>
        <w:rPr>
          <w:sz w:val="18"/>
          <w:lang w:val="sv-SE"/>
        </w:rPr>
        <w:t xml:space="preserve"> </w:t>
      </w:r>
      <w:proofErr w:type="spellStart"/>
      <w:r>
        <w:rPr>
          <w:sz w:val="18"/>
          <w:lang w:val="sv-SE"/>
        </w:rPr>
        <w:t>spajanje</w:t>
      </w:r>
      <w:proofErr w:type="spellEnd"/>
      <w:r>
        <w:rPr>
          <w:sz w:val="18"/>
          <w:lang w:val="sv-SE"/>
        </w:rPr>
        <w:t xml:space="preserve"> </w:t>
      </w:r>
      <w:proofErr w:type="spellStart"/>
      <w:r>
        <w:rPr>
          <w:sz w:val="18"/>
          <w:lang w:val="sv-SE"/>
        </w:rPr>
        <w:t>tih</w:t>
      </w:r>
      <w:proofErr w:type="spellEnd"/>
      <w:r>
        <w:rPr>
          <w:sz w:val="18"/>
          <w:lang w:val="sv-SE"/>
        </w:rPr>
        <w:t xml:space="preserve"> </w:t>
      </w:r>
      <w:proofErr w:type="spellStart"/>
      <w:r>
        <w:rPr>
          <w:sz w:val="18"/>
          <w:lang w:val="sv-SE"/>
        </w:rPr>
        <w:t>dviju</w:t>
      </w:r>
      <w:proofErr w:type="spellEnd"/>
      <w:r>
        <w:rPr>
          <w:sz w:val="18"/>
          <w:lang w:val="sv-SE"/>
        </w:rPr>
        <w:t xml:space="preserve"> </w:t>
      </w:r>
      <w:proofErr w:type="spellStart"/>
      <w:r>
        <w:rPr>
          <w:sz w:val="18"/>
          <w:lang w:val="sv-SE"/>
        </w:rPr>
        <w:t>agencija</w:t>
      </w:r>
      <w:proofErr w:type="spellEnd"/>
      <w:r>
        <w:rPr>
          <w:sz w:val="18"/>
          <w:lang w:val="sv-SE"/>
        </w:rPr>
        <w:t xml:space="preserve"> </w:t>
      </w:r>
      <w:proofErr w:type="spellStart"/>
      <w:r>
        <w:rPr>
          <w:sz w:val="18"/>
          <w:lang w:val="sv-SE"/>
        </w:rPr>
        <w:t>odbačeno</w:t>
      </w:r>
      <w:proofErr w:type="spellEnd"/>
      <w:r>
        <w:rPr>
          <w:sz w:val="18"/>
          <w:lang w:val="sv-SE"/>
        </w:rPr>
        <w:t xml:space="preserve"> je </w:t>
      </w:r>
      <w:proofErr w:type="spellStart"/>
      <w:r>
        <w:rPr>
          <w:sz w:val="18"/>
          <w:lang w:val="sv-SE"/>
        </w:rPr>
        <w:t>zbog</w:t>
      </w:r>
      <w:proofErr w:type="spellEnd"/>
      <w:r>
        <w:rPr>
          <w:sz w:val="18"/>
          <w:lang w:val="sv-SE"/>
        </w:rPr>
        <w:t xml:space="preserve"> </w:t>
      </w:r>
      <w:proofErr w:type="spellStart"/>
      <w:r>
        <w:rPr>
          <w:sz w:val="18"/>
          <w:lang w:val="sv-SE"/>
        </w:rPr>
        <w:t>nekoliko</w:t>
      </w:r>
      <w:proofErr w:type="spellEnd"/>
      <w:r>
        <w:rPr>
          <w:sz w:val="18"/>
          <w:lang w:val="sv-SE"/>
        </w:rPr>
        <w:t xml:space="preserve"> </w:t>
      </w:r>
      <w:proofErr w:type="spellStart"/>
      <w:r>
        <w:rPr>
          <w:sz w:val="18"/>
          <w:lang w:val="sv-SE"/>
        </w:rPr>
        <w:t>razloga</w:t>
      </w:r>
      <w:proofErr w:type="spellEnd"/>
      <w:r>
        <w:rPr>
          <w:sz w:val="18"/>
          <w:lang w:val="sv-SE"/>
        </w:rPr>
        <w:t xml:space="preserve"> (</w:t>
      </w:r>
      <w:proofErr w:type="spellStart"/>
      <w:r>
        <w:rPr>
          <w:sz w:val="18"/>
          <w:lang w:val="sv-SE"/>
        </w:rPr>
        <w:t>nepreklapanje</w:t>
      </w:r>
      <w:proofErr w:type="spellEnd"/>
      <w:r>
        <w:rPr>
          <w:sz w:val="18"/>
          <w:lang w:val="sv-SE"/>
        </w:rPr>
        <w:t xml:space="preserve"> </w:t>
      </w:r>
      <w:proofErr w:type="spellStart"/>
      <w:r>
        <w:rPr>
          <w:sz w:val="18"/>
          <w:lang w:val="sv-SE"/>
        </w:rPr>
        <w:t>mandata</w:t>
      </w:r>
      <w:proofErr w:type="spellEnd"/>
      <w:r>
        <w:rPr>
          <w:sz w:val="18"/>
          <w:lang w:val="sv-SE"/>
        </w:rPr>
        <w:t xml:space="preserve">, </w:t>
      </w:r>
      <w:proofErr w:type="spellStart"/>
      <w:r>
        <w:rPr>
          <w:sz w:val="18"/>
          <w:lang w:val="sv-SE"/>
        </w:rPr>
        <w:t>povećanje</w:t>
      </w:r>
      <w:proofErr w:type="spellEnd"/>
      <w:r>
        <w:rPr>
          <w:sz w:val="18"/>
          <w:lang w:val="sv-SE"/>
        </w:rPr>
        <w:t xml:space="preserve"> </w:t>
      </w:r>
      <w:proofErr w:type="spellStart"/>
      <w:r>
        <w:rPr>
          <w:sz w:val="18"/>
          <w:lang w:val="sv-SE"/>
        </w:rPr>
        <w:t>mandata</w:t>
      </w:r>
      <w:proofErr w:type="spellEnd"/>
      <w:r>
        <w:rPr>
          <w:sz w:val="18"/>
          <w:lang w:val="sv-SE"/>
        </w:rPr>
        <w:t xml:space="preserve"> </w:t>
      </w:r>
      <w:proofErr w:type="spellStart"/>
      <w:r>
        <w:rPr>
          <w:sz w:val="18"/>
          <w:lang w:val="sv-SE"/>
        </w:rPr>
        <w:t>od</w:t>
      </w:r>
      <w:proofErr w:type="spellEnd"/>
      <w:r>
        <w:rPr>
          <w:sz w:val="18"/>
          <w:lang w:val="sv-SE"/>
        </w:rPr>
        <w:t> 20</w:t>
      </w:r>
      <w:r>
        <w:rPr>
          <w:sz w:val="18"/>
          <w:lang w:val="sv-SE"/>
        </w:rPr>
        <w:t xml:space="preserve">07. </w:t>
      </w:r>
      <w:proofErr w:type="spellStart"/>
      <w:r>
        <w:rPr>
          <w:sz w:val="18"/>
          <w:lang w:val="sv-SE"/>
        </w:rPr>
        <w:t>različite</w:t>
      </w:r>
      <w:proofErr w:type="spellEnd"/>
      <w:r>
        <w:rPr>
          <w:sz w:val="18"/>
          <w:lang w:val="sv-SE"/>
        </w:rPr>
        <w:t xml:space="preserve"> </w:t>
      </w:r>
      <w:proofErr w:type="spellStart"/>
      <w:r>
        <w:rPr>
          <w:sz w:val="18"/>
          <w:lang w:val="sv-SE"/>
        </w:rPr>
        <w:t>prirode</w:t>
      </w:r>
      <w:proofErr w:type="spellEnd"/>
      <w:r>
        <w:rPr>
          <w:sz w:val="18"/>
          <w:lang w:val="sv-SE"/>
        </w:rPr>
        <w:t xml:space="preserve"> </w:t>
      </w:r>
      <w:proofErr w:type="spellStart"/>
      <w:r>
        <w:rPr>
          <w:sz w:val="18"/>
          <w:lang w:val="sv-SE"/>
        </w:rPr>
        <w:t>zadataka</w:t>
      </w:r>
      <w:proofErr w:type="spellEnd"/>
      <w:r>
        <w:rPr>
          <w:sz w:val="18"/>
          <w:lang w:val="sv-SE"/>
        </w:rPr>
        <w:t xml:space="preserve">, </w:t>
      </w:r>
      <w:proofErr w:type="spellStart"/>
      <w:r>
        <w:rPr>
          <w:sz w:val="18"/>
          <w:lang w:val="sv-SE"/>
        </w:rPr>
        <w:t>različito</w:t>
      </w:r>
      <w:proofErr w:type="spellEnd"/>
      <w:r>
        <w:rPr>
          <w:sz w:val="18"/>
          <w:lang w:val="sv-SE"/>
        </w:rPr>
        <w:t xml:space="preserve"> </w:t>
      </w:r>
      <w:proofErr w:type="spellStart"/>
      <w:r>
        <w:rPr>
          <w:sz w:val="18"/>
          <w:lang w:val="sv-SE"/>
        </w:rPr>
        <w:t>sudjelovanje</w:t>
      </w:r>
      <w:proofErr w:type="spellEnd"/>
      <w:r>
        <w:rPr>
          <w:sz w:val="18"/>
          <w:lang w:val="sv-SE"/>
        </w:rPr>
        <w:t xml:space="preserve"> </w:t>
      </w:r>
      <w:proofErr w:type="spellStart"/>
      <w:r>
        <w:rPr>
          <w:sz w:val="18"/>
          <w:lang w:val="sv-SE"/>
        </w:rPr>
        <w:t>na</w:t>
      </w:r>
      <w:proofErr w:type="spellEnd"/>
      <w:r>
        <w:rPr>
          <w:sz w:val="18"/>
          <w:lang w:val="sv-SE"/>
        </w:rPr>
        <w:t xml:space="preserve"> </w:t>
      </w:r>
      <w:proofErr w:type="spellStart"/>
      <w:r>
        <w:rPr>
          <w:sz w:val="18"/>
          <w:lang w:val="sv-SE"/>
        </w:rPr>
        <w:t>razini</w:t>
      </w:r>
      <w:proofErr w:type="spellEnd"/>
      <w:r>
        <w:rPr>
          <w:sz w:val="18"/>
          <w:lang w:val="sv-SE"/>
        </w:rPr>
        <w:t xml:space="preserve"> </w:t>
      </w:r>
      <w:proofErr w:type="spellStart"/>
      <w:r>
        <w:rPr>
          <w:sz w:val="18"/>
          <w:lang w:val="sv-SE"/>
        </w:rPr>
        <w:t>Odbora</w:t>
      </w:r>
      <w:proofErr w:type="spellEnd"/>
      <w:r>
        <w:rPr>
          <w:sz w:val="18"/>
          <w:lang w:val="sv-SE"/>
        </w:rPr>
        <w:t xml:space="preserve"> </w:t>
      </w:r>
      <w:proofErr w:type="spellStart"/>
      <w:r>
        <w:rPr>
          <w:sz w:val="18"/>
          <w:lang w:val="sv-SE"/>
        </w:rPr>
        <w:t>itd</w:t>
      </w:r>
      <w:proofErr w:type="spellEnd"/>
      <w:r>
        <w:rPr>
          <w:sz w:val="18"/>
          <w:lang w:val="sv-SE"/>
        </w:rPr>
        <w:t>.).</w:t>
      </w:r>
    </w:p>
  </w:footnote>
  <w:footnote w:id="14">
    <w:p w:rsidR="006C0808" w:rsidRDefault="00E3601E">
      <w:pPr>
        <w:pStyle w:val="FootnoteText"/>
        <w:rPr>
          <w:lang w:val="sv-SE"/>
        </w:rPr>
      </w:pPr>
      <w:r>
        <w:rPr>
          <w:rStyle w:val="FootnoteReference"/>
        </w:rPr>
        <w:footnoteRef/>
      </w:r>
      <w:r>
        <w:rPr>
          <w:lang w:val="sv-SE"/>
        </w:rPr>
        <w:tab/>
      </w:r>
      <w:r>
        <w:rPr>
          <w:sz w:val="18"/>
          <w:lang w:val="sv-SE"/>
        </w:rPr>
        <w:t xml:space="preserve">U </w:t>
      </w:r>
      <w:proofErr w:type="spellStart"/>
      <w:r>
        <w:rPr>
          <w:sz w:val="18"/>
          <w:lang w:val="sv-SE"/>
        </w:rPr>
        <w:t>zakonodavnom</w:t>
      </w:r>
      <w:proofErr w:type="spellEnd"/>
      <w:r>
        <w:rPr>
          <w:sz w:val="18"/>
          <w:lang w:val="sv-SE"/>
        </w:rPr>
        <w:t xml:space="preserve"> </w:t>
      </w:r>
      <w:proofErr w:type="spellStart"/>
      <w:r>
        <w:rPr>
          <w:sz w:val="18"/>
          <w:lang w:val="sv-SE"/>
        </w:rPr>
        <w:t>financijskom</w:t>
      </w:r>
      <w:proofErr w:type="spellEnd"/>
      <w:r>
        <w:rPr>
          <w:sz w:val="18"/>
          <w:lang w:val="sv-SE"/>
        </w:rPr>
        <w:t xml:space="preserve"> </w:t>
      </w:r>
      <w:proofErr w:type="spellStart"/>
      <w:r>
        <w:rPr>
          <w:sz w:val="18"/>
          <w:lang w:val="sv-SE"/>
        </w:rPr>
        <w:t>izvještaju</w:t>
      </w:r>
      <w:proofErr w:type="spellEnd"/>
      <w:r>
        <w:rPr>
          <w:sz w:val="18"/>
          <w:lang w:val="sv-SE"/>
        </w:rPr>
        <w:t xml:space="preserve"> </w:t>
      </w:r>
      <w:proofErr w:type="spellStart"/>
      <w:r>
        <w:rPr>
          <w:sz w:val="18"/>
          <w:lang w:val="sv-SE"/>
        </w:rPr>
        <w:t>navedeni</w:t>
      </w:r>
      <w:proofErr w:type="spellEnd"/>
      <w:r>
        <w:rPr>
          <w:sz w:val="18"/>
          <w:lang w:val="sv-SE"/>
        </w:rPr>
        <w:t xml:space="preserve"> </w:t>
      </w:r>
      <w:proofErr w:type="spellStart"/>
      <w:r>
        <w:rPr>
          <w:sz w:val="18"/>
          <w:lang w:val="sv-SE"/>
        </w:rPr>
        <w:t>su</w:t>
      </w:r>
      <w:proofErr w:type="spellEnd"/>
      <w:r>
        <w:rPr>
          <w:sz w:val="18"/>
          <w:lang w:val="sv-SE"/>
        </w:rPr>
        <w:t xml:space="preserve"> </w:t>
      </w:r>
      <w:proofErr w:type="spellStart"/>
      <w:r>
        <w:rPr>
          <w:sz w:val="18"/>
          <w:lang w:val="sv-SE"/>
        </w:rPr>
        <w:t>iznosi</w:t>
      </w:r>
      <w:proofErr w:type="spellEnd"/>
      <w:r>
        <w:rPr>
          <w:sz w:val="18"/>
          <w:lang w:val="sv-SE"/>
        </w:rPr>
        <w:t xml:space="preserve"> u </w:t>
      </w:r>
      <w:proofErr w:type="spellStart"/>
      <w:r>
        <w:rPr>
          <w:sz w:val="18"/>
          <w:lang w:val="sv-SE"/>
        </w:rPr>
        <w:t>skladu</w:t>
      </w:r>
      <w:proofErr w:type="spellEnd"/>
      <w:r>
        <w:rPr>
          <w:sz w:val="18"/>
          <w:lang w:val="sv-SE"/>
        </w:rPr>
        <w:t xml:space="preserve"> s </w:t>
      </w:r>
      <w:proofErr w:type="spellStart"/>
      <w:r>
        <w:rPr>
          <w:sz w:val="18"/>
          <w:lang w:val="sv-SE"/>
        </w:rPr>
        <w:t>aktualnim</w:t>
      </w:r>
      <w:proofErr w:type="spellEnd"/>
      <w:r>
        <w:rPr>
          <w:sz w:val="18"/>
          <w:lang w:val="sv-SE"/>
        </w:rPr>
        <w:t xml:space="preserve"> </w:t>
      </w:r>
      <w:proofErr w:type="spellStart"/>
      <w:r>
        <w:rPr>
          <w:sz w:val="18"/>
          <w:lang w:val="sv-SE"/>
        </w:rPr>
        <w:t>višegodišnjim</w:t>
      </w:r>
      <w:proofErr w:type="spellEnd"/>
      <w:r>
        <w:rPr>
          <w:sz w:val="18"/>
          <w:lang w:val="sv-SE"/>
        </w:rPr>
        <w:t xml:space="preserve"> </w:t>
      </w:r>
      <w:proofErr w:type="spellStart"/>
      <w:r>
        <w:rPr>
          <w:sz w:val="18"/>
          <w:lang w:val="sv-SE"/>
        </w:rPr>
        <w:t>financijskim</w:t>
      </w:r>
      <w:proofErr w:type="spellEnd"/>
      <w:r>
        <w:rPr>
          <w:sz w:val="18"/>
          <w:lang w:val="sv-SE"/>
        </w:rPr>
        <w:t xml:space="preserve"> </w:t>
      </w:r>
      <w:proofErr w:type="spellStart"/>
      <w:r>
        <w:rPr>
          <w:sz w:val="18"/>
          <w:lang w:val="sv-SE"/>
        </w:rPr>
        <w:t>okvirom</w:t>
      </w:r>
      <w:proofErr w:type="spellEnd"/>
      <w:r>
        <w:rPr>
          <w:sz w:val="18"/>
          <w:lang w:val="sv-SE"/>
        </w:rPr>
        <w:t xml:space="preserve"> </w:t>
      </w:r>
      <w:proofErr w:type="spellStart"/>
      <w:r>
        <w:rPr>
          <w:sz w:val="18"/>
          <w:lang w:val="sv-SE"/>
        </w:rPr>
        <w:t>koji</w:t>
      </w:r>
      <w:proofErr w:type="spellEnd"/>
      <w:r>
        <w:rPr>
          <w:sz w:val="18"/>
          <w:lang w:val="sv-SE"/>
        </w:rPr>
        <w:t xml:space="preserve"> </w:t>
      </w:r>
      <w:proofErr w:type="spellStart"/>
      <w:r>
        <w:rPr>
          <w:sz w:val="18"/>
          <w:lang w:val="sv-SE"/>
        </w:rPr>
        <w:t>završava</w:t>
      </w:r>
      <w:proofErr w:type="spellEnd"/>
      <w:r>
        <w:rPr>
          <w:sz w:val="18"/>
          <w:lang w:val="sv-SE"/>
        </w:rPr>
        <w:t xml:space="preserve"> 2020. </w:t>
      </w:r>
      <w:proofErr w:type="spellStart"/>
      <w:r>
        <w:rPr>
          <w:sz w:val="18"/>
          <w:lang w:val="sv-SE"/>
        </w:rPr>
        <w:t>Dodatne</w:t>
      </w:r>
      <w:proofErr w:type="spellEnd"/>
      <w:r>
        <w:rPr>
          <w:sz w:val="18"/>
          <w:lang w:val="sv-SE"/>
        </w:rPr>
        <w:t xml:space="preserve"> </w:t>
      </w:r>
      <w:proofErr w:type="spellStart"/>
      <w:r>
        <w:rPr>
          <w:sz w:val="18"/>
          <w:lang w:val="sv-SE"/>
        </w:rPr>
        <w:t>potrebe</w:t>
      </w:r>
      <w:proofErr w:type="spellEnd"/>
      <w:r>
        <w:rPr>
          <w:sz w:val="18"/>
          <w:lang w:val="sv-SE"/>
        </w:rPr>
        <w:t xml:space="preserve"> BEREC-a u </w:t>
      </w:r>
      <w:proofErr w:type="spellStart"/>
      <w:r>
        <w:rPr>
          <w:sz w:val="18"/>
          <w:lang w:val="sv-SE"/>
        </w:rPr>
        <w:t>pogledu</w:t>
      </w:r>
      <w:proofErr w:type="spellEnd"/>
      <w:r>
        <w:rPr>
          <w:sz w:val="18"/>
          <w:lang w:val="sv-SE"/>
        </w:rPr>
        <w:t xml:space="preserve"> </w:t>
      </w:r>
      <w:proofErr w:type="spellStart"/>
      <w:r>
        <w:rPr>
          <w:sz w:val="18"/>
          <w:lang w:val="sv-SE"/>
        </w:rPr>
        <w:t>osoblja</w:t>
      </w:r>
      <w:proofErr w:type="spellEnd"/>
      <w:r>
        <w:rPr>
          <w:sz w:val="18"/>
          <w:lang w:val="sv-SE"/>
        </w:rPr>
        <w:t xml:space="preserve"> </w:t>
      </w:r>
      <w:proofErr w:type="spellStart"/>
      <w:r>
        <w:rPr>
          <w:sz w:val="18"/>
          <w:lang w:val="sv-SE"/>
        </w:rPr>
        <w:t>ocijenit</w:t>
      </w:r>
      <w:proofErr w:type="spellEnd"/>
      <w:r>
        <w:rPr>
          <w:sz w:val="18"/>
          <w:lang w:val="sv-SE"/>
        </w:rPr>
        <w:t xml:space="preserve"> </w:t>
      </w:r>
      <w:proofErr w:type="spellStart"/>
      <w:r>
        <w:rPr>
          <w:sz w:val="18"/>
          <w:lang w:val="sv-SE"/>
        </w:rPr>
        <w:t>će</w:t>
      </w:r>
      <w:proofErr w:type="spellEnd"/>
      <w:r>
        <w:rPr>
          <w:sz w:val="18"/>
          <w:lang w:val="sv-SE"/>
        </w:rPr>
        <w:t xml:space="preserve"> se u </w:t>
      </w:r>
      <w:proofErr w:type="spellStart"/>
      <w:r>
        <w:rPr>
          <w:sz w:val="18"/>
          <w:lang w:val="sv-SE"/>
        </w:rPr>
        <w:t>okviru</w:t>
      </w:r>
      <w:proofErr w:type="spellEnd"/>
      <w:r>
        <w:rPr>
          <w:sz w:val="18"/>
          <w:lang w:val="sv-SE"/>
        </w:rPr>
        <w:t xml:space="preserve"> </w:t>
      </w:r>
      <w:proofErr w:type="spellStart"/>
      <w:r>
        <w:rPr>
          <w:sz w:val="18"/>
          <w:lang w:val="sv-SE"/>
        </w:rPr>
        <w:t>prijedlogâ</w:t>
      </w:r>
      <w:proofErr w:type="spellEnd"/>
      <w:r>
        <w:rPr>
          <w:sz w:val="18"/>
          <w:lang w:val="sv-SE"/>
        </w:rPr>
        <w:t xml:space="preserve"> </w:t>
      </w:r>
      <w:proofErr w:type="spellStart"/>
      <w:r>
        <w:rPr>
          <w:sz w:val="18"/>
          <w:lang w:val="sv-SE"/>
        </w:rPr>
        <w:t>Komisije</w:t>
      </w:r>
      <w:proofErr w:type="spellEnd"/>
      <w:r>
        <w:rPr>
          <w:sz w:val="18"/>
          <w:lang w:val="sv-SE"/>
        </w:rPr>
        <w:t xml:space="preserve"> </w:t>
      </w:r>
      <w:proofErr w:type="spellStart"/>
      <w:r>
        <w:rPr>
          <w:sz w:val="18"/>
          <w:lang w:val="sv-SE"/>
        </w:rPr>
        <w:t>za</w:t>
      </w:r>
      <w:proofErr w:type="spellEnd"/>
      <w:r>
        <w:rPr>
          <w:sz w:val="18"/>
          <w:lang w:val="sv-SE"/>
        </w:rPr>
        <w:t xml:space="preserve"> </w:t>
      </w:r>
      <w:proofErr w:type="spellStart"/>
      <w:r>
        <w:rPr>
          <w:sz w:val="18"/>
          <w:lang w:val="sv-SE"/>
        </w:rPr>
        <w:t>razdoblje</w:t>
      </w:r>
      <w:proofErr w:type="spellEnd"/>
      <w:r>
        <w:rPr>
          <w:sz w:val="18"/>
          <w:lang w:val="sv-SE"/>
        </w:rPr>
        <w:t xml:space="preserve"> </w:t>
      </w:r>
      <w:proofErr w:type="spellStart"/>
      <w:r>
        <w:rPr>
          <w:sz w:val="18"/>
          <w:lang w:val="sv-SE"/>
        </w:rPr>
        <w:t>nakon</w:t>
      </w:r>
      <w:proofErr w:type="spellEnd"/>
      <w:r>
        <w:rPr>
          <w:sz w:val="18"/>
          <w:lang w:val="sv-SE"/>
        </w:rPr>
        <w:t xml:space="preserve"> 2020. </w:t>
      </w:r>
    </w:p>
  </w:footnote>
  <w:footnote w:id="15">
    <w:p w:rsidR="006C0808" w:rsidRDefault="00E3601E">
      <w:pPr>
        <w:pStyle w:val="FootnoteText"/>
        <w:rPr>
          <w:sz w:val="18"/>
          <w:lang w:val="sv-SE"/>
        </w:rPr>
      </w:pPr>
      <w:r>
        <w:rPr>
          <w:rStyle w:val="FootnoteReference"/>
        </w:rPr>
        <w:footnoteRef/>
      </w:r>
      <w:r>
        <w:rPr>
          <w:lang w:val="sv-SE"/>
        </w:rPr>
        <w:tab/>
      </w:r>
      <w:proofErr w:type="spellStart"/>
      <w:r>
        <w:rPr>
          <w:sz w:val="18"/>
          <w:lang w:val="sv-SE"/>
        </w:rPr>
        <w:t>Mogućnost</w:t>
      </w:r>
      <w:proofErr w:type="spellEnd"/>
      <w:r>
        <w:rPr>
          <w:sz w:val="18"/>
          <w:lang w:val="sv-SE"/>
        </w:rPr>
        <w:t xml:space="preserve"> (</w:t>
      </w:r>
      <w:proofErr w:type="spellStart"/>
      <w:r>
        <w:rPr>
          <w:sz w:val="18"/>
          <w:lang w:val="sv-SE"/>
        </w:rPr>
        <w:t>potpunog</w:t>
      </w:r>
      <w:proofErr w:type="spellEnd"/>
      <w:r>
        <w:rPr>
          <w:sz w:val="18"/>
          <w:lang w:val="sv-SE"/>
        </w:rPr>
        <w:t xml:space="preserve"> </w:t>
      </w:r>
      <w:proofErr w:type="spellStart"/>
      <w:r>
        <w:rPr>
          <w:sz w:val="18"/>
          <w:lang w:val="sv-SE"/>
        </w:rPr>
        <w:t>ili</w:t>
      </w:r>
      <w:proofErr w:type="spellEnd"/>
      <w:r>
        <w:rPr>
          <w:sz w:val="18"/>
          <w:lang w:val="sv-SE"/>
        </w:rPr>
        <w:t xml:space="preserve"> </w:t>
      </w:r>
      <w:proofErr w:type="spellStart"/>
      <w:r>
        <w:rPr>
          <w:sz w:val="18"/>
          <w:lang w:val="sv-SE"/>
        </w:rPr>
        <w:t>djelomičnog</w:t>
      </w:r>
      <w:proofErr w:type="spellEnd"/>
      <w:r>
        <w:rPr>
          <w:sz w:val="18"/>
          <w:lang w:val="sv-SE"/>
        </w:rPr>
        <w:t xml:space="preserve">) </w:t>
      </w:r>
      <w:proofErr w:type="spellStart"/>
      <w:r>
        <w:rPr>
          <w:sz w:val="18"/>
          <w:lang w:val="sv-SE"/>
        </w:rPr>
        <w:t>financiranja</w:t>
      </w:r>
      <w:proofErr w:type="spellEnd"/>
      <w:r>
        <w:rPr>
          <w:sz w:val="18"/>
          <w:lang w:val="sv-SE"/>
        </w:rPr>
        <w:t xml:space="preserve"> BEREC-a </w:t>
      </w:r>
      <w:proofErr w:type="spellStart"/>
      <w:r>
        <w:rPr>
          <w:sz w:val="18"/>
          <w:lang w:val="sv-SE"/>
        </w:rPr>
        <w:t>naknadama</w:t>
      </w:r>
      <w:proofErr w:type="spellEnd"/>
      <w:r>
        <w:rPr>
          <w:sz w:val="18"/>
          <w:lang w:val="sv-SE"/>
        </w:rPr>
        <w:t xml:space="preserve"> </w:t>
      </w:r>
      <w:proofErr w:type="spellStart"/>
      <w:r>
        <w:rPr>
          <w:sz w:val="18"/>
          <w:lang w:val="sv-SE"/>
        </w:rPr>
        <w:t>odbačena</w:t>
      </w:r>
      <w:proofErr w:type="spellEnd"/>
      <w:r>
        <w:rPr>
          <w:sz w:val="18"/>
          <w:lang w:val="sv-SE"/>
        </w:rPr>
        <w:t xml:space="preserve"> je </w:t>
      </w:r>
      <w:proofErr w:type="spellStart"/>
      <w:r>
        <w:rPr>
          <w:sz w:val="18"/>
          <w:lang w:val="sv-SE"/>
        </w:rPr>
        <w:t>zbog</w:t>
      </w:r>
      <w:proofErr w:type="spellEnd"/>
      <w:r>
        <w:rPr>
          <w:sz w:val="18"/>
          <w:lang w:val="sv-SE"/>
        </w:rPr>
        <w:t xml:space="preserve"> </w:t>
      </w:r>
      <w:proofErr w:type="spellStart"/>
      <w:r>
        <w:rPr>
          <w:sz w:val="18"/>
          <w:lang w:val="sv-SE"/>
        </w:rPr>
        <w:t>prirode</w:t>
      </w:r>
      <w:proofErr w:type="spellEnd"/>
      <w:r>
        <w:rPr>
          <w:sz w:val="18"/>
          <w:lang w:val="sv-SE"/>
        </w:rPr>
        <w:t xml:space="preserve"> </w:t>
      </w:r>
      <w:proofErr w:type="spellStart"/>
      <w:r>
        <w:rPr>
          <w:sz w:val="18"/>
          <w:lang w:val="sv-SE"/>
        </w:rPr>
        <w:t>zadaća</w:t>
      </w:r>
      <w:proofErr w:type="spellEnd"/>
      <w:r>
        <w:rPr>
          <w:sz w:val="18"/>
          <w:lang w:val="sv-SE"/>
        </w:rPr>
        <w:t xml:space="preserve"> </w:t>
      </w:r>
      <w:proofErr w:type="spellStart"/>
      <w:r>
        <w:rPr>
          <w:sz w:val="18"/>
          <w:lang w:val="sv-SE"/>
        </w:rPr>
        <w:t>agencije</w:t>
      </w:r>
      <w:proofErr w:type="spellEnd"/>
      <w:r>
        <w:rPr>
          <w:sz w:val="18"/>
          <w:lang w:val="sv-SE"/>
        </w:rPr>
        <w:t xml:space="preserve">, </w:t>
      </w:r>
      <w:proofErr w:type="spellStart"/>
      <w:r>
        <w:rPr>
          <w:sz w:val="18"/>
          <w:lang w:val="sv-SE"/>
        </w:rPr>
        <w:t>koje</w:t>
      </w:r>
      <w:proofErr w:type="spellEnd"/>
      <w:r>
        <w:rPr>
          <w:sz w:val="18"/>
          <w:lang w:val="sv-SE"/>
        </w:rPr>
        <w:t xml:space="preserve"> </w:t>
      </w:r>
      <w:proofErr w:type="spellStart"/>
      <w:r>
        <w:rPr>
          <w:sz w:val="18"/>
          <w:lang w:val="sv-SE"/>
        </w:rPr>
        <w:t>ne</w:t>
      </w:r>
      <w:proofErr w:type="spellEnd"/>
      <w:r>
        <w:rPr>
          <w:sz w:val="18"/>
          <w:lang w:val="sv-SE"/>
        </w:rPr>
        <w:t xml:space="preserve"> </w:t>
      </w:r>
      <w:proofErr w:type="spellStart"/>
      <w:r>
        <w:rPr>
          <w:sz w:val="18"/>
          <w:lang w:val="sv-SE"/>
        </w:rPr>
        <w:t>uključuju</w:t>
      </w:r>
      <w:proofErr w:type="spellEnd"/>
      <w:r>
        <w:rPr>
          <w:sz w:val="18"/>
          <w:lang w:val="sv-SE"/>
        </w:rPr>
        <w:t xml:space="preserve"> </w:t>
      </w:r>
      <w:proofErr w:type="spellStart"/>
      <w:r>
        <w:rPr>
          <w:sz w:val="18"/>
          <w:lang w:val="sv-SE"/>
        </w:rPr>
        <w:t>izravno</w:t>
      </w:r>
      <w:proofErr w:type="spellEnd"/>
      <w:r>
        <w:rPr>
          <w:sz w:val="18"/>
          <w:lang w:val="sv-SE"/>
        </w:rPr>
        <w:t xml:space="preserve"> </w:t>
      </w:r>
      <w:proofErr w:type="spellStart"/>
      <w:r>
        <w:rPr>
          <w:sz w:val="18"/>
          <w:lang w:val="sv-SE"/>
        </w:rPr>
        <w:t>obraćanje</w:t>
      </w:r>
      <w:proofErr w:type="spellEnd"/>
      <w:r>
        <w:rPr>
          <w:sz w:val="18"/>
          <w:lang w:val="sv-SE"/>
        </w:rPr>
        <w:t xml:space="preserve"> </w:t>
      </w:r>
      <w:proofErr w:type="spellStart"/>
      <w:r>
        <w:rPr>
          <w:sz w:val="18"/>
          <w:lang w:val="sv-SE"/>
        </w:rPr>
        <w:t>sudionicima</w:t>
      </w:r>
      <w:proofErr w:type="spellEnd"/>
      <w:r>
        <w:rPr>
          <w:sz w:val="18"/>
          <w:lang w:val="sv-SE"/>
        </w:rPr>
        <w:t xml:space="preserve"> </w:t>
      </w:r>
      <w:proofErr w:type="spellStart"/>
      <w:r>
        <w:rPr>
          <w:sz w:val="18"/>
          <w:lang w:val="sv-SE"/>
        </w:rPr>
        <w:t>na</w:t>
      </w:r>
      <w:proofErr w:type="spellEnd"/>
      <w:r>
        <w:rPr>
          <w:sz w:val="18"/>
          <w:lang w:val="sv-SE"/>
        </w:rPr>
        <w:t xml:space="preserve"> </w:t>
      </w:r>
      <w:proofErr w:type="spellStart"/>
      <w:r>
        <w:rPr>
          <w:sz w:val="18"/>
          <w:lang w:val="sv-SE"/>
        </w:rPr>
        <w:t>tržištu</w:t>
      </w:r>
      <w:proofErr w:type="spellEnd"/>
      <w:r>
        <w:rPr>
          <w:sz w:val="18"/>
          <w:lang w:val="sv-SE"/>
        </w:rPr>
        <w:t xml:space="preserve">, </w:t>
      </w:r>
      <w:proofErr w:type="spellStart"/>
      <w:r>
        <w:rPr>
          <w:sz w:val="18"/>
          <w:lang w:val="sv-SE"/>
        </w:rPr>
        <w:t>već</w:t>
      </w:r>
      <w:proofErr w:type="spellEnd"/>
      <w:r>
        <w:rPr>
          <w:sz w:val="18"/>
          <w:lang w:val="sv-SE"/>
        </w:rPr>
        <w:t xml:space="preserve"> se </w:t>
      </w:r>
      <w:proofErr w:type="spellStart"/>
      <w:r>
        <w:rPr>
          <w:sz w:val="18"/>
          <w:lang w:val="sv-SE"/>
        </w:rPr>
        <w:t>uglavn</w:t>
      </w:r>
      <w:r>
        <w:rPr>
          <w:sz w:val="18"/>
          <w:lang w:val="sv-SE"/>
        </w:rPr>
        <w:t>om</w:t>
      </w:r>
      <w:proofErr w:type="spellEnd"/>
      <w:r>
        <w:rPr>
          <w:sz w:val="18"/>
          <w:lang w:val="sv-SE"/>
        </w:rPr>
        <w:t xml:space="preserve"> </w:t>
      </w:r>
      <w:proofErr w:type="spellStart"/>
      <w:r>
        <w:rPr>
          <w:sz w:val="18"/>
          <w:lang w:val="sv-SE"/>
        </w:rPr>
        <w:t>sastoje</w:t>
      </w:r>
      <w:proofErr w:type="spellEnd"/>
      <w:r>
        <w:rPr>
          <w:sz w:val="18"/>
          <w:lang w:val="sv-SE"/>
        </w:rPr>
        <w:t xml:space="preserve"> </w:t>
      </w:r>
      <w:proofErr w:type="spellStart"/>
      <w:r>
        <w:rPr>
          <w:sz w:val="18"/>
          <w:lang w:val="sv-SE"/>
        </w:rPr>
        <w:t>od</w:t>
      </w:r>
      <w:proofErr w:type="spellEnd"/>
      <w:r>
        <w:rPr>
          <w:sz w:val="18"/>
          <w:lang w:val="sv-SE"/>
        </w:rPr>
        <w:t xml:space="preserve"> </w:t>
      </w:r>
      <w:proofErr w:type="spellStart"/>
      <w:r>
        <w:rPr>
          <w:sz w:val="18"/>
          <w:lang w:val="sv-SE"/>
        </w:rPr>
        <w:t>davanja</w:t>
      </w:r>
      <w:proofErr w:type="spellEnd"/>
      <w:r>
        <w:rPr>
          <w:sz w:val="18"/>
          <w:lang w:val="sv-SE"/>
        </w:rPr>
        <w:t xml:space="preserve"> </w:t>
      </w:r>
      <w:proofErr w:type="spellStart"/>
      <w:r>
        <w:rPr>
          <w:sz w:val="18"/>
          <w:lang w:val="sv-SE"/>
        </w:rPr>
        <w:t>savjeta</w:t>
      </w:r>
      <w:proofErr w:type="spellEnd"/>
      <w:r>
        <w:rPr>
          <w:sz w:val="18"/>
          <w:lang w:val="sv-SE"/>
        </w:rPr>
        <w:t xml:space="preserve"> </w:t>
      </w:r>
      <w:proofErr w:type="spellStart"/>
      <w:r>
        <w:rPr>
          <w:sz w:val="18"/>
          <w:lang w:val="sv-SE"/>
        </w:rPr>
        <w:t>nacionalnim</w:t>
      </w:r>
      <w:proofErr w:type="spellEnd"/>
      <w:r>
        <w:rPr>
          <w:sz w:val="18"/>
          <w:lang w:val="sv-SE"/>
        </w:rPr>
        <w:t xml:space="preserve"> </w:t>
      </w:r>
      <w:proofErr w:type="spellStart"/>
      <w:r>
        <w:rPr>
          <w:sz w:val="18"/>
          <w:lang w:val="sv-SE"/>
        </w:rPr>
        <w:t>regulatornim</w:t>
      </w:r>
      <w:proofErr w:type="spellEnd"/>
      <w:r>
        <w:rPr>
          <w:sz w:val="18"/>
          <w:lang w:val="sv-SE"/>
        </w:rPr>
        <w:t xml:space="preserve"> </w:t>
      </w:r>
      <w:proofErr w:type="spellStart"/>
      <w:r>
        <w:rPr>
          <w:sz w:val="18"/>
          <w:lang w:val="sv-SE"/>
        </w:rPr>
        <w:t>tijelima</w:t>
      </w:r>
      <w:proofErr w:type="spellEnd"/>
      <w:r>
        <w:rPr>
          <w:sz w:val="18"/>
          <w:lang w:val="sv-SE"/>
        </w:rPr>
        <w:t xml:space="preserve"> i </w:t>
      </w:r>
      <w:proofErr w:type="spellStart"/>
      <w:r>
        <w:rPr>
          <w:sz w:val="18"/>
          <w:lang w:val="sv-SE"/>
        </w:rPr>
        <w:t>institucijama</w:t>
      </w:r>
      <w:proofErr w:type="spellEnd"/>
      <w:r>
        <w:rPr>
          <w:sz w:val="18"/>
          <w:lang w:val="sv-SE"/>
        </w:rPr>
        <w:t xml:space="preserve"> EU-a u </w:t>
      </w:r>
      <w:proofErr w:type="spellStart"/>
      <w:r>
        <w:rPr>
          <w:sz w:val="18"/>
          <w:lang w:val="sv-SE"/>
        </w:rPr>
        <w:t>cilju</w:t>
      </w:r>
      <w:proofErr w:type="spellEnd"/>
      <w:r>
        <w:rPr>
          <w:sz w:val="18"/>
          <w:lang w:val="sv-SE"/>
        </w:rPr>
        <w:t xml:space="preserve"> </w:t>
      </w:r>
      <w:proofErr w:type="spellStart"/>
      <w:r>
        <w:rPr>
          <w:sz w:val="18"/>
          <w:lang w:val="sv-SE"/>
        </w:rPr>
        <w:t>osiguravanja</w:t>
      </w:r>
      <w:proofErr w:type="spellEnd"/>
      <w:r>
        <w:rPr>
          <w:sz w:val="18"/>
          <w:lang w:val="sv-SE"/>
        </w:rPr>
        <w:t xml:space="preserve"> </w:t>
      </w:r>
      <w:proofErr w:type="spellStart"/>
      <w:r>
        <w:rPr>
          <w:sz w:val="18"/>
          <w:lang w:val="sv-SE"/>
        </w:rPr>
        <w:t>veće</w:t>
      </w:r>
      <w:proofErr w:type="spellEnd"/>
      <w:r>
        <w:rPr>
          <w:sz w:val="18"/>
          <w:lang w:val="sv-SE"/>
        </w:rPr>
        <w:t xml:space="preserve"> </w:t>
      </w:r>
      <w:proofErr w:type="spellStart"/>
      <w:r>
        <w:rPr>
          <w:sz w:val="18"/>
          <w:lang w:val="sv-SE"/>
        </w:rPr>
        <w:t>usklađenosti</w:t>
      </w:r>
      <w:proofErr w:type="spellEnd"/>
      <w:r>
        <w:rPr>
          <w:sz w:val="18"/>
          <w:lang w:val="sv-SE"/>
        </w:rPr>
        <w:t xml:space="preserve"> </w:t>
      </w:r>
      <w:proofErr w:type="spellStart"/>
      <w:r>
        <w:rPr>
          <w:sz w:val="18"/>
          <w:lang w:val="sv-SE"/>
        </w:rPr>
        <w:t>telekomunikacijskih</w:t>
      </w:r>
      <w:proofErr w:type="spellEnd"/>
      <w:r>
        <w:rPr>
          <w:sz w:val="18"/>
          <w:lang w:val="sv-SE"/>
        </w:rPr>
        <w:t xml:space="preserve"> </w:t>
      </w:r>
      <w:proofErr w:type="spellStart"/>
      <w:r>
        <w:rPr>
          <w:sz w:val="18"/>
          <w:lang w:val="sv-SE"/>
        </w:rPr>
        <w:t>propisa</w:t>
      </w:r>
      <w:proofErr w:type="spellEnd"/>
      <w:r>
        <w:rPr>
          <w:sz w:val="18"/>
          <w:lang w:val="sv-SE"/>
        </w:rPr>
        <w:t>.</w:t>
      </w:r>
    </w:p>
  </w:footnote>
  <w:footnote w:id="16">
    <w:p w:rsidR="006C0808" w:rsidRDefault="00E3601E">
      <w:pPr>
        <w:pStyle w:val="FootnoteText"/>
        <w:rPr>
          <w:sz w:val="18"/>
          <w:lang w:val="sv-SE"/>
        </w:rPr>
      </w:pPr>
      <w:r>
        <w:rPr>
          <w:rStyle w:val="FootnoteReference"/>
        </w:rPr>
        <w:footnoteRef/>
      </w:r>
      <w:r>
        <w:rPr>
          <w:lang w:val="sv-SE"/>
        </w:rPr>
        <w:tab/>
      </w:r>
      <w:r>
        <w:rPr>
          <w:sz w:val="18"/>
          <w:lang w:val="sv-SE"/>
        </w:rPr>
        <w:t xml:space="preserve">U </w:t>
      </w:r>
      <w:proofErr w:type="spellStart"/>
      <w:r>
        <w:rPr>
          <w:sz w:val="18"/>
          <w:lang w:val="sv-SE"/>
        </w:rPr>
        <w:t>zakonodavnom</w:t>
      </w:r>
      <w:proofErr w:type="spellEnd"/>
      <w:r>
        <w:rPr>
          <w:sz w:val="18"/>
          <w:lang w:val="sv-SE"/>
        </w:rPr>
        <w:t xml:space="preserve"> </w:t>
      </w:r>
      <w:proofErr w:type="spellStart"/>
      <w:r>
        <w:rPr>
          <w:sz w:val="18"/>
          <w:lang w:val="sv-SE"/>
        </w:rPr>
        <w:t>financijskom</w:t>
      </w:r>
      <w:proofErr w:type="spellEnd"/>
      <w:r>
        <w:rPr>
          <w:sz w:val="18"/>
          <w:lang w:val="sv-SE"/>
        </w:rPr>
        <w:t xml:space="preserve"> </w:t>
      </w:r>
      <w:proofErr w:type="spellStart"/>
      <w:r>
        <w:rPr>
          <w:sz w:val="18"/>
          <w:lang w:val="sv-SE"/>
        </w:rPr>
        <w:t>izvještaju</w:t>
      </w:r>
      <w:proofErr w:type="spellEnd"/>
      <w:r>
        <w:rPr>
          <w:sz w:val="18"/>
          <w:lang w:val="sv-SE"/>
        </w:rPr>
        <w:t xml:space="preserve"> </w:t>
      </w:r>
      <w:proofErr w:type="spellStart"/>
      <w:r>
        <w:rPr>
          <w:sz w:val="18"/>
          <w:lang w:val="sv-SE"/>
        </w:rPr>
        <w:t>navedeni</w:t>
      </w:r>
      <w:proofErr w:type="spellEnd"/>
      <w:r>
        <w:rPr>
          <w:sz w:val="18"/>
          <w:lang w:val="sv-SE"/>
        </w:rPr>
        <w:t xml:space="preserve"> </w:t>
      </w:r>
      <w:proofErr w:type="spellStart"/>
      <w:r>
        <w:rPr>
          <w:sz w:val="18"/>
          <w:lang w:val="sv-SE"/>
        </w:rPr>
        <w:t>su</w:t>
      </w:r>
      <w:proofErr w:type="spellEnd"/>
      <w:r>
        <w:rPr>
          <w:sz w:val="18"/>
          <w:lang w:val="sv-SE"/>
        </w:rPr>
        <w:t xml:space="preserve"> </w:t>
      </w:r>
      <w:proofErr w:type="spellStart"/>
      <w:r>
        <w:rPr>
          <w:sz w:val="18"/>
          <w:lang w:val="sv-SE"/>
        </w:rPr>
        <w:t>iznosi</w:t>
      </w:r>
      <w:proofErr w:type="spellEnd"/>
      <w:r>
        <w:rPr>
          <w:sz w:val="18"/>
          <w:lang w:val="sv-SE"/>
        </w:rPr>
        <w:t xml:space="preserve"> u </w:t>
      </w:r>
      <w:proofErr w:type="spellStart"/>
      <w:r>
        <w:rPr>
          <w:sz w:val="18"/>
          <w:lang w:val="sv-SE"/>
        </w:rPr>
        <w:t>skladu</w:t>
      </w:r>
      <w:proofErr w:type="spellEnd"/>
      <w:r>
        <w:rPr>
          <w:sz w:val="18"/>
          <w:lang w:val="sv-SE"/>
        </w:rPr>
        <w:t xml:space="preserve"> s </w:t>
      </w:r>
      <w:proofErr w:type="spellStart"/>
      <w:r>
        <w:rPr>
          <w:sz w:val="18"/>
          <w:lang w:val="sv-SE"/>
        </w:rPr>
        <w:t>aktualnim</w:t>
      </w:r>
      <w:proofErr w:type="spellEnd"/>
      <w:r>
        <w:rPr>
          <w:sz w:val="18"/>
          <w:lang w:val="sv-SE"/>
        </w:rPr>
        <w:t xml:space="preserve"> </w:t>
      </w:r>
      <w:proofErr w:type="spellStart"/>
      <w:r>
        <w:rPr>
          <w:sz w:val="18"/>
          <w:lang w:val="sv-SE"/>
        </w:rPr>
        <w:t>višegodišnjim</w:t>
      </w:r>
      <w:proofErr w:type="spellEnd"/>
      <w:r>
        <w:rPr>
          <w:sz w:val="18"/>
          <w:lang w:val="sv-SE"/>
        </w:rPr>
        <w:t xml:space="preserve"> </w:t>
      </w:r>
      <w:proofErr w:type="spellStart"/>
      <w:r>
        <w:rPr>
          <w:sz w:val="18"/>
          <w:lang w:val="sv-SE"/>
        </w:rPr>
        <w:t>financij</w:t>
      </w:r>
      <w:r>
        <w:rPr>
          <w:sz w:val="18"/>
          <w:lang w:val="sv-SE"/>
        </w:rPr>
        <w:t>skim</w:t>
      </w:r>
      <w:proofErr w:type="spellEnd"/>
      <w:r>
        <w:rPr>
          <w:sz w:val="18"/>
          <w:lang w:val="sv-SE"/>
        </w:rPr>
        <w:t xml:space="preserve"> </w:t>
      </w:r>
      <w:proofErr w:type="spellStart"/>
      <w:r>
        <w:rPr>
          <w:sz w:val="18"/>
          <w:lang w:val="sv-SE"/>
        </w:rPr>
        <w:t>okvirom</w:t>
      </w:r>
      <w:proofErr w:type="spellEnd"/>
      <w:r>
        <w:rPr>
          <w:sz w:val="18"/>
          <w:lang w:val="sv-SE"/>
        </w:rPr>
        <w:t xml:space="preserve"> </w:t>
      </w:r>
      <w:proofErr w:type="spellStart"/>
      <w:r>
        <w:rPr>
          <w:sz w:val="18"/>
          <w:lang w:val="sv-SE"/>
        </w:rPr>
        <w:t>koji</w:t>
      </w:r>
      <w:proofErr w:type="spellEnd"/>
      <w:r>
        <w:rPr>
          <w:sz w:val="18"/>
          <w:lang w:val="sv-SE"/>
        </w:rPr>
        <w:t xml:space="preserve"> </w:t>
      </w:r>
      <w:proofErr w:type="spellStart"/>
      <w:r>
        <w:rPr>
          <w:sz w:val="18"/>
          <w:lang w:val="sv-SE"/>
        </w:rPr>
        <w:t>završava</w:t>
      </w:r>
      <w:proofErr w:type="spellEnd"/>
      <w:r>
        <w:rPr>
          <w:sz w:val="18"/>
          <w:lang w:val="sv-SE"/>
        </w:rPr>
        <w:t xml:space="preserve"> 2020. </w:t>
      </w:r>
      <w:proofErr w:type="spellStart"/>
      <w:r>
        <w:rPr>
          <w:sz w:val="18"/>
          <w:lang w:val="sv-SE"/>
        </w:rPr>
        <w:t>Predviđeno</w:t>
      </w:r>
      <w:proofErr w:type="spellEnd"/>
      <w:r>
        <w:rPr>
          <w:sz w:val="18"/>
          <w:lang w:val="sv-SE"/>
        </w:rPr>
        <w:t xml:space="preserve"> je da </w:t>
      </w:r>
      <w:proofErr w:type="spellStart"/>
      <w:r>
        <w:rPr>
          <w:sz w:val="18"/>
          <w:lang w:val="sv-SE"/>
        </w:rPr>
        <w:t>faza</w:t>
      </w:r>
      <w:proofErr w:type="spellEnd"/>
      <w:r>
        <w:rPr>
          <w:sz w:val="18"/>
          <w:lang w:val="sv-SE"/>
        </w:rPr>
        <w:t xml:space="preserve"> </w:t>
      </w:r>
      <w:proofErr w:type="spellStart"/>
      <w:r>
        <w:rPr>
          <w:sz w:val="18"/>
          <w:lang w:val="sv-SE"/>
        </w:rPr>
        <w:t>provedbe</w:t>
      </w:r>
      <w:proofErr w:type="spellEnd"/>
      <w:r>
        <w:rPr>
          <w:sz w:val="18"/>
          <w:lang w:val="sv-SE"/>
        </w:rPr>
        <w:t xml:space="preserve"> </w:t>
      </w:r>
      <w:proofErr w:type="spellStart"/>
      <w:r>
        <w:rPr>
          <w:sz w:val="18"/>
          <w:lang w:val="sv-SE"/>
        </w:rPr>
        <w:t>za</w:t>
      </w:r>
      <w:proofErr w:type="spellEnd"/>
      <w:r>
        <w:rPr>
          <w:sz w:val="18"/>
          <w:lang w:val="sv-SE"/>
        </w:rPr>
        <w:t xml:space="preserve"> </w:t>
      </w:r>
      <w:proofErr w:type="spellStart"/>
      <w:r>
        <w:rPr>
          <w:sz w:val="18"/>
          <w:lang w:val="sv-SE"/>
        </w:rPr>
        <w:t>novu</w:t>
      </w:r>
      <w:proofErr w:type="spellEnd"/>
      <w:r>
        <w:rPr>
          <w:sz w:val="18"/>
          <w:lang w:val="sv-SE"/>
        </w:rPr>
        <w:t xml:space="preserve"> </w:t>
      </w:r>
      <w:proofErr w:type="spellStart"/>
      <w:r>
        <w:rPr>
          <w:sz w:val="18"/>
          <w:lang w:val="sv-SE"/>
        </w:rPr>
        <w:t>agenciju</w:t>
      </w:r>
      <w:proofErr w:type="spellEnd"/>
      <w:r>
        <w:rPr>
          <w:sz w:val="18"/>
          <w:lang w:val="sv-SE"/>
        </w:rPr>
        <w:t xml:space="preserve"> </w:t>
      </w:r>
      <w:proofErr w:type="spellStart"/>
      <w:r>
        <w:rPr>
          <w:sz w:val="18"/>
          <w:lang w:val="sv-SE"/>
        </w:rPr>
        <w:t>traje</w:t>
      </w:r>
      <w:proofErr w:type="spellEnd"/>
      <w:r>
        <w:rPr>
          <w:sz w:val="18"/>
          <w:lang w:val="sv-SE"/>
        </w:rPr>
        <w:t xml:space="preserve"> do 2022.</w:t>
      </w:r>
    </w:p>
  </w:footnote>
  <w:footnote w:id="17">
    <w:p w:rsidR="006C0808" w:rsidRDefault="00E3601E">
      <w:pPr>
        <w:pStyle w:val="FootnoteText"/>
        <w:ind w:left="0" w:firstLine="0"/>
        <w:rPr>
          <w:sz w:val="18"/>
          <w:lang w:val="sv-SE"/>
        </w:rPr>
      </w:pPr>
      <w:r>
        <w:rPr>
          <w:rStyle w:val="FootnoteReference"/>
        </w:rPr>
        <w:footnoteRef/>
      </w:r>
      <w:r>
        <w:rPr>
          <w:lang w:val="sv-SE"/>
        </w:rPr>
        <w:tab/>
      </w:r>
      <w:proofErr w:type="spellStart"/>
      <w:r>
        <w:rPr>
          <w:sz w:val="18"/>
          <w:lang w:val="sv-SE"/>
        </w:rPr>
        <w:t>Izvješća</w:t>
      </w:r>
      <w:proofErr w:type="spellEnd"/>
      <w:r>
        <w:rPr>
          <w:sz w:val="18"/>
          <w:lang w:val="sv-SE"/>
        </w:rPr>
        <w:t xml:space="preserve"> </w:t>
      </w:r>
      <w:proofErr w:type="spellStart"/>
      <w:r>
        <w:rPr>
          <w:sz w:val="18"/>
          <w:lang w:val="sv-SE"/>
        </w:rPr>
        <w:t>su</w:t>
      </w:r>
      <w:proofErr w:type="spellEnd"/>
      <w:r>
        <w:rPr>
          <w:sz w:val="18"/>
          <w:lang w:val="sv-SE"/>
        </w:rPr>
        <w:t xml:space="preserve"> </w:t>
      </w:r>
      <w:proofErr w:type="spellStart"/>
      <w:r>
        <w:rPr>
          <w:sz w:val="18"/>
          <w:lang w:val="sv-SE"/>
        </w:rPr>
        <w:t>dostupna</w:t>
      </w:r>
      <w:proofErr w:type="spellEnd"/>
      <w:r>
        <w:rPr>
          <w:sz w:val="18"/>
          <w:lang w:val="sv-SE"/>
        </w:rPr>
        <w:t xml:space="preserve"> </w:t>
      </w:r>
      <w:proofErr w:type="spellStart"/>
      <w:r>
        <w:rPr>
          <w:sz w:val="18"/>
          <w:lang w:val="sv-SE"/>
        </w:rPr>
        <w:t>ovdje</w:t>
      </w:r>
      <w:proofErr w:type="spellEnd"/>
      <w:r>
        <w:rPr>
          <w:sz w:val="18"/>
          <w:lang w:val="sv-SE"/>
        </w:rPr>
        <w:t xml:space="preserve">: </w:t>
      </w:r>
      <w:hyperlink r:id="rId5">
        <w:r>
          <w:rPr>
            <w:rStyle w:val="Hyperlink"/>
            <w:sz w:val="18"/>
            <w:lang w:val="sv-SE"/>
          </w:rPr>
          <w:t>https://ec.europa.eu/digital-single-market/en/digital-scoreboard</w:t>
        </w:r>
      </w:hyperlink>
      <w:r>
        <w:rPr>
          <w:sz w:val="18"/>
          <w:lang w:val="sv-SE"/>
        </w:rPr>
        <w:t>.</w:t>
      </w:r>
    </w:p>
  </w:footnote>
  <w:footnote w:id="18">
    <w:p w:rsidR="006C0808" w:rsidRDefault="00E3601E">
      <w:pPr>
        <w:pStyle w:val="FootnoteText"/>
        <w:ind w:left="0" w:firstLine="0"/>
        <w:rPr>
          <w:sz w:val="18"/>
          <w:lang w:val="sv-SE"/>
        </w:rPr>
      </w:pPr>
      <w:r>
        <w:rPr>
          <w:rStyle w:val="FootnoteReference"/>
        </w:rPr>
        <w:footnoteRef/>
      </w:r>
      <w:r>
        <w:rPr>
          <w:lang w:val="sv-SE"/>
        </w:rPr>
        <w:tab/>
      </w:r>
      <w:proofErr w:type="spellStart"/>
      <w:r>
        <w:rPr>
          <w:sz w:val="18"/>
          <w:lang w:val="sv-SE"/>
        </w:rPr>
        <w:t>Sve</w:t>
      </w:r>
      <w:proofErr w:type="spellEnd"/>
      <w:r>
        <w:rPr>
          <w:sz w:val="18"/>
          <w:lang w:val="sv-SE"/>
        </w:rPr>
        <w:t xml:space="preserve"> </w:t>
      </w:r>
      <w:proofErr w:type="spellStart"/>
      <w:r>
        <w:rPr>
          <w:sz w:val="18"/>
          <w:lang w:val="sv-SE"/>
        </w:rPr>
        <w:t>informacije</w:t>
      </w:r>
      <w:proofErr w:type="spellEnd"/>
      <w:r>
        <w:rPr>
          <w:sz w:val="18"/>
          <w:lang w:val="sv-SE"/>
        </w:rPr>
        <w:t xml:space="preserve"> </w:t>
      </w:r>
      <w:proofErr w:type="spellStart"/>
      <w:r>
        <w:rPr>
          <w:sz w:val="18"/>
          <w:lang w:val="sv-SE"/>
        </w:rPr>
        <w:t>dostupne</w:t>
      </w:r>
      <w:proofErr w:type="spellEnd"/>
      <w:r>
        <w:rPr>
          <w:sz w:val="18"/>
          <w:lang w:val="sv-SE"/>
        </w:rPr>
        <w:t xml:space="preserve"> </w:t>
      </w:r>
      <w:proofErr w:type="spellStart"/>
      <w:r>
        <w:rPr>
          <w:sz w:val="18"/>
          <w:lang w:val="sv-SE"/>
        </w:rPr>
        <w:t>su</w:t>
      </w:r>
      <w:proofErr w:type="spellEnd"/>
      <w:r>
        <w:rPr>
          <w:sz w:val="18"/>
          <w:lang w:val="sv-SE"/>
        </w:rPr>
        <w:t xml:space="preserve"> </w:t>
      </w:r>
      <w:proofErr w:type="spellStart"/>
      <w:r>
        <w:rPr>
          <w:sz w:val="18"/>
          <w:lang w:val="sv-SE"/>
        </w:rPr>
        <w:t>ovdje</w:t>
      </w:r>
      <w:proofErr w:type="spellEnd"/>
      <w:r>
        <w:rPr>
          <w:sz w:val="18"/>
          <w:lang w:val="sv-SE"/>
        </w:rPr>
        <w:t>: https://ec.europa.eu/digital-single-market/en/download-scoreboard-reports.</w:t>
      </w:r>
    </w:p>
  </w:footnote>
  <w:footnote w:id="19">
    <w:p w:rsidR="006C0808" w:rsidRDefault="00E3601E">
      <w:pPr>
        <w:pStyle w:val="FootnoteText"/>
        <w:rPr>
          <w:lang w:val="sv-SE"/>
        </w:rPr>
      </w:pPr>
      <w:r>
        <w:rPr>
          <w:rStyle w:val="FootnoteReference"/>
        </w:rPr>
        <w:footnoteRef/>
      </w:r>
      <w:r>
        <w:rPr>
          <w:lang w:val="sv-SE"/>
        </w:rPr>
        <w:tab/>
        <w:t>SL C [</w:t>
      </w:r>
      <w:r>
        <w:rPr>
          <w:highlight w:val="yellow"/>
          <w:lang w:val="sv-SE"/>
        </w:rPr>
        <w:t>…</w:t>
      </w:r>
      <w:r>
        <w:rPr>
          <w:lang w:val="sv-SE"/>
        </w:rPr>
        <w:t>].</w:t>
      </w:r>
    </w:p>
  </w:footnote>
  <w:footnote w:id="20">
    <w:p w:rsidR="006C0808" w:rsidRDefault="00E3601E">
      <w:pPr>
        <w:pStyle w:val="FootnoteText"/>
        <w:rPr>
          <w:lang w:val="sv-SE"/>
        </w:rPr>
      </w:pPr>
      <w:r>
        <w:rPr>
          <w:rStyle w:val="FootnoteReference"/>
        </w:rPr>
        <w:footnoteRef/>
      </w:r>
      <w:r>
        <w:rPr>
          <w:lang w:val="sv-SE"/>
        </w:rPr>
        <w:tab/>
        <w:t>SL C,[</w:t>
      </w:r>
      <w:r>
        <w:rPr>
          <w:highlight w:val="yellow"/>
          <w:lang w:val="sv-SE"/>
        </w:rPr>
        <w:t>…</w:t>
      </w:r>
      <w:r>
        <w:rPr>
          <w:lang w:val="sv-SE"/>
        </w:rPr>
        <w:t>].</w:t>
      </w:r>
    </w:p>
  </w:footnote>
  <w:footnote w:id="21">
    <w:p w:rsidR="006C0808" w:rsidRDefault="00E3601E">
      <w:pPr>
        <w:pStyle w:val="FootnoteText"/>
        <w:rPr>
          <w:lang w:val="sv-SE"/>
        </w:rPr>
      </w:pPr>
      <w:r>
        <w:rPr>
          <w:rStyle w:val="FootnoteReference"/>
        </w:rPr>
        <w:footnoteRef/>
      </w:r>
      <w:r>
        <w:rPr>
          <w:lang w:val="sv-SE"/>
        </w:rPr>
        <w:tab/>
      </w:r>
      <w:proofErr w:type="spellStart"/>
      <w:r>
        <w:rPr>
          <w:lang w:val="sv-SE"/>
        </w:rPr>
        <w:t>Direktiva</w:t>
      </w:r>
      <w:proofErr w:type="spellEnd"/>
      <w:r>
        <w:rPr>
          <w:lang w:val="sv-SE"/>
        </w:rPr>
        <w:t xml:space="preserve"> [</w:t>
      </w:r>
      <w:r>
        <w:rPr>
          <w:highlight w:val="yellow"/>
          <w:lang w:val="sv-SE"/>
        </w:rPr>
        <w:t>…</w:t>
      </w:r>
      <w:r>
        <w:rPr>
          <w:lang w:val="sv-SE"/>
        </w:rPr>
        <w:t xml:space="preserve">] </w:t>
      </w:r>
      <w:proofErr w:type="spellStart"/>
      <w:r>
        <w:rPr>
          <w:lang w:val="sv-SE"/>
        </w:rPr>
        <w:t>Europskog</w:t>
      </w:r>
      <w:proofErr w:type="spellEnd"/>
      <w:r>
        <w:rPr>
          <w:lang w:val="sv-SE"/>
        </w:rPr>
        <w:t xml:space="preserve"> </w:t>
      </w:r>
      <w:proofErr w:type="spellStart"/>
      <w:r>
        <w:rPr>
          <w:lang w:val="sv-SE"/>
        </w:rPr>
        <w:t>parlamenta</w:t>
      </w:r>
      <w:proofErr w:type="spellEnd"/>
      <w:r>
        <w:rPr>
          <w:lang w:val="sv-SE"/>
        </w:rPr>
        <w:t xml:space="preserve"> i </w:t>
      </w:r>
      <w:proofErr w:type="spellStart"/>
      <w:r>
        <w:rPr>
          <w:lang w:val="sv-SE"/>
        </w:rPr>
        <w:t>Vijeća</w:t>
      </w:r>
      <w:proofErr w:type="spellEnd"/>
      <w:r>
        <w:rPr>
          <w:lang w:val="sv-SE"/>
        </w:rPr>
        <w:t xml:space="preserve"> [</w:t>
      </w:r>
      <w:r>
        <w:rPr>
          <w:highlight w:val="yellow"/>
          <w:lang w:val="sv-SE"/>
        </w:rPr>
        <w:t>…</w:t>
      </w:r>
      <w:r>
        <w:rPr>
          <w:lang w:val="sv-SE"/>
        </w:rPr>
        <w:t xml:space="preserve">] o </w:t>
      </w:r>
      <w:proofErr w:type="spellStart"/>
      <w:r>
        <w:rPr>
          <w:lang w:val="sv-SE"/>
        </w:rPr>
        <w:t>os</w:t>
      </w:r>
      <w:r>
        <w:rPr>
          <w:lang w:val="sv-SE"/>
        </w:rPr>
        <w:t>nivanju</w:t>
      </w:r>
      <w:proofErr w:type="spellEnd"/>
      <w:r>
        <w:rPr>
          <w:lang w:val="sv-SE"/>
        </w:rPr>
        <w:t xml:space="preserve"> </w:t>
      </w:r>
      <w:proofErr w:type="spellStart"/>
      <w:r>
        <w:rPr>
          <w:lang w:val="sv-SE"/>
        </w:rPr>
        <w:t>Europskog</w:t>
      </w:r>
      <w:proofErr w:type="spellEnd"/>
      <w:r>
        <w:rPr>
          <w:lang w:val="sv-SE"/>
        </w:rPr>
        <w:t xml:space="preserve"> </w:t>
      </w:r>
      <w:proofErr w:type="spellStart"/>
      <w:r>
        <w:rPr>
          <w:lang w:val="sv-SE"/>
        </w:rPr>
        <w:t>zakonika</w:t>
      </w:r>
      <w:proofErr w:type="spellEnd"/>
      <w:r>
        <w:rPr>
          <w:lang w:val="sv-SE"/>
        </w:rPr>
        <w:t xml:space="preserve"> </w:t>
      </w:r>
      <w:proofErr w:type="spellStart"/>
      <w:r>
        <w:rPr>
          <w:lang w:val="sv-SE"/>
        </w:rPr>
        <w:t>za</w:t>
      </w:r>
      <w:proofErr w:type="spellEnd"/>
      <w:r>
        <w:rPr>
          <w:lang w:val="sv-SE"/>
        </w:rPr>
        <w:t xml:space="preserve"> </w:t>
      </w:r>
      <w:proofErr w:type="spellStart"/>
      <w:r>
        <w:rPr>
          <w:lang w:val="sv-SE"/>
        </w:rPr>
        <w:t>elektroničke</w:t>
      </w:r>
      <w:proofErr w:type="spellEnd"/>
      <w:r>
        <w:rPr>
          <w:lang w:val="sv-SE"/>
        </w:rPr>
        <w:t xml:space="preserve"> </w:t>
      </w:r>
      <w:proofErr w:type="spellStart"/>
      <w:r>
        <w:rPr>
          <w:lang w:val="sv-SE"/>
        </w:rPr>
        <w:t>komunikacije</w:t>
      </w:r>
      <w:proofErr w:type="spellEnd"/>
      <w:r>
        <w:rPr>
          <w:lang w:val="sv-SE"/>
        </w:rPr>
        <w:t xml:space="preserve"> (SL L [</w:t>
      </w:r>
      <w:r>
        <w:rPr>
          <w:highlight w:val="yellow"/>
          <w:lang w:val="sv-SE"/>
        </w:rPr>
        <w:t>…</w:t>
      </w:r>
      <w:r>
        <w:rPr>
          <w:lang w:val="sv-SE"/>
        </w:rPr>
        <w:t>]).</w:t>
      </w:r>
    </w:p>
  </w:footnote>
  <w:footnote w:id="22">
    <w:p w:rsidR="006C0808" w:rsidRDefault="00E3601E">
      <w:pPr>
        <w:pStyle w:val="FootnoteText"/>
        <w:rPr>
          <w:lang w:val="sv-SE"/>
        </w:rPr>
      </w:pPr>
      <w:r>
        <w:rPr>
          <w:rStyle w:val="FootnoteReference"/>
        </w:rPr>
        <w:footnoteRef/>
      </w:r>
      <w:r>
        <w:rPr>
          <w:lang w:val="sv-SE"/>
        </w:rPr>
        <w:tab/>
      </w:r>
      <w:proofErr w:type="spellStart"/>
      <w:r>
        <w:rPr>
          <w:lang w:val="sv-SE"/>
        </w:rPr>
        <w:t>Direktiva</w:t>
      </w:r>
      <w:proofErr w:type="spellEnd"/>
      <w:r>
        <w:rPr>
          <w:lang w:val="sv-SE"/>
        </w:rPr>
        <w:t xml:space="preserve"> 2002/58/EZ </w:t>
      </w:r>
      <w:proofErr w:type="spellStart"/>
      <w:r>
        <w:rPr>
          <w:lang w:val="sv-SE"/>
        </w:rPr>
        <w:t>Europskog</w:t>
      </w:r>
      <w:proofErr w:type="spellEnd"/>
      <w:r>
        <w:rPr>
          <w:lang w:val="sv-SE"/>
        </w:rPr>
        <w:t xml:space="preserve"> </w:t>
      </w:r>
      <w:proofErr w:type="spellStart"/>
      <w:r>
        <w:rPr>
          <w:lang w:val="sv-SE"/>
        </w:rPr>
        <w:t>parlamenta</w:t>
      </w:r>
      <w:proofErr w:type="spellEnd"/>
      <w:r>
        <w:rPr>
          <w:lang w:val="sv-SE"/>
        </w:rPr>
        <w:t xml:space="preserve"> i </w:t>
      </w:r>
      <w:proofErr w:type="spellStart"/>
      <w:r>
        <w:rPr>
          <w:lang w:val="sv-SE"/>
        </w:rPr>
        <w:t>Vijeća</w:t>
      </w:r>
      <w:proofErr w:type="spellEnd"/>
      <w:r>
        <w:rPr>
          <w:lang w:val="sv-SE"/>
        </w:rPr>
        <w:t xml:space="preserve"> </w:t>
      </w:r>
      <w:proofErr w:type="spellStart"/>
      <w:r>
        <w:rPr>
          <w:lang w:val="sv-SE"/>
        </w:rPr>
        <w:t>od</w:t>
      </w:r>
      <w:proofErr w:type="spellEnd"/>
      <w:r>
        <w:rPr>
          <w:lang w:val="sv-SE"/>
        </w:rPr>
        <w:t xml:space="preserve"> 12. </w:t>
      </w:r>
      <w:proofErr w:type="spellStart"/>
      <w:r>
        <w:rPr>
          <w:lang w:val="sv-SE"/>
        </w:rPr>
        <w:t>srpnja</w:t>
      </w:r>
      <w:proofErr w:type="spellEnd"/>
      <w:r>
        <w:rPr>
          <w:lang w:val="sv-SE"/>
        </w:rPr>
        <w:t xml:space="preserve"> 2002. o </w:t>
      </w:r>
      <w:proofErr w:type="spellStart"/>
      <w:r>
        <w:rPr>
          <w:lang w:val="sv-SE"/>
        </w:rPr>
        <w:t>obradi</w:t>
      </w:r>
      <w:proofErr w:type="spellEnd"/>
      <w:r>
        <w:rPr>
          <w:lang w:val="sv-SE"/>
        </w:rPr>
        <w:t xml:space="preserve"> </w:t>
      </w:r>
      <w:proofErr w:type="spellStart"/>
      <w:r>
        <w:rPr>
          <w:lang w:val="sv-SE"/>
        </w:rPr>
        <w:t>osobnih</w:t>
      </w:r>
      <w:proofErr w:type="spellEnd"/>
      <w:r>
        <w:rPr>
          <w:lang w:val="sv-SE"/>
        </w:rPr>
        <w:t xml:space="preserve"> </w:t>
      </w:r>
      <w:proofErr w:type="spellStart"/>
      <w:r>
        <w:rPr>
          <w:lang w:val="sv-SE"/>
        </w:rPr>
        <w:t>podataka</w:t>
      </w:r>
      <w:proofErr w:type="spellEnd"/>
      <w:r>
        <w:rPr>
          <w:lang w:val="sv-SE"/>
        </w:rPr>
        <w:t xml:space="preserve"> i </w:t>
      </w:r>
      <w:proofErr w:type="spellStart"/>
      <w:r>
        <w:rPr>
          <w:lang w:val="sv-SE"/>
        </w:rPr>
        <w:t>zaštiti</w:t>
      </w:r>
      <w:proofErr w:type="spellEnd"/>
      <w:r>
        <w:rPr>
          <w:lang w:val="sv-SE"/>
        </w:rPr>
        <w:t xml:space="preserve"> </w:t>
      </w:r>
      <w:proofErr w:type="spellStart"/>
      <w:r>
        <w:rPr>
          <w:lang w:val="sv-SE"/>
        </w:rPr>
        <w:t>privatnosti</w:t>
      </w:r>
      <w:proofErr w:type="spellEnd"/>
      <w:r>
        <w:rPr>
          <w:lang w:val="sv-SE"/>
        </w:rPr>
        <w:t xml:space="preserve"> u </w:t>
      </w:r>
      <w:proofErr w:type="spellStart"/>
      <w:r>
        <w:rPr>
          <w:lang w:val="sv-SE"/>
        </w:rPr>
        <w:t>području</w:t>
      </w:r>
      <w:proofErr w:type="spellEnd"/>
      <w:r>
        <w:rPr>
          <w:lang w:val="sv-SE"/>
        </w:rPr>
        <w:t xml:space="preserve"> </w:t>
      </w:r>
      <w:proofErr w:type="spellStart"/>
      <w:r>
        <w:rPr>
          <w:lang w:val="sv-SE"/>
        </w:rPr>
        <w:t>elektroničkih</w:t>
      </w:r>
      <w:proofErr w:type="spellEnd"/>
      <w:r>
        <w:rPr>
          <w:lang w:val="sv-SE"/>
        </w:rPr>
        <w:t xml:space="preserve"> </w:t>
      </w:r>
      <w:proofErr w:type="spellStart"/>
      <w:r>
        <w:rPr>
          <w:lang w:val="sv-SE"/>
        </w:rPr>
        <w:t>komunikacija</w:t>
      </w:r>
      <w:proofErr w:type="spellEnd"/>
      <w:r>
        <w:rPr>
          <w:lang w:val="sv-SE"/>
        </w:rPr>
        <w:t xml:space="preserve"> (</w:t>
      </w:r>
      <w:proofErr w:type="spellStart"/>
      <w:r>
        <w:rPr>
          <w:lang w:val="sv-SE"/>
        </w:rPr>
        <w:t>Direktiva</w:t>
      </w:r>
      <w:proofErr w:type="spellEnd"/>
      <w:r>
        <w:rPr>
          <w:lang w:val="sv-SE"/>
        </w:rPr>
        <w:t xml:space="preserve"> o </w:t>
      </w:r>
      <w:proofErr w:type="spellStart"/>
      <w:r>
        <w:rPr>
          <w:lang w:val="sv-SE"/>
        </w:rPr>
        <w:t>privatnosti</w:t>
      </w:r>
      <w:proofErr w:type="spellEnd"/>
      <w:r>
        <w:rPr>
          <w:lang w:val="sv-SE"/>
        </w:rPr>
        <w:t xml:space="preserve"> i </w:t>
      </w:r>
      <w:proofErr w:type="spellStart"/>
      <w:r>
        <w:rPr>
          <w:lang w:val="sv-SE"/>
        </w:rPr>
        <w:t>el</w:t>
      </w:r>
      <w:r>
        <w:rPr>
          <w:lang w:val="sv-SE"/>
        </w:rPr>
        <w:t>ektroničkim</w:t>
      </w:r>
      <w:proofErr w:type="spellEnd"/>
      <w:r>
        <w:rPr>
          <w:lang w:val="sv-SE"/>
        </w:rPr>
        <w:t xml:space="preserve"> </w:t>
      </w:r>
      <w:proofErr w:type="spellStart"/>
      <w:r>
        <w:rPr>
          <w:lang w:val="sv-SE"/>
        </w:rPr>
        <w:t>komunikacijama</w:t>
      </w:r>
      <w:proofErr w:type="spellEnd"/>
      <w:r>
        <w:rPr>
          <w:lang w:val="sv-SE"/>
        </w:rPr>
        <w:t>) (SL L 201, 31.7.2002., str. 37.).</w:t>
      </w:r>
    </w:p>
  </w:footnote>
  <w:footnote w:id="23">
    <w:p w:rsidR="006C0808" w:rsidRDefault="00E3601E">
      <w:pPr>
        <w:pStyle w:val="FootnoteText"/>
        <w:rPr>
          <w:lang w:val="sv-SE"/>
        </w:rPr>
      </w:pPr>
      <w:r>
        <w:rPr>
          <w:rStyle w:val="FootnoteReference"/>
        </w:rPr>
        <w:footnoteRef/>
      </w:r>
      <w:r>
        <w:rPr>
          <w:lang w:val="sv-SE"/>
        </w:rPr>
        <w:tab/>
      </w:r>
      <w:proofErr w:type="spellStart"/>
      <w:r>
        <w:rPr>
          <w:lang w:val="sv-SE"/>
        </w:rPr>
        <w:t>Uredba</w:t>
      </w:r>
      <w:proofErr w:type="spellEnd"/>
      <w:r>
        <w:rPr>
          <w:lang w:val="sv-SE"/>
        </w:rPr>
        <w:t xml:space="preserve"> (EZ) br. 531/2012 </w:t>
      </w:r>
      <w:proofErr w:type="spellStart"/>
      <w:r>
        <w:rPr>
          <w:lang w:val="sv-SE"/>
        </w:rPr>
        <w:t>Europskog</w:t>
      </w:r>
      <w:proofErr w:type="spellEnd"/>
      <w:r>
        <w:rPr>
          <w:lang w:val="sv-SE"/>
        </w:rPr>
        <w:t xml:space="preserve"> </w:t>
      </w:r>
      <w:proofErr w:type="spellStart"/>
      <w:r>
        <w:rPr>
          <w:lang w:val="sv-SE"/>
        </w:rPr>
        <w:t>parlamenta</w:t>
      </w:r>
      <w:proofErr w:type="spellEnd"/>
      <w:r>
        <w:rPr>
          <w:lang w:val="sv-SE"/>
        </w:rPr>
        <w:t xml:space="preserve"> i </w:t>
      </w:r>
      <w:proofErr w:type="spellStart"/>
      <w:r>
        <w:rPr>
          <w:lang w:val="sv-SE"/>
        </w:rPr>
        <w:t>Vijeća</w:t>
      </w:r>
      <w:proofErr w:type="spellEnd"/>
      <w:r>
        <w:rPr>
          <w:lang w:val="sv-SE"/>
        </w:rPr>
        <w:t xml:space="preserve"> </w:t>
      </w:r>
      <w:proofErr w:type="spellStart"/>
      <w:r>
        <w:rPr>
          <w:lang w:val="sv-SE"/>
        </w:rPr>
        <w:t>od</w:t>
      </w:r>
      <w:proofErr w:type="spellEnd"/>
      <w:r>
        <w:rPr>
          <w:lang w:val="sv-SE"/>
        </w:rPr>
        <w:t xml:space="preserve"> 13. </w:t>
      </w:r>
      <w:proofErr w:type="spellStart"/>
      <w:r>
        <w:rPr>
          <w:lang w:val="sv-SE"/>
        </w:rPr>
        <w:t>lipnja</w:t>
      </w:r>
      <w:proofErr w:type="spellEnd"/>
      <w:r>
        <w:rPr>
          <w:lang w:val="sv-SE"/>
        </w:rPr>
        <w:t xml:space="preserve"> 2012. o </w:t>
      </w:r>
      <w:proofErr w:type="spellStart"/>
      <w:r>
        <w:rPr>
          <w:lang w:val="sv-SE"/>
        </w:rPr>
        <w:t>roamingu</w:t>
      </w:r>
      <w:proofErr w:type="spellEnd"/>
      <w:r>
        <w:rPr>
          <w:lang w:val="sv-SE"/>
        </w:rPr>
        <w:t xml:space="preserve"> u </w:t>
      </w:r>
      <w:proofErr w:type="spellStart"/>
      <w:r>
        <w:rPr>
          <w:lang w:val="sv-SE"/>
        </w:rPr>
        <w:t>javnim</w:t>
      </w:r>
      <w:proofErr w:type="spellEnd"/>
      <w:r>
        <w:rPr>
          <w:lang w:val="sv-SE"/>
        </w:rPr>
        <w:t xml:space="preserve"> </w:t>
      </w:r>
      <w:proofErr w:type="spellStart"/>
      <w:r>
        <w:rPr>
          <w:lang w:val="sv-SE"/>
        </w:rPr>
        <w:t>pokretnim</w:t>
      </w:r>
      <w:proofErr w:type="spellEnd"/>
      <w:r>
        <w:rPr>
          <w:lang w:val="sv-SE"/>
        </w:rPr>
        <w:t xml:space="preserve"> </w:t>
      </w:r>
      <w:proofErr w:type="spellStart"/>
      <w:r>
        <w:rPr>
          <w:lang w:val="sv-SE"/>
        </w:rPr>
        <w:t>komunikacijskim</w:t>
      </w:r>
      <w:proofErr w:type="spellEnd"/>
      <w:r>
        <w:rPr>
          <w:lang w:val="sv-SE"/>
        </w:rPr>
        <w:t xml:space="preserve"> </w:t>
      </w:r>
      <w:proofErr w:type="spellStart"/>
      <w:r>
        <w:rPr>
          <w:lang w:val="sv-SE"/>
        </w:rPr>
        <w:t>mrežama</w:t>
      </w:r>
      <w:proofErr w:type="spellEnd"/>
      <w:r>
        <w:rPr>
          <w:lang w:val="sv-SE"/>
        </w:rPr>
        <w:t xml:space="preserve"> u </w:t>
      </w:r>
      <w:proofErr w:type="spellStart"/>
      <w:r>
        <w:rPr>
          <w:lang w:val="sv-SE"/>
        </w:rPr>
        <w:t>Uniji</w:t>
      </w:r>
      <w:proofErr w:type="spellEnd"/>
      <w:r>
        <w:rPr>
          <w:lang w:val="sv-SE"/>
        </w:rPr>
        <w:t xml:space="preserve"> (SL L 172, 30.6.2012., str. 10.).</w:t>
      </w:r>
    </w:p>
  </w:footnote>
  <w:footnote w:id="24">
    <w:p w:rsidR="006C0808" w:rsidRDefault="00E3601E">
      <w:pPr>
        <w:pStyle w:val="FootnoteText"/>
        <w:rPr>
          <w:lang w:val="sv-SE"/>
        </w:rPr>
      </w:pPr>
      <w:r>
        <w:rPr>
          <w:rStyle w:val="FootnoteReference"/>
        </w:rPr>
        <w:footnoteRef/>
      </w:r>
      <w:r>
        <w:rPr>
          <w:lang w:val="sv-SE"/>
        </w:rPr>
        <w:tab/>
      </w:r>
      <w:proofErr w:type="spellStart"/>
      <w:r>
        <w:rPr>
          <w:lang w:val="sv-SE"/>
        </w:rPr>
        <w:t>Uredba</w:t>
      </w:r>
      <w:proofErr w:type="spellEnd"/>
      <w:r>
        <w:rPr>
          <w:lang w:val="sv-SE"/>
        </w:rPr>
        <w:t> (EU) 2015/21</w:t>
      </w:r>
      <w:r>
        <w:rPr>
          <w:lang w:val="sv-SE"/>
        </w:rPr>
        <w:t xml:space="preserve">20 </w:t>
      </w:r>
      <w:proofErr w:type="spellStart"/>
      <w:r>
        <w:rPr>
          <w:lang w:val="sv-SE"/>
        </w:rPr>
        <w:t>Europskog</w:t>
      </w:r>
      <w:proofErr w:type="spellEnd"/>
      <w:r>
        <w:rPr>
          <w:lang w:val="sv-SE"/>
        </w:rPr>
        <w:t xml:space="preserve"> </w:t>
      </w:r>
      <w:proofErr w:type="spellStart"/>
      <w:r>
        <w:rPr>
          <w:lang w:val="sv-SE"/>
        </w:rPr>
        <w:t>parlamenta</w:t>
      </w:r>
      <w:proofErr w:type="spellEnd"/>
      <w:r>
        <w:rPr>
          <w:lang w:val="sv-SE"/>
        </w:rPr>
        <w:t xml:space="preserve"> i </w:t>
      </w:r>
      <w:proofErr w:type="spellStart"/>
      <w:r>
        <w:rPr>
          <w:lang w:val="sv-SE"/>
        </w:rPr>
        <w:t>Vijeća</w:t>
      </w:r>
      <w:proofErr w:type="spellEnd"/>
      <w:r>
        <w:rPr>
          <w:lang w:val="sv-SE"/>
        </w:rPr>
        <w:t xml:space="preserve"> </w:t>
      </w:r>
      <w:proofErr w:type="spellStart"/>
      <w:r>
        <w:rPr>
          <w:lang w:val="sv-SE"/>
        </w:rPr>
        <w:t>od</w:t>
      </w:r>
      <w:proofErr w:type="spellEnd"/>
      <w:r>
        <w:rPr>
          <w:lang w:val="sv-SE"/>
        </w:rPr>
        <w:t xml:space="preserve"> 25. </w:t>
      </w:r>
      <w:proofErr w:type="spellStart"/>
      <w:r>
        <w:rPr>
          <w:lang w:val="sv-SE"/>
        </w:rPr>
        <w:t>studenoga</w:t>
      </w:r>
      <w:proofErr w:type="spellEnd"/>
      <w:r>
        <w:rPr>
          <w:lang w:val="sv-SE"/>
        </w:rPr>
        <w:t> 2015.</w:t>
      </w:r>
      <w:r>
        <w:rPr>
          <w:rStyle w:val="FootnoteReference"/>
        </w:rPr>
        <w:footnoteRef/>
      </w:r>
      <w:r>
        <w:rPr>
          <w:lang w:val="sv-SE"/>
        </w:rPr>
        <w:t xml:space="preserve"> o </w:t>
      </w:r>
      <w:proofErr w:type="spellStart"/>
      <w:r>
        <w:rPr>
          <w:lang w:val="sv-SE"/>
        </w:rPr>
        <w:t>utvrđivanju</w:t>
      </w:r>
      <w:proofErr w:type="spellEnd"/>
      <w:r>
        <w:rPr>
          <w:lang w:val="sv-SE"/>
        </w:rPr>
        <w:t xml:space="preserve"> </w:t>
      </w:r>
      <w:proofErr w:type="spellStart"/>
      <w:r>
        <w:rPr>
          <w:lang w:val="sv-SE"/>
        </w:rPr>
        <w:t>mjera</w:t>
      </w:r>
      <w:proofErr w:type="spellEnd"/>
      <w:r>
        <w:rPr>
          <w:lang w:val="sv-SE"/>
        </w:rPr>
        <w:t xml:space="preserve"> u </w:t>
      </w:r>
      <w:proofErr w:type="spellStart"/>
      <w:r>
        <w:rPr>
          <w:lang w:val="sv-SE"/>
        </w:rPr>
        <w:t>vezi</w:t>
      </w:r>
      <w:proofErr w:type="spellEnd"/>
      <w:r>
        <w:rPr>
          <w:lang w:val="sv-SE"/>
        </w:rPr>
        <w:t xml:space="preserve"> s </w:t>
      </w:r>
      <w:proofErr w:type="spellStart"/>
      <w:r>
        <w:rPr>
          <w:lang w:val="sv-SE"/>
        </w:rPr>
        <w:t>pristupom</w:t>
      </w:r>
      <w:proofErr w:type="spellEnd"/>
      <w:r>
        <w:rPr>
          <w:lang w:val="sv-SE"/>
        </w:rPr>
        <w:t xml:space="preserve"> </w:t>
      </w:r>
      <w:proofErr w:type="spellStart"/>
      <w:r>
        <w:rPr>
          <w:lang w:val="sv-SE"/>
        </w:rPr>
        <w:t>otvorenom</w:t>
      </w:r>
      <w:proofErr w:type="spellEnd"/>
      <w:r>
        <w:rPr>
          <w:lang w:val="sv-SE"/>
        </w:rPr>
        <w:t xml:space="preserve"> </w:t>
      </w:r>
      <w:proofErr w:type="spellStart"/>
      <w:r>
        <w:rPr>
          <w:lang w:val="sv-SE"/>
        </w:rPr>
        <w:t>internetu</w:t>
      </w:r>
      <w:proofErr w:type="spellEnd"/>
      <w:r>
        <w:rPr>
          <w:lang w:val="sv-SE"/>
        </w:rPr>
        <w:t xml:space="preserve"> te o </w:t>
      </w:r>
      <w:proofErr w:type="spellStart"/>
      <w:r>
        <w:rPr>
          <w:lang w:val="sv-SE"/>
        </w:rPr>
        <w:t>izmjeni</w:t>
      </w:r>
      <w:proofErr w:type="spellEnd"/>
      <w:r>
        <w:rPr>
          <w:lang w:val="sv-SE"/>
        </w:rPr>
        <w:t xml:space="preserve"> </w:t>
      </w:r>
      <w:proofErr w:type="spellStart"/>
      <w:r>
        <w:rPr>
          <w:lang w:val="sv-SE"/>
        </w:rPr>
        <w:t>Direktive</w:t>
      </w:r>
      <w:proofErr w:type="spellEnd"/>
      <w:r>
        <w:rPr>
          <w:lang w:val="sv-SE"/>
        </w:rPr>
        <w:t xml:space="preserve"> 2002/22/EZ o </w:t>
      </w:r>
      <w:proofErr w:type="spellStart"/>
      <w:r>
        <w:rPr>
          <w:lang w:val="sv-SE"/>
        </w:rPr>
        <w:t>univerzalnoj</w:t>
      </w:r>
      <w:proofErr w:type="spellEnd"/>
      <w:r>
        <w:rPr>
          <w:lang w:val="sv-SE"/>
        </w:rPr>
        <w:t xml:space="preserve"> </w:t>
      </w:r>
      <w:proofErr w:type="spellStart"/>
      <w:r>
        <w:rPr>
          <w:lang w:val="sv-SE"/>
        </w:rPr>
        <w:t>usluzi</w:t>
      </w:r>
      <w:proofErr w:type="spellEnd"/>
      <w:r>
        <w:rPr>
          <w:lang w:val="sv-SE"/>
        </w:rPr>
        <w:t xml:space="preserve"> i </w:t>
      </w:r>
      <w:proofErr w:type="spellStart"/>
      <w:r>
        <w:rPr>
          <w:lang w:val="sv-SE"/>
        </w:rPr>
        <w:t>pravima</w:t>
      </w:r>
      <w:proofErr w:type="spellEnd"/>
      <w:r>
        <w:rPr>
          <w:lang w:val="sv-SE"/>
        </w:rPr>
        <w:t xml:space="preserve"> </w:t>
      </w:r>
      <w:proofErr w:type="spellStart"/>
      <w:r>
        <w:rPr>
          <w:lang w:val="sv-SE"/>
        </w:rPr>
        <w:t>korisnika</w:t>
      </w:r>
      <w:proofErr w:type="spellEnd"/>
      <w:r>
        <w:rPr>
          <w:lang w:val="sv-SE"/>
        </w:rPr>
        <w:t xml:space="preserve"> u </w:t>
      </w:r>
      <w:proofErr w:type="spellStart"/>
      <w:r>
        <w:rPr>
          <w:lang w:val="sv-SE"/>
        </w:rPr>
        <w:t>vezi</w:t>
      </w:r>
      <w:proofErr w:type="spellEnd"/>
      <w:r>
        <w:rPr>
          <w:lang w:val="sv-SE"/>
        </w:rPr>
        <w:t xml:space="preserve"> s </w:t>
      </w:r>
      <w:proofErr w:type="spellStart"/>
      <w:r>
        <w:rPr>
          <w:lang w:val="sv-SE"/>
        </w:rPr>
        <w:t>elektroničkim</w:t>
      </w:r>
      <w:proofErr w:type="spellEnd"/>
      <w:r>
        <w:rPr>
          <w:lang w:val="sv-SE"/>
        </w:rPr>
        <w:t xml:space="preserve"> </w:t>
      </w:r>
      <w:proofErr w:type="spellStart"/>
      <w:r>
        <w:rPr>
          <w:lang w:val="sv-SE"/>
        </w:rPr>
        <w:t>komunikacijskim</w:t>
      </w:r>
      <w:proofErr w:type="spellEnd"/>
      <w:r>
        <w:rPr>
          <w:lang w:val="sv-SE"/>
        </w:rPr>
        <w:t xml:space="preserve"> </w:t>
      </w:r>
      <w:proofErr w:type="spellStart"/>
      <w:r>
        <w:rPr>
          <w:lang w:val="sv-SE"/>
        </w:rPr>
        <w:t>mrežama</w:t>
      </w:r>
      <w:proofErr w:type="spellEnd"/>
      <w:r>
        <w:rPr>
          <w:lang w:val="sv-SE"/>
        </w:rPr>
        <w:t xml:space="preserve"> i </w:t>
      </w:r>
      <w:proofErr w:type="spellStart"/>
      <w:r>
        <w:rPr>
          <w:lang w:val="sv-SE"/>
        </w:rPr>
        <w:t>uslugama</w:t>
      </w:r>
      <w:proofErr w:type="spellEnd"/>
      <w:r>
        <w:rPr>
          <w:lang w:val="sv-SE"/>
        </w:rPr>
        <w:t xml:space="preserve"> (SL L </w:t>
      </w:r>
      <w:r>
        <w:rPr>
          <w:lang w:val="sv-SE"/>
        </w:rPr>
        <w:t>310, 26.11.2015., str. 1.)</w:t>
      </w:r>
    </w:p>
    <w:p w:rsidR="006C0808" w:rsidRDefault="006C0808">
      <w:pPr>
        <w:pStyle w:val="FootnoteText"/>
        <w:rPr>
          <w:rStyle w:val="FootnoteReference"/>
          <w:lang w:val="sv-SE"/>
        </w:rPr>
      </w:pPr>
    </w:p>
  </w:footnote>
  <w:footnote w:id="25">
    <w:p w:rsidR="006C0808" w:rsidRDefault="00E3601E">
      <w:pPr>
        <w:pStyle w:val="FootnoteText"/>
        <w:rPr>
          <w:lang w:val="sv-SE"/>
        </w:rPr>
      </w:pPr>
      <w:r>
        <w:rPr>
          <w:rStyle w:val="FootnoteReference"/>
        </w:rPr>
        <w:footnoteRef/>
      </w:r>
      <w:r>
        <w:rPr>
          <w:lang w:val="sv-SE"/>
        </w:rPr>
        <w:tab/>
      </w:r>
      <w:proofErr w:type="spellStart"/>
      <w:r>
        <w:rPr>
          <w:lang w:val="sv-SE"/>
        </w:rPr>
        <w:t>Uredba</w:t>
      </w:r>
      <w:proofErr w:type="spellEnd"/>
      <w:r>
        <w:rPr>
          <w:lang w:val="sv-SE"/>
        </w:rPr>
        <w:t xml:space="preserve"> (EZ) br. 1211/2009 </w:t>
      </w:r>
      <w:proofErr w:type="spellStart"/>
      <w:r>
        <w:rPr>
          <w:lang w:val="sv-SE"/>
        </w:rPr>
        <w:t>Europskog</w:t>
      </w:r>
      <w:proofErr w:type="spellEnd"/>
      <w:r>
        <w:rPr>
          <w:lang w:val="sv-SE"/>
        </w:rPr>
        <w:t xml:space="preserve"> </w:t>
      </w:r>
      <w:proofErr w:type="spellStart"/>
      <w:r>
        <w:rPr>
          <w:lang w:val="sv-SE"/>
        </w:rPr>
        <w:t>parlamenta</w:t>
      </w:r>
      <w:proofErr w:type="spellEnd"/>
      <w:r>
        <w:rPr>
          <w:lang w:val="sv-SE"/>
        </w:rPr>
        <w:t xml:space="preserve"> i </w:t>
      </w:r>
      <w:proofErr w:type="spellStart"/>
      <w:r>
        <w:rPr>
          <w:lang w:val="sv-SE"/>
        </w:rPr>
        <w:t>Vijeća</w:t>
      </w:r>
      <w:proofErr w:type="spellEnd"/>
      <w:r>
        <w:rPr>
          <w:lang w:val="sv-SE"/>
        </w:rPr>
        <w:t xml:space="preserve"> </w:t>
      </w:r>
      <w:proofErr w:type="spellStart"/>
      <w:r>
        <w:rPr>
          <w:lang w:val="sv-SE"/>
        </w:rPr>
        <w:t>od</w:t>
      </w:r>
      <w:proofErr w:type="spellEnd"/>
      <w:r>
        <w:rPr>
          <w:lang w:val="sv-SE"/>
        </w:rPr>
        <w:t xml:space="preserve"> 25. </w:t>
      </w:r>
      <w:proofErr w:type="spellStart"/>
      <w:r>
        <w:rPr>
          <w:lang w:val="sv-SE"/>
        </w:rPr>
        <w:t>studenoga</w:t>
      </w:r>
      <w:proofErr w:type="spellEnd"/>
      <w:r>
        <w:rPr>
          <w:lang w:val="sv-SE"/>
        </w:rPr>
        <w:t xml:space="preserve"> 2009. o </w:t>
      </w:r>
      <w:proofErr w:type="spellStart"/>
      <w:r>
        <w:rPr>
          <w:lang w:val="sv-SE"/>
        </w:rPr>
        <w:t>osnivanju</w:t>
      </w:r>
      <w:proofErr w:type="spellEnd"/>
      <w:r>
        <w:rPr>
          <w:lang w:val="sv-SE"/>
        </w:rPr>
        <w:t xml:space="preserve"> </w:t>
      </w:r>
      <w:proofErr w:type="spellStart"/>
      <w:r>
        <w:rPr>
          <w:lang w:val="sv-SE"/>
        </w:rPr>
        <w:t>Tijela</w:t>
      </w:r>
      <w:proofErr w:type="spellEnd"/>
      <w:r>
        <w:rPr>
          <w:lang w:val="sv-SE"/>
        </w:rPr>
        <w:t xml:space="preserve"> </w:t>
      </w:r>
      <w:proofErr w:type="spellStart"/>
      <w:r>
        <w:rPr>
          <w:lang w:val="sv-SE"/>
        </w:rPr>
        <w:t>europskih</w:t>
      </w:r>
      <w:proofErr w:type="spellEnd"/>
      <w:r>
        <w:rPr>
          <w:lang w:val="sv-SE"/>
        </w:rPr>
        <w:t xml:space="preserve"> </w:t>
      </w:r>
      <w:proofErr w:type="spellStart"/>
      <w:r>
        <w:rPr>
          <w:lang w:val="sv-SE"/>
        </w:rPr>
        <w:t>regulatora</w:t>
      </w:r>
      <w:proofErr w:type="spellEnd"/>
      <w:r>
        <w:rPr>
          <w:lang w:val="sv-SE"/>
        </w:rPr>
        <w:t xml:space="preserve"> </w:t>
      </w:r>
      <w:proofErr w:type="spellStart"/>
      <w:r>
        <w:rPr>
          <w:lang w:val="sv-SE"/>
        </w:rPr>
        <w:t>za</w:t>
      </w:r>
      <w:proofErr w:type="spellEnd"/>
      <w:r>
        <w:rPr>
          <w:lang w:val="sv-SE"/>
        </w:rPr>
        <w:t xml:space="preserve"> </w:t>
      </w:r>
      <w:proofErr w:type="spellStart"/>
      <w:r>
        <w:rPr>
          <w:lang w:val="sv-SE"/>
        </w:rPr>
        <w:t>elektroničke</w:t>
      </w:r>
      <w:proofErr w:type="spellEnd"/>
      <w:r>
        <w:rPr>
          <w:lang w:val="sv-SE"/>
        </w:rPr>
        <w:t xml:space="preserve"> </w:t>
      </w:r>
      <w:proofErr w:type="spellStart"/>
      <w:r>
        <w:rPr>
          <w:lang w:val="sv-SE"/>
        </w:rPr>
        <w:t>komunikacije</w:t>
      </w:r>
      <w:proofErr w:type="spellEnd"/>
      <w:r>
        <w:rPr>
          <w:lang w:val="sv-SE"/>
        </w:rPr>
        <w:t xml:space="preserve"> (BEREC) i </w:t>
      </w:r>
      <w:proofErr w:type="spellStart"/>
      <w:r>
        <w:rPr>
          <w:lang w:val="sv-SE"/>
        </w:rPr>
        <w:t>Ureda</w:t>
      </w:r>
      <w:proofErr w:type="spellEnd"/>
      <w:r>
        <w:rPr>
          <w:lang w:val="sv-SE"/>
        </w:rPr>
        <w:t xml:space="preserve"> (SL L 337, 18.12.2009., str. 1.).</w:t>
      </w:r>
    </w:p>
  </w:footnote>
  <w:footnote w:id="26">
    <w:p w:rsidR="006C0808" w:rsidRDefault="00E3601E">
      <w:pPr>
        <w:pStyle w:val="FootnoteText"/>
        <w:rPr>
          <w:lang w:val="sv-SE"/>
        </w:rPr>
      </w:pPr>
      <w:r>
        <w:rPr>
          <w:rStyle w:val="FootnoteReference"/>
        </w:rPr>
        <w:footnoteRef/>
      </w:r>
      <w:r>
        <w:rPr>
          <w:lang w:val="sv-SE"/>
        </w:rPr>
        <w:tab/>
      </w:r>
      <w:proofErr w:type="spellStart"/>
      <w:r>
        <w:rPr>
          <w:rStyle w:val="Strong"/>
          <w:b w:val="0"/>
          <w:lang w:val="sv-SE"/>
        </w:rPr>
        <w:t>Odluka</w:t>
      </w:r>
      <w:proofErr w:type="spellEnd"/>
      <w:r>
        <w:rPr>
          <w:rStyle w:val="Strong"/>
          <w:b w:val="0"/>
          <w:lang w:val="sv-SE"/>
        </w:rPr>
        <w:t xml:space="preserve"> </w:t>
      </w:r>
      <w:proofErr w:type="spellStart"/>
      <w:r>
        <w:rPr>
          <w:rStyle w:val="Strong"/>
          <w:b w:val="0"/>
          <w:lang w:val="sv-SE"/>
        </w:rPr>
        <w:t>Komisije</w:t>
      </w:r>
      <w:proofErr w:type="spellEnd"/>
      <w:r>
        <w:rPr>
          <w:rStyle w:val="Strong"/>
          <w:b w:val="0"/>
          <w:lang w:val="sv-SE"/>
        </w:rPr>
        <w:t> 2002/627/E</w:t>
      </w:r>
      <w:r>
        <w:rPr>
          <w:rStyle w:val="Strong"/>
          <w:b w:val="0"/>
          <w:lang w:val="sv-SE"/>
        </w:rPr>
        <w:t xml:space="preserve">C </w:t>
      </w:r>
      <w:proofErr w:type="spellStart"/>
      <w:r>
        <w:rPr>
          <w:rStyle w:val="Strong"/>
          <w:b w:val="0"/>
          <w:lang w:val="sv-SE"/>
        </w:rPr>
        <w:t>od</w:t>
      </w:r>
      <w:proofErr w:type="spellEnd"/>
      <w:r>
        <w:rPr>
          <w:rStyle w:val="Strong"/>
          <w:b w:val="0"/>
          <w:lang w:val="sv-SE"/>
        </w:rPr>
        <w:t xml:space="preserve"> 29. </w:t>
      </w:r>
      <w:proofErr w:type="spellStart"/>
      <w:r>
        <w:rPr>
          <w:rStyle w:val="Strong"/>
          <w:b w:val="0"/>
          <w:lang w:val="sv-SE"/>
        </w:rPr>
        <w:t>srpnja</w:t>
      </w:r>
      <w:proofErr w:type="spellEnd"/>
      <w:r>
        <w:rPr>
          <w:rStyle w:val="Strong"/>
          <w:b w:val="0"/>
          <w:lang w:val="sv-SE"/>
        </w:rPr>
        <w:t xml:space="preserve"> 2002. o </w:t>
      </w:r>
      <w:proofErr w:type="spellStart"/>
      <w:r>
        <w:rPr>
          <w:rStyle w:val="Strong"/>
          <w:b w:val="0"/>
          <w:lang w:val="sv-SE"/>
        </w:rPr>
        <w:t>osnivanju</w:t>
      </w:r>
      <w:proofErr w:type="spellEnd"/>
      <w:r>
        <w:rPr>
          <w:rStyle w:val="Strong"/>
          <w:b w:val="0"/>
          <w:lang w:val="sv-SE"/>
        </w:rPr>
        <w:t xml:space="preserve"> </w:t>
      </w:r>
      <w:proofErr w:type="spellStart"/>
      <w:r>
        <w:rPr>
          <w:rStyle w:val="Strong"/>
          <w:b w:val="0"/>
          <w:lang w:val="sv-SE"/>
        </w:rPr>
        <w:t>Europske</w:t>
      </w:r>
      <w:proofErr w:type="spellEnd"/>
      <w:r>
        <w:rPr>
          <w:rStyle w:val="Strong"/>
          <w:b w:val="0"/>
          <w:lang w:val="sv-SE"/>
        </w:rPr>
        <w:t xml:space="preserve"> </w:t>
      </w:r>
      <w:proofErr w:type="spellStart"/>
      <w:r>
        <w:rPr>
          <w:rStyle w:val="Strong"/>
          <w:b w:val="0"/>
          <w:lang w:val="sv-SE"/>
        </w:rPr>
        <w:t>skupine</w:t>
      </w:r>
      <w:proofErr w:type="spellEnd"/>
      <w:r>
        <w:rPr>
          <w:rStyle w:val="Strong"/>
          <w:b w:val="0"/>
          <w:lang w:val="sv-SE"/>
        </w:rPr>
        <w:t xml:space="preserve"> </w:t>
      </w:r>
      <w:proofErr w:type="spellStart"/>
      <w:r>
        <w:rPr>
          <w:rStyle w:val="Strong"/>
          <w:b w:val="0"/>
          <w:lang w:val="sv-SE"/>
        </w:rPr>
        <w:t>regulatora</w:t>
      </w:r>
      <w:proofErr w:type="spellEnd"/>
      <w:r>
        <w:rPr>
          <w:rStyle w:val="Strong"/>
          <w:b w:val="0"/>
          <w:lang w:val="sv-SE"/>
        </w:rPr>
        <w:t xml:space="preserve"> </w:t>
      </w:r>
      <w:proofErr w:type="spellStart"/>
      <w:r>
        <w:rPr>
          <w:rStyle w:val="Strong"/>
          <w:b w:val="0"/>
          <w:lang w:val="sv-SE"/>
        </w:rPr>
        <w:t>za</w:t>
      </w:r>
      <w:proofErr w:type="spellEnd"/>
      <w:r>
        <w:rPr>
          <w:rStyle w:val="Strong"/>
          <w:b w:val="0"/>
          <w:lang w:val="sv-SE"/>
        </w:rPr>
        <w:t xml:space="preserve"> </w:t>
      </w:r>
      <w:proofErr w:type="spellStart"/>
      <w:r>
        <w:rPr>
          <w:rStyle w:val="Strong"/>
          <w:b w:val="0"/>
          <w:lang w:val="sv-SE"/>
        </w:rPr>
        <w:t>elektroničke</w:t>
      </w:r>
      <w:proofErr w:type="spellEnd"/>
      <w:r>
        <w:rPr>
          <w:rStyle w:val="Strong"/>
          <w:b w:val="0"/>
          <w:lang w:val="sv-SE"/>
        </w:rPr>
        <w:t xml:space="preserve"> </w:t>
      </w:r>
      <w:proofErr w:type="spellStart"/>
      <w:r>
        <w:rPr>
          <w:rStyle w:val="Strong"/>
          <w:b w:val="0"/>
          <w:lang w:val="sv-SE"/>
        </w:rPr>
        <w:t>komunikacijske</w:t>
      </w:r>
      <w:proofErr w:type="spellEnd"/>
      <w:r>
        <w:rPr>
          <w:rStyle w:val="Strong"/>
          <w:b w:val="0"/>
          <w:lang w:val="sv-SE"/>
        </w:rPr>
        <w:t xml:space="preserve"> </w:t>
      </w:r>
      <w:proofErr w:type="spellStart"/>
      <w:r>
        <w:rPr>
          <w:rStyle w:val="Strong"/>
          <w:b w:val="0"/>
          <w:lang w:val="sv-SE"/>
        </w:rPr>
        <w:t>mreže</w:t>
      </w:r>
      <w:proofErr w:type="spellEnd"/>
      <w:r>
        <w:rPr>
          <w:rStyle w:val="Strong"/>
          <w:b w:val="0"/>
          <w:lang w:val="sv-SE"/>
        </w:rPr>
        <w:t xml:space="preserve"> i </w:t>
      </w:r>
      <w:proofErr w:type="spellStart"/>
      <w:r>
        <w:rPr>
          <w:rStyle w:val="Strong"/>
          <w:b w:val="0"/>
          <w:lang w:val="sv-SE"/>
        </w:rPr>
        <w:t>usluge</w:t>
      </w:r>
      <w:proofErr w:type="spellEnd"/>
      <w:r>
        <w:rPr>
          <w:rStyle w:val="Strong"/>
          <w:b w:val="0"/>
          <w:lang w:val="sv-SE"/>
        </w:rPr>
        <w:t xml:space="preserve"> (</w:t>
      </w:r>
      <w:r>
        <w:rPr>
          <w:lang w:val="sv-SE"/>
        </w:rPr>
        <w:t>SL L 200, 30.7.2002., str. 38.).</w:t>
      </w:r>
    </w:p>
  </w:footnote>
  <w:footnote w:id="27">
    <w:p w:rsidR="006C0808" w:rsidRDefault="00E3601E">
      <w:pPr>
        <w:pStyle w:val="FootnoteText"/>
        <w:rPr>
          <w:lang w:val="sv-SE"/>
        </w:rPr>
      </w:pPr>
      <w:r>
        <w:rPr>
          <w:rStyle w:val="FootnoteReference"/>
        </w:rPr>
        <w:footnoteRef/>
      </w:r>
      <w:r>
        <w:rPr>
          <w:lang w:val="sv-SE"/>
        </w:rPr>
        <w:tab/>
        <w:t>COM(2015) 192 final.</w:t>
      </w:r>
    </w:p>
  </w:footnote>
  <w:footnote w:id="28">
    <w:p w:rsidR="006C0808" w:rsidRDefault="00E3601E">
      <w:pPr>
        <w:pStyle w:val="FootnoteText"/>
        <w:rPr>
          <w:lang w:val="sv-SE"/>
        </w:rPr>
      </w:pPr>
      <w:r>
        <w:rPr>
          <w:rStyle w:val="FootnoteReference"/>
        </w:rPr>
        <w:footnoteRef/>
      </w:r>
      <w:r>
        <w:rPr>
          <w:lang w:val="sv-SE"/>
        </w:rPr>
        <w:tab/>
      </w:r>
      <w:proofErr w:type="spellStart"/>
      <w:r>
        <w:rPr>
          <w:lang w:val="sv-SE"/>
        </w:rPr>
        <w:t>Zajednička</w:t>
      </w:r>
      <w:proofErr w:type="spellEnd"/>
      <w:r>
        <w:rPr>
          <w:lang w:val="sv-SE"/>
        </w:rPr>
        <w:t xml:space="preserve"> </w:t>
      </w:r>
      <w:proofErr w:type="spellStart"/>
      <w:r>
        <w:rPr>
          <w:lang w:val="sv-SE"/>
        </w:rPr>
        <w:t>izjava</w:t>
      </w:r>
      <w:proofErr w:type="spellEnd"/>
      <w:r>
        <w:rPr>
          <w:lang w:val="sv-SE"/>
        </w:rPr>
        <w:t xml:space="preserve"> </w:t>
      </w:r>
      <w:proofErr w:type="spellStart"/>
      <w:r>
        <w:rPr>
          <w:lang w:val="sv-SE"/>
        </w:rPr>
        <w:t>Europskog</w:t>
      </w:r>
      <w:proofErr w:type="spellEnd"/>
      <w:r>
        <w:rPr>
          <w:lang w:val="sv-SE"/>
        </w:rPr>
        <w:t xml:space="preserve"> </w:t>
      </w:r>
      <w:proofErr w:type="spellStart"/>
      <w:r>
        <w:rPr>
          <w:lang w:val="sv-SE"/>
        </w:rPr>
        <w:t>parlamenta</w:t>
      </w:r>
      <w:proofErr w:type="spellEnd"/>
      <w:r>
        <w:rPr>
          <w:lang w:val="sv-SE"/>
        </w:rPr>
        <w:t xml:space="preserve">, </w:t>
      </w:r>
      <w:proofErr w:type="spellStart"/>
      <w:r>
        <w:rPr>
          <w:lang w:val="sv-SE"/>
        </w:rPr>
        <w:t>Vijeća</w:t>
      </w:r>
      <w:proofErr w:type="spellEnd"/>
      <w:r>
        <w:rPr>
          <w:lang w:val="sv-SE"/>
        </w:rPr>
        <w:t xml:space="preserve"> i </w:t>
      </w:r>
      <w:proofErr w:type="spellStart"/>
      <w:r>
        <w:rPr>
          <w:lang w:val="sv-SE"/>
        </w:rPr>
        <w:t>Komisije</w:t>
      </w:r>
      <w:proofErr w:type="spellEnd"/>
      <w:r>
        <w:rPr>
          <w:lang w:val="sv-SE"/>
        </w:rPr>
        <w:t xml:space="preserve"> o </w:t>
      </w:r>
      <w:proofErr w:type="spellStart"/>
      <w:r>
        <w:rPr>
          <w:lang w:val="sv-SE"/>
        </w:rPr>
        <w:t>decentraliziranim</w:t>
      </w:r>
      <w:proofErr w:type="spellEnd"/>
      <w:r>
        <w:rPr>
          <w:lang w:val="sv-SE"/>
        </w:rPr>
        <w:t xml:space="preserve"> </w:t>
      </w:r>
      <w:proofErr w:type="spellStart"/>
      <w:r>
        <w:rPr>
          <w:lang w:val="sv-SE"/>
        </w:rPr>
        <w:t>agencijama</w:t>
      </w:r>
      <w:proofErr w:type="spellEnd"/>
      <w:r>
        <w:rPr>
          <w:lang w:val="sv-SE"/>
        </w:rPr>
        <w:t xml:space="preserve"> </w:t>
      </w:r>
      <w:proofErr w:type="spellStart"/>
      <w:r>
        <w:rPr>
          <w:lang w:val="sv-SE"/>
        </w:rPr>
        <w:t>od</w:t>
      </w:r>
      <w:proofErr w:type="spellEnd"/>
      <w:r>
        <w:rPr>
          <w:lang w:val="sv-SE"/>
        </w:rPr>
        <w:t xml:space="preserve"> 19. </w:t>
      </w:r>
      <w:proofErr w:type="spellStart"/>
      <w:r>
        <w:rPr>
          <w:lang w:val="sv-SE"/>
        </w:rPr>
        <w:t>srpnja</w:t>
      </w:r>
      <w:proofErr w:type="spellEnd"/>
      <w:r>
        <w:rPr>
          <w:lang w:val="sv-SE"/>
        </w:rPr>
        <w:t> 2012.</w:t>
      </w:r>
    </w:p>
  </w:footnote>
  <w:footnote w:id="29">
    <w:p w:rsidR="006C0808" w:rsidRDefault="00E3601E">
      <w:pPr>
        <w:pStyle w:val="FootnoteText"/>
        <w:rPr>
          <w:lang w:val="sv-SE"/>
        </w:rPr>
      </w:pPr>
      <w:r>
        <w:rPr>
          <w:rStyle w:val="FootnoteReference"/>
        </w:rPr>
        <w:footnoteRef/>
      </w:r>
      <w:r>
        <w:rPr>
          <w:lang w:val="sv-SE"/>
        </w:rPr>
        <w:tab/>
      </w:r>
      <w:proofErr w:type="spellStart"/>
      <w:r>
        <w:rPr>
          <w:lang w:val="sv-SE"/>
        </w:rPr>
        <w:t>Odluka</w:t>
      </w:r>
      <w:proofErr w:type="spellEnd"/>
      <w:r>
        <w:rPr>
          <w:lang w:val="sv-SE"/>
        </w:rPr>
        <w:t xml:space="preserve"> 2002/622/EZ o </w:t>
      </w:r>
      <w:proofErr w:type="spellStart"/>
      <w:r>
        <w:rPr>
          <w:lang w:val="sv-SE"/>
        </w:rPr>
        <w:t>osnivanju</w:t>
      </w:r>
      <w:proofErr w:type="spellEnd"/>
      <w:r>
        <w:rPr>
          <w:lang w:val="sv-SE"/>
        </w:rPr>
        <w:t xml:space="preserve"> </w:t>
      </w:r>
      <w:proofErr w:type="spellStart"/>
      <w:r>
        <w:rPr>
          <w:lang w:val="sv-SE"/>
        </w:rPr>
        <w:t>Skupine</w:t>
      </w:r>
      <w:proofErr w:type="spellEnd"/>
      <w:r>
        <w:rPr>
          <w:lang w:val="sv-SE"/>
        </w:rPr>
        <w:t xml:space="preserve"> </w:t>
      </w:r>
      <w:proofErr w:type="spellStart"/>
      <w:r>
        <w:rPr>
          <w:lang w:val="sv-SE"/>
        </w:rPr>
        <w:t>za</w:t>
      </w:r>
      <w:proofErr w:type="spellEnd"/>
      <w:r>
        <w:rPr>
          <w:lang w:val="sv-SE"/>
        </w:rPr>
        <w:t xml:space="preserve"> </w:t>
      </w:r>
      <w:proofErr w:type="spellStart"/>
      <w:r>
        <w:rPr>
          <w:lang w:val="sv-SE"/>
        </w:rPr>
        <w:t>politiku</w:t>
      </w:r>
      <w:proofErr w:type="spellEnd"/>
      <w:r>
        <w:rPr>
          <w:lang w:val="sv-SE"/>
        </w:rPr>
        <w:t xml:space="preserve"> </w:t>
      </w:r>
      <w:proofErr w:type="spellStart"/>
      <w:r>
        <w:rPr>
          <w:lang w:val="sv-SE"/>
        </w:rPr>
        <w:t>radiofrekvencijskog</w:t>
      </w:r>
      <w:proofErr w:type="spellEnd"/>
      <w:r>
        <w:rPr>
          <w:lang w:val="sv-SE"/>
        </w:rPr>
        <w:t xml:space="preserve"> spektra </w:t>
      </w:r>
      <w:r>
        <w:rPr>
          <w:b/>
          <w:lang w:val="sv-SE"/>
        </w:rPr>
        <w:t>(</w:t>
      </w:r>
      <w:r>
        <w:rPr>
          <w:lang w:val="sv-SE"/>
        </w:rPr>
        <w:t>SL L 198, 27.7.2002., str. 49).</w:t>
      </w:r>
    </w:p>
  </w:footnote>
  <w:footnote w:id="30">
    <w:p w:rsidR="006C0808" w:rsidRDefault="00E3601E">
      <w:pPr>
        <w:pStyle w:val="FootnoteText"/>
        <w:rPr>
          <w:lang w:val="sv-SE"/>
        </w:rPr>
      </w:pPr>
      <w:r>
        <w:rPr>
          <w:rStyle w:val="FootnoteReference"/>
        </w:rPr>
        <w:footnoteRef/>
      </w:r>
      <w:r>
        <w:rPr>
          <w:lang w:val="sv-SE"/>
        </w:rPr>
        <w:tab/>
      </w:r>
      <w:proofErr w:type="spellStart"/>
      <w:r>
        <w:rPr>
          <w:lang w:val="sv-SE"/>
        </w:rPr>
        <w:t>Osnovan</w:t>
      </w:r>
      <w:proofErr w:type="spellEnd"/>
      <w:r>
        <w:rPr>
          <w:lang w:val="sv-SE"/>
        </w:rPr>
        <w:t xml:space="preserve"> </w:t>
      </w:r>
      <w:proofErr w:type="spellStart"/>
      <w:r>
        <w:rPr>
          <w:lang w:val="sv-SE"/>
        </w:rPr>
        <w:t>Uredbom</w:t>
      </w:r>
      <w:proofErr w:type="spellEnd"/>
      <w:r>
        <w:rPr>
          <w:lang w:val="sv-SE"/>
        </w:rPr>
        <w:t xml:space="preserve"> (EU) 2016/679 </w:t>
      </w:r>
      <w:proofErr w:type="spellStart"/>
      <w:r>
        <w:rPr>
          <w:lang w:val="sv-SE"/>
        </w:rPr>
        <w:t>Europskog</w:t>
      </w:r>
      <w:proofErr w:type="spellEnd"/>
      <w:r>
        <w:rPr>
          <w:lang w:val="sv-SE"/>
        </w:rPr>
        <w:t xml:space="preserve"> </w:t>
      </w:r>
      <w:proofErr w:type="spellStart"/>
      <w:r>
        <w:rPr>
          <w:lang w:val="sv-SE"/>
        </w:rPr>
        <w:t>parlamenta</w:t>
      </w:r>
      <w:proofErr w:type="spellEnd"/>
      <w:r>
        <w:rPr>
          <w:lang w:val="sv-SE"/>
        </w:rPr>
        <w:t xml:space="preserve"> i </w:t>
      </w:r>
      <w:proofErr w:type="spellStart"/>
      <w:r>
        <w:rPr>
          <w:lang w:val="sv-SE"/>
        </w:rPr>
        <w:t>Vijeća</w:t>
      </w:r>
      <w:proofErr w:type="spellEnd"/>
      <w:r>
        <w:rPr>
          <w:lang w:val="sv-SE"/>
        </w:rPr>
        <w:t xml:space="preserve"> </w:t>
      </w:r>
      <w:proofErr w:type="spellStart"/>
      <w:r>
        <w:rPr>
          <w:lang w:val="sv-SE"/>
        </w:rPr>
        <w:t>od</w:t>
      </w:r>
      <w:proofErr w:type="spellEnd"/>
      <w:r>
        <w:rPr>
          <w:lang w:val="sv-SE"/>
        </w:rPr>
        <w:t xml:space="preserve"> 27. </w:t>
      </w:r>
      <w:proofErr w:type="spellStart"/>
      <w:r>
        <w:rPr>
          <w:lang w:val="sv-SE"/>
        </w:rPr>
        <w:t>travnja</w:t>
      </w:r>
      <w:proofErr w:type="spellEnd"/>
      <w:r>
        <w:rPr>
          <w:lang w:val="sv-SE"/>
        </w:rPr>
        <w:t xml:space="preserve"> 2016. o </w:t>
      </w:r>
      <w:proofErr w:type="spellStart"/>
      <w:r>
        <w:rPr>
          <w:lang w:val="sv-SE"/>
        </w:rPr>
        <w:t>zaštiti</w:t>
      </w:r>
      <w:proofErr w:type="spellEnd"/>
      <w:r>
        <w:rPr>
          <w:lang w:val="sv-SE"/>
        </w:rPr>
        <w:t xml:space="preserve"> </w:t>
      </w:r>
      <w:proofErr w:type="spellStart"/>
      <w:r>
        <w:rPr>
          <w:lang w:val="sv-SE"/>
        </w:rPr>
        <w:t>pojedinaca</w:t>
      </w:r>
      <w:proofErr w:type="spellEnd"/>
      <w:r>
        <w:rPr>
          <w:lang w:val="sv-SE"/>
        </w:rPr>
        <w:t xml:space="preserve"> u </w:t>
      </w:r>
      <w:proofErr w:type="spellStart"/>
      <w:r>
        <w:rPr>
          <w:lang w:val="sv-SE"/>
        </w:rPr>
        <w:t>vezi</w:t>
      </w:r>
      <w:proofErr w:type="spellEnd"/>
      <w:r>
        <w:rPr>
          <w:lang w:val="sv-SE"/>
        </w:rPr>
        <w:t xml:space="preserve"> s </w:t>
      </w:r>
      <w:proofErr w:type="spellStart"/>
      <w:r>
        <w:rPr>
          <w:lang w:val="sv-SE"/>
        </w:rPr>
        <w:t>obradom</w:t>
      </w:r>
      <w:proofErr w:type="spellEnd"/>
      <w:r>
        <w:rPr>
          <w:lang w:val="sv-SE"/>
        </w:rPr>
        <w:t xml:space="preserve"> </w:t>
      </w:r>
      <w:proofErr w:type="spellStart"/>
      <w:r>
        <w:rPr>
          <w:lang w:val="sv-SE"/>
        </w:rPr>
        <w:t>o</w:t>
      </w:r>
      <w:r>
        <w:rPr>
          <w:lang w:val="sv-SE"/>
        </w:rPr>
        <w:t>sobnih</w:t>
      </w:r>
      <w:proofErr w:type="spellEnd"/>
      <w:r>
        <w:rPr>
          <w:lang w:val="sv-SE"/>
        </w:rPr>
        <w:t xml:space="preserve"> </w:t>
      </w:r>
      <w:proofErr w:type="spellStart"/>
      <w:r>
        <w:rPr>
          <w:lang w:val="sv-SE"/>
        </w:rPr>
        <w:t>podataka</w:t>
      </w:r>
      <w:proofErr w:type="spellEnd"/>
      <w:r>
        <w:rPr>
          <w:lang w:val="sv-SE"/>
        </w:rPr>
        <w:t xml:space="preserve"> i o </w:t>
      </w:r>
      <w:proofErr w:type="spellStart"/>
      <w:r>
        <w:rPr>
          <w:lang w:val="sv-SE"/>
        </w:rPr>
        <w:t>slobodnom</w:t>
      </w:r>
      <w:proofErr w:type="spellEnd"/>
      <w:r>
        <w:rPr>
          <w:lang w:val="sv-SE"/>
        </w:rPr>
        <w:t xml:space="preserve"> </w:t>
      </w:r>
      <w:proofErr w:type="spellStart"/>
      <w:r>
        <w:rPr>
          <w:lang w:val="sv-SE"/>
        </w:rPr>
        <w:t>kretanju</w:t>
      </w:r>
      <w:proofErr w:type="spellEnd"/>
      <w:r>
        <w:rPr>
          <w:lang w:val="sv-SE"/>
        </w:rPr>
        <w:t xml:space="preserve"> </w:t>
      </w:r>
      <w:proofErr w:type="spellStart"/>
      <w:r>
        <w:rPr>
          <w:lang w:val="sv-SE"/>
        </w:rPr>
        <w:t>takvih</w:t>
      </w:r>
      <w:proofErr w:type="spellEnd"/>
      <w:r>
        <w:rPr>
          <w:lang w:val="sv-SE"/>
        </w:rPr>
        <w:t xml:space="preserve"> </w:t>
      </w:r>
      <w:proofErr w:type="spellStart"/>
      <w:r>
        <w:rPr>
          <w:lang w:val="sv-SE"/>
        </w:rPr>
        <w:t>podataka</w:t>
      </w:r>
      <w:proofErr w:type="spellEnd"/>
      <w:r>
        <w:rPr>
          <w:lang w:val="sv-SE"/>
        </w:rPr>
        <w:t xml:space="preserve"> te o </w:t>
      </w:r>
      <w:proofErr w:type="spellStart"/>
      <w:r>
        <w:rPr>
          <w:lang w:val="sv-SE"/>
        </w:rPr>
        <w:t>stavljanju</w:t>
      </w:r>
      <w:proofErr w:type="spellEnd"/>
      <w:r>
        <w:rPr>
          <w:lang w:val="sv-SE"/>
        </w:rPr>
        <w:t xml:space="preserve"> </w:t>
      </w:r>
      <w:proofErr w:type="spellStart"/>
      <w:r>
        <w:rPr>
          <w:lang w:val="sv-SE"/>
        </w:rPr>
        <w:t>izvan</w:t>
      </w:r>
      <w:proofErr w:type="spellEnd"/>
      <w:r>
        <w:rPr>
          <w:lang w:val="sv-SE"/>
        </w:rPr>
        <w:t xml:space="preserve"> </w:t>
      </w:r>
      <w:proofErr w:type="spellStart"/>
      <w:r>
        <w:rPr>
          <w:lang w:val="sv-SE"/>
        </w:rPr>
        <w:t>snage</w:t>
      </w:r>
      <w:proofErr w:type="spellEnd"/>
      <w:r>
        <w:rPr>
          <w:lang w:val="sv-SE"/>
        </w:rPr>
        <w:t xml:space="preserve"> </w:t>
      </w:r>
      <w:proofErr w:type="spellStart"/>
      <w:r>
        <w:rPr>
          <w:lang w:val="sv-SE"/>
        </w:rPr>
        <w:t>Direktive</w:t>
      </w:r>
      <w:proofErr w:type="spellEnd"/>
      <w:r>
        <w:rPr>
          <w:lang w:val="sv-SE"/>
        </w:rPr>
        <w:t> 95/46/EZ (SL L 119, 4.5.2016., str. 1.).</w:t>
      </w:r>
    </w:p>
  </w:footnote>
  <w:footnote w:id="31">
    <w:p w:rsidR="006C0808" w:rsidRDefault="00E3601E">
      <w:pPr>
        <w:pStyle w:val="FootnoteText"/>
        <w:rPr>
          <w:lang w:val="sv-SE"/>
        </w:rPr>
      </w:pPr>
      <w:r>
        <w:rPr>
          <w:rStyle w:val="FootnoteReference"/>
        </w:rPr>
        <w:footnoteRef/>
      </w:r>
      <w:r>
        <w:rPr>
          <w:lang w:val="sv-SE"/>
        </w:rPr>
        <w:tab/>
      </w:r>
      <w:proofErr w:type="spellStart"/>
      <w:r>
        <w:rPr>
          <w:lang w:val="sv-SE"/>
        </w:rPr>
        <w:t>Direktiva</w:t>
      </w:r>
      <w:proofErr w:type="spellEnd"/>
      <w:r>
        <w:rPr>
          <w:lang w:val="sv-SE"/>
        </w:rPr>
        <w:t xml:space="preserve"> [</w:t>
      </w:r>
      <w:r>
        <w:rPr>
          <w:highlight w:val="yellow"/>
          <w:lang w:val="sv-SE"/>
        </w:rPr>
        <w:t>...</w:t>
      </w:r>
      <w:r>
        <w:rPr>
          <w:lang w:val="sv-SE"/>
        </w:rPr>
        <w:t>].</w:t>
      </w:r>
    </w:p>
  </w:footnote>
  <w:footnote w:id="32">
    <w:p w:rsidR="006C0808" w:rsidRDefault="00E3601E">
      <w:pPr>
        <w:pStyle w:val="FootnoteText"/>
        <w:rPr>
          <w:lang w:val="sv-SE"/>
        </w:rPr>
      </w:pPr>
      <w:r>
        <w:rPr>
          <w:rStyle w:val="FootnoteReference"/>
        </w:rPr>
        <w:footnoteRef/>
      </w:r>
      <w:r>
        <w:rPr>
          <w:lang w:val="sv-SE"/>
        </w:rPr>
        <w:tab/>
      </w:r>
      <w:proofErr w:type="spellStart"/>
      <w:r>
        <w:rPr>
          <w:lang w:val="sv-SE"/>
        </w:rPr>
        <w:t>Uredba</w:t>
      </w:r>
      <w:proofErr w:type="spellEnd"/>
      <w:r>
        <w:rPr>
          <w:lang w:val="sv-SE"/>
        </w:rPr>
        <w:t xml:space="preserve"> (EU) br. 526/2013 </w:t>
      </w:r>
      <w:proofErr w:type="spellStart"/>
      <w:r>
        <w:rPr>
          <w:lang w:val="sv-SE"/>
        </w:rPr>
        <w:t>Europskog</w:t>
      </w:r>
      <w:proofErr w:type="spellEnd"/>
      <w:r>
        <w:rPr>
          <w:lang w:val="sv-SE"/>
        </w:rPr>
        <w:t xml:space="preserve"> </w:t>
      </w:r>
      <w:proofErr w:type="spellStart"/>
      <w:r>
        <w:rPr>
          <w:lang w:val="sv-SE"/>
        </w:rPr>
        <w:t>parlamenta</w:t>
      </w:r>
      <w:proofErr w:type="spellEnd"/>
      <w:r>
        <w:rPr>
          <w:lang w:val="sv-SE"/>
        </w:rPr>
        <w:t xml:space="preserve"> i </w:t>
      </w:r>
      <w:proofErr w:type="spellStart"/>
      <w:r>
        <w:rPr>
          <w:lang w:val="sv-SE"/>
        </w:rPr>
        <w:t>Vijeća</w:t>
      </w:r>
      <w:proofErr w:type="spellEnd"/>
      <w:r>
        <w:rPr>
          <w:lang w:val="sv-SE"/>
        </w:rPr>
        <w:t xml:space="preserve"> </w:t>
      </w:r>
      <w:proofErr w:type="spellStart"/>
      <w:r>
        <w:rPr>
          <w:lang w:val="sv-SE"/>
        </w:rPr>
        <w:t>od</w:t>
      </w:r>
      <w:proofErr w:type="spellEnd"/>
      <w:r>
        <w:rPr>
          <w:lang w:val="sv-SE"/>
        </w:rPr>
        <w:t xml:space="preserve"> 21. </w:t>
      </w:r>
      <w:proofErr w:type="spellStart"/>
      <w:r>
        <w:rPr>
          <w:lang w:val="sv-SE"/>
        </w:rPr>
        <w:t>svibnja</w:t>
      </w:r>
      <w:proofErr w:type="spellEnd"/>
      <w:r>
        <w:rPr>
          <w:lang w:val="sv-SE"/>
        </w:rPr>
        <w:t xml:space="preserve"> 2013. o </w:t>
      </w:r>
      <w:proofErr w:type="spellStart"/>
      <w:r>
        <w:rPr>
          <w:lang w:val="sv-SE"/>
        </w:rPr>
        <w:t>Agenciji</w:t>
      </w:r>
      <w:proofErr w:type="spellEnd"/>
      <w:r>
        <w:rPr>
          <w:lang w:val="sv-SE"/>
        </w:rPr>
        <w:t xml:space="preserve"> </w:t>
      </w:r>
      <w:proofErr w:type="spellStart"/>
      <w:r>
        <w:rPr>
          <w:lang w:val="sv-SE"/>
        </w:rPr>
        <w:t>Europske</w:t>
      </w:r>
      <w:proofErr w:type="spellEnd"/>
      <w:r>
        <w:rPr>
          <w:lang w:val="sv-SE"/>
        </w:rPr>
        <w:t xml:space="preserve"> </w:t>
      </w:r>
      <w:proofErr w:type="spellStart"/>
      <w:r>
        <w:rPr>
          <w:lang w:val="sv-SE"/>
        </w:rPr>
        <w:t>unije</w:t>
      </w:r>
      <w:proofErr w:type="spellEnd"/>
      <w:r>
        <w:rPr>
          <w:lang w:val="sv-SE"/>
        </w:rPr>
        <w:t xml:space="preserve"> </w:t>
      </w:r>
      <w:proofErr w:type="spellStart"/>
      <w:r>
        <w:rPr>
          <w:lang w:val="sv-SE"/>
        </w:rPr>
        <w:t>za</w:t>
      </w:r>
      <w:proofErr w:type="spellEnd"/>
      <w:r>
        <w:rPr>
          <w:lang w:val="sv-SE"/>
        </w:rPr>
        <w:t xml:space="preserve"> </w:t>
      </w:r>
      <w:proofErr w:type="spellStart"/>
      <w:r>
        <w:rPr>
          <w:lang w:val="sv-SE"/>
        </w:rPr>
        <w:t>mrežnu</w:t>
      </w:r>
      <w:proofErr w:type="spellEnd"/>
      <w:r>
        <w:rPr>
          <w:lang w:val="sv-SE"/>
        </w:rPr>
        <w:t xml:space="preserve"> i </w:t>
      </w:r>
      <w:proofErr w:type="spellStart"/>
      <w:r>
        <w:rPr>
          <w:lang w:val="sv-SE"/>
        </w:rPr>
        <w:t>informacijsku</w:t>
      </w:r>
      <w:proofErr w:type="spellEnd"/>
      <w:r>
        <w:rPr>
          <w:lang w:val="sv-SE"/>
        </w:rPr>
        <w:t xml:space="preserve"> </w:t>
      </w:r>
      <w:proofErr w:type="spellStart"/>
      <w:r>
        <w:rPr>
          <w:lang w:val="sv-SE"/>
        </w:rPr>
        <w:t>sigurnost</w:t>
      </w:r>
      <w:proofErr w:type="spellEnd"/>
      <w:r>
        <w:rPr>
          <w:lang w:val="sv-SE"/>
        </w:rPr>
        <w:t xml:space="preserve"> (ENISA) i o </w:t>
      </w:r>
      <w:proofErr w:type="spellStart"/>
      <w:r>
        <w:rPr>
          <w:lang w:val="sv-SE"/>
        </w:rPr>
        <w:t>stavljanju</w:t>
      </w:r>
      <w:proofErr w:type="spellEnd"/>
      <w:r>
        <w:rPr>
          <w:lang w:val="sv-SE"/>
        </w:rPr>
        <w:t xml:space="preserve"> </w:t>
      </w:r>
      <w:proofErr w:type="spellStart"/>
      <w:r>
        <w:rPr>
          <w:lang w:val="sv-SE"/>
        </w:rPr>
        <w:t>izvan</w:t>
      </w:r>
      <w:proofErr w:type="spellEnd"/>
      <w:r>
        <w:rPr>
          <w:lang w:val="sv-SE"/>
        </w:rPr>
        <w:t xml:space="preserve"> </w:t>
      </w:r>
      <w:proofErr w:type="spellStart"/>
      <w:r>
        <w:rPr>
          <w:lang w:val="sv-SE"/>
        </w:rPr>
        <w:t>snage</w:t>
      </w:r>
      <w:proofErr w:type="spellEnd"/>
      <w:r>
        <w:rPr>
          <w:lang w:val="sv-SE"/>
        </w:rPr>
        <w:t xml:space="preserve"> </w:t>
      </w:r>
      <w:proofErr w:type="spellStart"/>
      <w:r>
        <w:rPr>
          <w:lang w:val="sv-SE"/>
        </w:rPr>
        <w:t>Uredbe</w:t>
      </w:r>
      <w:proofErr w:type="spellEnd"/>
      <w:r>
        <w:rPr>
          <w:lang w:val="sv-SE"/>
        </w:rPr>
        <w:t xml:space="preserve"> (EZ) br. 460/2004 (SL L 165, 18.6.2013., str. 41.).</w:t>
      </w:r>
    </w:p>
  </w:footnote>
  <w:footnote w:id="33">
    <w:p w:rsidR="006C0808" w:rsidRDefault="00E3601E">
      <w:pPr>
        <w:pStyle w:val="FootnoteText"/>
        <w:rPr>
          <w:lang w:val="sv-SE"/>
        </w:rPr>
      </w:pPr>
      <w:r>
        <w:rPr>
          <w:rStyle w:val="FootnoteReference"/>
        </w:rPr>
        <w:footnoteRef/>
      </w:r>
      <w:r>
        <w:rPr>
          <w:lang w:val="sv-SE"/>
        </w:rPr>
        <w:tab/>
      </w:r>
      <w:proofErr w:type="spellStart"/>
      <w:r>
        <w:rPr>
          <w:lang w:val="sv-SE"/>
        </w:rPr>
        <w:t>Uredba</w:t>
      </w:r>
      <w:proofErr w:type="spellEnd"/>
      <w:r>
        <w:rPr>
          <w:lang w:val="sv-SE"/>
        </w:rPr>
        <w:t xml:space="preserve"> (EU) br. 182/2011 </w:t>
      </w:r>
      <w:proofErr w:type="spellStart"/>
      <w:r>
        <w:rPr>
          <w:lang w:val="sv-SE"/>
        </w:rPr>
        <w:t>Europskog</w:t>
      </w:r>
      <w:proofErr w:type="spellEnd"/>
      <w:r>
        <w:rPr>
          <w:lang w:val="sv-SE"/>
        </w:rPr>
        <w:t xml:space="preserve"> </w:t>
      </w:r>
      <w:proofErr w:type="spellStart"/>
      <w:r>
        <w:rPr>
          <w:lang w:val="sv-SE"/>
        </w:rPr>
        <w:t>parlamenta</w:t>
      </w:r>
      <w:proofErr w:type="spellEnd"/>
      <w:r>
        <w:rPr>
          <w:lang w:val="sv-SE"/>
        </w:rPr>
        <w:t xml:space="preserve"> i </w:t>
      </w:r>
      <w:proofErr w:type="spellStart"/>
      <w:r>
        <w:rPr>
          <w:lang w:val="sv-SE"/>
        </w:rPr>
        <w:t>Vijeća</w:t>
      </w:r>
      <w:proofErr w:type="spellEnd"/>
      <w:r>
        <w:rPr>
          <w:lang w:val="sv-SE"/>
        </w:rPr>
        <w:t xml:space="preserve"> </w:t>
      </w:r>
      <w:proofErr w:type="spellStart"/>
      <w:r>
        <w:rPr>
          <w:lang w:val="sv-SE"/>
        </w:rPr>
        <w:t>od</w:t>
      </w:r>
      <w:proofErr w:type="spellEnd"/>
      <w:r>
        <w:rPr>
          <w:lang w:val="sv-SE"/>
        </w:rPr>
        <w:t xml:space="preserve"> 16. </w:t>
      </w:r>
      <w:proofErr w:type="spellStart"/>
      <w:r>
        <w:rPr>
          <w:lang w:val="sv-SE"/>
        </w:rPr>
        <w:t>veljače</w:t>
      </w:r>
      <w:proofErr w:type="spellEnd"/>
      <w:r>
        <w:rPr>
          <w:lang w:val="sv-SE"/>
        </w:rPr>
        <w:t xml:space="preserve"> 2011. o </w:t>
      </w:r>
      <w:proofErr w:type="spellStart"/>
      <w:r>
        <w:rPr>
          <w:lang w:val="sv-SE"/>
        </w:rPr>
        <w:t>utvrđivanju</w:t>
      </w:r>
      <w:proofErr w:type="spellEnd"/>
      <w:r>
        <w:rPr>
          <w:lang w:val="sv-SE"/>
        </w:rPr>
        <w:t xml:space="preserve"> </w:t>
      </w:r>
      <w:proofErr w:type="spellStart"/>
      <w:r>
        <w:rPr>
          <w:lang w:val="sv-SE"/>
        </w:rPr>
        <w:t>pravila</w:t>
      </w:r>
      <w:proofErr w:type="spellEnd"/>
      <w:r>
        <w:rPr>
          <w:lang w:val="sv-SE"/>
        </w:rPr>
        <w:t xml:space="preserve"> i </w:t>
      </w:r>
      <w:proofErr w:type="spellStart"/>
      <w:r>
        <w:rPr>
          <w:lang w:val="sv-SE"/>
        </w:rPr>
        <w:t>općih</w:t>
      </w:r>
      <w:proofErr w:type="spellEnd"/>
      <w:r>
        <w:rPr>
          <w:lang w:val="sv-SE"/>
        </w:rPr>
        <w:t xml:space="preserve"> </w:t>
      </w:r>
      <w:proofErr w:type="spellStart"/>
      <w:r>
        <w:rPr>
          <w:lang w:val="sv-SE"/>
        </w:rPr>
        <w:t>načela</w:t>
      </w:r>
      <w:proofErr w:type="spellEnd"/>
      <w:r>
        <w:rPr>
          <w:lang w:val="sv-SE"/>
        </w:rPr>
        <w:t xml:space="preserve"> u </w:t>
      </w:r>
      <w:proofErr w:type="spellStart"/>
      <w:r>
        <w:rPr>
          <w:lang w:val="sv-SE"/>
        </w:rPr>
        <w:t>vezi</w:t>
      </w:r>
      <w:proofErr w:type="spellEnd"/>
      <w:r>
        <w:rPr>
          <w:lang w:val="sv-SE"/>
        </w:rPr>
        <w:t xml:space="preserve"> s </w:t>
      </w:r>
      <w:proofErr w:type="spellStart"/>
      <w:r>
        <w:rPr>
          <w:lang w:val="sv-SE"/>
        </w:rPr>
        <w:t>m</w:t>
      </w:r>
      <w:r>
        <w:rPr>
          <w:lang w:val="sv-SE"/>
        </w:rPr>
        <w:t>ehanizmima</w:t>
      </w:r>
      <w:proofErr w:type="spellEnd"/>
      <w:r>
        <w:rPr>
          <w:lang w:val="sv-SE"/>
        </w:rPr>
        <w:t xml:space="preserve"> </w:t>
      </w:r>
      <w:proofErr w:type="spellStart"/>
      <w:r>
        <w:rPr>
          <w:lang w:val="sv-SE"/>
        </w:rPr>
        <w:t>nadzora</w:t>
      </w:r>
      <w:proofErr w:type="spellEnd"/>
      <w:r>
        <w:rPr>
          <w:lang w:val="sv-SE"/>
        </w:rPr>
        <w:t xml:space="preserve"> </w:t>
      </w:r>
      <w:proofErr w:type="spellStart"/>
      <w:r>
        <w:rPr>
          <w:lang w:val="sv-SE"/>
        </w:rPr>
        <w:t>država</w:t>
      </w:r>
      <w:proofErr w:type="spellEnd"/>
      <w:r>
        <w:rPr>
          <w:lang w:val="sv-SE"/>
        </w:rPr>
        <w:t xml:space="preserve"> </w:t>
      </w:r>
      <w:proofErr w:type="spellStart"/>
      <w:r>
        <w:rPr>
          <w:lang w:val="sv-SE"/>
        </w:rPr>
        <w:t>članica</w:t>
      </w:r>
      <w:proofErr w:type="spellEnd"/>
      <w:r>
        <w:rPr>
          <w:lang w:val="sv-SE"/>
        </w:rPr>
        <w:t xml:space="preserve"> </w:t>
      </w:r>
      <w:proofErr w:type="spellStart"/>
      <w:r>
        <w:rPr>
          <w:lang w:val="sv-SE"/>
        </w:rPr>
        <w:t>nad</w:t>
      </w:r>
      <w:proofErr w:type="spellEnd"/>
      <w:r>
        <w:rPr>
          <w:lang w:val="sv-SE"/>
        </w:rPr>
        <w:t xml:space="preserve"> </w:t>
      </w:r>
      <w:proofErr w:type="spellStart"/>
      <w:r>
        <w:rPr>
          <w:lang w:val="sv-SE"/>
        </w:rPr>
        <w:t>izvršavanjem</w:t>
      </w:r>
      <w:proofErr w:type="spellEnd"/>
      <w:r>
        <w:rPr>
          <w:lang w:val="sv-SE"/>
        </w:rPr>
        <w:t xml:space="preserve"> </w:t>
      </w:r>
      <w:proofErr w:type="spellStart"/>
      <w:r>
        <w:rPr>
          <w:lang w:val="sv-SE"/>
        </w:rPr>
        <w:t>provedbenih</w:t>
      </w:r>
      <w:proofErr w:type="spellEnd"/>
      <w:r>
        <w:rPr>
          <w:lang w:val="sv-SE"/>
        </w:rPr>
        <w:t xml:space="preserve"> </w:t>
      </w:r>
      <w:proofErr w:type="spellStart"/>
      <w:r>
        <w:rPr>
          <w:lang w:val="sv-SE"/>
        </w:rPr>
        <w:t>ovlasti</w:t>
      </w:r>
      <w:proofErr w:type="spellEnd"/>
      <w:r>
        <w:rPr>
          <w:lang w:val="sv-SE"/>
        </w:rPr>
        <w:t xml:space="preserve"> </w:t>
      </w:r>
      <w:proofErr w:type="spellStart"/>
      <w:r>
        <w:rPr>
          <w:lang w:val="sv-SE"/>
        </w:rPr>
        <w:t>Komisije</w:t>
      </w:r>
      <w:proofErr w:type="spellEnd"/>
      <w:r>
        <w:rPr>
          <w:lang w:val="sv-SE"/>
        </w:rPr>
        <w:t xml:space="preserve"> (SL L 55, 28.2.2011., str. 13.).</w:t>
      </w:r>
    </w:p>
  </w:footnote>
  <w:footnote w:id="34">
    <w:p w:rsidR="006C0808" w:rsidRDefault="00E3601E">
      <w:pPr>
        <w:pStyle w:val="FootnoteText"/>
        <w:rPr>
          <w:lang w:val="sv-SE"/>
        </w:rPr>
      </w:pPr>
      <w:r>
        <w:rPr>
          <w:rStyle w:val="FootnoteReference"/>
        </w:rPr>
        <w:footnoteRef/>
      </w:r>
      <w:r>
        <w:rPr>
          <w:lang w:val="sv-SE"/>
        </w:rPr>
        <w:tab/>
      </w:r>
      <w:proofErr w:type="spellStart"/>
      <w:r>
        <w:rPr>
          <w:lang w:val="sv-SE"/>
        </w:rPr>
        <w:t>Delegirana</w:t>
      </w:r>
      <w:proofErr w:type="spellEnd"/>
      <w:r>
        <w:rPr>
          <w:lang w:val="sv-SE"/>
        </w:rPr>
        <w:t xml:space="preserve"> </w:t>
      </w:r>
      <w:proofErr w:type="spellStart"/>
      <w:r>
        <w:rPr>
          <w:lang w:val="sv-SE"/>
        </w:rPr>
        <w:t>uredba</w:t>
      </w:r>
      <w:proofErr w:type="spellEnd"/>
      <w:r>
        <w:rPr>
          <w:lang w:val="sv-SE"/>
        </w:rPr>
        <w:t xml:space="preserve"> </w:t>
      </w:r>
      <w:proofErr w:type="spellStart"/>
      <w:r>
        <w:rPr>
          <w:lang w:val="sv-SE"/>
        </w:rPr>
        <w:t>Komisije</w:t>
      </w:r>
      <w:proofErr w:type="spellEnd"/>
      <w:r>
        <w:rPr>
          <w:lang w:val="sv-SE"/>
        </w:rPr>
        <w:t xml:space="preserve"> (EU) br. 1271/2013 </w:t>
      </w:r>
      <w:proofErr w:type="spellStart"/>
      <w:r>
        <w:rPr>
          <w:lang w:val="sv-SE"/>
        </w:rPr>
        <w:t>od</w:t>
      </w:r>
      <w:proofErr w:type="spellEnd"/>
      <w:r>
        <w:rPr>
          <w:lang w:val="sv-SE"/>
        </w:rPr>
        <w:t xml:space="preserve"> 30. </w:t>
      </w:r>
      <w:proofErr w:type="spellStart"/>
      <w:r>
        <w:rPr>
          <w:lang w:val="sv-SE"/>
        </w:rPr>
        <w:t>rujna</w:t>
      </w:r>
      <w:proofErr w:type="spellEnd"/>
      <w:r>
        <w:rPr>
          <w:lang w:val="sv-SE"/>
        </w:rPr>
        <w:t xml:space="preserve"> 2013. o </w:t>
      </w:r>
      <w:proofErr w:type="spellStart"/>
      <w:r>
        <w:rPr>
          <w:lang w:val="sv-SE"/>
        </w:rPr>
        <w:t>Okvirnoj</w:t>
      </w:r>
      <w:proofErr w:type="spellEnd"/>
      <w:r>
        <w:rPr>
          <w:lang w:val="sv-SE"/>
        </w:rPr>
        <w:t xml:space="preserve"> </w:t>
      </w:r>
      <w:proofErr w:type="spellStart"/>
      <w:r>
        <w:rPr>
          <w:lang w:val="sv-SE"/>
        </w:rPr>
        <w:t>financijskoj</w:t>
      </w:r>
      <w:proofErr w:type="spellEnd"/>
      <w:r>
        <w:rPr>
          <w:lang w:val="sv-SE"/>
        </w:rPr>
        <w:t xml:space="preserve"> </w:t>
      </w:r>
      <w:proofErr w:type="spellStart"/>
      <w:r>
        <w:rPr>
          <w:lang w:val="sv-SE"/>
        </w:rPr>
        <w:t>uredbi</w:t>
      </w:r>
      <w:proofErr w:type="spellEnd"/>
      <w:r>
        <w:rPr>
          <w:lang w:val="sv-SE"/>
        </w:rPr>
        <w:t xml:space="preserve"> </w:t>
      </w:r>
      <w:proofErr w:type="spellStart"/>
      <w:r>
        <w:rPr>
          <w:lang w:val="sv-SE"/>
        </w:rPr>
        <w:t>za</w:t>
      </w:r>
      <w:proofErr w:type="spellEnd"/>
      <w:r>
        <w:rPr>
          <w:lang w:val="sv-SE"/>
        </w:rPr>
        <w:t xml:space="preserve"> </w:t>
      </w:r>
      <w:proofErr w:type="spellStart"/>
      <w:r>
        <w:rPr>
          <w:lang w:val="sv-SE"/>
        </w:rPr>
        <w:t>tijela</w:t>
      </w:r>
      <w:proofErr w:type="spellEnd"/>
      <w:r>
        <w:rPr>
          <w:lang w:val="sv-SE"/>
        </w:rPr>
        <w:t xml:space="preserve"> </w:t>
      </w:r>
      <w:proofErr w:type="spellStart"/>
      <w:r>
        <w:rPr>
          <w:lang w:val="sv-SE"/>
        </w:rPr>
        <w:t>iz</w:t>
      </w:r>
      <w:proofErr w:type="spellEnd"/>
      <w:r>
        <w:rPr>
          <w:lang w:val="sv-SE"/>
        </w:rPr>
        <w:t xml:space="preserve"> </w:t>
      </w:r>
      <w:proofErr w:type="spellStart"/>
      <w:r>
        <w:rPr>
          <w:lang w:val="sv-SE"/>
        </w:rPr>
        <w:t>članka</w:t>
      </w:r>
      <w:proofErr w:type="spellEnd"/>
      <w:r>
        <w:rPr>
          <w:lang w:val="sv-SE"/>
        </w:rPr>
        <w:t xml:space="preserve"> 208. </w:t>
      </w:r>
      <w:proofErr w:type="spellStart"/>
      <w:r>
        <w:rPr>
          <w:lang w:val="sv-SE"/>
        </w:rPr>
        <w:t>Uredbe</w:t>
      </w:r>
      <w:proofErr w:type="spellEnd"/>
      <w:r>
        <w:rPr>
          <w:lang w:val="sv-SE"/>
        </w:rPr>
        <w:t xml:space="preserve"> (EU, Euratom)</w:t>
      </w:r>
      <w:r>
        <w:rPr>
          <w:lang w:val="sv-SE"/>
        </w:rPr>
        <w:t xml:space="preserve"> br. 966/2012 </w:t>
      </w:r>
      <w:proofErr w:type="spellStart"/>
      <w:r>
        <w:rPr>
          <w:lang w:val="sv-SE"/>
        </w:rPr>
        <w:t>Europskog</w:t>
      </w:r>
      <w:proofErr w:type="spellEnd"/>
      <w:r>
        <w:rPr>
          <w:lang w:val="sv-SE"/>
        </w:rPr>
        <w:t xml:space="preserve"> </w:t>
      </w:r>
      <w:proofErr w:type="spellStart"/>
      <w:r>
        <w:rPr>
          <w:lang w:val="sv-SE"/>
        </w:rPr>
        <w:t>parlamenta</w:t>
      </w:r>
      <w:proofErr w:type="spellEnd"/>
      <w:r>
        <w:rPr>
          <w:lang w:val="sv-SE"/>
        </w:rPr>
        <w:t xml:space="preserve"> i </w:t>
      </w:r>
      <w:proofErr w:type="spellStart"/>
      <w:r>
        <w:rPr>
          <w:lang w:val="sv-SE"/>
        </w:rPr>
        <w:t>Vijeća</w:t>
      </w:r>
      <w:proofErr w:type="spellEnd"/>
      <w:r>
        <w:rPr>
          <w:lang w:val="sv-SE"/>
        </w:rPr>
        <w:t xml:space="preserve"> (SL L 328, 7.12.2013., str. 42.).</w:t>
      </w:r>
    </w:p>
  </w:footnote>
  <w:footnote w:id="35">
    <w:p w:rsidR="006C0808" w:rsidRDefault="00E3601E">
      <w:pPr>
        <w:pStyle w:val="FootnoteText"/>
        <w:rPr>
          <w:lang w:val="sv-SE"/>
        </w:rPr>
      </w:pPr>
      <w:r>
        <w:rPr>
          <w:rStyle w:val="FootnoteReference"/>
        </w:rPr>
        <w:footnoteRef/>
      </w:r>
      <w:r>
        <w:rPr>
          <w:lang w:val="sv-SE"/>
        </w:rPr>
        <w:tab/>
      </w:r>
      <w:proofErr w:type="spellStart"/>
      <w:r>
        <w:rPr>
          <w:lang w:val="sv-SE"/>
        </w:rPr>
        <w:t>Međuinstitucionalni</w:t>
      </w:r>
      <w:proofErr w:type="spellEnd"/>
      <w:r>
        <w:rPr>
          <w:lang w:val="sv-SE"/>
        </w:rPr>
        <w:t xml:space="preserve"> </w:t>
      </w:r>
      <w:proofErr w:type="spellStart"/>
      <w:r>
        <w:rPr>
          <w:lang w:val="sv-SE"/>
        </w:rPr>
        <w:t>sporazum</w:t>
      </w:r>
      <w:proofErr w:type="spellEnd"/>
      <w:r>
        <w:rPr>
          <w:lang w:val="sv-SE"/>
        </w:rPr>
        <w:t xml:space="preserve"> </w:t>
      </w:r>
      <w:proofErr w:type="spellStart"/>
      <w:r>
        <w:rPr>
          <w:lang w:val="sv-SE"/>
        </w:rPr>
        <w:t>od</w:t>
      </w:r>
      <w:proofErr w:type="spellEnd"/>
      <w:r>
        <w:rPr>
          <w:lang w:val="sv-SE"/>
        </w:rPr>
        <w:t xml:space="preserve"> 2. </w:t>
      </w:r>
      <w:proofErr w:type="spellStart"/>
      <w:r>
        <w:rPr>
          <w:lang w:val="sv-SE"/>
        </w:rPr>
        <w:t>prosinca</w:t>
      </w:r>
      <w:proofErr w:type="spellEnd"/>
      <w:r>
        <w:rPr>
          <w:lang w:val="sv-SE"/>
        </w:rPr>
        <w:t xml:space="preserve"> 2013. </w:t>
      </w:r>
      <w:proofErr w:type="spellStart"/>
      <w:r>
        <w:rPr>
          <w:lang w:val="sv-SE"/>
        </w:rPr>
        <w:t>između</w:t>
      </w:r>
      <w:proofErr w:type="spellEnd"/>
      <w:r>
        <w:rPr>
          <w:lang w:val="sv-SE"/>
        </w:rPr>
        <w:t xml:space="preserve"> </w:t>
      </w:r>
      <w:proofErr w:type="spellStart"/>
      <w:r>
        <w:rPr>
          <w:lang w:val="sv-SE"/>
        </w:rPr>
        <w:t>Europskog</w:t>
      </w:r>
      <w:proofErr w:type="spellEnd"/>
      <w:r>
        <w:rPr>
          <w:lang w:val="sv-SE"/>
        </w:rPr>
        <w:t xml:space="preserve"> </w:t>
      </w:r>
      <w:proofErr w:type="spellStart"/>
      <w:r>
        <w:rPr>
          <w:lang w:val="sv-SE"/>
        </w:rPr>
        <w:t>parlamenta</w:t>
      </w:r>
      <w:proofErr w:type="spellEnd"/>
      <w:r>
        <w:rPr>
          <w:lang w:val="sv-SE"/>
        </w:rPr>
        <w:t xml:space="preserve">, </w:t>
      </w:r>
      <w:proofErr w:type="spellStart"/>
      <w:r>
        <w:rPr>
          <w:lang w:val="sv-SE"/>
        </w:rPr>
        <w:t>Vijeća</w:t>
      </w:r>
      <w:proofErr w:type="spellEnd"/>
      <w:r>
        <w:rPr>
          <w:lang w:val="sv-SE"/>
        </w:rPr>
        <w:t xml:space="preserve"> i </w:t>
      </w:r>
      <w:proofErr w:type="spellStart"/>
      <w:r>
        <w:rPr>
          <w:lang w:val="sv-SE"/>
        </w:rPr>
        <w:t>Komisije</w:t>
      </w:r>
      <w:proofErr w:type="spellEnd"/>
      <w:r>
        <w:rPr>
          <w:lang w:val="sv-SE"/>
        </w:rPr>
        <w:t xml:space="preserve"> o </w:t>
      </w:r>
      <w:proofErr w:type="spellStart"/>
      <w:r>
        <w:rPr>
          <w:lang w:val="sv-SE"/>
        </w:rPr>
        <w:t>proračunskoj</w:t>
      </w:r>
      <w:proofErr w:type="spellEnd"/>
      <w:r>
        <w:rPr>
          <w:lang w:val="sv-SE"/>
        </w:rPr>
        <w:t xml:space="preserve"> </w:t>
      </w:r>
      <w:proofErr w:type="spellStart"/>
      <w:r>
        <w:rPr>
          <w:lang w:val="sv-SE"/>
        </w:rPr>
        <w:t>disciplini</w:t>
      </w:r>
      <w:proofErr w:type="spellEnd"/>
      <w:r>
        <w:rPr>
          <w:lang w:val="sv-SE"/>
        </w:rPr>
        <w:t xml:space="preserve">, </w:t>
      </w:r>
      <w:proofErr w:type="spellStart"/>
      <w:r>
        <w:rPr>
          <w:lang w:val="sv-SE"/>
        </w:rPr>
        <w:t>suradnji</w:t>
      </w:r>
      <w:proofErr w:type="spellEnd"/>
      <w:r>
        <w:rPr>
          <w:lang w:val="sv-SE"/>
        </w:rPr>
        <w:t xml:space="preserve"> u </w:t>
      </w:r>
      <w:proofErr w:type="spellStart"/>
      <w:r>
        <w:rPr>
          <w:lang w:val="sv-SE"/>
        </w:rPr>
        <w:t>vezi</w:t>
      </w:r>
      <w:proofErr w:type="spellEnd"/>
      <w:r>
        <w:rPr>
          <w:lang w:val="sv-SE"/>
        </w:rPr>
        <w:t xml:space="preserve"> s </w:t>
      </w:r>
      <w:proofErr w:type="spellStart"/>
      <w:r>
        <w:rPr>
          <w:lang w:val="sv-SE"/>
        </w:rPr>
        <w:t>proračunskim</w:t>
      </w:r>
      <w:proofErr w:type="spellEnd"/>
      <w:r>
        <w:rPr>
          <w:lang w:val="sv-SE"/>
        </w:rPr>
        <w:t xml:space="preserve"> </w:t>
      </w:r>
      <w:proofErr w:type="spellStart"/>
      <w:r>
        <w:rPr>
          <w:lang w:val="sv-SE"/>
        </w:rPr>
        <w:t>pitanjima</w:t>
      </w:r>
      <w:proofErr w:type="spellEnd"/>
      <w:r>
        <w:rPr>
          <w:lang w:val="sv-SE"/>
        </w:rPr>
        <w:t xml:space="preserve"> i o </w:t>
      </w:r>
      <w:proofErr w:type="spellStart"/>
      <w:r>
        <w:rPr>
          <w:lang w:val="sv-SE"/>
        </w:rPr>
        <w:t>dobrom</w:t>
      </w:r>
      <w:proofErr w:type="spellEnd"/>
      <w:r>
        <w:rPr>
          <w:lang w:val="sv-SE"/>
        </w:rPr>
        <w:t xml:space="preserve"> </w:t>
      </w:r>
      <w:proofErr w:type="spellStart"/>
      <w:r>
        <w:rPr>
          <w:lang w:val="sv-SE"/>
        </w:rPr>
        <w:t>financijskom</w:t>
      </w:r>
      <w:proofErr w:type="spellEnd"/>
      <w:r>
        <w:rPr>
          <w:lang w:val="sv-SE"/>
        </w:rPr>
        <w:t xml:space="preserve"> </w:t>
      </w:r>
      <w:proofErr w:type="spellStart"/>
      <w:r>
        <w:rPr>
          <w:lang w:val="sv-SE"/>
        </w:rPr>
        <w:t>upravljanju</w:t>
      </w:r>
      <w:proofErr w:type="spellEnd"/>
      <w:r>
        <w:rPr>
          <w:lang w:val="sv-SE"/>
        </w:rPr>
        <w:t xml:space="preserve"> (SL C 373, 20.12.2013., str. 1.).</w:t>
      </w:r>
    </w:p>
  </w:footnote>
  <w:footnote w:id="36">
    <w:p w:rsidR="006C0808" w:rsidRDefault="00E3601E">
      <w:pPr>
        <w:pStyle w:val="FootnoteText"/>
        <w:rPr>
          <w:lang w:val="sv-SE"/>
        </w:rPr>
      </w:pPr>
      <w:r>
        <w:rPr>
          <w:rStyle w:val="FootnoteReference"/>
        </w:rPr>
        <w:footnoteRef/>
      </w:r>
      <w:r>
        <w:rPr>
          <w:lang w:val="sv-SE"/>
        </w:rPr>
        <w:tab/>
      </w:r>
      <w:proofErr w:type="spellStart"/>
      <w:r>
        <w:rPr>
          <w:lang w:val="sv-SE"/>
        </w:rPr>
        <w:t>Odluka</w:t>
      </w:r>
      <w:proofErr w:type="spellEnd"/>
      <w:r>
        <w:rPr>
          <w:lang w:val="sv-SE"/>
        </w:rPr>
        <w:t xml:space="preserve"> br. 243/2012/EU </w:t>
      </w:r>
      <w:proofErr w:type="spellStart"/>
      <w:r>
        <w:rPr>
          <w:lang w:val="sv-SE"/>
        </w:rPr>
        <w:t>Europskog</w:t>
      </w:r>
      <w:proofErr w:type="spellEnd"/>
      <w:r>
        <w:rPr>
          <w:lang w:val="sv-SE"/>
        </w:rPr>
        <w:t xml:space="preserve"> </w:t>
      </w:r>
      <w:proofErr w:type="spellStart"/>
      <w:r>
        <w:rPr>
          <w:lang w:val="sv-SE"/>
        </w:rPr>
        <w:t>parlamenta</w:t>
      </w:r>
      <w:proofErr w:type="spellEnd"/>
      <w:r>
        <w:rPr>
          <w:lang w:val="sv-SE"/>
        </w:rPr>
        <w:t xml:space="preserve"> i </w:t>
      </w:r>
      <w:proofErr w:type="spellStart"/>
      <w:r>
        <w:rPr>
          <w:lang w:val="sv-SE"/>
        </w:rPr>
        <w:t>Vijeća</w:t>
      </w:r>
      <w:proofErr w:type="spellEnd"/>
      <w:r>
        <w:rPr>
          <w:lang w:val="sv-SE"/>
        </w:rPr>
        <w:t xml:space="preserve"> </w:t>
      </w:r>
      <w:proofErr w:type="spellStart"/>
      <w:r>
        <w:rPr>
          <w:lang w:val="sv-SE"/>
        </w:rPr>
        <w:t>od</w:t>
      </w:r>
      <w:proofErr w:type="spellEnd"/>
      <w:r>
        <w:rPr>
          <w:lang w:val="sv-SE"/>
        </w:rPr>
        <w:t xml:space="preserve"> 14. </w:t>
      </w:r>
      <w:proofErr w:type="spellStart"/>
      <w:r>
        <w:rPr>
          <w:lang w:val="sv-SE"/>
        </w:rPr>
        <w:t>ožujka</w:t>
      </w:r>
      <w:proofErr w:type="spellEnd"/>
      <w:r>
        <w:rPr>
          <w:lang w:val="sv-SE"/>
        </w:rPr>
        <w:t xml:space="preserve"> 2012. o </w:t>
      </w:r>
      <w:proofErr w:type="spellStart"/>
      <w:r>
        <w:rPr>
          <w:lang w:val="sv-SE"/>
        </w:rPr>
        <w:t>uspostavljanju</w:t>
      </w:r>
      <w:proofErr w:type="spellEnd"/>
      <w:r>
        <w:rPr>
          <w:lang w:val="sv-SE"/>
        </w:rPr>
        <w:t xml:space="preserve"> </w:t>
      </w:r>
      <w:proofErr w:type="spellStart"/>
      <w:r>
        <w:rPr>
          <w:lang w:val="sv-SE"/>
        </w:rPr>
        <w:t>višegodišnjeg</w:t>
      </w:r>
      <w:proofErr w:type="spellEnd"/>
      <w:r>
        <w:rPr>
          <w:lang w:val="sv-SE"/>
        </w:rPr>
        <w:t xml:space="preserve"> </w:t>
      </w:r>
      <w:proofErr w:type="spellStart"/>
      <w:r>
        <w:rPr>
          <w:lang w:val="sv-SE"/>
        </w:rPr>
        <w:t>programa</w:t>
      </w:r>
      <w:proofErr w:type="spellEnd"/>
      <w:r>
        <w:rPr>
          <w:lang w:val="sv-SE"/>
        </w:rPr>
        <w:t xml:space="preserve"> </w:t>
      </w:r>
      <w:proofErr w:type="spellStart"/>
      <w:r>
        <w:rPr>
          <w:lang w:val="sv-SE"/>
        </w:rPr>
        <w:t>za</w:t>
      </w:r>
      <w:proofErr w:type="spellEnd"/>
      <w:r>
        <w:rPr>
          <w:lang w:val="sv-SE"/>
        </w:rPr>
        <w:t xml:space="preserve"> </w:t>
      </w:r>
      <w:proofErr w:type="spellStart"/>
      <w:r>
        <w:rPr>
          <w:lang w:val="sv-SE"/>
        </w:rPr>
        <w:t>politiku</w:t>
      </w:r>
      <w:proofErr w:type="spellEnd"/>
      <w:r>
        <w:rPr>
          <w:lang w:val="sv-SE"/>
        </w:rPr>
        <w:t xml:space="preserve"> </w:t>
      </w:r>
      <w:proofErr w:type="spellStart"/>
      <w:r>
        <w:rPr>
          <w:lang w:val="sv-SE"/>
        </w:rPr>
        <w:t>radiofrekvencijskog</w:t>
      </w:r>
      <w:proofErr w:type="spellEnd"/>
      <w:r>
        <w:rPr>
          <w:lang w:val="sv-SE"/>
        </w:rPr>
        <w:t xml:space="preserve"> spektra (SL L 81, 21.3.2012., str. 7.).</w:t>
      </w:r>
    </w:p>
  </w:footnote>
  <w:footnote w:id="37">
    <w:p w:rsidR="006C0808" w:rsidRDefault="00E3601E">
      <w:pPr>
        <w:pStyle w:val="FootnoteText"/>
        <w:rPr>
          <w:lang w:val="sv-SE"/>
        </w:rPr>
      </w:pPr>
      <w:r>
        <w:rPr>
          <w:rStyle w:val="FootnoteReference"/>
        </w:rPr>
        <w:footnoteRef/>
      </w:r>
      <w:r>
        <w:rPr>
          <w:lang w:val="sv-SE"/>
        </w:rPr>
        <w:tab/>
      </w:r>
      <w:proofErr w:type="spellStart"/>
      <w:r>
        <w:rPr>
          <w:lang w:val="sv-SE"/>
        </w:rPr>
        <w:t>Uredba</w:t>
      </w:r>
      <w:proofErr w:type="spellEnd"/>
      <w:r>
        <w:rPr>
          <w:lang w:val="sv-SE"/>
        </w:rPr>
        <w:t xml:space="preserve"> (</w:t>
      </w:r>
      <w:r>
        <w:rPr>
          <w:lang w:val="sv-SE"/>
        </w:rPr>
        <w:t xml:space="preserve">EEZ, Euratom, EZUČ) br. 259/68 </w:t>
      </w:r>
      <w:proofErr w:type="spellStart"/>
      <w:r>
        <w:rPr>
          <w:lang w:val="sv-SE"/>
        </w:rPr>
        <w:t>Vijeća</w:t>
      </w:r>
      <w:proofErr w:type="spellEnd"/>
      <w:r>
        <w:rPr>
          <w:lang w:val="sv-SE"/>
        </w:rPr>
        <w:t xml:space="preserve"> </w:t>
      </w:r>
      <w:proofErr w:type="spellStart"/>
      <w:r>
        <w:rPr>
          <w:lang w:val="sv-SE"/>
        </w:rPr>
        <w:t>od</w:t>
      </w:r>
      <w:proofErr w:type="spellEnd"/>
      <w:r>
        <w:rPr>
          <w:lang w:val="sv-SE"/>
        </w:rPr>
        <w:t xml:space="preserve"> 29. </w:t>
      </w:r>
      <w:proofErr w:type="spellStart"/>
      <w:r>
        <w:rPr>
          <w:lang w:val="sv-SE"/>
        </w:rPr>
        <w:t>veljače</w:t>
      </w:r>
      <w:proofErr w:type="spellEnd"/>
      <w:r>
        <w:rPr>
          <w:lang w:val="sv-SE"/>
        </w:rPr>
        <w:t xml:space="preserve"> 1968. </w:t>
      </w:r>
      <w:proofErr w:type="spellStart"/>
      <w:r>
        <w:rPr>
          <w:lang w:val="sv-SE"/>
        </w:rPr>
        <w:t>kojom</w:t>
      </w:r>
      <w:proofErr w:type="spellEnd"/>
      <w:r>
        <w:rPr>
          <w:lang w:val="sv-SE"/>
        </w:rPr>
        <w:t xml:space="preserve"> se </w:t>
      </w:r>
      <w:proofErr w:type="spellStart"/>
      <w:r>
        <w:rPr>
          <w:lang w:val="sv-SE"/>
        </w:rPr>
        <w:t>utvrđuje</w:t>
      </w:r>
      <w:proofErr w:type="spellEnd"/>
      <w:r>
        <w:rPr>
          <w:lang w:val="sv-SE"/>
        </w:rPr>
        <w:t xml:space="preserve"> </w:t>
      </w:r>
      <w:proofErr w:type="spellStart"/>
      <w:r>
        <w:rPr>
          <w:lang w:val="sv-SE"/>
        </w:rPr>
        <w:t>Pravilnik</w:t>
      </w:r>
      <w:proofErr w:type="spellEnd"/>
      <w:r>
        <w:rPr>
          <w:lang w:val="sv-SE"/>
        </w:rPr>
        <w:t xml:space="preserve"> o </w:t>
      </w:r>
      <w:proofErr w:type="spellStart"/>
      <w:r>
        <w:rPr>
          <w:lang w:val="sv-SE"/>
        </w:rPr>
        <w:t>osoblju</w:t>
      </w:r>
      <w:proofErr w:type="spellEnd"/>
      <w:r>
        <w:rPr>
          <w:lang w:val="sv-SE"/>
        </w:rPr>
        <w:t xml:space="preserve"> </w:t>
      </w:r>
      <w:proofErr w:type="spellStart"/>
      <w:r>
        <w:rPr>
          <w:lang w:val="sv-SE"/>
        </w:rPr>
        <w:t>za</w:t>
      </w:r>
      <w:proofErr w:type="spellEnd"/>
      <w:r>
        <w:rPr>
          <w:lang w:val="sv-SE"/>
        </w:rPr>
        <w:t xml:space="preserve"> </w:t>
      </w:r>
      <w:proofErr w:type="spellStart"/>
      <w:r>
        <w:rPr>
          <w:lang w:val="sv-SE"/>
        </w:rPr>
        <w:t>dužnosnike</w:t>
      </w:r>
      <w:proofErr w:type="spellEnd"/>
      <w:r>
        <w:rPr>
          <w:lang w:val="sv-SE"/>
        </w:rPr>
        <w:t xml:space="preserve"> i </w:t>
      </w:r>
      <w:proofErr w:type="spellStart"/>
      <w:r>
        <w:rPr>
          <w:lang w:val="sv-SE"/>
        </w:rPr>
        <w:t>Uvjeti</w:t>
      </w:r>
      <w:proofErr w:type="spellEnd"/>
      <w:r>
        <w:rPr>
          <w:lang w:val="sv-SE"/>
        </w:rPr>
        <w:t xml:space="preserve"> </w:t>
      </w:r>
      <w:proofErr w:type="spellStart"/>
      <w:r>
        <w:rPr>
          <w:lang w:val="sv-SE"/>
        </w:rPr>
        <w:t>zapošljavanja</w:t>
      </w:r>
      <w:proofErr w:type="spellEnd"/>
      <w:r>
        <w:rPr>
          <w:lang w:val="sv-SE"/>
        </w:rPr>
        <w:t xml:space="preserve"> </w:t>
      </w:r>
      <w:proofErr w:type="spellStart"/>
      <w:r>
        <w:rPr>
          <w:lang w:val="sv-SE"/>
        </w:rPr>
        <w:t>koji</w:t>
      </w:r>
      <w:proofErr w:type="spellEnd"/>
      <w:r>
        <w:rPr>
          <w:lang w:val="sv-SE"/>
        </w:rPr>
        <w:t xml:space="preserve"> se </w:t>
      </w:r>
      <w:proofErr w:type="spellStart"/>
      <w:r>
        <w:rPr>
          <w:lang w:val="sv-SE"/>
        </w:rPr>
        <w:t>primjenjuju</w:t>
      </w:r>
      <w:proofErr w:type="spellEnd"/>
      <w:r>
        <w:rPr>
          <w:lang w:val="sv-SE"/>
        </w:rPr>
        <w:t xml:space="preserve"> </w:t>
      </w:r>
      <w:proofErr w:type="spellStart"/>
      <w:r>
        <w:rPr>
          <w:lang w:val="sv-SE"/>
        </w:rPr>
        <w:t>na</w:t>
      </w:r>
      <w:proofErr w:type="spellEnd"/>
      <w:r>
        <w:rPr>
          <w:lang w:val="sv-SE"/>
        </w:rPr>
        <w:t xml:space="preserve"> </w:t>
      </w:r>
      <w:proofErr w:type="spellStart"/>
      <w:r>
        <w:rPr>
          <w:lang w:val="sv-SE"/>
        </w:rPr>
        <w:t>ostale</w:t>
      </w:r>
      <w:proofErr w:type="spellEnd"/>
      <w:r>
        <w:rPr>
          <w:lang w:val="sv-SE"/>
        </w:rPr>
        <w:t xml:space="preserve"> </w:t>
      </w:r>
      <w:proofErr w:type="spellStart"/>
      <w:r>
        <w:rPr>
          <w:lang w:val="sv-SE"/>
        </w:rPr>
        <w:t>službenike</w:t>
      </w:r>
      <w:proofErr w:type="spellEnd"/>
      <w:r>
        <w:rPr>
          <w:lang w:val="sv-SE"/>
        </w:rPr>
        <w:t xml:space="preserve"> </w:t>
      </w:r>
      <w:proofErr w:type="spellStart"/>
      <w:r>
        <w:rPr>
          <w:lang w:val="sv-SE"/>
        </w:rPr>
        <w:t>Europskih</w:t>
      </w:r>
      <w:proofErr w:type="spellEnd"/>
      <w:r>
        <w:rPr>
          <w:lang w:val="sv-SE"/>
        </w:rPr>
        <w:t xml:space="preserve"> </w:t>
      </w:r>
      <w:proofErr w:type="spellStart"/>
      <w:r>
        <w:rPr>
          <w:lang w:val="sv-SE"/>
        </w:rPr>
        <w:t>zajednica</w:t>
      </w:r>
      <w:proofErr w:type="spellEnd"/>
      <w:r>
        <w:rPr>
          <w:lang w:val="sv-SE"/>
        </w:rPr>
        <w:t xml:space="preserve"> i </w:t>
      </w:r>
      <w:proofErr w:type="spellStart"/>
      <w:r>
        <w:rPr>
          <w:lang w:val="sv-SE"/>
        </w:rPr>
        <w:t>kojom</w:t>
      </w:r>
      <w:proofErr w:type="spellEnd"/>
      <w:r>
        <w:rPr>
          <w:lang w:val="sv-SE"/>
        </w:rPr>
        <w:t xml:space="preserve"> se </w:t>
      </w:r>
      <w:proofErr w:type="spellStart"/>
      <w:r>
        <w:rPr>
          <w:lang w:val="sv-SE"/>
        </w:rPr>
        <w:t>uvode</w:t>
      </w:r>
      <w:proofErr w:type="spellEnd"/>
      <w:r>
        <w:rPr>
          <w:lang w:val="sv-SE"/>
        </w:rPr>
        <w:t xml:space="preserve"> </w:t>
      </w:r>
      <w:proofErr w:type="spellStart"/>
      <w:r>
        <w:rPr>
          <w:lang w:val="sv-SE"/>
        </w:rPr>
        <w:t>posebne</w:t>
      </w:r>
      <w:proofErr w:type="spellEnd"/>
      <w:r>
        <w:rPr>
          <w:lang w:val="sv-SE"/>
        </w:rPr>
        <w:t xml:space="preserve"> </w:t>
      </w:r>
      <w:proofErr w:type="spellStart"/>
      <w:r>
        <w:rPr>
          <w:lang w:val="sv-SE"/>
        </w:rPr>
        <w:t>mjere</w:t>
      </w:r>
      <w:proofErr w:type="spellEnd"/>
      <w:r>
        <w:rPr>
          <w:lang w:val="sv-SE"/>
        </w:rPr>
        <w:t xml:space="preserve"> </w:t>
      </w:r>
      <w:proofErr w:type="spellStart"/>
      <w:r>
        <w:rPr>
          <w:lang w:val="sv-SE"/>
        </w:rPr>
        <w:t>privremeno</w:t>
      </w:r>
      <w:proofErr w:type="spellEnd"/>
      <w:r>
        <w:rPr>
          <w:lang w:val="sv-SE"/>
        </w:rPr>
        <w:t xml:space="preserve"> </w:t>
      </w:r>
      <w:proofErr w:type="spellStart"/>
      <w:r>
        <w:rPr>
          <w:lang w:val="sv-SE"/>
        </w:rPr>
        <w:t>primjenjive</w:t>
      </w:r>
      <w:proofErr w:type="spellEnd"/>
      <w:r>
        <w:rPr>
          <w:lang w:val="sv-SE"/>
        </w:rPr>
        <w:t xml:space="preserve"> </w:t>
      </w:r>
      <w:proofErr w:type="spellStart"/>
      <w:r>
        <w:rPr>
          <w:lang w:val="sv-SE"/>
        </w:rPr>
        <w:t>na</w:t>
      </w:r>
      <w:proofErr w:type="spellEnd"/>
      <w:r>
        <w:rPr>
          <w:lang w:val="sv-SE"/>
        </w:rPr>
        <w:t xml:space="preserve"> </w:t>
      </w:r>
      <w:proofErr w:type="spellStart"/>
      <w:r>
        <w:rPr>
          <w:lang w:val="sv-SE"/>
        </w:rPr>
        <w:t>dužn</w:t>
      </w:r>
      <w:r>
        <w:rPr>
          <w:lang w:val="sv-SE"/>
        </w:rPr>
        <w:t>osnike</w:t>
      </w:r>
      <w:proofErr w:type="spellEnd"/>
      <w:r>
        <w:rPr>
          <w:lang w:val="sv-SE"/>
        </w:rPr>
        <w:t xml:space="preserve"> </w:t>
      </w:r>
      <w:proofErr w:type="spellStart"/>
      <w:r>
        <w:rPr>
          <w:lang w:val="sv-SE"/>
        </w:rPr>
        <w:t>Komisije</w:t>
      </w:r>
      <w:proofErr w:type="spellEnd"/>
      <w:r>
        <w:rPr>
          <w:lang w:val="sv-SE"/>
        </w:rPr>
        <w:t xml:space="preserve"> (SL 56, 4.3.1968., str. 1.).</w:t>
      </w:r>
    </w:p>
  </w:footnote>
  <w:footnote w:id="38">
    <w:p w:rsidR="006C0808" w:rsidRDefault="00E3601E">
      <w:pPr>
        <w:pStyle w:val="FootnoteText"/>
        <w:rPr>
          <w:lang w:val="sv-SE"/>
        </w:rPr>
      </w:pPr>
      <w:r>
        <w:rPr>
          <w:rStyle w:val="FootnoteReference"/>
        </w:rPr>
        <w:footnoteRef/>
      </w:r>
      <w:r>
        <w:rPr>
          <w:lang w:val="sv-SE"/>
        </w:rPr>
        <w:tab/>
      </w:r>
      <w:proofErr w:type="spellStart"/>
      <w:r>
        <w:rPr>
          <w:lang w:val="sv-SE"/>
        </w:rPr>
        <w:t>Komunikacija</w:t>
      </w:r>
      <w:proofErr w:type="spellEnd"/>
      <w:r>
        <w:rPr>
          <w:lang w:val="sv-SE"/>
        </w:rPr>
        <w:t xml:space="preserve"> </w:t>
      </w:r>
      <w:proofErr w:type="spellStart"/>
      <w:r>
        <w:rPr>
          <w:lang w:val="sv-SE"/>
        </w:rPr>
        <w:t>Komisije</w:t>
      </w:r>
      <w:proofErr w:type="spellEnd"/>
      <w:r>
        <w:rPr>
          <w:lang w:val="sv-SE"/>
        </w:rPr>
        <w:t xml:space="preserve"> o </w:t>
      </w:r>
      <w:proofErr w:type="spellStart"/>
      <w:r>
        <w:rPr>
          <w:lang w:val="sv-SE"/>
        </w:rPr>
        <w:t>smjernicama</w:t>
      </w:r>
      <w:proofErr w:type="spellEnd"/>
      <w:r>
        <w:rPr>
          <w:lang w:val="sv-SE"/>
        </w:rPr>
        <w:t xml:space="preserve"> </w:t>
      </w:r>
      <w:proofErr w:type="spellStart"/>
      <w:r>
        <w:rPr>
          <w:lang w:val="sv-SE"/>
        </w:rPr>
        <w:t>za</w:t>
      </w:r>
      <w:proofErr w:type="spellEnd"/>
      <w:r>
        <w:rPr>
          <w:lang w:val="sv-SE"/>
        </w:rPr>
        <w:t xml:space="preserve"> </w:t>
      </w:r>
      <w:proofErr w:type="spellStart"/>
      <w:r>
        <w:rPr>
          <w:lang w:val="sv-SE"/>
        </w:rPr>
        <w:t>programski</w:t>
      </w:r>
      <w:proofErr w:type="spellEnd"/>
      <w:r>
        <w:rPr>
          <w:lang w:val="sv-SE"/>
        </w:rPr>
        <w:t xml:space="preserve"> dokument </w:t>
      </w:r>
      <w:proofErr w:type="spellStart"/>
      <w:r>
        <w:rPr>
          <w:lang w:val="sv-SE"/>
        </w:rPr>
        <w:t>za</w:t>
      </w:r>
      <w:proofErr w:type="spellEnd"/>
      <w:r>
        <w:rPr>
          <w:lang w:val="sv-SE"/>
        </w:rPr>
        <w:t xml:space="preserve"> </w:t>
      </w:r>
      <w:proofErr w:type="spellStart"/>
      <w:r>
        <w:rPr>
          <w:lang w:val="sv-SE"/>
        </w:rPr>
        <w:t>decentralizirane</w:t>
      </w:r>
      <w:proofErr w:type="spellEnd"/>
      <w:r>
        <w:rPr>
          <w:lang w:val="sv-SE"/>
        </w:rPr>
        <w:t xml:space="preserve"> </w:t>
      </w:r>
      <w:proofErr w:type="spellStart"/>
      <w:r>
        <w:rPr>
          <w:lang w:val="sv-SE"/>
        </w:rPr>
        <w:t>agencije</w:t>
      </w:r>
      <w:proofErr w:type="spellEnd"/>
      <w:r>
        <w:rPr>
          <w:lang w:val="sv-SE"/>
        </w:rPr>
        <w:t xml:space="preserve"> i </w:t>
      </w:r>
      <w:proofErr w:type="spellStart"/>
      <w:r>
        <w:rPr>
          <w:lang w:val="sv-SE"/>
        </w:rPr>
        <w:t>predlošku</w:t>
      </w:r>
      <w:proofErr w:type="spellEnd"/>
      <w:r>
        <w:rPr>
          <w:lang w:val="sv-SE"/>
        </w:rPr>
        <w:t xml:space="preserve"> </w:t>
      </w:r>
      <w:proofErr w:type="spellStart"/>
      <w:r>
        <w:rPr>
          <w:lang w:val="sv-SE"/>
        </w:rPr>
        <w:t>konsolidiranog</w:t>
      </w:r>
      <w:proofErr w:type="spellEnd"/>
      <w:r>
        <w:rPr>
          <w:lang w:val="sv-SE"/>
        </w:rPr>
        <w:t xml:space="preserve"> </w:t>
      </w:r>
      <w:proofErr w:type="spellStart"/>
      <w:r>
        <w:rPr>
          <w:lang w:val="sv-SE"/>
        </w:rPr>
        <w:t>godišnjeg</w:t>
      </w:r>
      <w:proofErr w:type="spellEnd"/>
      <w:r>
        <w:rPr>
          <w:lang w:val="sv-SE"/>
        </w:rPr>
        <w:t xml:space="preserve"> </w:t>
      </w:r>
      <w:proofErr w:type="spellStart"/>
      <w:r>
        <w:rPr>
          <w:lang w:val="sv-SE"/>
        </w:rPr>
        <w:t>izvješća</w:t>
      </w:r>
      <w:proofErr w:type="spellEnd"/>
      <w:r>
        <w:rPr>
          <w:lang w:val="sv-SE"/>
        </w:rPr>
        <w:t xml:space="preserve"> o </w:t>
      </w:r>
      <w:proofErr w:type="spellStart"/>
      <w:r>
        <w:rPr>
          <w:lang w:val="sv-SE"/>
        </w:rPr>
        <w:t>aktivnostima</w:t>
      </w:r>
      <w:proofErr w:type="spellEnd"/>
      <w:r>
        <w:rPr>
          <w:lang w:val="sv-SE"/>
        </w:rPr>
        <w:t xml:space="preserve"> </w:t>
      </w:r>
      <w:proofErr w:type="spellStart"/>
      <w:r>
        <w:rPr>
          <w:lang w:val="sv-SE"/>
        </w:rPr>
        <w:t>za</w:t>
      </w:r>
      <w:proofErr w:type="spellEnd"/>
      <w:r>
        <w:rPr>
          <w:lang w:val="sv-SE"/>
        </w:rPr>
        <w:t xml:space="preserve"> </w:t>
      </w:r>
      <w:proofErr w:type="spellStart"/>
      <w:r>
        <w:rPr>
          <w:lang w:val="sv-SE"/>
        </w:rPr>
        <w:t>decentralizirane</w:t>
      </w:r>
      <w:proofErr w:type="spellEnd"/>
      <w:r>
        <w:rPr>
          <w:lang w:val="sv-SE"/>
        </w:rPr>
        <w:t xml:space="preserve"> </w:t>
      </w:r>
      <w:proofErr w:type="spellStart"/>
      <w:r>
        <w:rPr>
          <w:lang w:val="sv-SE"/>
        </w:rPr>
        <w:t>agencije</w:t>
      </w:r>
      <w:proofErr w:type="spellEnd"/>
      <w:r>
        <w:rPr>
          <w:lang w:val="sv-SE"/>
        </w:rPr>
        <w:t xml:space="preserve"> (C(2014) 9641).</w:t>
      </w:r>
    </w:p>
  </w:footnote>
  <w:footnote w:id="39">
    <w:p w:rsidR="006C0808" w:rsidRDefault="00E3601E">
      <w:pPr>
        <w:pStyle w:val="Default"/>
      </w:pPr>
      <w:r>
        <w:rPr>
          <w:rStyle w:val="FootnoteReference"/>
        </w:rPr>
        <w:footnoteRef/>
      </w:r>
      <w:r>
        <w:tab/>
      </w:r>
      <w:r>
        <w:rPr>
          <w:color w:val="auto"/>
          <w:sz w:val="20"/>
        </w:rPr>
        <w:t>Uredba (EU, E</w:t>
      </w:r>
      <w:r>
        <w:rPr>
          <w:color w:val="auto"/>
          <w:sz w:val="20"/>
        </w:rPr>
        <w:t>uratom) br. 966/2012 Europskog parlamenta i Vijeća od 25. listopada 2012. o financijskim pravilima koja se primjenjuju na opći proračun Unije i o stavljanju izvan snage Uredbe Vijeća (EZ, Euratom) br. 1605/2002 (SL L 298, 26.10.2012.).</w:t>
      </w:r>
    </w:p>
  </w:footnote>
  <w:footnote w:id="40">
    <w:p w:rsidR="006C0808" w:rsidRDefault="00E3601E">
      <w:pPr>
        <w:pStyle w:val="FootnoteText"/>
      </w:pPr>
      <w:r>
        <w:rPr>
          <w:rStyle w:val="FootnoteReference"/>
        </w:rPr>
        <w:footnoteRef/>
      </w:r>
      <w:r>
        <w:tab/>
        <w:t>Uredba (EZ) br. 10</w:t>
      </w:r>
      <w:r>
        <w:t>49/2001 Europskog parlamenta i Vijeća od 30. svibnja 2001. o javnom pristupu dokumentima Europskog parlamenta, Vijeća i Komisije (SL L 145, 31.5.2001., str. 43.).</w:t>
      </w:r>
    </w:p>
  </w:footnote>
  <w:footnote w:id="41">
    <w:p w:rsidR="006C0808" w:rsidRDefault="00E3601E">
      <w:pPr>
        <w:pStyle w:val="FootnoteText"/>
      </w:pPr>
      <w:r>
        <w:rPr>
          <w:rStyle w:val="FootnoteReference"/>
        </w:rPr>
        <w:footnoteRef/>
      </w:r>
      <w:r>
        <w:tab/>
        <w:t>Uredba (EZ) br. 45/2001 Europskog parlamenta i Vijeća od 18. prosinca 2000. o zaštiti pojed</w:t>
      </w:r>
      <w:r>
        <w:t>inaca u vezi s obradom osobnih podataka u institucijama i tijelima Zajednice i o slobodnom kretanju takvih podataka (SL L 8, 12.1.2001., str. 1.).</w:t>
      </w:r>
    </w:p>
  </w:footnote>
  <w:footnote w:id="42">
    <w:p w:rsidR="006C0808" w:rsidRDefault="00E3601E">
      <w:pPr>
        <w:pStyle w:val="FootnoteText"/>
      </w:pPr>
      <w:r>
        <w:rPr>
          <w:rStyle w:val="FootnoteReference"/>
        </w:rPr>
        <w:footnoteRef/>
      </w:r>
      <w:r>
        <w:tab/>
        <w:t xml:space="preserve">Odluka Komisije (EU, Euratom) 2015/443 </w:t>
      </w:r>
      <w:proofErr w:type="spellStart"/>
      <w:r>
        <w:t>оd</w:t>
      </w:r>
      <w:proofErr w:type="spellEnd"/>
      <w:r>
        <w:t xml:space="preserve"> 13. ožujka 2015. o sigurnosti u Komisiji (SL L 72, 17.3.2015., st</w:t>
      </w:r>
      <w:r>
        <w:t>r. 41.).</w:t>
      </w:r>
    </w:p>
  </w:footnote>
  <w:footnote w:id="43">
    <w:p w:rsidR="006C0808" w:rsidRDefault="00E3601E">
      <w:pPr>
        <w:pStyle w:val="FootnoteText"/>
      </w:pPr>
      <w:r>
        <w:rPr>
          <w:rStyle w:val="FootnoteReference"/>
        </w:rPr>
        <w:footnoteRef/>
      </w:r>
      <w:r>
        <w:tab/>
        <w:t xml:space="preserve">Odluka Komisije (EU, Euratom) 2015/444 </w:t>
      </w:r>
      <w:proofErr w:type="spellStart"/>
      <w:r>
        <w:t>оd</w:t>
      </w:r>
      <w:proofErr w:type="spellEnd"/>
      <w:r>
        <w:t xml:space="preserve"> 13. ožujka 2015. o sigurnosnim propisima za zaštitu klasificiranih podataka EU-a (SL L 72, 17.3.2015., str. 53.).</w:t>
      </w:r>
    </w:p>
  </w:footnote>
  <w:footnote w:id="44">
    <w:p w:rsidR="006C0808" w:rsidRDefault="00E3601E">
      <w:pPr>
        <w:pStyle w:val="Default"/>
        <w:rPr>
          <w:color w:val="auto"/>
          <w:sz w:val="20"/>
          <w:szCs w:val="20"/>
        </w:rPr>
      </w:pPr>
      <w:r>
        <w:rPr>
          <w:rStyle w:val="FootnoteReference"/>
        </w:rPr>
        <w:footnoteRef/>
      </w:r>
      <w:r>
        <w:tab/>
      </w:r>
      <w:r>
        <w:rPr>
          <w:color w:val="auto"/>
          <w:sz w:val="20"/>
        </w:rPr>
        <w:t>Uredba (EU, Euratom) br. 883/2013 Europskog parlamenta i Vijeća od 11. rujna 2013. o is</w:t>
      </w:r>
      <w:r>
        <w:rPr>
          <w:color w:val="auto"/>
          <w:sz w:val="20"/>
        </w:rPr>
        <w:t>tragama koje provodi Europski ured za borbu protiv prijevara (OLAF) i o stavljanju izvan snage Uredbe (EZ) br. 1073/1999 Europskog parlamenta i Vijeća te Uredbe Vijeća (Euratom) br. 1074/1999 (SL L 248, 18.9.2013., str. 1.).</w:t>
      </w:r>
    </w:p>
  </w:footnote>
  <w:footnote w:id="45">
    <w:p w:rsidR="006C0808" w:rsidRDefault="00E3601E">
      <w:pPr>
        <w:pStyle w:val="FootnoteText"/>
      </w:pPr>
      <w:r>
        <w:rPr>
          <w:rStyle w:val="FootnoteReference"/>
        </w:rPr>
        <w:footnoteRef/>
      </w:r>
      <w:r>
        <w:tab/>
        <w:t>Uredba Vijeća (Euratom, EZ) b</w:t>
      </w:r>
      <w:r>
        <w:t>r. 2185/96 od 11. studenoga 1996. o provjerama i inspekcijama na terenu koje provodi Komisija s ciljem zaštite financijskih interesa Europskih zajednica od prijevara i ostalih nepravilnosti (SL L 292, 15.11.1996., str. 2.).</w:t>
      </w:r>
    </w:p>
  </w:footnote>
  <w:footnote w:id="46">
    <w:p w:rsidR="006C0808" w:rsidRDefault="00E3601E">
      <w:pPr>
        <w:pStyle w:val="FootnoteText"/>
      </w:pPr>
      <w:r>
        <w:rPr>
          <w:rStyle w:val="FootnoteReference"/>
        </w:rPr>
        <w:footnoteRef/>
      </w:r>
      <w:r>
        <w:tab/>
        <w:t>Uredba Vijeća br. 1. o određiv</w:t>
      </w:r>
      <w:r>
        <w:t>anju jezika koji se koriste u Europskoj ekonomskoj zajednici (SL L 17, 6.10.1958., str. 385).</w:t>
      </w:r>
    </w:p>
  </w:footnote>
  <w:footnote w:id="47">
    <w:p w:rsidR="006C0808" w:rsidRDefault="00E3601E">
      <w:pPr>
        <w:pStyle w:val="FootnoteText"/>
        <w:rPr>
          <w:szCs w:val="24"/>
        </w:rPr>
      </w:pPr>
      <w:r>
        <w:rPr>
          <w:rStyle w:val="FootnoteReference"/>
        </w:rPr>
        <w:footnoteRef/>
      </w:r>
      <w:r>
        <w:tab/>
        <w:t xml:space="preserve">ABM: </w:t>
      </w:r>
      <w:proofErr w:type="spellStart"/>
      <w:r>
        <w:rPr>
          <w:i/>
        </w:rPr>
        <w:t>Activity</w:t>
      </w:r>
      <w:proofErr w:type="spellEnd"/>
      <w:r>
        <w:rPr>
          <w:i/>
        </w:rPr>
        <w:t>-</w:t>
      </w:r>
      <w:proofErr w:type="spellStart"/>
      <w:r>
        <w:rPr>
          <w:i/>
        </w:rPr>
        <w:t>Based</w:t>
      </w:r>
      <w:proofErr w:type="spellEnd"/>
      <w:r>
        <w:rPr>
          <w:i/>
        </w:rPr>
        <w:t xml:space="preserve"> Management</w:t>
      </w:r>
      <w:r>
        <w:t xml:space="preserve"> (upravljanje na temelju aktivnosti) – ABB: </w:t>
      </w:r>
      <w:proofErr w:type="spellStart"/>
      <w:r>
        <w:rPr>
          <w:i/>
        </w:rPr>
        <w:t>Activity</w:t>
      </w:r>
      <w:proofErr w:type="spellEnd"/>
      <w:r>
        <w:rPr>
          <w:i/>
        </w:rPr>
        <w:t>-</w:t>
      </w:r>
      <w:proofErr w:type="spellStart"/>
      <w:r>
        <w:rPr>
          <w:i/>
        </w:rPr>
        <w:t>Based</w:t>
      </w:r>
      <w:proofErr w:type="spellEnd"/>
      <w:r>
        <w:rPr>
          <w:i/>
        </w:rPr>
        <w:t xml:space="preserve"> </w:t>
      </w:r>
      <w:proofErr w:type="spellStart"/>
      <w:r>
        <w:rPr>
          <w:i/>
        </w:rPr>
        <w:t>Budgeting</w:t>
      </w:r>
      <w:proofErr w:type="spellEnd"/>
      <w:r>
        <w:t xml:space="preserve"> (priprema proračuna na temelju aktivnosti).</w:t>
      </w:r>
    </w:p>
  </w:footnote>
  <w:footnote w:id="48">
    <w:p w:rsidR="006C0808" w:rsidRDefault="00E3601E">
      <w:pPr>
        <w:pStyle w:val="FootnoteText"/>
        <w:rPr>
          <w:szCs w:val="24"/>
        </w:rPr>
      </w:pPr>
      <w:r>
        <w:rPr>
          <w:rStyle w:val="FootnoteReference"/>
        </w:rPr>
        <w:footnoteRef/>
      </w:r>
      <w:r>
        <w:tab/>
        <w:t>Kako je naveden</w:t>
      </w:r>
      <w:r>
        <w:t>o u članku 54. stavku 2. točkama (a) ili (b) Financijske uredbe.</w:t>
      </w:r>
    </w:p>
  </w:footnote>
  <w:footnote w:id="49">
    <w:p w:rsidR="006C0808" w:rsidRDefault="00E3601E">
      <w:pPr>
        <w:pStyle w:val="FootnoteText"/>
        <w:rPr>
          <w:lang w:val="pt-PT"/>
        </w:rPr>
      </w:pPr>
      <w:r>
        <w:rPr>
          <w:rStyle w:val="FootnoteReference"/>
        </w:rPr>
        <w:footnoteRef/>
      </w:r>
      <w:r>
        <w:tab/>
        <w:t xml:space="preserve">Komunikacija „Strategija jedinstvenog digitalnog tržišta za Europu” od 6. svibnja 2015. </w:t>
      </w:r>
      <w:r>
        <w:rPr>
          <w:lang w:val="pt-PT"/>
        </w:rPr>
        <w:t>COM(2015) 192 final.</w:t>
      </w:r>
    </w:p>
  </w:footnote>
  <w:footnote w:id="50">
    <w:p w:rsidR="006C0808" w:rsidRDefault="00E3601E">
      <w:pPr>
        <w:pStyle w:val="FootnoteText"/>
        <w:rPr>
          <w:lang w:val="pt-PT"/>
        </w:rPr>
      </w:pPr>
      <w:r>
        <w:rPr>
          <w:rStyle w:val="FootnoteReference"/>
        </w:rPr>
        <w:footnoteRef/>
      </w:r>
      <w:r>
        <w:rPr>
          <w:lang w:val="pt-PT"/>
        </w:rPr>
        <w:tab/>
      </w:r>
      <w:proofErr w:type="spellStart"/>
      <w:r>
        <w:rPr>
          <w:lang w:val="pt-PT"/>
        </w:rPr>
        <w:t>Vidjeti</w:t>
      </w:r>
      <w:proofErr w:type="spellEnd"/>
      <w:r>
        <w:rPr>
          <w:lang w:val="pt-PT"/>
        </w:rPr>
        <w:t>: http://europa.eu/agencies/documents/joint_statement_and_common_approa</w:t>
      </w:r>
      <w:r>
        <w:rPr>
          <w:lang w:val="pt-PT"/>
        </w:rPr>
        <w:t>ch_2012_en.pdf.</w:t>
      </w:r>
    </w:p>
  </w:footnote>
  <w:footnote w:id="51">
    <w:p w:rsidR="006C0808" w:rsidRDefault="00E3601E">
      <w:pPr>
        <w:pStyle w:val="FootnoteText"/>
        <w:rPr>
          <w:lang w:val="pt-PT"/>
        </w:rPr>
      </w:pPr>
      <w:r>
        <w:rPr>
          <w:rStyle w:val="FootnoteReference"/>
        </w:rPr>
        <w:footnoteRef/>
      </w:r>
      <w:r>
        <w:rPr>
          <w:lang w:val="pt-PT"/>
        </w:rPr>
        <w:tab/>
        <w:t xml:space="preserve">S </w:t>
      </w:r>
      <w:proofErr w:type="spellStart"/>
      <w:r>
        <w:rPr>
          <w:lang w:val="pt-PT"/>
        </w:rPr>
        <w:t>provedbom</w:t>
      </w:r>
      <w:proofErr w:type="spellEnd"/>
      <w:r>
        <w:rPr>
          <w:lang w:val="pt-PT"/>
        </w:rPr>
        <w:t xml:space="preserve"> </w:t>
      </w:r>
      <w:proofErr w:type="spellStart"/>
      <w:r>
        <w:rPr>
          <w:lang w:val="pt-PT"/>
        </w:rPr>
        <w:t>će</w:t>
      </w:r>
      <w:proofErr w:type="spellEnd"/>
      <w:r>
        <w:rPr>
          <w:lang w:val="pt-PT"/>
        </w:rPr>
        <w:t xml:space="preserve"> se </w:t>
      </w:r>
      <w:proofErr w:type="spellStart"/>
      <w:r>
        <w:rPr>
          <w:lang w:val="pt-PT"/>
        </w:rPr>
        <w:t>započeti</w:t>
      </w:r>
      <w:proofErr w:type="spellEnd"/>
      <w:r>
        <w:rPr>
          <w:lang w:val="pt-PT"/>
        </w:rPr>
        <w:t xml:space="preserve"> u 2019. i </w:t>
      </w:r>
      <w:proofErr w:type="spellStart"/>
      <w:r>
        <w:rPr>
          <w:lang w:val="pt-PT"/>
        </w:rPr>
        <w:t>nastaviti</w:t>
      </w:r>
      <w:proofErr w:type="spellEnd"/>
      <w:r>
        <w:rPr>
          <w:lang w:val="pt-PT"/>
        </w:rPr>
        <w:t xml:space="preserve"> do 2022. u </w:t>
      </w:r>
      <w:proofErr w:type="spellStart"/>
      <w:r>
        <w:rPr>
          <w:lang w:val="pt-PT"/>
        </w:rPr>
        <w:t>sljedećem</w:t>
      </w:r>
      <w:proofErr w:type="spellEnd"/>
      <w:r>
        <w:rPr>
          <w:lang w:val="pt-PT"/>
        </w:rPr>
        <w:t xml:space="preserve"> </w:t>
      </w:r>
      <w:proofErr w:type="spellStart"/>
      <w:r>
        <w:rPr>
          <w:lang w:val="pt-PT"/>
        </w:rPr>
        <w:t>višegodišnjem</w:t>
      </w:r>
      <w:proofErr w:type="spellEnd"/>
      <w:r>
        <w:rPr>
          <w:lang w:val="pt-PT"/>
        </w:rPr>
        <w:t xml:space="preserve"> </w:t>
      </w:r>
      <w:proofErr w:type="spellStart"/>
      <w:r>
        <w:rPr>
          <w:lang w:val="pt-PT"/>
        </w:rPr>
        <w:t>financijskom</w:t>
      </w:r>
      <w:proofErr w:type="spellEnd"/>
      <w:r>
        <w:rPr>
          <w:lang w:val="pt-PT"/>
        </w:rPr>
        <w:t xml:space="preserve"> </w:t>
      </w:r>
      <w:proofErr w:type="spellStart"/>
      <w:r>
        <w:rPr>
          <w:lang w:val="pt-PT"/>
        </w:rPr>
        <w:t>okviru</w:t>
      </w:r>
      <w:proofErr w:type="spellEnd"/>
      <w:r>
        <w:rPr>
          <w:lang w:val="pt-PT"/>
        </w:rPr>
        <w:t>.</w:t>
      </w:r>
    </w:p>
  </w:footnote>
  <w:footnote w:id="52">
    <w:p w:rsidR="006C0808" w:rsidRDefault="00E3601E">
      <w:pPr>
        <w:pStyle w:val="FootnoteText"/>
        <w:rPr>
          <w:szCs w:val="24"/>
          <w:lang w:val="pt-PT"/>
        </w:rPr>
      </w:pPr>
      <w:r>
        <w:rPr>
          <w:rStyle w:val="FootnoteReference"/>
        </w:rPr>
        <w:footnoteRef/>
      </w:r>
      <w:r>
        <w:rPr>
          <w:lang w:val="pt-PT"/>
        </w:rPr>
        <w:tab/>
      </w:r>
      <w:proofErr w:type="spellStart"/>
      <w:r>
        <w:rPr>
          <w:lang w:val="pt-PT"/>
        </w:rPr>
        <w:t>Informacije</w:t>
      </w:r>
      <w:proofErr w:type="spellEnd"/>
      <w:r>
        <w:rPr>
          <w:lang w:val="pt-PT"/>
        </w:rPr>
        <w:t xml:space="preserve"> o </w:t>
      </w:r>
      <w:proofErr w:type="spellStart"/>
      <w:r>
        <w:rPr>
          <w:lang w:val="pt-PT"/>
        </w:rPr>
        <w:t>načinima</w:t>
      </w:r>
      <w:proofErr w:type="spellEnd"/>
      <w:r>
        <w:rPr>
          <w:lang w:val="pt-PT"/>
        </w:rPr>
        <w:t xml:space="preserve"> </w:t>
      </w:r>
      <w:proofErr w:type="spellStart"/>
      <w:r>
        <w:rPr>
          <w:lang w:val="pt-PT"/>
        </w:rPr>
        <w:t>upravljanja</w:t>
      </w:r>
      <w:proofErr w:type="spellEnd"/>
      <w:r>
        <w:rPr>
          <w:lang w:val="pt-PT"/>
        </w:rPr>
        <w:t xml:space="preserve"> i </w:t>
      </w:r>
      <w:proofErr w:type="spellStart"/>
      <w:r>
        <w:rPr>
          <w:lang w:val="pt-PT"/>
        </w:rPr>
        <w:t>upućivanja</w:t>
      </w:r>
      <w:proofErr w:type="spellEnd"/>
      <w:r>
        <w:rPr>
          <w:lang w:val="pt-PT"/>
        </w:rPr>
        <w:t xml:space="preserve"> na </w:t>
      </w:r>
      <w:proofErr w:type="spellStart"/>
      <w:r>
        <w:rPr>
          <w:lang w:val="pt-PT"/>
        </w:rPr>
        <w:t>Financijsku</w:t>
      </w:r>
      <w:proofErr w:type="spellEnd"/>
      <w:r>
        <w:rPr>
          <w:lang w:val="pt-PT"/>
        </w:rPr>
        <w:t xml:space="preserve"> </w:t>
      </w:r>
      <w:proofErr w:type="spellStart"/>
      <w:r>
        <w:rPr>
          <w:lang w:val="pt-PT"/>
        </w:rPr>
        <w:t>uredbu</w:t>
      </w:r>
      <w:proofErr w:type="spellEnd"/>
      <w:r>
        <w:rPr>
          <w:lang w:val="pt-PT"/>
        </w:rPr>
        <w:t xml:space="preserve"> </w:t>
      </w:r>
      <w:proofErr w:type="spellStart"/>
      <w:r>
        <w:rPr>
          <w:lang w:val="pt-PT"/>
        </w:rPr>
        <w:t>dostupne</w:t>
      </w:r>
      <w:proofErr w:type="spellEnd"/>
      <w:r>
        <w:rPr>
          <w:lang w:val="pt-PT"/>
        </w:rPr>
        <w:t xml:space="preserve"> </w:t>
      </w:r>
      <w:proofErr w:type="spellStart"/>
      <w:r>
        <w:rPr>
          <w:lang w:val="pt-PT"/>
        </w:rPr>
        <w:t>su</w:t>
      </w:r>
      <w:proofErr w:type="spellEnd"/>
      <w:r>
        <w:rPr>
          <w:lang w:val="pt-PT"/>
        </w:rPr>
        <w:t xml:space="preserve"> na </w:t>
      </w:r>
      <w:r>
        <w:rPr>
          <w:i/>
          <w:lang w:val="pt-PT"/>
        </w:rPr>
        <w:t>web</w:t>
      </w:r>
      <w:r>
        <w:rPr>
          <w:lang w:val="pt-PT"/>
        </w:rPr>
        <w:t>-</w:t>
      </w:r>
      <w:proofErr w:type="spellStart"/>
      <w:r>
        <w:rPr>
          <w:lang w:val="pt-PT"/>
        </w:rPr>
        <w:t>mjestu</w:t>
      </w:r>
      <w:proofErr w:type="spellEnd"/>
      <w:r>
        <w:rPr>
          <w:lang w:val="pt-PT"/>
        </w:rPr>
        <w:t xml:space="preserve"> </w:t>
      </w:r>
      <w:proofErr w:type="spellStart"/>
      <w:r>
        <w:rPr>
          <w:lang w:val="pt-PT"/>
        </w:rPr>
        <w:t>BudgWeb</w:t>
      </w:r>
      <w:proofErr w:type="spellEnd"/>
      <w:r>
        <w:rPr>
          <w:lang w:val="pt-PT"/>
        </w:rPr>
        <w:t>: http://www.cc.cec/budg/man/b</w:t>
      </w:r>
      <w:r>
        <w:rPr>
          <w:lang w:val="pt-PT"/>
        </w:rPr>
        <w:t>udgmanag/budgmanag_en.html.</w:t>
      </w:r>
    </w:p>
  </w:footnote>
  <w:footnote w:id="53">
    <w:p w:rsidR="006C0808" w:rsidRDefault="00E3601E">
      <w:pPr>
        <w:pStyle w:val="FootnoteText"/>
        <w:rPr>
          <w:lang w:val="pt-PT"/>
        </w:rPr>
      </w:pPr>
      <w:r>
        <w:rPr>
          <w:rStyle w:val="FootnoteReference"/>
        </w:rPr>
        <w:footnoteRef/>
      </w:r>
      <w:r>
        <w:rPr>
          <w:lang w:val="pt-PT"/>
        </w:rPr>
        <w:tab/>
        <w:t>http://www.europarl.europa.eu/sides/getDoc.do?type=TA&amp;reference=P7- TA-2013-0536&amp;language=EN.</w:t>
      </w:r>
    </w:p>
  </w:footnote>
  <w:footnote w:id="54">
    <w:p w:rsidR="006C0808" w:rsidRDefault="00E3601E">
      <w:pPr>
        <w:autoSpaceDE w:val="0"/>
        <w:autoSpaceDN w:val="0"/>
        <w:rPr>
          <w:lang w:val="pt-PT"/>
        </w:rPr>
      </w:pPr>
      <w:r>
        <w:rPr>
          <w:rStyle w:val="FootnoteReference"/>
        </w:rPr>
        <w:footnoteRef/>
      </w:r>
      <w:r>
        <w:rPr>
          <w:lang w:val="pt-PT"/>
        </w:rPr>
        <w:tab/>
      </w:r>
      <w:r>
        <w:rPr>
          <w:sz w:val="20"/>
          <w:lang w:val="pt-PT"/>
        </w:rPr>
        <w:t>SMART 2015/0003</w:t>
      </w:r>
      <w:r>
        <w:rPr>
          <w:color w:val="000000"/>
          <w:lang w:val="pt-PT"/>
        </w:rPr>
        <w:t>.</w:t>
      </w:r>
    </w:p>
  </w:footnote>
  <w:footnote w:id="55">
    <w:p w:rsidR="006C0808" w:rsidRDefault="00E3601E">
      <w:pPr>
        <w:pStyle w:val="FootnoteText"/>
        <w:rPr>
          <w:lang w:val="pt-PT"/>
        </w:rPr>
      </w:pPr>
      <w:r>
        <w:rPr>
          <w:rStyle w:val="FootnoteReference"/>
        </w:rPr>
        <w:footnoteRef/>
      </w:r>
      <w:r>
        <w:rPr>
          <w:lang w:val="pt-PT"/>
        </w:rPr>
        <w:tab/>
        <w:t>SMART 2015/002.</w:t>
      </w:r>
    </w:p>
  </w:footnote>
  <w:footnote w:id="56">
    <w:p w:rsidR="006C0808" w:rsidRDefault="00E3601E">
      <w:pPr>
        <w:pStyle w:val="FootnoteText"/>
        <w:rPr>
          <w:lang w:val="pt-PT"/>
        </w:rPr>
      </w:pPr>
      <w:r>
        <w:rPr>
          <w:rStyle w:val="FootnoteReference"/>
        </w:rPr>
        <w:footnoteRef/>
      </w:r>
      <w:r>
        <w:rPr>
          <w:lang w:val="pt-PT"/>
        </w:rPr>
        <w:tab/>
        <w:t>SMART 2015/005.</w:t>
      </w:r>
    </w:p>
  </w:footnote>
  <w:footnote w:id="57">
    <w:p w:rsidR="006C0808" w:rsidRDefault="00E3601E">
      <w:pPr>
        <w:pStyle w:val="FootnoteText"/>
        <w:rPr>
          <w:szCs w:val="24"/>
          <w:lang w:val="pt-PT"/>
        </w:rPr>
      </w:pPr>
      <w:r>
        <w:rPr>
          <w:rStyle w:val="FootnoteReference"/>
        </w:rPr>
        <w:footnoteRef/>
      </w:r>
      <w:r>
        <w:rPr>
          <w:lang w:val="pt-PT"/>
        </w:rPr>
        <w:tab/>
      </w:r>
      <w:proofErr w:type="spellStart"/>
      <w:r>
        <w:rPr>
          <w:lang w:val="pt-PT"/>
        </w:rPr>
        <w:t>Dif</w:t>
      </w:r>
      <w:proofErr w:type="spellEnd"/>
      <w:r>
        <w:rPr>
          <w:lang w:val="pt-PT"/>
        </w:rPr>
        <w:t xml:space="preserve">. = </w:t>
      </w:r>
      <w:proofErr w:type="spellStart"/>
      <w:r>
        <w:rPr>
          <w:lang w:val="pt-PT"/>
        </w:rPr>
        <w:t>diferencirana</w:t>
      </w:r>
      <w:proofErr w:type="spellEnd"/>
      <w:r>
        <w:rPr>
          <w:lang w:val="pt-PT"/>
        </w:rPr>
        <w:t xml:space="preserve"> </w:t>
      </w:r>
      <w:proofErr w:type="spellStart"/>
      <w:r>
        <w:rPr>
          <w:lang w:val="pt-PT"/>
        </w:rPr>
        <w:t>odobrena</w:t>
      </w:r>
      <w:proofErr w:type="spellEnd"/>
      <w:r>
        <w:rPr>
          <w:lang w:val="pt-PT"/>
        </w:rPr>
        <w:t xml:space="preserve"> </w:t>
      </w:r>
      <w:proofErr w:type="spellStart"/>
      <w:r>
        <w:rPr>
          <w:lang w:val="pt-PT"/>
        </w:rPr>
        <w:t>sredstva</w:t>
      </w:r>
      <w:proofErr w:type="spellEnd"/>
      <w:r>
        <w:rPr>
          <w:lang w:val="pt-PT"/>
        </w:rPr>
        <w:t xml:space="preserve">; </w:t>
      </w:r>
      <w:proofErr w:type="spellStart"/>
      <w:r>
        <w:rPr>
          <w:lang w:val="pt-PT"/>
        </w:rPr>
        <w:t>Nedif</w:t>
      </w:r>
      <w:proofErr w:type="spellEnd"/>
      <w:r>
        <w:rPr>
          <w:lang w:val="pt-PT"/>
        </w:rPr>
        <w:t xml:space="preserve">. = </w:t>
      </w:r>
      <w:proofErr w:type="spellStart"/>
      <w:r>
        <w:rPr>
          <w:lang w:val="pt-PT"/>
        </w:rPr>
        <w:t>nediferencirana</w:t>
      </w:r>
      <w:proofErr w:type="spellEnd"/>
      <w:r>
        <w:rPr>
          <w:lang w:val="pt-PT"/>
        </w:rPr>
        <w:t xml:space="preserve"> </w:t>
      </w:r>
      <w:proofErr w:type="spellStart"/>
      <w:r>
        <w:rPr>
          <w:lang w:val="pt-PT"/>
        </w:rPr>
        <w:t>odobrena</w:t>
      </w:r>
      <w:proofErr w:type="spellEnd"/>
      <w:r>
        <w:rPr>
          <w:lang w:val="pt-PT"/>
        </w:rPr>
        <w:t xml:space="preserve"> </w:t>
      </w:r>
      <w:proofErr w:type="spellStart"/>
      <w:r>
        <w:rPr>
          <w:lang w:val="pt-PT"/>
        </w:rPr>
        <w:t>sredstva</w:t>
      </w:r>
      <w:proofErr w:type="spellEnd"/>
      <w:r>
        <w:rPr>
          <w:lang w:val="pt-PT"/>
        </w:rPr>
        <w:t>.</w:t>
      </w:r>
    </w:p>
  </w:footnote>
  <w:footnote w:id="58">
    <w:p w:rsidR="006C0808" w:rsidRDefault="00E3601E">
      <w:pPr>
        <w:pStyle w:val="FootnoteText"/>
        <w:rPr>
          <w:szCs w:val="24"/>
          <w:lang w:val="pt-PT"/>
        </w:rPr>
      </w:pPr>
      <w:r>
        <w:rPr>
          <w:rStyle w:val="FootnoteReference"/>
        </w:rPr>
        <w:footnoteRef/>
      </w:r>
      <w:r>
        <w:rPr>
          <w:lang w:val="pt-PT"/>
        </w:rPr>
        <w:tab/>
        <w:t xml:space="preserve">EFTA: </w:t>
      </w:r>
      <w:proofErr w:type="spellStart"/>
      <w:r>
        <w:rPr>
          <w:lang w:val="pt-PT"/>
        </w:rPr>
        <w:t>Europsko</w:t>
      </w:r>
      <w:proofErr w:type="spellEnd"/>
      <w:r>
        <w:rPr>
          <w:lang w:val="pt-PT"/>
        </w:rPr>
        <w:t xml:space="preserve"> </w:t>
      </w:r>
      <w:proofErr w:type="spellStart"/>
      <w:r>
        <w:rPr>
          <w:lang w:val="pt-PT"/>
        </w:rPr>
        <w:t>udruženje</w:t>
      </w:r>
      <w:proofErr w:type="spellEnd"/>
      <w:r>
        <w:rPr>
          <w:lang w:val="pt-PT"/>
        </w:rPr>
        <w:t xml:space="preserve"> </w:t>
      </w:r>
      <w:proofErr w:type="spellStart"/>
      <w:r>
        <w:rPr>
          <w:lang w:val="pt-PT"/>
        </w:rPr>
        <w:t>slobodne</w:t>
      </w:r>
      <w:proofErr w:type="spellEnd"/>
      <w:r>
        <w:rPr>
          <w:lang w:val="pt-PT"/>
        </w:rPr>
        <w:t xml:space="preserve"> </w:t>
      </w:r>
      <w:proofErr w:type="spellStart"/>
      <w:r>
        <w:rPr>
          <w:lang w:val="pt-PT"/>
        </w:rPr>
        <w:t>trgovine</w:t>
      </w:r>
      <w:proofErr w:type="spellEnd"/>
      <w:r>
        <w:rPr>
          <w:lang w:val="pt-PT"/>
        </w:rPr>
        <w:t xml:space="preserve">. </w:t>
      </w:r>
    </w:p>
  </w:footnote>
  <w:footnote w:id="59">
    <w:p w:rsidR="006C0808" w:rsidRDefault="00E3601E">
      <w:pPr>
        <w:pStyle w:val="FootnoteText"/>
        <w:rPr>
          <w:szCs w:val="24"/>
          <w:lang w:val="pt-PT"/>
        </w:rPr>
      </w:pPr>
      <w:r>
        <w:rPr>
          <w:rStyle w:val="FootnoteReference"/>
        </w:rPr>
        <w:footnoteRef/>
      </w:r>
      <w:r>
        <w:rPr>
          <w:lang w:val="pt-PT"/>
        </w:rPr>
        <w:tab/>
      </w:r>
      <w:proofErr w:type="spellStart"/>
      <w:r>
        <w:rPr>
          <w:lang w:val="pt-PT"/>
        </w:rPr>
        <w:t>Zemlje</w:t>
      </w:r>
      <w:proofErr w:type="spellEnd"/>
      <w:r>
        <w:rPr>
          <w:lang w:val="pt-PT"/>
        </w:rPr>
        <w:t xml:space="preserve"> </w:t>
      </w:r>
      <w:proofErr w:type="spellStart"/>
      <w:r>
        <w:rPr>
          <w:lang w:val="pt-PT"/>
        </w:rPr>
        <w:t>kandidatkinje</w:t>
      </w:r>
      <w:proofErr w:type="spellEnd"/>
      <w:r>
        <w:rPr>
          <w:lang w:val="pt-PT"/>
        </w:rPr>
        <w:t xml:space="preserve"> i, </w:t>
      </w:r>
      <w:proofErr w:type="spellStart"/>
      <w:r>
        <w:rPr>
          <w:lang w:val="pt-PT"/>
        </w:rPr>
        <w:t>ako</w:t>
      </w:r>
      <w:proofErr w:type="spellEnd"/>
      <w:r>
        <w:rPr>
          <w:lang w:val="pt-PT"/>
        </w:rPr>
        <w:t xml:space="preserve"> </w:t>
      </w:r>
      <w:proofErr w:type="spellStart"/>
      <w:r>
        <w:rPr>
          <w:lang w:val="pt-PT"/>
        </w:rPr>
        <w:t>je</w:t>
      </w:r>
      <w:proofErr w:type="spellEnd"/>
      <w:r>
        <w:rPr>
          <w:lang w:val="pt-PT"/>
        </w:rPr>
        <w:t xml:space="preserve"> </w:t>
      </w:r>
      <w:proofErr w:type="spellStart"/>
      <w:r>
        <w:rPr>
          <w:lang w:val="pt-PT"/>
        </w:rPr>
        <w:t>primjenjivo</w:t>
      </w:r>
      <w:proofErr w:type="spellEnd"/>
      <w:r>
        <w:rPr>
          <w:lang w:val="pt-PT"/>
        </w:rPr>
        <w:t xml:space="preserve">, </w:t>
      </w:r>
      <w:proofErr w:type="spellStart"/>
      <w:r>
        <w:rPr>
          <w:lang w:val="pt-PT"/>
        </w:rPr>
        <w:t>potencijalne</w:t>
      </w:r>
      <w:proofErr w:type="spellEnd"/>
      <w:r>
        <w:rPr>
          <w:lang w:val="pt-PT"/>
        </w:rPr>
        <w:t xml:space="preserve"> </w:t>
      </w:r>
      <w:proofErr w:type="spellStart"/>
      <w:r>
        <w:rPr>
          <w:lang w:val="pt-PT"/>
        </w:rPr>
        <w:t>zemlje</w:t>
      </w:r>
      <w:proofErr w:type="spellEnd"/>
      <w:r>
        <w:rPr>
          <w:lang w:val="pt-PT"/>
        </w:rPr>
        <w:t xml:space="preserve"> </w:t>
      </w:r>
      <w:proofErr w:type="spellStart"/>
      <w:r>
        <w:rPr>
          <w:lang w:val="pt-PT"/>
        </w:rPr>
        <w:t>kandidatkinje</w:t>
      </w:r>
      <w:proofErr w:type="spellEnd"/>
      <w:r>
        <w:rPr>
          <w:lang w:val="pt-PT"/>
        </w:rPr>
        <w:t xml:space="preserve"> </w:t>
      </w:r>
      <w:proofErr w:type="spellStart"/>
      <w:r>
        <w:rPr>
          <w:lang w:val="pt-PT"/>
        </w:rPr>
        <w:t>sa</w:t>
      </w:r>
      <w:proofErr w:type="spellEnd"/>
      <w:r>
        <w:rPr>
          <w:lang w:val="pt-PT"/>
        </w:rPr>
        <w:t xml:space="preserve"> </w:t>
      </w:r>
      <w:proofErr w:type="spellStart"/>
      <w:r>
        <w:rPr>
          <w:lang w:val="pt-PT"/>
        </w:rPr>
        <w:t>zapadnog</w:t>
      </w:r>
      <w:proofErr w:type="spellEnd"/>
      <w:r>
        <w:rPr>
          <w:lang w:val="pt-PT"/>
        </w:rPr>
        <w:t xml:space="preserve"> </w:t>
      </w:r>
      <w:proofErr w:type="spellStart"/>
      <w:r>
        <w:rPr>
          <w:lang w:val="pt-PT"/>
        </w:rPr>
        <w:t>Balkana</w:t>
      </w:r>
      <w:proofErr w:type="spellEnd"/>
      <w:r>
        <w:rPr>
          <w:lang w:val="pt-PT"/>
        </w:rPr>
        <w:t>.</w:t>
      </w:r>
    </w:p>
  </w:footnote>
  <w:footnote w:id="60">
    <w:p w:rsidR="006C0808" w:rsidRDefault="00E3601E">
      <w:pPr>
        <w:pStyle w:val="FootnoteText"/>
        <w:rPr>
          <w:lang w:val="pt-PT"/>
        </w:rPr>
      </w:pPr>
      <w:r>
        <w:rPr>
          <w:rStyle w:val="FootnoteReference"/>
        </w:rPr>
        <w:footnoteRef/>
      </w:r>
      <w:r>
        <w:rPr>
          <w:lang w:val="pt-PT"/>
        </w:rPr>
        <w:tab/>
      </w:r>
      <w:proofErr w:type="spellStart"/>
      <w:r>
        <w:rPr>
          <w:lang w:val="pt-PT"/>
        </w:rPr>
        <w:t>Osnovni</w:t>
      </w:r>
      <w:proofErr w:type="spellEnd"/>
      <w:r>
        <w:rPr>
          <w:lang w:val="pt-PT"/>
        </w:rPr>
        <w:t xml:space="preserve"> </w:t>
      </w:r>
      <w:proofErr w:type="spellStart"/>
      <w:r>
        <w:rPr>
          <w:lang w:val="pt-PT"/>
        </w:rPr>
        <w:t>scenarij</w:t>
      </w:r>
      <w:proofErr w:type="spellEnd"/>
      <w:r>
        <w:rPr>
          <w:lang w:val="pt-PT"/>
        </w:rPr>
        <w:t xml:space="preserve"> </w:t>
      </w:r>
      <w:proofErr w:type="spellStart"/>
      <w:r>
        <w:rPr>
          <w:lang w:val="pt-PT"/>
        </w:rPr>
        <w:t>za</w:t>
      </w:r>
      <w:proofErr w:type="spellEnd"/>
      <w:r>
        <w:rPr>
          <w:lang w:val="pt-PT"/>
        </w:rPr>
        <w:t xml:space="preserve"> 2017. </w:t>
      </w:r>
      <w:proofErr w:type="spellStart"/>
      <w:r>
        <w:rPr>
          <w:lang w:val="pt-PT"/>
        </w:rPr>
        <w:t>naveden</w:t>
      </w:r>
      <w:proofErr w:type="spellEnd"/>
      <w:r>
        <w:rPr>
          <w:lang w:val="pt-PT"/>
        </w:rPr>
        <w:t xml:space="preserve"> </w:t>
      </w:r>
      <w:proofErr w:type="spellStart"/>
      <w:r>
        <w:rPr>
          <w:lang w:val="pt-PT"/>
        </w:rPr>
        <w:t>je</w:t>
      </w:r>
      <w:proofErr w:type="spellEnd"/>
      <w:r>
        <w:rPr>
          <w:lang w:val="pt-PT"/>
        </w:rPr>
        <w:t xml:space="preserve"> samo </w:t>
      </w:r>
      <w:proofErr w:type="spellStart"/>
      <w:r>
        <w:rPr>
          <w:lang w:val="pt-PT"/>
        </w:rPr>
        <w:t>radi</w:t>
      </w:r>
      <w:proofErr w:type="spellEnd"/>
      <w:r>
        <w:rPr>
          <w:lang w:val="pt-PT"/>
        </w:rPr>
        <w:t xml:space="preserve"> </w:t>
      </w:r>
      <w:proofErr w:type="spellStart"/>
      <w:r>
        <w:rPr>
          <w:lang w:val="pt-PT"/>
        </w:rPr>
        <w:t>usporedbe</w:t>
      </w:r>
      <w:proofErr w:type="spellEnd"/>
      <w:r>
        <w:rPr>
          <w:lang w:val="pt-PT"/>
        </w:rPr>
        <w:t xml:space="preserve"> i </w:t>
      </w:r>
      <w:proofErr w:type="spellStart"/>
      <w:r>
        <w:rPr>
          <w:lang w:val="pt-PT"/>
        </w:rPr>
        <w:t>odražava</w:t>
      </w:r>
      <w:proofErr w:type="spellEnd"/>
      <w:r>
        <w:rPr>
          <w:lang w:val="pt-PT"/>
        </w:rPr>
        <w:t xml:space="preserve"> </w:t>
      </w:r>
      <w:proofErr w:type="spellStart"/>
      <w:r>
        <w:rPr>
          <w:lang w:val="pt-PT"/>
        </w:rPr>
        <w:t>iznose</w:t>
      </w:r>
      <w:proofErr w:type="spellEnd"/>
      <w:r>
        <w:rPr>
          <w:lang w:val="pt-PT"/>
        </w:rPr>
        <w:t xml:space="preserve"> </w:t>
      </w:r>
      <w:proofErr w:type="spellStart"/>
      <w:r>
        <w:rPr>
          <w:lang w:val="pt-PT"/>
        </w:rPr>
        <w:t>iz</w:t>
      </w:r>
      <w:proofErr w:type="spellEnd"/>
      <w:r>
        <w:rPr>
          <w:lang w:val="pt-PT"/>
        </w:rPr>
        <w:t xml:space="preserve"> </w:t>
      </w:r>
      <w:proofErr w:type="spellStart"/>
      <w:r>
        <w:rPr>
          <w:lang w:val="pt-PT"/>
        </w:rPr>
        <w:t>nacrta</w:t>
      </w:r>
      <w:proofErr w:type="spellEnd"/>
      <w:r>
        <w:rPr>
          <w:lang w:val="pt-PT"/>
        </w:rPr>
        <w:t xml:space="preserve"> </w:t>
      </w:r>
      <w:proofErr w:type="spellStart"/>
      <w:r>
        <w:rPr>
          <w:lang w:val="pt-PT"/>
        </w:rPr>
        <w:t>proračuna</w:t>
      </w:r>
      <w:proofErr w:type="spellEnd"/>
      <w:r>
        <w:rPr>
          <w:lang w:val="pt-PT"/>
        </w:rPr>
        <w:t xml:space="preserve"> </w:t>
      </w:r>
      <w:proofErr w:type="spellStart"/>
      <w:r>
        <w:rPr>
          <w:lang w:val="pt-PT"/>
        </w:rPr>
        <w:t>z</w:t>
      </w:r>
      <w:r>
        <w:rPr>
          <w:lang w:val="pt-PT"/>
        </w:rPr>
        <w:t>a</w:t>
      </w:r>
      <w:proofErr w:type="spellEnd"/>
      <w:r>
        <w:rPr>
          <w:lang w:val="pt-PT"/>
        </w:rPr>
        <w:t xml:space="preserve"> 2017. (</w:t>
      </w:r>
      <w:proofErr w:type="spellStart"/>
      <w:r>
        <w:rPr>
          <w:lang w:val="pt-PT"/>
        </w:rPr>
        <w:t>Ured</w:t>
      </w:r>
      <w:proofErr w:type="spellEnd"/>
      <w:r>
        <w:rPr>
          <w:lang w:val="pt-PT"/>
        </w:rPr>
        <w:t xml:space="preserve"> </w:t>
      </w:r>
      <w:proofErr w:type="spellStart"/>
      <w:r>
        <w:rPr>
          <w:lang w:val="pt-PT"/>
        </w:rPr>
        <w:t>BEREC-a</w:t>
      </w:r>
      <w:proofErr w:type="spellEnd"/>
      <w:r>
        <w:rPr>
          <w:lang w:val="pt-PT"/>
        </w:rPr>
        <w:t xml:space="preserve">). </w:t>
      </w:r>
      <w:proofErr w:type="spellStart"/>
      <w:r>
        <w:rPr>
          <w:lang w:val="pt-PT"/>
        </w:rPr>
        <w:t>Iznos</w:t>
      </w:r>
      <w:proofErr w:type="spellEnd"/>
      <w:r>
        <w:rPr>
          <w:lang w:val="pt-PT"/>
        </w:rPr>
        <w:t xml:space="preserve"> </w:t>
      </w:r>
      <w:proofErr w:type="spellStart"/>
      <w:r>
        <w:rPr>
          <w:lang w:val="pt-PT"/>
        </w:rPr>
        <w:t>od</w:t>
      </w:r>
      <w:proofErr w:type="spellEnd"/>
      <w:r>
        <w:rPr>
          <w:lang w:val="pt-PT"/>
        </w:rPr>
        <w:t xml:space="preserve"> 220 000 EUR </w:t>
      </w:r>
      <w:proofErr w:type="spellStart"/>
      <w:r>
        <w:rPr>
          <w:lang w:val="pt-PT"/>
        </w:rPr>
        <w:t>od</w:t>
      </w:r>
      <w:proofErr w:type="spellEnd"/>
      <w:r>
        <w:rPr>
          <w:lang w:val="pt-PT"/>
        </w:rPr>
        <w:t xml:space="preserve"> </w:t>
      </w:r>
      <w:proofErr w:type="spellStart"/>
      <w:r>
        <w:rPr>
          <w:lang w:val="pt-PT"/>
        </w:rPr>
        <w:t>tog</w:t>
      </w:r>
      <w:proofErr w:type="spellEnd"/>
      <w:r>
        <w:rPr>
          <w:lang w:val="pt-PT"/>
        </w:rPr>
        <w:t xml:space="preserve"> </w:t>
      </w:r>
      <w:proofErr w:type="spellStart"/>
      <w:r>
        <w:rPr>
          <w:lang w:val="pt-PT"/>
        </w:rPr>
        <w:t>iznosa</w:t>
      </w:r>
      <w:proofErr w:type="spellEnd"/>
      <w:r>
        <w:rPr>
          <w:lang w:val="pt-PT"/>
        </w:rPr>
        <w:t xml:space="preserve"> jesu </w:t>
      </w:r>
      <w:proofErr w:type="spellStart"/>
      <w:r>
        <w:rPr>
          <w:lang w:val="pt-PT"/>
        </w:rPr>
        <w:t>namjenski</w:t>
      </w:r>
      <w:proofErr w:type="spellEnd"/>
      <w:r>
        <w:rPr>
          <w:lang w:val="pt-PT"/>
        </w:rPr>
        <w:t xml:space="preserve"> </w:t>
      </w:r>
      <w:proofErr w:type="spellStart"/>
      <w:r>
        <w:rPr>
          <w:lang w:val="pt-PT"/>
        </w:rPr>
        <w:t>prihodi</w:t>
      </w:r>
      <w:proofErr w:type="spellEnd"/>
      <w:r>
        <w:rPr>
          <w:lang w:val="pt-PT"/>
        </w:rPr>
        <w:t>.</w:t>
      </w:r>
    </w:p>
  </w:footnote>
  <w:footnote w:id="61">
    <w:p w:rsidR="006C0808" w:rsidRDefault="00E3601E">
      <w:pPr>
        <w:pStyle w:val="FootnoteText"/>
        <w:rPr>
          <w:lang w:val="pt-PT"/>
        </w:rPr>
      </w:pPr>
      <w:r>
        <w:rPr>
          <w:rStyle w:val="FootnoteReference"/>
        </w:rPr>
        <w:footnoteRef/>
      </w:r>
      <w:r>
        <w:rPr>
          <w:lang w:val="pt-PT"/>
        </w:rPr>
        <w:tab/>
      </w:r>
      <w:proofErr w:type="spellStart"/>
      <w:r>
        <w:rPr>
          <w:lang w:val="pt-PT"/>
        </w:rPr>
        <w:t>Potencijalne</w:t>
      </w:r>
      <w:proofErr w:type="spellEnd"/>
      <w:r>
        <w:rPr>
          <w:lang w:val="pt-PT"/>
        </w:rPr>
        <w:t xml:space="preserve"> </w:t>
      </w:r>
      <w:proofErr w:type="spellStart"/>
      <w:r>
        <w:rPr>
          <w:lang w:val="pt-PT"/>
        </w:rPr>
        <w:t>učinkovitosti</w:t>
      </w:r>
      <w:proofErr w:type="spellEnd"/>
      <w:r>
        <w:rPr>
          <w:lang w:val="pt-PT"/>
        </w:rPr>
        <w:t xml:space="preserve"> i </w:t>
      </w:r>
      <w:proofErr w:type="spellStart"/>
      <w:r>
        <w:rPr>
          <w:lang w:val="pt-PT"/>
        </w:rPr>
        <w:t>uštede</w:t>
      </w:r>
      <w:proofErr w:type="spellEnd"/>
      <w:r>
        <w:rPr>
          <w:lang w:val="pt-PT"/>
        </w:rPr>
        <w:t xml:space="preserve"> </w:t>
      </w:r>
      <w:proofErr w:type="spellStart"/>
      <w:r>
        <w:rPr>
          <w:lang w:val="pt-PT"/>
        </w:rPr>
        <w:t>za</w:t>
      </w:r>
      <w:proofErr w:type="spellEnd"/>
      <w:r>
        <w:rPr>
          <w:lang w:val="pt-PT"/>
        </w:rPr>
        <w:t xml:space="preserve"> </w:t>
      </w:r>
      <w:proofErr w:type="spellStart"/>
      <w:r>
        <w:rPr>
          <w:lang w:val="pt-PT"/>
        </w:rPr>
        <w:t>države</w:t>
      </w:r>
      <w:proofErr w:type="spellEnd"/>
      <w:r>
        <w:rPr>
          <w:lang w:val="pt-PT"/>
        </w:rPr>
        <w:t xml:space="preserve"> </w:t>
      </w:r>
      <w:proofErr w:type="spellStart"/>
      <w:r>
        <w:rPr>
          <w:lang w:val="pt-PT"/>
        </w:rPr>
        <w:t>članice</w:t>
      </w:r>
      <w:proofErr w:type="spellEnd"/>
      <w:r>
        <w:rPr>
          <w:lang w:val="pt-PT"/>
        </w:rPr>
        <w:t xml:space="preserve">, </w:t>
      </w:r>
      <w:proofErr w:type="spellStart"/>
      <w:r>
        <w:rPr>
          <w:lang w:val="pt-PT"/>
        </w:rPr>
        <w:t>posebno</w:t>
      </w:r>
      <w:proofErr w:type="spellEnd"/>
      <w:r>
        <w:rPr>
          <w:lang w:val="pt-PT"/>
        </w:rPr>
        <w:t xml:space="preserve"> u </w:t>
      </w:r>
      <w:proofErr w:type="spellStart"/>
      <w:r>
        <w:rPr>
          <w:lang w:val="pt-PT"/>
        </w:rPr>
        <w:t>pogledu</w:t>
      </w:r>
      <w:proofErr w:type="spellEnd"/>
      <w:r>
        <w:rPr>
          <w:lang w:val="pt-PT"/>
        </w:rPr>
        <w:t xml:space="preserve"> </w:t>
      </w:r>
      <w:proofErr w:type="spellStart"/>
      <w:r>
        <w:rPr>
          <w:lang w:val="pt-PT"/>
        </w:rPr>
        <w:t>širih</w:t>
      </w:r>
      <w:proofErr w:type="spellEnd"/>
      <w:r>
        <w:rPr>
          <w:lang w:val="pt-PT"/>
        </w:rPr>
        <w:t xml:space="preserve"> </w:t>
      </w:r>
      <w:proofErr w:type="spellStart"/>
      <w:r>
        <w:rPr>
          <w:lang w:val="pt-PT"/>
        </w:rPr>
        <w:t>ovlasti</w:t>
      </w:r>
      <w:proofErr w:type="spellEnd"/>
      <w:r>
        <w:rPr>
          <w:lang w:val="pt-PT"/>
        </w:rPr>
        <w:t xml:space="preserve"> </w:t>
      </w:r>
      <w:proofErr w:type="spellStart"/>
      <w:r>
        <w:rPr>
          <w:lang w:val="pt-PT"/>
        </w:rPr>
        <w:t>koje</w:t>
      </w:r>
      <w:proofErr w:type="spellEnd"/>
      <w:r>
        <w:rPr>
          <w:lang w:val="pt-PT"/>
        </w:rPr>
        <w:t xml:space="preserve"> </w:t>
      </w:r>
      <w:proofErr w:type="spellStart"/>
      <w:r>
        <w:rPr>
          <w:lang w:val="pt-PT"/>
        </w:rPr>
        <w:t>su</w:t>
      </w:r>
      <w:proofErr w:type="spellEnd"/>
      <w:r>
        <w:rPr>
          <w:lang w:val="pt-PT"/>
        </w:rPr>
        <w:t xml:space="preserve"> </w:t>
      </w:r>
      <w:proofErr w:type="spellStart"/>
      <w:r>
        <w:rPr>
          <w:lang w:val="pt-PT"/>
        </w:rPr>
        <w:t>povjerene</w:t>
      </w:r>
      <w:proofErr w:type="spellEnd"/>
      <w:r>
        <w:rPr>
          <w:lang w:val="pt-PT"/>
        </w:rPr>
        <w:t xml:space="preserve"> </w:t>
      </w:r>
      <w:proofErr w:type="spellStart"/>
      <w:r>
        <w:rPr>
          <w:lang w:val="pt-PT"/>
        </w:rPr>
        <w:t>agenciji</w:t>
      </w:r>
      <w:proofErr w:type="spellEnd"/>
      <w:r>
        <w:rPr>
          <w:lang w:val="pt-PT"/>
        </w:rPr>
        <w:t xml:space="preserve">, te </w:t>
      </w:r>
      <w:proofErr w:type="spellStart"/>
      <w:r>
        <w:rPr>
          <w:lang w:val="pt-PT"/>
        </w:rPr>
        <w:t>za</w:t>
      </w:r>
      <w:proofErr w:type="spellEnd"/>
      <w:r>
        <w:rPr>
          <w:lang w:val="pt-PT"/>
        </w:rPr>
        <w:t xml:space="preserve"> </w:t>
      </w:r>
      <w:proofErr w:type="spellStart"/>
      <w:r>
        <w:rPr>
          <w:lang w:val="pt-PT"/>
        </w:rPr>
        <w:t>Komisiju</w:t>
      </w:r>
      <w:proofErr w:type="spellEnd"/>
      <w:r>
        <w:rPr>
          <w:lang w:val="pt-PT"/>
        </w:rPr>
        <w:t xml:space="preserve"> </w:t>
      </w:r>
      <w:proofErr w:type="spellStart"/>
      <w:r>
        <w:rPr>
          <w:lang w:val="pt-PT"/>
        </w:rPr>
        <w:t>analizirane</w:t>
      </w:r>
      <w:proofErr w:type="spellEnd"/>
      <w:r>
        <w:rPr>
          <w:lang w:val="pt-PT"/>
        </w:rPr>
        <w:t xml:space="preserve"> </w:t>
      </w:r>
      <w:proofErr w:type="spellStart"/>
      <w:r>
        <w:rPr>
          <w:lang w:val="pt-PT"/>
        </w:rPr>
        <w:t>su</w:t>
      </w:r>
      <w:proofErr w:type="spellEnd"/>
      <w:r>
        <w:rPr>
          <w:lang w:val="pt-PT"/>
        </w:rPr>
        <w:t xml:space="preserve"> </w:t>
      </w:r>
      <w:proofErr w:type="spellStart"/>
      <w:r>
        <w:rPr>
          <w:lang w:val="pt-PT"/>
        </w:rPr>
        <w:t>kao</w:t>
      </w:r>
      <w:proofErr w:type="spellEnd"/>
      <w:r>
        <w:rPr>
          <w:lang w:val="pt-PT"/>
        </w:rPr>
        <w:t xml:space="preserve"> </w:t>
      </w:r>
      <w:proofErr w:type="spellStart"/>
      <w:r>
        <w:rPr>
          <w:lang w:val="pt-PT"/>
        </w:rPr>
        <w:t>dio</w:t>
      </w:r>
      <w:proofErr w:type="spellEnd"/>
      <w:r>
        <w:rPr>
          <w:lang w:val="pt-PT"/>
        </w:rPr>
        <w:t xml:space="preserve"> </w:t>
      </w:r>
      <w:proofErr w:type="spellStart"/>
      <w:r>
        <w:rPr>
          <w:lang w:val="pt-PT"/>
        </w:rPr>
        <w:t>Procjene</w:t>
      </w:r>
      <w:proofErr w:type="spellEnd"/>
      <w:r>
        <w:rPr>
          <w:lang w:val="pt-PT"/>
        </w:rPr>
        <w:t xml:space="preserve"> </w:t>
      </w:r>
      <w:proofErr w:type="spellStart"/>
      <w:r>
        <w:rPr>
          <w:lang w:val="pt-PT"/>
        </w:rPr>
        <w:t>učinaka</w:t>
      </w:r>
      <w:proofErr w:type="spellEnd"/>
      <w:r>
        <w:rPr>
          <w:lang w:val="pt-PT"/>
        </w:rPr>
        <w:t xml:space="preserve">. </w:t>
      </w:r>
      <w:proofErr w:type="spellStart"/>
      <w:r>
        <w:rPr>
          <w:lang w:val="pt-PT"/>
        </w:rPr>
        <w:t>Od</w:t>
      </w:r>
      <w:proofErr w:type="spellEnd"/>
      <w:r>
        <w:rPr>
          <w:lang w:val="pt-PT"/>
        </w:rPr>
        <w:t xml:space="preserve"> nove </w:t>
      </w:r>
      <w:proofErr w:type="spellStart"/>
      <w:r>
        <w:rPr>
          <w:lang w:val="pt-PT"/>
        </w:rPr>
        <w:t>agencije</w:t>
      </w:r>
      <w:proofErr w:type="spellEnd"/>
      <w:r>
        <w:rPr>
          <w:lang w:val="pt-PT"/>
        </w:rPr>
        <w:t xml:space="preserve"> </w:t>
      </w:r>
      <w:proofErr w:type="spellStart"/>
      <w:r>
        <w:rPr>
          <w:lang w:val="pt-PT"/>
        </w:rPr>
        <w:t>očekuje</w:t>
      </w:r>
      <w:proofErr w:type="spellEnd"/>
      <w:r>
        <w:rPr>
          <w:lang w:val="pt-PT"/>
        </w:rPr>
        <w:t xml:space="preserve"> se da u </w:t>
      </w:r>
      <w:proofErr w:type="spellStart"/>
      <w:r>
        <w:rPr>
          <w:lang w:val="pt-PT"/>
        </w:rPr>
        <w:t>budućnosti</w:t>
      </w:r>
      <w:proofErr w:type="spellEnd"/>
      <w:r>
        <w:rPr>
          <w:lang w:val="pt-PT"/>
        </w:rPr>
        <w:t xml:space="preserve"> </w:t>
      </w:r>
      <w:proofErr w:type="spellStart"/>
      <w:r>
        <w:rPr>
          <w:lang w:val="pt-PT"/>
        </w:rPr>
        <w:t>nastavi</w:t>
      </w:r>
      <w:proofErr w:type="spellEnd"/>
      <w:r>
        <w:rPr>
          <w:lang w:val="pt-PT"/>
        </w:rPr>
        <w:t xml:space="preserve"> </w:t>
      </w:r>
      <w:proofErr w:type="spellStart"/>
      <w:r>
        <w:rPr>
          <w:lang w:val="pt-PT"/>
        </w:rPr>
        <w:t>trenutačne</w:t>
      </w:r>
      <w:proofErr w:type="spellEnd"/>
      <w:r>
        <w:rPr>
          <w:lang w:val="pt-PT"/>
        </w:rPr>
        <w:t xml:space="preserve"> </w:t>
      </w:r>
      <w:proofErr w:type="spellStart"/>
      <w:r>
        <w:rPr>
          <w:lang w:val="pt-PT"/>
        </w:rPr>
        <w:t>sporazume</w:t>
      </w:r>
      <w:proofErr w:type="spellEnd"/>
      <w:r>
        <w:rPr>
          <w:lang w:val="pt-PT"/>
        </w:rPr>
        <w:t xml:space="preserve"> o </w:t>
      </w:r>
      <w:proofErr w:type="spellStart"/>
      <w:r>
        <w:rPr>
          <w:lang w:val="pt-PT"/>
        </w:rPr>
        <w:t>uslugama</w:t>
      </w:r>
      <w:proofErr w:type="spellEnd"/>
      <w:r>
        <w:rPr>
          <w:lang w:val="pt-PT"/>
        </w:rPr>
        <w:t xml:space="preserve"> s </w:t>
      </w:r>
      <w:proofErr w:type="spellStart"/>
      <w:r>
        <w:rPr>
          <w:lang w:val="pt-PT"/>
        </w:rPr>
        <w:t>Komisijom</w:t>
      </w:r>
      <w:proofErr w:type="spellEnd"/>
      <w:r>
        <w:rPr>
          <w:lang w:val="pt-PT"/>
        </w:rPr>
        <w:t xml:space="preserve"> (</w:t>
      </w:r>
      <w:proofErr w:type="spellStart"/>
      <w:r>
        <w:rPr>
          <w:lang w:val="pt-PT"/>
        </w:rPr>
        <w:t>računovodstveni</w:t>
      </w:r>
      <w:proofErr w:type="spellEnd"/>
      <w:r>
        <w:rPr>
          <w:lang w:val="pt-PT"/>
        </w:rPr>
        <w:t xml:space="preserve"> </w:t>
      </w:r>
      <w:proofErr w:type="spellStart"/>
      <w:r>
        <w:rPr>
          <w:lang w:val="pt-PT"/>
        </w:rPr>
        <w:t>službenik</w:t>
      </w:r>
      <w:proofErr w:type="spellEnd"/>
      <w:r>
        <w:rPr>
          <w:lang w:val="pt-PT"/>
        </w:rPr>
        <w:t xml:space="preserve"> i </w:t>
      </w:r>
      <w:proofErr w:type="spellStart"/>
      <w:r>
        <w:rPr>
          <w:lang w:val="pt-PT"/>
        </w:rPr>
        <w:t>upotreba</w:t>
      </w:r>
      <w:proofErr w:type="spellEnd"/>
      <w:r>
        <w:rPr>
          <w:lang w:val="pt-PT"/>
        </w:rPr>
        <w:t xml:space="preserve"> </w:t>
      </w:r>
      <w:proofErr w:type="spellStart"/>
      <w:r>
        <w:rPr>
          <w:lang w:val="pt-PT"/>
        </w:rPr>
        <w:t>određenih</w:t>
      </w:r>
      <w:proofErr w:type="spellEnd"/>
      <w:r>
        <w:rPr>
          <w:lang w:val="pt-PT"/>
        </w:rPr>
        <w:t xml:space="preserve"> </w:t>
      </w:r>
      <w:proofErr w:type="spellStart"/>
      <w:r>
        <w:rPr>
          <w:lang w:val="pt-PT"/>
        </w:rPr>
        <w:t>aplikacija</w:t>
      </w:r>
      <w:proofErr w:type="spellEnd"/>
      <w:r>
        <w:rPr>
          <w:lang w:val="pt-PT"/>
        </w:rPr>
        <w:t xml:space="preserve"> i </w:t>
      </w:r>
      <w:proofErr w:type="spellStart"/>
      <w:r>
        <w:rPr>
          <w:lang w:val="pt-PT"/>
        </w:rPr>
        <w:t>alata</w:t>
      </w:r>
      <w:proofErr w:type="spellEnd"/>
      <w:r>
        <w:rPr>
          <w:lang w:val="pt-PT"/>
        </w:rPr>
        <w:t xml:space="preserve">) i s </w:t>
      </w:r>
      <w:proofErr w:type="spellStart"/>
      <w:r>
        <w:rPr>
          <w:lang w:val="pt-PT"/>
        </w:rPr>
        <w:t>ostalim</w:t>
      </w:r>
      <w:proofErr w:type="spellEnd"/>
      <w:r>
        <w:rPr>
          <w:lang w:val="pt-PT"/>
        </w:rPr>
        <w:t xml:space="preserve"> </w:t>
      </w:r>
      <w:proofErr w:type="spellStart"/>
      <w:r>
        <w:rPr>
          <w:lang w:val="pt-PT"/>
        </w:rPr>
        <w:t>agencijama</w:t>
      </w:r>
      <w:proofErr w:type="spellEnd"/>
      <w:r>
        <w:rPr>
          <w:lang w:val="pt-PT"/>
        </w:rPr>
        <w:t xml:space="preserve"> </w:t>
      </w:r>
      <w:proofErr w:type="spellStart"/>
      <w:r>
        <w:rPr>
          <w:lang w:val="pt-PT"/>
        </w:rPr>
        <w:t>Unije</w:t>
      </w:r>
      <w:proofErr w:type="spellEnd"/>
      <w:r>
        <w:rPr>
          <w:lang w:val="pt-PT"/>
        </w:rPr>
        <w:t xml:space="preserve"> (s ENISA-</w:t>
      </w:r>
      <w:proofErr w:type="spellStart"/>
      <w:r>
        <w:rPr>
          <w:lang w:val="pt-PT"/>
        </w:rPr>
        <w:t>om</w:t>
      </w:r>
      <w:proofErr w:type="spellEnd"/>
      <w:r>
        <w:rPr>
          <w:lang w:val="pt-PT"/>
        </w:rPr>
        <w:t xml:space="preserve"> u </w:t>
      </w:r>
      <w:proofErr w:type="spellStart"/>
      <w:r>
        <w:rPr>
          <w:lang w:val="pt-PT"/>
        </w:rPr>
        <w:t>pogledu</w:t>
      </w:r>
      <w:proofErr w:type="spellEnd"/>
      <w:r>
        <w:rPr>
          <w:lang w:val="pt-PT"/>
        </w:rPr>
        <w:t xml:space="preserve"> </w:t>
      </w:r>
      <w:proofErr w:type="spellStart"/>
      <w:r>
        <w:rPr>
          <w:lang w:val="pt-PT"/>
        </w:rPr>
        <w:t>vanjskog</w:t>
      </w:r>
      <w:proofErr w:type="spellEnd"/>
      <w:r>
        <w:rPr>
          <w:lang w:val="pt-PT"/>
        </w:rPr>
        <w:t xml:space="preserve"> </w:t>
      </w:r>
      <w:proofErr w:type="spellStart"/>
      <w:r>
        <w:rPr>
          <w:lang w:val="pt-PT"/>
        </w:rPr>
        <w:t>pohranjivanja</w:t>
      </w:r>
      <w:proofErr w:type="spellEnd"/>
      <w:r>
        <w:rPr>
          <w:lang w:val="pt-PT"/>
        </w:rPr>
        <w:t xml:space="preserve"> </w:t>
      </w:r>
      <w:proofErr w:type="spellStart"/>
      <w:r>
        <w:rPr>
          <w:lang w:val="pt-PT"/>
        </w:rPr>
        <w:t>sigurnosne</w:t>
      </w:r>
      <w:proofErr w:type="spellEnd"/>
      <w:r>
        <w:rPr>
          <w:lang w:val="pt-PT"/>
        </w:rPr>
        <w:t xml:space="preserve"> </w:t>
      </w:r>
      <w:proofErr w:type="spellStart"/>
      <w:r>
        <w:rPr>
          <w:lang w:val="pt-PT"/>
        </w:rPr>
        <w:t>kopije</w:t>
      </w:r>
      <w:proofErr w:type="spellEnd"/>
      <w:r>
        <w:rPr>
          <w:lang w:val="pt-PT"/>
        </w:rPr>
        <w:t xml:space="preserve"> </w:t>
      </w:r>
      <w:proofErr w:type="spellStart"/>
      <w:r>
        <w:rPr>
          <w:lang w:val="pt-PT"/>
        </w:rPr>
        <w:t>podataka</w:t>
      </w:r>
      <w:proofErr w:type="spellEnd"/>
      <w:r>
        <w:rPr>
          <w:lang w:val="pt-PT"/>
        </w:rPr>
        <w:t xml:space="preserve"> i </w:t>
      </w:r>
      <w:proofErr w:type="spellStart"/>
      <w:r>
        <w:rPr>
          <w:lang w:val="pt-PT"/>
        </w:rPr>
        <w:t>koordinatora</w:t>
      </w:r>
      <w:proofErr w:type="spellEnd"/>
      <w:r>
        <w:rPr>
          <w:lang w:val="pt-PT"/>
        </w:rPr>
        <w:t xml:space="preserve"> </w:t>
      </w:r>
      <w:proofErr w:type="spellStart"/>
      <w:r>
        <w:rPr>
          <w:lang w:val="pt-PT"/>
        </w:rPr>
        <w:t>za</w:t>
      </w:r>
      <w:proofErr w:type="spellEnd"/>
      <w:r>
        <w:rPr>
          <w:lang w:val="pt-PT"/>
        </w:rPr>
        <w:t xml:space="preserve"> </w:t>
      </w:r>
      <w:proofErr w:type="spellStart"/>
      <w:r>
        <w:rPr>
          <w:lang w:val="pt-PT"/>
        </w:rPr>
        <w:t>unutarnju</w:t>
      </w:r>
      <w:proofErr w:type="spellEnd"/>
      <w:r>
        <w:rPr>
          <w:lang w:val="pt-PT"/>
        </w:rPr>
        <w:t xml:space="preserve"> </w:t>
      </w:r>
      <w:proofErr w:type="spellStart"/>
      <w:r>
        <w:rPr>
          <w:lang w:val="pt-PT"/>
        </w:rPr>
        <w:t>kontrolu</w:t>
      </w:r>
      <w:proofErr w:type="spellEnd"/>
      <w:r>
        <w:rPr>
          <w:lang w:val="pt-PT"/>
        </w:rPr>
        <w:t xml:space="preserve">), </w:t>
      </w:r>
      <w:proofErr w:type="spellStart"/>
      <w:r>
        <w:rPr>
          <w:lang w:val="pt-PT"/>
        </w:rPr>
        <w:t>koji</w:t>
      </w:r>
      <w:proofErr w:type="spellEnd"/>
      <w:r>
        <w:rPr>
          <w:lang w:val="pt-PT"/>
        </w:rPr>
        <w:t xml:space="preserve"> se </w:t>
      </w:r>
      <w:proofErr w:type="spellStart"/>
      <w:r>
        <w:rPr>
          <w:lang w:val="pt-PT"/>
        </w:rPr>
        <w:t>mogu</w:t>
      </w:r>
      <w:proofErr w:type="spellEnd"/>
      <w:r>
        <w:rPr>
          <w:lang w:val="pt-PT"/>
        </w:rPr>
        <w:t xml:space="preserve"> </w:t>
      </w:r>
      <w:proofErr w:type="spellStart"/>
      <w:r>
        <w:rPr>
          <w:lang w:val="pt-PT"/>
        </w:rPr>
        <w:t>dodatno</w:t>
      </w:r>
      <w:proofErr w:type="spellEnd"/>
      <w:r>
        <w:rPr>
          <w:lang w:val="pt-PT"/>
        </w:rPr>
        <w:t xml:space="preserve"> </w:t>
      </w:r>
      <w:proofErr w:type="spellStart"/>
      <w:r>
        <w:rPr>
          <w:lang w:val="pt-PT"/>
        </w:rPr>
        <w:t>proširiti</w:t>
      </w:r>
      <w:proofErr w:type="spellEnd"/>
      <w:r>
        <w:rPr>
          <w:lang w:val="pt-PT"/>
        </w:rPr>
        <w:t xml:space="preserve"> na nova </w:t>
      </w:r>
      <w:proofErr w:type="spellStart"/>
      <w:r>
        <w:rPr>
          <w:lang w:val="pt-PT"/>
        </w:rPr>
        <w:t>područja</w:t>
      </w:r>
      <w:proofErr w:type="spellEnd"/>
      <w:r>
        <w:rPr>
          <w:lang w:val="pt-PT"/>
        </w:rPr>
        <w:t>.</w:t>
      </w:r>
    </w:p>
  </w:footnote>
  <w:footnote w:id="62">
    <w:p w:rsidR="006C0808" w:rsidRDefault="00E3601E">
      <w:pPr>
        <w:pStyle w:val="FootnoteText"/>
        <w:rPr>
          <w:lang w:val="pl-PL"/>
        </w:rPr>
      </w:pPr>
      <w:r>
        <w:rPr>
          <w:rStyle w:val="FootnoteReference"/>
        </w:rPr>
        <w:footnoteRef/>
      </w:r>
      <w:r>
        <w:rPr>
          <w:lang w:val="pl-PL"/>
        </w:rPr>
        <w:tab/>
      </w:r>
      <w:proofErr w:type="spellStart"/>
      <w:r>
        <w:rPr>
          <w:lang w:val="pl-PL"/>
        </w:rPr>
        <w:t>Osnovni</w:t>
      </w:r>
      <w:proofErr w:type="spellEnd"/>
      <w:r>
        <w:rPr>
          <w:lang w:val="pl-PL"/>
        </w:rPr>
        <w:t xml:space="preserve"> </w:t>
      </w:r>
      <w:proofErr w:type="spellStart"/>
      <w:r>
        <w:rPr>
          <w:lang w:val="pl-PL"/>
        </w:rPr>
        <w:t>scenarij</w:t>
      </w:r>
      <w:proofErr w:type="spellEnd"/>
      <w:r>
        <w:rPr>
          <w:lang w:val="pl-PL"/>
        </w:rPr>
        <w:t xml:space="preserve"> za 2017. </w:t>
      </w:r>
      <w:proofErr w:type="spellStart"/>
      <w:r>
        <w:rPr>
          <w:lang w:val="pl-PL"/>
        </w:rPr>
        <w:t>naveden</w:t>
      </w:r>
      <w:proofErr w:type="spellEnd"/>
      <w:r>
        <w:rPr>
          <w:lang w:val="pl-PL"/>
        </w:rPr>
        <w:t xml:space="preserve"> je samo </w:t>
      </w:r>
      <w:proofErr w:type="spellStart"/>
      <w:r>
        <w:rPr>
          <w:lang w:val="pl-PL"/>
        </w:rPr>
        <w:t>radi</w:t>
      </w:r>
      <w:proofErr w:type="spellEnd"/>
      <w:r>
        <w:rPr>
          <w:lang w:val="pl-PL"/>
        </w:rPr>
        <w:t xml:space="preserve"> </w:t>
      </w:r>
      <w:proofErr w:type="spellStart"/>
      <w:r>
        <w:rPr>
          <w:lang w:val="pl-PL"/>
        </w:rPr>
        <w:t>usporedbe</w:t>
      </w:r>
      <w:proofErr w:type="spellEnd"/>
      <w:r>
        <w:rPr>
          <w:lang w:val="pl-PL"/>
        </w:rPr>
        <w:t>.</w:t>
      </w:r>
    </w:p>
  </w:footnote>
  <w:footnote w:id="63">
    <w:p w:rsidR="006C0808" w:rsidRDefault="00E3601E">
      <w:pPr>
        <w:pStyle w:val="FootnoteText"/>
        <w:rPr>
          <w:lang w:val="pl-PL"/>
        </w:rPr>
      </w:pPr>
      <w:r>
        <w:rPr>
          <w:rStyle w:val="FootnoteReference"/>
        </w:rPr>
        <w:footnoteRef/>
      </w:r>
      <w:r>
        <w:rPr>
          <w:lang w:val="pl-PL"/>
        </w:rPr>
        <w:tab/>
        <w:t xml:space="preserve">Ne </w:t>
      </w:r>
      <w:proofErr w:type="spellStart"/>
      <w:r>
        <w:rPr>
          <w:lang w:val="pl-PL"/>
        </w:rPr>
        <w:t>mijenja</w:t>
      </w:r>
      <w:proofErr w:type="spellEnd"/>
      <w:r>
        <w:rPr>
          <w:lang w:val="pl-PL"/>
        </w:rPr>
        <w:t xml:space="preserve"> </w:t>
      </w:r>
      <w:proofErr w:type="spellStart"/>
      <w:r>
        <w:rPr>
          <w:lang w:val="pl-PL"/>
        </w:rPr>
        <w:t>se</w:t>
      </w:r>
      <w:proofErr w:type="spellEnd"/>
      <w:r>
        <w:rPr>
          <w:lang w:val="pl-PL"/>
        </w:rPr>
        <w:t xml:space="preserve"> </w:t>
      </w:r>
      <w:proofErr w:type="spellStart"/>
      <w:r>
        <w:rPr>
          <w:lang w:val="pl-PL"/>
        </w:rPr>
        <w:t>trenutačna</w:t>
      </w:r>
      <w:proofErr w:type="spellEnd"/>
      <w:r>
        <w:rPr>
          <w:lang w:val="pl-PL"/>
        </w:rPr>
        <w:t xml:space="preserve"> </w:t>
      </w:r>
      <w:proofErr w:type="spellStart"/>
      <w:r>
        <w:rPr>
          <w:lang w:val="pl-PL"/>
        </w:rPr>
        <w:t>razina</w:t>
      </w:r>
      <w:proofErr w:type="spellEnd"/>
      <w:r>
        <w:rPr>
          <w:lang w:val="pl-PL"/>
        </w:rPr>
        <w:t xml:space="preserve"> </w:t>
      </w:r>
      <w:proofErr w:type="spellStart"/>
      <w:r>
        <w:rPr>
          <w:lang w:val="pl-PL"/>
        </w:rPr>
        <w:t>sredstava</w:t>
      </w:r>
      <w:proofErr w:type="spellEnd"/>
      <w:r>
        <w:rPr>
          <w:lang w:val="pl-PL"/>
        </w:rPr>
        <w:t xml:space="preserve"> GU CNECT-a. </w:t>
      </w:r>
      <w:proofErr w:type="spellStart"/>
      <w:r>
        <w:rPr>
          <w:lang w:val="pl-PL"/>
        </w:rPr>
        <w:t>Očekuje</w:t>
      </w:r>
      <w:proofErr w:type="spellEnd"/>
      <w:r>
        <w:rPr>
          <w:lang w:val="pl-PL"/>
        </w:rPr>
        <w:t xml:space="preserve"> </w:t>
      </w:r>
      <w:proofErr w:type="spellStart"/>
      <w:r>
        <w:rPr>
          <w:lang w:val="pl-PL"/>
        </w:rPr>
        <w:t>se</w:t>
      </w:r>
      <w:proofErr w:type="spellEnd"/>
      <w:r>
        <w:rPr>
          <w:lang w:val="pl-PL"/>
        </w:rPr>
        <w:t xml:space="preserve">, </w:t>
      </w:r>
      <w:proofErr w:type="spellStart"/>
      <w:r>
        <w:rPr>
          <w:lang w:val="pl-PL"/>
        </w:rPr>
        <w:t>međutim</w:t>
      </w:r>
      <w:proofErr w:type="spellEnd"/>
      <w:r>
        <w:rPr>
          <w:lang w:val="pl-PL"/>
        </w:rPr>
        <w:t xml:space="preserve">, da BEREC od </w:t>
      </w:r>
      <w:proofErr w:type="spellStart"/>
      <w:r>
        <w:rPr>
          <w:lang w:val="pl-PL"/>
        </w:rPr>
        <w:t>matične</w:t>
      </w:r>
      <w:proofErr w:type="spellEnd"/>
      <w:r>
        <w:rPr>
          <w:lang w:val="pl-PL"/>
        </w:rPr>
        <w:t xml:space="preserve"> </w:t>
      </w:r>
      <w:proofErr w:type="spellStart"/>
      <w:r>
        <w:rPr>
          <w:lang w:val="pl-PL"/>
        </w:rPr>
        <w:t>glavne</w:t>
      </w:r>
      <w:proofErr w:type="spellEnd"/>
      <w:r>
        <w:rPr>
          <w:lang w:val="pl-PL"/>
        </w:rPr>
        <w:t xml:space="preserve"> </w:t>
      </w:r>
      <w:proofErr w:type="spellStart"/>
      <w:r>
        <w:rPr>
          <w:lang w:val="pl-PL"/>
        </w:rPr>
        <w:t>uprave</w:t>
      </w:r>
      <w:proofErr w:type="spellEnd"/>
      <w:r>
        <w:rPr>
          <w:lang w:val="pl-PL"/>
        </w:rPr>
        <w:t xml:space="preserve"> </w:t>
      </w:r>
      <w:proofErr w:type="spellStart"/>
      <w:r>
        <w:rPr>
          <w:lang w:val="pl-PL"/>
        </w:rPr>
        <w:t>zahtijeva</w:t>
      </w:r>
      <w:proofErr w:type="spellEnd"/>
      <w:r>
        <w:rPr>
          <w:lang w:val="pl-PL"/>
        </w:rPr>
        <w:t xml:space="preserve"> </w:t>
      </w:r>
      <w:proofErr w:type="spellStart"/>
      <w:r>
        <w:rPr>
          <w:lang w:val="pl-PL"/>
        </w:rPr>
        <w:t>manju</w:t>
      </w:r>
      <w:proofErr w:type="spellEnd"/>
      <w:r>
        <w:rPr>
          <w:lang w:val="pl-PL"/>
        </w:rPr>
        <w:t xml:space="preserve"> </w:t>
      </w:r>
      <w:proofErr w:type="spellStart"/>
      <w:r>
        <w:rPr>
          <w:lang w:val="pl-PL"/>
        </w:rPr>
        <w:t>potporu</w:t>
      </w:r>
      <w:proofErr w:type="spellEnd"/>
      <w:r>
        <w:rPr>
          <w:lang w:val="pl-PL"/>
        </w:rPr>
        <w:t xml:space="preserve"> za </w:t>
      </w:r>
      <w:proofErr w:type="spellStart"/>
      <w:r>
        <w:rPr>
          <w:lang w:val="pl-PL"/>
        </w:rPr>
        <w:t>administrativne</w:t>
      </w:r>
      <w:proofErr w:type="spellEnd"/>
      <w:r>
        <w:rPr>
          <w:lang w:val="pl-PL"/>
        </w:rPr>
        <w:t xml:space="preserve"> </w:t>
      </w:r>
      <w:proofErr w:type="spellStart"/>
      <w:r>
        <w:rPr>
          <w:lang w:val="pl-PL"/>
        </w:rPr>
        <w:t>zadaće</w:t>
      </w:r>
      <w:proofErr w:type="spellEnd"/>
      <w:r>
        <w:rPr>
          <w:lang w:val="pl-PL"/>
        </w:rPr>
        <w:t xml:space="preserve"> i </w:t>
      </w:r>
      <w:proofErr w:type="spellStart"/>
      <w:r>
        <w:rPr>
          <w:lang w:val="pl-PL"/>
        </w:rPr>
        <w:t>usklađenost</w:t>
      </w:r>
      <w:proofErr w:type="spellEnd"/>
      <w:r>
        <w:rPr>
          <w:lang w:val="pl-PL"/>
        </w:rPr>
        <w:t xml:space="preserve"> s </w:t>
      </w:r>
      <w:proofErr w:type="spellStart"/>
      <w:r>
        <w:rPr>
          <w:lang w:val="pl-PL"/>
        </w:rPr>
        <w:t>propisima</w:t>
      </w:r>
      <w:proofErr w:type="spellEnd"/>
      <w:r>
        <w:rPr>
          <w:lang w:val="pl-PL"/>
        </w:rPr>
        <w:t xml:space="preserve"> EU-a za </w:t>
      </w:r>
      <w:proofErr w:type="spellStart"/>
      <w:r>
        <w:rPr>
          <w:lang w:val="pl-PL"/>
        </w:rPr>
        <w:t>decentralizirane</w:t>
      </w:r>
      <w:proofErr w:type="spellEnd"/>
      <w:r>
        <w:rPr>
          <w:lang w:val="pl-PL"/>
        </w:rPr>
        <w:t xml:space="preserve"> </w:t>
      </w:r>
      <w:proofErr w:type="spellStart"/>
      <w:r>
        <w:rPr>
          <w:lang w:val="pl-PL"/>
        </w:rPr>
        <w:t>agencije</w:t>
      </w:r>
      <w:proofErr w:type="spellEnd"/>
      <w:r>
        <w:rPr>
          <w:lang w:val="pl-PL"/>
        </w:rPr>
        <w:t xml:space="preserve">, a </w:t>
      </w:r>
      <w:proofErr w:type="spellStart"/>
      <w:r>
        <w:rPr>
          <w:lang w:val="pl-PL"/>
        </w:rPr>
        <w:t>veću</w:t>
      </w:r>
      <w:proofErr w:type="spellEnd"/>
      <w:r>
        <w:rPr>
          <w:lang w:val="pl-PL"/>
        </w:rPr>
        <w:t xml:space="preserve"> za nova </w:t>
      </w:r>
      <w:proofErr w:type="spellStart"/>
      <w:r>
        <w:rPr>
          <w:lang w:val="pl-PL"/>
        </w:rPr>
        <w:t>operativna</w:t>
      </w:r>
      <w:proofErr w:type="spellEnd"/>
      <w:r>
        <w:rPr>
          <w:lang w:val="pl-PL"/>
        </w:rPr>
        <w:t xml:space="preserve"> </w:t>
      </w:r>
      <w:proofErr w:type="spellStart"/>
      <w:r>
        <w:rPr>
          <w:lang w:val="pl-PL"/>
        </w:rPr>
        <w:t>područja</w:t>
      </w:r>
      <w:proofErr w:type="spellEnd"/>
      <w:r>
        <w:rPr>
          <w:lang w:val="pl-PL"/>
        </w:rPr>
        <w:t xml:space="preserve"> </w:t>
      </w:r>
      <w:proofErr w:type="spellStart"/>
      <w:r>
        <w:rPr>
          <w:lang w:val="pl-PL"/>
        </w:rPr>
        <w:t>kao</w:t>
      </w:r>
      <w:proofErr w:type="spellEnd"/>
      <w:r>
        <w:rPr>
          <w:lang w:val="pl-PL"/>
        </w:rPr>
        <w:t xml:space="preserve"> i za </w:t>
      </w:r>
      <w:proofErr w:type="spellStart"/>
      <w:r>
        <w:rPr>
          <w:lang w:val="pl-PL"/>
        </w:rPr>
        <w:t>povećanu</w:t>
      </w:r>
      <w:proofErr w:type="spellEnd"/>
      <w:r>
        <w:rPr>
          <w:lang w:val="pl-PL"/>
        </w:rPr>
        <w:t xml:space="preserve"> </w:t>
      </w:r>
      <w:proofErr w:type="spellStart"/>
      <w:r>
        <w:rPr>
          <w:lang w:val="pl-PL"/>
        </w:rPr>
        <w:t>razinu</w:t>
      </w:r>
      <w:proofErr w:type="spellEnd"/>
      <w:r>
        <w:rPr>
          <w:lang w:val="pl-PL"/>
        </w:rPr>
        <w:t xml:space="preserve"> </w:t>
      </w:r>
      <w:proofErr w:type="spellStart"/>
      <w:r>
        <w:rPr>
          <w:lang w:val="pl-PL"/>
        </w:rPr>
        <w:t>sudjelovanja</w:t>
      </w:r>
      <w:proofErr w:type="spellEnd"/>
      <w:r>
        <w:rPr>
          <w:lang w:val="pl-PL"/>
        </w:rPr>
        <w:t xml:space="preserve"> na </w:t>
      </w:r>
      <w:proofErr w:type="spellStart"/>
      <w:r>
        <w:rPr>
          <w:lang w:val="pl-PL"/>
        </w:rPr>
        <w:t>razini</w:t>
      </w:r>
      <w:proofErr w:type="spellEnd"/>
      <w:r>
        <w:rPr>
          <w:lang w:val="pl-PL"/>
        </w:rPr>
        <w:t xml:space="preserve"> </w:t>
      </w:r>
      <w:proofErr w:type="spellStart"/>
      <w:r>
        <w:rPr>
          <w:lang w:val="pl-PL"/>
        </w:rPr>
        <w:t>Upravnog</w:t>
      </w:r>
      <w:proofErr w:type="spellEnd"/>
      <w:r>
        <w:rPr>
          <w:lang w:val="pl-PL"/>
        </w:rPr>
        <w:t xml:space="preserve"> </w:t>
      </w:r>
      <w:proofErr w:type="spellStart"/>
      <w:r>
        <w:rPr>
          <w:lang w:val="pl-PL"/>
        </w:rPr>
        <w:t>odbora</w:t>
      </w:r>
      <w:proofErr w:type="spellEnd"/>
      <w:r>
        <w:rPr>
          <w:lang w:val="pl-PL"/>
        </w:rPr>
        <w:t xml:space="preserve"> (</w:t>
      </w:r>
      <w:proofErr w:type="spellStart"/>
      <w:r>
        <w:rPr>
          <w:lang w:val="pl-PL"/>
        </w:rPr>
        <w:t>dvoje</w:t>
      </w:r>
      <w:proofErr w:type="spellEnd"/>
      <w:r>
        <w:rPr>
          <w:lang w:val="pl-PL"/>
        </w:rPr>
        <w:t xml:space="preserve"> </w:t>
      </w:r>
      <w:proofErr w:type="spellStart"/>
      <w:r>
        <w:rPr>
          <w:lang w:val="pl-PL"/>
        </w:rPr>
        <w:t>predstavnika</w:t>
      </w:r>
      <w:proofErr w:type="spellEnd"/>
      <w:r>
        <w:rPr>
          <w:lang w:val="pl-PL"/>
        </w:rPr>
        <w:t xml:space="preserve"> </w:t>
      </w:r>
      <w:proofErr w:type="spellStart"/>
      <w:r>
        <w:rPr>
          <w:lang w:val="pl-PL"/>
        </w:rPr>
        <w:t>umjesto</w:t>
      </w:r>
      <w:proofErr w:type="spellEnd"/>
      <w:r>
        <w:rPr>
          <w:lang w:val="pl-PL"/>
        </w:rPr>
        <w:t xml:space="preserve"> </w:t>
      </w:r>
      <w:proofErr w:type="spellStart"/>
      <w:r>
        <w:rPr>
          <w:lang w:val="pl-PL"/>
        </w:rPr>
        <w:t>jedn</w:t>
      </w:r>
      <w:r>
        <w:rPr>
          <w:lang w:val="pl-PL"/>
        </w:rPr>
        <w:t>og</w:t>
      </w:r>
      <w:proofErr w:type="spellEnd"/>
      <w:r>
        <w:rPr>
          <w:lang w:val="pl-PL"/>
        </w:rPr>
        <w:t>).</w:t>
      </w:r>
    </w:p>
  </w:footnote>
  <w:footnote w:id="64">
    <w:p w:rsidR="006C0808" w:rsidRDefault="00E3601E">
      <w:pPr>
        <w:pStyle w:val="FootnoteText"/>
        <w:rPr>
          <w:lang w:val="pl-PL"/>
        </w:rPr>
      </w:pPr>
      <w:r>
        <w:rPr>
          <w:rStyle w:val="FootnoteReference"/>
        </w:rPr>
        <w:footnoteRef/>
      </w:r>
      <w:r>
        <w:rPr>
          <w:lang w:val="pl-PL"/>
        </w:rPr>
        <w:tab/>
      </w:r>
      <w:proofErr w:type="spellStart"/>
      <w:r>
        <w:rPr>
          <w:lang w:val="pl-PL"/>
        </w:rPr>
        <w:t>Osnovni</w:t>
      </w:r>
      <w:proofErr w:type="spellEnd"/>
      <w:r>
        <w:rPr>
          <w:lang w:val="pl-PL"/>
        </w:rPr>
        <w:t xml:space="preserve"> </w:t>
      </w:r>
      <w:proofErr w:type="spellStart"/>
      <w:r>
        <w:rPr>
          <w:lang w:val="pl-PL"/>
        </w:rPr>
        <w:t>scenarij</w:t>
      </w:r>
      <w:proofErr w:type="spellEnd"/>
      <w:r>
        <w:rPr>
          <w:lang w:val="pl-PL"/>
        </w:rPr>
        <w:t xml:space="preserve"> za 2017. </w:t>
      </w:r>
      <w:proofErr w:type="spellStart"/>
      <w:r>
        <w:rPr>
          <w:lang w:val="pl-PL"/>
        </w:rPr>
        <w:t>naveden</w:t>
      </w:r>
      <w:proofErr w:type="spellEnd"/>
      <w:r>
        <w:rPr>
          <w:lang w:val="pl-PL"/>
        </w:rPr>
        <w:t xml:space="preserve"> je samo </w:t>
      </w:r>
      <w:proofErr w:type="spellStart"/>
      <w:r>
        <w:rPr>
          <w:lang w:val="pl-PL"/>
        </w:rPr>
        <w:t>radi</w:t>
      </w:r>
      <w:proofErr w:type="spellEnd"/>
      <w:r>
        <w:rPr>
          <w:lang w:val="pl-PL"/>
        </w:rPr>
        <w:t xml:space="preserve"> </w:t>
      </w:r>
      <w:proofErr w:type="spellStart"/>
      <w:r>
        <w:rPr>
          <w:lang w:val="pl-PL"/>
        </w:rPr>
        <w:t>usporedbe</w:t>
      </w:r>
      <w:proofErr w:type="spellEnd"/>
      <w:r>
        <w:rPr>
          <w:lang w:val="pl-PL"/>
        </w:rPr>
        <w:t xml:space="preserve">. </w:t>
      </w:r>
    </w:p>
  </w:footnote>
  <w:footnote w:id="65">
    <w:p w:rsidR="006C0808" w:rsidRDefault="00E3601E">
      <w:pPr>
        <w:pStyle w:val="FootnoteText"/>
        <w:rPr>
          <w:lang w:val="it-IT"/>
        </w:rPr>
      </w:pPr>
      <w:r>
        <w:rPr>
          <w:rStyle w:val="FootnoteReference"/>
        </w:rPr>
        <w:footnoteRef/>
      </w:r>
      <w:r>
        <w:rPr>
          <w:lang w:val="it-IT"/>
        </w:rPr>
        <w:tab/>
        <w:t xml:space="preserve">U </w:t>
      </w:r>
      <w:proofErr w:type="spellStart"/>
      <w:r>
        <w:rPr>
          <w:lang w:val="it-IT"/>
        </w:rPr>
        <w:t>ovoj</w:t>
      </w:r>
      <w:proofErr w:type="spellEnd"/>
      <w:r>
        <w:rPr>
          <w:lang w:val="it-IT"/>
        </w:rPr>
        <w:t xml:space="preserve"> su </w:t>
      </w:r>
      <w:proofErr w:type="spellStart"/>
      <w:r>
        <w:rPr>
          <w:lang w:val="it-IT"/>
        </w:rPr>
        <w:t>tablici</w:t>
      </w:r>
      <w:proofErr w:type="spellEnd"/>
      <w:r>
        <w:rPr>
          <w:lang w:val="it-IT"/>
        </w:rPr>
        <w:t xml:space="preserve"> </w:t>
      </w:r>
      <w:proofErr w:type="spellStart"/>
      <w:r>
        <w:rPr>
          <w:lang w:val="it-IT"/>
        </w:rPr>
        <w:t>prikazani</w:t>
      </w:r>
      <w:proofErr w:type="spellEnd"/>
      <w:r>
        <w:rPr>
          <w:lang w:val="it-IT"/>
        </w:rPr>
        <w:t xml:space="preserve"> </w:t>
      </w:r>
      <w:proofErr w:type="spellStart"/>
      <w:r>
        <w:rPr>
          <w:lang w:val="it-IT"/>
        </w:rPr>
        <w:t>samo</w:t>
      </w:r>
      <w:proofErr w:type="spellEnd"/>
      <w:r>
        <w:rPr>
          <w:lang w:val="it-IT"/>
        </w:rPr>
        <w:t xml:space="preserve"> </w:t>
      </w:r>
      <w:proofErr w:type="spellStart"/>
      <w:r>
        <w:rPr>
          <w:lang w:val="it-IT"/>
        </w:rPr>
        <w:t>rashodi</w:t>
      </w:r>
      <w:proofErr w:type="spellEnd"/>
      <w:r>
        <w:rPr>
          <w:lang w:val="it-IT"/>
        </w:rPr>
        <w:t xml:space="preserve"> </w:t>
      </w:r>
      <w:proofErr w:type="spellStart"/>
      <w:r>
        <w:rPr>
          <w:lang w:val="it-IT"/>
        </w:rPr>
        <w:t>poslovanja</w:t>
      </w:r>
      <w:proofErr w:type="spellEnd"/>
      <w:r>
        <w:rPr>
          <w:lang w:val="it-IT"/>
        </w:rPr>
        <w:t xml:space="preserve"> prema </w:t>
      </w:r>
      <w:proofErr w:type="spellStart"/>
      <w:r>
        <w:rPr>
          <w:lang w:val="it-IT"/>
        </w:rPr>
        <w:t>glavi</w:t>
      </w:r>
      <w:proofErr w:type="spellEnd"/>
      <w:r>
        <w:rPr>
          <w:lang w:val="it-IT"/>
        </w:rPr>
        <w:t> 3.</w:t>
      </w:r>
    </w:p>
  </w:footnote>
  <w:footnote w:id="66">
    <w:p w:rsidR="006C0808" w:rsidRDefault="00E3601E">
      <w:pPr>
        <w:pStyle w:val="FootnoteText"/>
        <w:rPr>
          <w:lang w:val="it-IT"/>
        </w:rPr>
      </w:pPr>
      <w:r>
        <w:rPr>
          <w:rStyle w:val="FootnoteReference"/>
        </w:rPr>
        <w:footnoteRef/>
      </w:r>
      <w:r>
        <w:rPr>
          <w:lang w:val="it-IT"/>
        </w:rPr>
        <w:tab/>
      </w:r>
      <w:proofErr w:type="spellStart"/>
      <w:r>
        <w:rPr>
          <w:lang w:val="it-IT"/>
        </w:rPr>
        <w:t>Ranije</w:t>
      </w:r>
      <w:proofErr w:type="spellEnd"/>
      <w:r>
        <w:rPr>
          <w:lang w:val="it-IT"/>
        </w:rPr>
        <w:t xml:space="preserve"> </w:t>
      </w:r>
      <w:proofErr w:type="spellStart"/>
      <w:r>
        <w:rPr>
          <w:lang w:val="it-IT"/>
        </w:rPr>
        <w:t>kad</w:t>
      </w:r>
      <w:proofErr w:type="spellEnd"/>
      <w:r>
        <w:rPr>
          <w:lang w:val="it-IT"/>
        </w:rPr>
        <w:t xml:space="preserve"> su BEREC-u </w:t>
      </w:r>
      <w:proofErr w:type="spellStart"/>
      <w:r>
        <w:rPr>
          <w:lang w:val="it-IT"/>
        </w:rPr>
        <w:t>dodijeljene</w:t>
      </w:r>
      <w:proofErr w:type="spellEnd"/>
      <w:r>
        <w:rPr>
          <w:lang w:val="it-IT"/>
        </w:rPr>
        <w:t xml:space="preserve"> nove </w:t>
      </w:r>
      <w:proofErr w:type="spellStart"/>
      <w:r>
        <w:rPr>
          <w:lang w:val="it-IT"/>
        </w:rPr>
        <w:t>zadaće</w:t>
      </w:r>
      <w:proofErr w:type="spellEnd"/>
      <w:r>
        <w:rPr>
          <w:lang w:val="it-IT"/>
        </w:rPr>
        <w:t xml:space="preserve">, </w:t>
      </w:r>
      <w:proofErr w:type="spellStart"/>
      <w:r>
        <w:rPr>
          <w:lang w:val="it-IT"/>
        </w:rPr>
        <w:t>resursi</w:t>
      </w:r>
      <w:proofErr w:type="spellEnd"/>
      <w:r>
        <w:rPr>
          <w:lang w:val="it-IT"/>
        </w:rPr>
        <w:t xml:space="preserve"> </w:t>
      </w:r>
      <w:proofErr w:type="spellStart"/>
      <w:r>
        <w:rPr>
          <w:lang w:val="it-IT"/>
        </w:rPr>
        <w:t>Ureda</w:t>
      </w:r>
      <w:proofErr w:type="spellEnd"/>
      <w:r>
        <w:rPr>
          <w:lang w:val="it-IT"/>
        </w:rPr>
        <w:t xml:space="preserve"> BEREC-a, </w:t>
      </w:r>
      <w:proofErr w:type="spellStart"/>
      <w:r>
        <w:rPr>
          <w:lang w:val="it-IT"/>
        </w:rPr>
        <w:t>agencije</w:t>
      </w:r>
      <w:proofErr w:type="spellEnd"/>
      <w:r>
        <w:rPr>
          <w:lang w:val="it-IT"/>
        </w:rPr>
        <w:t xml:space="preserve"> </w:t>
      </w:r>
      <w:proofErr w:type="spellStart"/>
      <w:r>
        <w:rPr>
          <w:lang w:val="it-IT"/>
        </w:rPr>
        <w:t>Unije</w:t>
      </w:r>
      <w:proofErr w:type="spellEnd"/>
      <w:r>
        <w:rPr>
          <w:lang w:val="it-IT"/>
        </w:rPr>
        <w:t xml:space="preserve"> </w:t>
      </w:r>
      <w:proofErr w:type="spellStart"/>
      <w:r>
        <w:rPr>
          <w:lang w:val="it-IT"/>
        </w:rPr>
        <w:t>koja</w:t>
      </w:r>
      <w:proofErr w:type="spellEnd"/>
      <w:r>
        <w:rPr>
          <w:lang w:val="it-IT"/>
        </w:rPr>
        <w:t xml:space="preserve"> </w:t>
      </w:r>
      <w:proofErr w:type="spellStart"/>
      <w:r>
        <w:rPr>
          <w:lang w:val="it-IT"/>
        </w:rPr>
        <w:t>pruža</w:t>
      </w:r>
      <w:proofErr w:type="spellEnd"/>
      <w:r>
        <w:rPr>
          <w:lang w:val="it-IT"/>
        </w:rPr>
        <w:t xml:space="preserve"> </w:t>
      </w:r>
      <w:proofErr w:type="spellStart"/>
      <w:r>
        <w:rPr>
          <w:lang w:val="it-IT"/>
        </w:rPr>
        <w:t>potporu</w:t>
      </w:r>
      <w:proofErr w:type="spellEnd"/>
      <w:r>
        <w:rPr>
          <w:lang w:val="it-IT"/>
        </w:rPr>
        <w:t xml:space="preserve"> </w:t>
      </w:r>
      <w:proofErr w:type="spellStart"/>
      <w:r>
        <w:rPr>
          <w:lang w:val="it-IT"/>
        </w:rPr>
        <w:t>Odboru</w:t>
      </w:r>
      <w:proofErr w:type="spellEnd"/>
      <w:r>
        <w:rPr>
          <w:lang w:val="it-IT"/>
        </w:rPr>
        <w:t xml:space="preserve"> </w:t>
      </w:r>
      <w:proofErr w:type="spellStart"/>
      <w:r>
        <w:rPr>
          <w:lang w:val="it-IT"/>
        </w:rPr>
        <w:t>regulato</w:t>
      </w:r>
      <w:r>
        <w:rPr>
          <w:lang w:val="it-IT"/>
        </w:rPr>
        <w:t>ra</w:t>
      </w:r>
      <w:proofErr w:type="spellEnd"/>
      <w:r>
        <w:rPr>
          <w:lang w:val="it-IT"/>
        </w:rPr>
        <w:t xml:space="preserve">, </w:t>
      </w:r>
      <w:proofErr w:type="spellStart"/>
      <w:r>
        <w:rPr>
          <w:lang w:val="it-IT"/>
        </w:rPr>
        <w:t>nisu</w:t>
      </w:r>
      <w:proofErr w:type="spellEnd"/>
      <w:r>
        <w:rPr>
          <w:lang w:val="it-IT"/>
        </w:rPr>
        <w:t xml:space="preserve"> se </w:t>
      </w:r>
      <w:proofErr w:type="spellStart"/>
      <w:r>
        <w:rPr>
          <w:lang w:val="it-IT"/>
        </w:rPr>
        <w:t>mijenjali</w:t>
      </w:r>
      <w:proofErr w:type="spellEnd"/>
      <w:r>
        <w:rPr>
          <w:lang w:val="it-IT"/>
        </w:rPr>
        <w:t>.</w:t>
      </w:r>
    </w:p>
  </w:footnote>
  <w:footnote w:id="67">
    <w:p w:rsidR="006C0808" w:rsidRDefault="00E3601E">
      <w:pPr>
        <w:pStyle w:val="FootnoteText"/>
        <w:rPr>
          <w:lang w:val="pl-PL"/>
        </w:rPr>
      </w:pPr>
      <w:r>
        <w:rPr>
          <w:rStyle w:val="FootnoteReference"/>
        </w:rPr>
        <w:footnoteRef/>
      </w:r>
      <w:r>
        <w:rPr>
          <w:lang w:val="pl-PL"/>
        </w:rPr>
        <w:tab/>
      </w:r>
      <w:proofErr w:type="spellStart"/>
      <w:r>
        <w:rPr>
          <w:lang w:val="pl-PL"/>
        </w:rPr>
        <w:t>Osnovni</w:t>
      </w:r>
      <w:proofErr w:type="spellEnd"/>
      <w:r>
        <w:rPr>
          <w:lang w:val="pl-PL"/>
        </w:rPr>
        <w:t xml:space="preserve"> </w:t>
      </w:r>
      <w:proofErr w:type="spellStart"/>
      <w:r>
        <w:rPr>
          <w:lang w:val="pl-PL"/>
        </w:rPr>
        <w:t>scenarij</w:t>
      </w:r>
      <w:proofErr w:type="spellEnd"/>
      <w:r>
        <w:rPr>
          <w:lang w:val="pl-PL"/>
        </w:rPr>
        <w:t xml:space="preserve"> za 2017. </w:t>
      </w:r>
      <w:proofErr w:type="spellStart"/>
      <w:r>
        <w:rPr>
          <w:lang w:val="pl-PL"/>
        </w:rPr>
        <w:t>naveden</w:t>
      </w:r>
      <w:proofErr w:type="spellEnd"/>
      <w:r>
        <w:rPr>
          <w:lang w:val="pl-PL"/>
        </w:rPr>
        <w:t xml:space="preserve"> je samo </w:t>
      </w:r>
      <w:proofErr w:type="spellStart"/>
      <w:r>
        <w:rPr>
          <w:lang w:val="pl-PL"/>
        </w:rPr>
        <w:t>radi</w:t>
      </w:r>
      <w:proofErr w:type="spellEnd"/>
      <w:r>
        <w:rPr>
          <w:lang w:val="pl-PL"/>
        </w:rPr>
        <w:t xml:space="preserve"> </w:t>
      </w:r>
      <w:proofErr w:type="spellStart"/>
      <w:r>
        <w:rPr>
          <w:lang w:val="pl-PL"/>
        </w:rPr>
        <w:t>usporedbe</w:t>
      </w:r>
      <w:proofErr w:type="spellEnd"/>
      <w:r>
        <w:rPr>
          <w:lang w:val="pl-PL"/>
        </w:rPr>
        <w:t>.</w:t>
      </w:r>
    </w:p>
  </w:footnote>
  <w:footnote w:id="68">
    <w:p w:rsidR="006C0808" w:rsidRDefault="00E3601E">
      <w:pPr>
        <w:pStyle w:val="FootnoteText"/>
        <w:rPr>
          <w:lang w:val="pl-PL"/>
        </w:rPr>
      </w:pPr>
      <w:r>
        <w:rPr>
          <w:rStyle w:val="FootnoteReference"/>
        </w:rPr>
        <w:footnoteRef/>
      </w:r>
      <w:r>
        <w:rPr>
          <w:lang w:val="pl-PL"/>
        </w:rPr>
        <w:tab/>
      </w:r>
      <w:proofErr w:type="spellStart"/>
      <w:r>
        <w:rPr>
          <w:lang w:val="pl-PL"/>
        </w:rPr>
        <w:t>Kako</w:t>
      </w:r>
      <w:proofErr w:type="spellEnd"/>
      <w:r>
        <w:rPr>
          <w:lang w:val="pl-PL"/>
        </w:rPr>
        <w:t xml:space="preserve"> je </w:t>
      </w:r>
      <w:proofErr w:type="spellStart"/>
      <w:r>
        <w:rPr>
          <w:lang w:val="pl-PL"/>
        </w:rPr>
        <w:t>navedeno</w:t>
      </w:r>
      <w:proofErr w:type="spellEnd"/>
      <w:r>
        <w:rPr>
          <w:lang w:val="pl-PL"/>
        </w:rPr>
        <w:t xml:space="preserve"> u </w:t>
      </w:r>
      <w:proofErr w:type="spellStart"/>
      <w:r>
        <w:rPr>
          <w:lang w:val="pl-PL"/>
        </w:rPr>
        <w:t>točki</w:t>
      </w:r>
      <w:proofErr w:type="spellEnd"/>
      <w:r>
        <w:rPr>
          <w:lang w:val="pl-PL"/>
        </w:rPr>
        <w:t xml:space="preserve"> 1.6. s </w:t>
      </w:r>
      <w:proofErr w:type="spellStart"/>
      <w:r>
        <w:rPr>
          <w:lang w:val="pl-PL"/>
        </w:rPr>
        <w:t>provedbom</w:t>
      </w:r>
      <w:proofErr w:type="spellEnd"/>
      <w:r>
        <w:rPr>
          <w:lang w:val="pl-PL"/>
        </w:rPr>
        <w:t xml:space="preserve"> </w:t>
      </w:r>
      <w:proofErr w:type="spellStart"/>
      <w:r>
        <w:rPr>
          <w:lang w:val="pl-PL"/>
        </w:rPr>
        <w:t>će</w:t>
      </w:r>
      <w:proofErr w:type="spellEnd"/>
      <w:r>
        <w:rPr>
          <w:lang w:val="pl-PL"/>
        </w:rPr>
        <w:t xml:space="preserve"> </w:t>
      </w:r>
      <w:proofErr w:type="spellStart"/>
      <w:r>
        <w:rPr>
          <w:lang w:val="pl-PL"/>
        </w:rPr>
        <w:t>se</w:t>
      </w:r>
      <w:proofErr w:type="spellEnd"/>
      <w:r>
        <w:rPr>
          <w:lang w:val="pl-PL"/>
        </w:rPr>
        <w:t xml:space="preserve"> </w:t>
      </w:r>
      <w:proofErr w:type="spellStart"/>
      <w:r>
        <w:rPr>
          <w:lang w:val="pl-PL"/>
        </w:rPr>
        <w:t>započeti</w:t>
      </w:r>
      <w:proofErr w:type="spellEnd"/>
      <w:r>
        <w:rPr>
          <w:lang w:val="pl-PL"/>
        </w:rPr>
        <w:t xml:space="preserve"> u 2019. i </w:t>
      </w:r>
      <w:proofErr w:type="spellStart"/>
      <w:r>
        <w:rPr>
          <w:lang w:val="pl-PL"/>
        </w:rPr>
        <w:t>nastaviti</w:t>
      </w:r>
      <w:proofErr w:type="spellEnd"/>
      <w:r>
        <w:rPr>
          <w:lang w:val="pl-PL"/>
        </w:rPr>
        <w:t xml:space="preserve"> do 2022. u </w:t>
      </w:r>
      <w:proofErr w:type="spellStart"/>
      <w:r>
        <w:rPr>
          <w:lang w:val="pl-PL"/>
        </w:rPr>
        <w:t>sljedećem</w:t>
      </w:r>
      <w:proofErr w:type="spellEnd"/>
      <w:r>
        <w:rPr>
          <w:lang w:val="pl-PL"/>
        </w:rPr>
        <w:t xml:space="preserve"> </w:t>
      </w:r>
      <w:proofErr w:type="spellStart"/>
      <w:r>
        <w:rPr>
          <w:lang w:val="pl-PL"/>
        </w:rPr>
        <w:t>višegodišnjem</w:t>
      </w:r>
      <w:proofErr w:type="spellEnd"/>
      <w:r>
        <w:rPr>
          <w:lang w:val="pl-PL"/>
        </w:rPr>
        <w:t xml:space="preserve"> </w:t>
      </w:r>
      <w:proofErr w:type="spellStart"/>
      <w:r>
        <w:rPr>
          <w:lang w:val="pl-PL"/>
        </w:rPr>
        <w:t>financijskom</w:t>
      </w:r>
      <w:proofErr w:type="spellEnd"/>
      <w:r>
        <w:rPr>
          <w:lang w:val="pl-PL"/>
        </w:rPr>
        <w:t xml:space="preserve"> </w:t>
      </w:r>
      <w:proofErr w:type="spellStart"/>
      <w:r>
        <w:rPr>
          <w:lang w:val="pl-PL"/>
        </w:rPr>
        <w:t>okviru</w:t>
      </w:r>
      <w:proofErr w:type="spellEnd"/>
      <w:r>
        <w:rPr>
          <w:lang w:val="pl-PL"/>
        </w:rPr>
        <w:t xml:space="preserve">. </w:t>
      </w:r>
      <w:proofErr w:type="spellStart"/>
      <w:r>
        <w:rPr>
          <w:lang w:val="pl-PL"/>
        </w:rPr>
        <w:t>Zbog</w:t>
      </w:r>
      <w:proofErr w:type="spellEnd"/>
      <w:r>
        <w:rPr>
          <w:lang w:val="pl-PL"/>
        </w:rPr>
        <w:t xml:space="preserve"> </w:t>
      </w:r>
      <w:proofErr w:type="spellStart"/>
      <w:r>
        <w:rPr>
          <w:lang w:val="pl-PL"/>
        </w:rPr>
        <w:t>trenutačnog</w:t>
      </w:r>
      <w:proofErr w:type="spellEnd"/>
      <w:r>
        <w:rPr>
          <w:lang w:val="pl-PL"/>
        </w:rPr>
        <w:t xml:space="preserve"> </w:t>
      </w:r>
      <w:proofErr w:type="spellStart"/>
      <w:r>
        <w:rPr>
          <w:lang w:val="pl-PL"/>
        </w:rPr>
        <w:t>konteksta</w:t>
      </w:r>
      <w:proofErr w:type="spellEnd"/>
      <w:r>
        <w:rPr>
          <w:lang w:val="pl-PL"/>
        </w:rPr>
        <w:t xml:space="preserve"> </w:t>
      </w:r>
      <w:proofErr w:type="spellStart"/>
      <w:r>
        <w:rPr>
          <w:lang w:val="pl-PL"/>
        </w:rPr>
        <w:t>ograničenja</w:t>
      </w:r>
      <w:proofErr w:type="spellEnd"/>
      <w:r>
        <w:rPr>
          <w:lang w:val="pl-PL"/>
        </w:rPr>
        <w:t xml:space="preserve"> resursa, za </w:t>
      </w:r>
      <w:proofErr w:type="spellStart"/>
      <w:r>
        <w:rPr>
          <w:lang w:val="pl-PL"/>
        </w:rPr>
        <w:t>razdoblje</w:t>
      </w:r>
      <w:proofErr w:type="spellEnd"/>
      <w:r>
        <w:rPr>
          <w:lang w:val="pl-PL"/>
        </w:rPr>
        <w:t xml:space="preserve"> 2019. – 2022 </w:t>
      </w:r>
      <w:proofErr w:type="spellStart"/>
      <w:r>
        <w:rPr>
          <w:lang w:val="pl-PL"/>
        </w:rPr>
        <w:t>predloženi</w:t>
      </w:r>
      <w:proofErr w:type="spellEnd"/>
      <w:r>
        <w:rPr>
          <w:lang w:val="pl-PL"/>
        </w:rPr>
        <w:t xml:space="preserve"> </w:t>
      </w:r>
      <w:proofErr w:type="spellStart"/>
      <w:r>
        <w:rPr>
          <w:lang w:val="pl-PL"/>
        </w:rPr>
        <w:t>su</w:t>
      </w:r>
      <w:proofErr w:type="spellEnd"/>
      <w:r>
        <w:rPr>
          <w:lang w:val="pl-PL"/>
        </w:rPr>
        <w:t xml:space="preserve"> </w:t>
      </w:r>
      <w:proofErr w:type="spellStart"/>
      <w:r>
        <w:rPr>
          <w:lang w:val="pl-PL"/>
        </w:rPr>
        <w:t>ljudski</w:t>
      </w:r>
      <w:proofErr w:type="spellEnd"/>
      <w:r>
        <w:rPr>
          <w:lang w:val="pl-PL"/>
        </w:rPr>
        <w:t xml:space="preserve"> </w:t>
      </w:r>
      <w:proofErr w:type="spellStart"/>
      <w:r>
        <w:rPr>
          <w:lang w:val="pl-PL"/>
        </w:rPr>
        <w:t>resursi</w:t>
      </w:r>
      <w:proofErr w:type="spellEnd"/>
      <w:r>
        <w:rPr>
          <w:lang w:val="pl-PL"/>
        </w:rPr>
        <w:t xml:space="preserve"> UO i UNS. Na </w:t>
      </w:r>
      <w:proofErr w:type="spellStart"/>
      <w:r>
        <w:rPr>
          <w:lang w:val="pl-PL"/>
        </w:rPr>
        <w:t>temelju</w:t>
      </w:r>
      <w:proofErr w:type="spellEnd"/>
      <w:r>
        <w:rPr>
          <w:lang w:val="pl-PL"/>
        </w:rPr>
        <w:t xml:space="preserve"> </w:t>
      </w:r>
      <w:proofErr w:type="spellStart"/>
      <w:r>
        <w:rPr>
          <w:lang w:val="pl-PL"/>
        </w:rPr>
        <w:t>Procjene</w:t>
      </w:r>
      <w:proofErr w:type="spellEnd"/>
      <w:r>
        <w:rPr>
          <w:lang w:val="pl-PL"/>
        </w:rPr>
        <w:t xml:space="preserve"> </w:t>
      </w:r>
      <w:proofErr w:type="spellStart"/>
      <w:r>
        <w:rPr>
          <w:lang w:val="pl-PL"/>
        </w:rPr>
        <w:t>učinaka</w:t>
      </w:r>
      <w:proofErr w:type="spellEnd"/>
      <w:r>
        <w:rPr>
          <w:lang w:val="pl-PL"/>
        </w:rPr>
        <w:t xml:space="preserve">, </w:t>
      </w:r>
      <w:proofErr w:type="spellStart"/>
      <w:r>
        <w:rPr>
          <w:lang w:val="pl-PL"/>
        </w:rPr>
        <w:t>ukupan</w:t>
      </w:r>
      <w:proofErr w:type="spellEnd"/>
      <w:r>
        <w:rPr>
          <w:lang w:val="pl-PL"/>
        </w:rPr>
        <w:t xml:space="preserve"> </w:t>
      </w:r>
      <w:proofErr w:type="spellStart"/>
      <w:r>
        <w:rPr>
          <w:lang w:val="pl-PL"/>
        </w:rPr>
        <w:t>broj</w:t>
      </w:r>
      <w:proofErr w:type="spellEnd"/>
      <w:r>
        <w:rPr>
          <w:lang w:val="pl-PL"/>
        </w:rPr>
        <w:t xml:space="preserve"> </w:t>
      </w:r>
      <w:proofErr w:type="spellStart"/>
      <w:r>
        <w:rPr>
          <w:lang w:val="pl-PL"/>
        </w:rPr>
        <w:t>radnih</w:t>
      </w:r>
      <w:proofErr w:type="spellEnd"/>
      <w:r>
        <w:rPr>
          <w:lang w:val="pl-PL"/>
        </w:rPr>
        <w:t xml:space="preserve"> </w:t>
      </w:r>
      <w:proofErr w:type="spellStart"/>
      <w:r>
        <w:rPr>
          <w:lang w:val="pl-PL"/>
        </w:rPr>
        <w:t>mjesta</w:t>
      </w:r>
      <w:proofErr w:type="spellEnd"/>
      <w:r>
        <w:rPr>
          <w:lang w:val="pl-PL"/>
        </w:rPr>
        <w:t xml:space="preserve"> koja </w:t>
      </w:r>
      <w:proofErr w:type="spellStart"/>
      <w:r>
        <w:rPr>
          <w:lang w:val="pl-PL"/>
        </w:rPr>
        <w:t>su</w:t>
      </w:r>
      <w:proofErr w:type="spellEnd"/>
      <w:r>
        <w:rPr>
          <w:lang w:val="pl-PL"/>
        </w:rPr>
        <w:t xml:space="preserve"> BEREC-u </w:t>
      </w:r>
      <w:proofErr w:type="spellStart"/>
      <w:r>
        <w:rPr>
          <w:lang w:val="pl-PL"/>
        </w:rPr>
        <w:t>potrebna</w:t>
      </w:r>
      <w:proofErr w:type="spellEnd"/>
      <w:r>
        <w:rPr>
          <w:lang w:val="pl-PL"/>
        </w:rPr>
        <w:t xml:space="preserve"> za </w:t>
      </w:r>
      <w:proofErr w:type="spellStart"/>
      <w:r>
        <w:rPr>
          <w:lang w:val="pl-PL"/>
        </w:rPr>
        <w:t>izvršavanje</w:t>
      </w:r>
      <w:proofErr w:type="spellEnd"/>
      <w:r>
        <w:rPr>
          <w:lang w:val="pl-PL"/>
        </w:rPr>
        <w:t xml:space="preserve"> </w:t>
      </w:r>
      <w:proofErr w:type="spellStart"/>
      <w:r>
        <w:rPr>
          <w:lang w:val="pl-PL"/>
        </w:rPr>
        <w:t>novih</w:t>
      </w:r>
      <w:proofErr w:type="spellEnd"/>
      <w:r>
        <w:rPr>
          <w:lang w:val="pl-PL"/>
        </w:rPr>
        <w:t xml:space="preserve"> </w:t>
      </w:r>
      <w:proofErr w:type="spellStart"/>
      <w:r>
        <w:rPr>
          <w:lang w:val="pl-PL"/>
        </w:rPr>
        <w:t>zadaća</w:t>
      </w:r>
      <w:proofErr w:type="spellEnd"/>
      <w:r>
        <w:rPr>
          <w:lang w:val="pl-PL"/>
        </w:rPr>
        <w:t xml:space="preserve"> u </w:t>
      </w:r>
      <w:proofErr w:type="spellStart"/>
      <w:r>
        <w:rPr>
          <w:lang w:val="pl-PL"/>
        </w:rPr>
        <w:t>okviru</w:t>
      </w:r>
      <w:proofErr w:type="spellEnd"/>
      <w:r>
        <w:rPr>
          <w:lang w:val="pl-PL"/>
        </w:rPr>
        <w:t xml:space="preserve"> </w:t>
      </w:r>
      <w:proofErr w:type="spellStart"/>
      <w:r>
        <w:rPr>
          <w:lang w:val="pl-PL"/>
        </w:rPr>
        <w:t>proširenih</w:t>
      </w:r>
      <w:proofErr w:type="spellEnd"/>
      <w:r>
        <w:rPr>
          <w:lang w:val="pl-PL"/>
        </w:rPr>
        <w:t xml:space="preserve"> </w:t>
      </w:r>
      <w:proofErr w:type="spellStart"/>
      <w:r>
        <w:rPr>
          <w:lang w:val="pl-PL"/>
        </w:rPr>
        <w:t>ovlasti</w:t>
      </w:r>
      <w:proofErr w:type="spellEnd"/>
      <w:r>
        <w:rPr>
          <w:lang w:val="pl-PL"/>
        </w:rPr>
        <w:t xml:space="preserve"> </w:t>
      </w:r>
      <w:proofErr w:type="spellStart"/>
      <w:r>
        <w:rPr>
          <w:lang w:val="pl-PL"/>
        </w:rPr>
        <w:t>procjenjuje</w:t>
      </w:r>
      <w:proofErr w:type="spellEnd"/>
      <w:r>
        <w:rPr>
          <w:lang w:val="pl-PL"/>
        </w:rPr>
        <w:t xml:space="preserve"> </w:t>
      </w:r>
      <w:proofErr w:type="spellStart"/>
      <w:r>
        <w:rPr>
          <w:lang w:val="pl-PL"/>
        </w:rPr>
        <w:t>se</w:t>
      </w:r>
      <w:proofErr w:type="spellEnd"/>
      <w:r>
        <w:rPr>
          <w:lang w:val="pl-PL"/>
        </w:rPr>
        <w:t xml:space="preserve"> na 60 EPRV-a na </w:t>
      </w:r>
      <w:proofErr w:type="spellStart"/>
      <w:r>
        <w:rPr>
          <w:lang w:val="pl-PL"/>
        </w:rPr>
        <w:t>završetku</w:t>
      </w:r>
      <w:proofErr w:type="spellEnd"/>
      <w:r>
        <w:rPr>
          <w:lang w:val="pl-PL"/>
        </w:rPr>
        <w:t xml:space="preserve"> </w:t>
      </w:r>
      <w:proofErr w:type="spellStart"/>
      <w:r>
        <w:rPr>
          <w:lang w:val="pl-PL"/>
        </w:rPr>
        <w:t>raz</w:t>
      </w:r>
      <w:r>
        <w:rPr>
          <w:lang w:val="pl-PL"/>
        </w:rPr>
        <w:t>doblja</w:t>
      </w:r>
      <w:proofErr w:type="spellEnd"/>
      <w:r>
        <w:rPr>
          <w:lang w:val="pl-PL"/>
        </w:rPr>
        <w:t xml:space="preserve"> </w:t>
      </w:r>
      <w:proofErr w:type="spellStart"/>
      <w:r>
        <w:rPr>
          <w:lang w:val="pl-PL"/>
        </w:rPr>
        <w:t>provedbe</w:t>
      </w:r>
      <w:proofErr w:type="spellEnd"/>
      <w:r>
        <w:rPr>
          <w:lang w:val="pl-PL"/>
        </w:rPr>
        <w:t xml:space="preserve"> od 2019. do 2022.</w:t>
      </w:r>
    </w:p>
  </w:footnote>
  <w:footnote w:id="69">
    <w:p w:rsidR="006C0808" w:rsidRDefault="00E3601E">
      <w:pPr>
        <w:pStyle w:val="FootnoteText"/>
        <w:rPr>
          <w:lang w:val="pl-PL"/>
        </w:rPr>
      </w:pPr>
      <w:r>
        <w:rPr>
          <w:rStyle w:val="FootnoteReference"/>
        </w:rPr>
        <w:footnoteRef/>
      </w:r>
      <w:r>
        <w:rPr>
          <w:lang w:val="pl-PL"/>
        </w:rPr>
        <w:tab/>
      </w:r>
      <w:proofErr w:type="spellStart"/>
      <w:r>
        <w:rPr>
          <w:lang w:val="pl-PL"/>
        </w:rPr>
        <w:t>Osnovni</w:t>
      </w:r>
      <w:proofErr w:type="spellEnd"/>
      <w:r>
        <w:rPr>
          <w:lang w:val="pl-PL"/>
        </w:rPr>
        <w:t xml:space="preserve"> </w:t>
      </w:r>
      <w:proofErr w:type="spellStart"/>
      <w:r>
        <w:rPr>
          <w:lang w:val="pl-PL"/>
        </w:rPr>
        <w:t>scenarij</w:t>
      </w:r>
      <w:proofErr w:type="spellEnd"/>
      <w:r>
        <w:rPr>
          <w:lang w:val="pl-PL"/>
        </w:rPr>
        <w:t xml:space="preserve"> za 2017. </w:t>
      </w:r>
      <w:proofErr w:type="spellStart"/>
      <w:r>
        <w:rPr>
          <w:lang w:val="pl-PL"/>
        </w:rPr>
        <w:t>naveden</w:t>
      </w:r>
      <w:proofErr w:type="spellEnd"/>
      <w:r>
        <w:rPr>
          <w:lang w:val="pl-PL"/>
        </w:rPr>
        <w:t xml:space="preserve"> je samo </w:t>
      </w:r>
      <w:proofErr w:type="spellStart"/>
      <w:r>
        <w:rPr>
          <w:lang w:val="pl-PL"/>
        </w:rPr>
        <w:t>radi</w:t>
      </w:r>
      <w:proofErr w:type="spellEnd"/>
      <w:r>
        <w:rPr>
          <w:lang w:val="pl-PL"/>
        </w:rPr>
        <w:t xml:space="preserve"> </w:t>
      </w:r>
      <w:proofErr w:type="spellStart"/>
      <w:r>
        <w:rPr>
          <w:lang w:val="pl-PL"/>
        </w:rPr>
        <w:t>usporedbe</w:t>
      </w:r>
      <w:proofErr w:type="spellEnd"/>
      <w:r>
        <w:rPr>
          <w:lang w:val="pl-PL"/>
        </w:rPr>
        <w:t xml:space="preserve">. </w:t>
      </w:r>
      <w:proofErr w:type="spellStart"/>
      <w:r>
        <w:rPr>
          <w:lang w:val="pl-PL"/>
        </w:rPr>
        <w:t>Izračun</w:t>
      </w:r>
      <w:proofErr w:type="spellEnd"/>
      <w:r>
        <w:rPr>
          <w:lang w:val="pl-PL"/>
        </w:rPr>
        <w:t xml:space="preserve"> </w:t>
      </w:r>
      <w:proofErr w:type="spellStart"/>
      <w:r>
        <w:rPr>
          <w:lang w:val="pl-PL"/>
        </w:rPr>
        <w:t>rashoda</w:t>
      </w:r>
      <w:proofErr w:type="spellEnd"/>
      <w:r>
        <w:rPr>
          <w:lang w:val="pl-PL"/>
        </w:rPr>
        <w:t xml:space="preserve"> za </w:t>
      </w:r>
      <w:proofErr w:type="spellStart"/>
      <w:r>
        <w:rPr>
          <w:lang w:val="pl-PL"/>
        </w:rPr>
        <w:t>osoblje</w:t>
      </w:r>
      <w:proofErr w:type="spellEnd"/>
      <w:r>
        <w:rPr>
          <w:lang w:val="pl-PL"/>
        </w:rPr>
        <w:t xml:space="preserve"> za 2019. i 2020. </w:t>
      </w:r>
      <w:proofErr w:type="spellStart"/>
      <w:r>
        <w:rPr>
          <w:lang w:val="pl-PL"/>
        </w:rPr>
        <w:t>temelji</w:t>
      </w:r>
      <w:proofErr w:type="spellEnd"/>
      <w:r>
        <w:rPr>
          <w:lang w:val="pl-PL"/>
        </w:rPr>
        <w:t xml:space="preserve"> </w:t>
      </w:r>
      <w:proofErr w:type="spellStart"/>
      <w:r>
        <w:rPr>
          <w:lang w:val="pl-PL"/>
        </w:rPr>
        <w:t>se</w:t>
      </w:r>
      <w:proofErr w:type="spellEnd"/>
      <w:r>
        <w:rPr>
          <w:lang w:val="pl-PL"/>
        </w:rPr>
        <w:t xml:space="preserve"> na </w:t>
      </w:r>
      <w:proofErr w:type="spellStart"/>
      <w:r>
        <w:rPr>
          <w:lang w:val="pl-PL"/>
        </w:rPr>
        <w:t>prosječnim</w:t>
      </w:r>
      <w:proofErr w:type="spellEnd"/>
      <w:r>
        <w:rPr>
          <w:lang w:val="pl-PL"/>
        </w:rPr>
        <w:t xml:space="preserve"> </w:t>
      </w:r>
      <w:proofErr w:type="spellStart"/>
      <w:r>
        <w:rPr>
          <w:lang w:val="pl-PL"/>
        </w:rPr>
        <w:t>troškovima</w:t>
      </w:r>
      <w:proofErr w:type="spellEnd"/>
      <w:r>
        <w:rPr>
          <w:lang w:val="pl-PL"/>
        </w:rPr>
        <w:t xml:space="preserve"> </w:t>
      </w:r>
      <w:proofErr w:type="spellStart"/>
      <w:r>
        <w:rPr>
          <w:lang w:val="pl-PL"/>
        </w:rPr>
        <w:t>osoblja</w:t>
      </w:r>
      <w:proofErr w:type="spellEnd"/>
      <w:r>
        <w:rPr>
          <w:lang w:val="pl-PL"/>
        </w:rPr>
        <w:t xml:space="preserve"> s </w:t>
      </w:r>
      <w:r>
        <w:rPr>
          <w:i/>
          <w:lang w:val="pl-PL"/>
        </w:rPr>
        <w:t>„</w:t>
      </w:r>
      <w:proofErr w:type="spellStart"/>
      <w:r>
        <w:rPr>
          <w:i/>
          <w:lang w:val="pl-PL"/>
        </w:rPr>
        <w:t>habillage</w:t>
      </w:r>
      <w:proofErr w:type="spellEnd"/>
      <w:r>
        <w:rPr>
          <w:i/>
          <w:lang w:val="pl-PL"/>
        </w:rPr>
        <w:t>”</w:t>
      </w:r>
      <w:r>
        <w:rPr>
          <w:lang w:val="pl-PL"/>
        </w:rPr>
        <w:t xml:space="preserve"> Ares(2015)5703479 od 9. </w:t>
      </w:r>
      <w:proofErr w:type="spellStart"/>
      <w:r>
        <w:rPr>
          <w:lang w:val="pl-PL"/>
        </w:rPr>
        <w:t>prosinca</w:t>
      </w:r>
      <w:proofErr w:type="spellEnd"/>
      <w:r>
        <w:rPr>
          <w:lang w:val="pl-PL"/>
        </w:rPr>
        <w:t xml:space="preserve"> 2015.), </w:t>
      </w:r>
      <w:proofErr w:type="spellStart"/>
      <w:r>
        <w:rPr>
          <w:lang w:val="pl-PL"/>
        </w:rPr>
        <w:t>čime</w:t>
      </w:r>
      <w:proofErr w:type="spellEnd"/>
      <w:r>
        <w:rPr>
          <w:lang w:val="pl-PL"/>
        </w:rPr>
        <w:t xml:space="preserve"> </w:t>
      </w:r>
      <w:proofErr w:type="spellStart"/>
      <w:r>
        <w:rPr>
          <w:lang w:val="pl-PL"/>
        </w:rPr>
        <w:t>se</w:t>
      </w:r>
      <w:proofErr w:type="spellEnd"/>
      <w:r>
        <w:rPr>
          <w:lang w:val="pl-PL"/>
        </w:rPr>
        <w:t xml:space="preserve"> </w:t>
      </w:r>
      <w:proofErr w:type="spellStart"/>
      <w:r>
        <w:rPr>
          <w:lang w:val="pl-PL"/>
        </w:rPr>
        <w:t>objašnjava</w:t>
      </w:r>
      <w:proofErr w:type="spellEnd"/>
      <w:r>
        <w:rPr>
          <w:lang w:val="pl-PL"/>
        </w:rPr>
        <w:t xml:space="preserve"> </w:t>
      </w:r>
      <w:proofErr w:type="spellStart"/>
      <w:r>
        <w:rPr>
          <w:lang w:val="pl-PL"/>
        </w:rPr>
        <w:t>dio</w:t>
      </w:r>
      <w:proofErr w:type="spellEnd"/>
      <w:r>
        <w:rPr>
          <w:lang w:val="pl-PL"/>
        </w:rPr>
        <w:t xml:space="preserve"> porasta </w:t>
      </w:r>
      <w:proofErr w:type="spellStart"/>
      <w:r>
        <w:rPr>
          <w:lang w:val="pl-PL"/>
        </w:rPr>
        <w:t>rashoda</w:t>
      </w:r>
      <w:proofErr w:type="spellEnd"/>
      <w:r>
        <w:rPr>
          <w:lang w:val="pl-PL"/>
        </w:rPr>
        <w:t xml:space="preserve"> od 2017. do 2019.</w:t>
      </w:r>
    </w:p>
  </w:footnote>
  <w:footnote w:id="70">
    <w:p w:rsidR="006C0808" w:rsidRDefault="00E3601E">
      <w:pPr>
        <w:pStyle w:val="FootnoteText"/>
        <w:rPr>
          <w:szCs w:val="24"/>
          <w:lang w:val="pl-PL"/>
        </w:rPr>
      </w:pPr>
      <w:r>
        <w:rPr>
          <w:rStyle w:val="FootnoteReference"/>
        </w:rPr>
        <w:footnoteRef/>
      </w:r>
      <w:r>
        <w:rPr>
          <w:lang w:val="pl-PL"/>
        </w:rPr>
        <w:tab/>
        <w:t xml:space="preserve">Na </w:t>
      </w:r>
      <w:proofErr w:type="spellStart"/>
      <w:r>
        <w:rPr>
          <w:lang w:val="pl-PL"/>
        </w:rPr>
        <w:t>temelju</w:t>
      </w:r>
      <w:proofErr w:type="spellEnd"/>
      <w:r>
        <w:rPr>
          <w:lang w:val="pl-PL"/>
        </w:rPr>
        <w:t xml:space="preserve"> </w:t>
      </w:r>
      <w:proofErr w:type="spellStart"/>
      <w:r>
        <w:rPr>
          <w:lang w:val="pl-PL"/>
        </w:rPr>
        <w:t>procjene</w:t>
      </w:r>
      <w:proofErr w:type="spellEnd"/>
      <w:r>
        <w:rPr>
          <w:lang w:val="pl-PL"/>
        </w:rPr>
        <w:t xml:space="preserve"> </w:t>
      </w:r>
      <w:proofErr w:type="spellStart"/>
      <w:r>
        <w:rPr>
          <w:lang w:val="pl-PL"/>
        </w:rPr>
        <w:t>učinaka</w:t>
      </w:r>
      <w:proofErr w:type="spellEnd"/>
      <w:r>
        <w:rPr>
          <w:lang w:val="pl-PL"/>
        </w:rPr>
        <w:t xml:space="preserve"> i </w:t>
      </w:r>
      <w:proofErr w:type="spellStart"/>
      <w:r>
        <w:rPr>
          <w:lang w:val="pl-PL"/>
        </w:rPr>
        <w:t>ne</w:t>
      </w:r>
      <w:proofErr w:type="spellEnd"/>
      <w:r>
        <w:rPr>
          <w:lang w:val="pl-PL"/>
        </w:rPr>
        <w:t xml:space="preserve"> </w:t>
      </w:r>
      <w:proofErr w:type="spellStart"/>
      <w:r>
        <w:rPr>
          <w:lang w:val="pl-PL"/>
        </w:rPr>
        <w:t>dovodeći</w:t>
      </w:r>
      <w:proofErr w:type="spellEnd"/>
      <w:r>
        <w:rPr>
          <w:lang w:val="pl-PL"/>
        </w:rPr>
        <w:t xml:space="preserve"> u </w:t>
      </w:r>
      <w:proofErr w:type="spellStart"/>
      <w:r>
        <w:rPr>
          <w:lang w:val="pl-PL"/>
        </w:rPr>
        <w:t>pitanje</w:t>
      </w:r>
      <w:proofErr w:type="spellEnd"/>
      <w:r>
        <w:rPr>
          <w:lang w:val="pl-PL"/>
        </w:rPr>
        <w:t xml:space="preserve"> </w:t>
      </w:r>
      <w:proofErr w:type="spellStart"/>
      <w:r>
        <w:rPr>
          <w:lang w:val="pl-PL"/>
        </w:rPr>
        <w:t>sljedeći</w:t>
      </w:r>
      <w:proofErr w:type="spellEnd"/>
      <w:r>
        <w:rPr>
          <w:lang w:val="pl-PL"/>
        </w:rPr>
        <w:t xml:space="preserve"> VFO, </w:t>
      </w:r>
      <w:proofErr w:type="spellStart"/>
      <w:r>
        <w:rPr>
          <w:lang w:val="pl-PL"/>
        </w:rPr>
        <w:t>ukupan</w:t>
      </w:r>
      <w:proofErr w:type="spellEnd"/>
      <w:r>
        <w:rPr>
          <w:lang w:val="pl-PL"/>
        </w:rPr>
        <w:t xml:space="preserve"> </w:t>
      </w:r>
      <w:proofErr w:type="spellStart"/>
      <w:r>
        <w:rPr>
          <w:lang w:val="pl-PL"/>
        </w:rPr>
        <w:t>broj</w:t>
      </w:r>
      <w:proofErr w:type="spellEnd"/>
      <w:r>
        <w:rPr>
          <w:lang w:val="pl-PL"/>
        </w:rPr>
        <w:t xml:space="preserve"> </w:t>
      </w:r>
      <w:proofErr w:type="spellStart"/>
      <w:r>
        <w:rPr>
          <w:lang w:val="pl-PL"/>
        </w:rPr>
        <w:t>dodatnih</w:t>
      </w:r>
      <w:proofErr w:type="spellEnd"/>
      <w:r>
        <w:rPr>
          <w:lang w:val="pl-PL"/>
        </w:rPr>
        <w:t xml:space="preserve"> </w:t>
      </w:r>
      <w:proofErr w:type="spellStart"/>
      <w:r>
        <w:rPr>
          <w:lang w:val="pl-PL"/>
        </w:rPr>
        <w:t>radnih</w:t>
      </w:r>
      <w:proofErr w:type="spellEnd"/>
      <w:r>
        <w:rPr>
          <w:lang w:val="pl-PL"/>
        </w:rPr>
        <w:t xml:space="preserve"> </w:t>
      </w:r>
      <w:proofErr w:type="spellStart"/>
      <w:r>
        <w:rPr>
          <w:lang w:val="pl-PL"/>
        </w:rPr>
        <w:t>mjesta</w:t>
      </w:r>
      <w:proofErr w:type="spellEnd"/>
      <w:r>
        <w:rPr>
          <w:lang w:val="pl-PL"/>
        </w:rPr>
        <w:t xml:space="preserve"> koja </w:t>
      </w:r>
      <w:proofErr w:type="spellStart"/>
      <w:r>
        <w:rPr>
          <w:lang w:val="pl-PL"/>
        </w:rPr>
        <w:t>su</w:t>
      </w:r>
      <w:proofErr w:type="spellEnd"/>
      <w:r>
        <w:rPr>
          <w:lang w:val="pl-PL"/>
        </w:rPr>
        <w:t xml:space="preserve"> BEREC-u </w:t>
      </w:r>
      <w:proofErr w:type="spellStart"/>
      <w:r>
        <w:rPr>
          <w:lang w:val="pl-PL"/>
        </w:rPr>
        <w:t>potrebna</w:t>
      </w:r>
      <w:proofErr w:type="spellEnd"/>
      <w:r>
        <w:rPr>
          <w:lang w:val="pl-PL"/>
        </w:rPr>
        <w:t xml:space="preserve"> za </w:t>
      </w:r>
      <w:proofErr w:type="spellStart"/>
      <w:r>
        <w:rPr>
          <w:lang w:val="pl-PL"/>
        </w:rPr>
        <w:t>izvršavanje</w:t>
      </w:r>
      <w:proofErr w:type="spellEnd"/>
      <w:r>
        <w:rPr>
          <w:lang w:val="pl-PL"/>
        </w:rPr>
        <w:t xml:space="preserve"> </w:t>
      </w:r>
      <w:proofErr w:type="spellStart"/>
      <w:r>
        <w:rPr>
          <w:lang w:val="pl-PL"/>
        </w:rPr>
        <w:t>novih</w:t>
      </w:r>
      <w:proofErr w:type="spellEnd"/>
      <w:r>
        <w:rPr>
          <w:lang w:val="pl-PL"/>
        </w:rPr>
        <w:t xml:space="preserve"> </w:t>
      </w:r>
      <w:proofErr w:type="spellStart"/>
      <w:r>
        <w:rPr>
          <w:lang w:val="pl-PL"/>
        </w:rPr>
        <w:t>zadaća</w:t>
      </w:r>
      <w:proofErr w:type="spellEnd"/>
      <w:r>
        <w:rPr>
          <w:lang w:val="pl-PL"/>
        </w:rPr>
        <w:t xml:space="preserve"> u </w:t>
      </w:r>
      <w:proofErr w:type="spellStart"/>
      <w:r>
        <w:rPr>
          <w:lang w:val="pl-PL"/>
        </w:rPr>
        <w:t>okviru</w:t>
      </w:r>
      <w:proofErr w:type="spellEnd"/>
      <w:r>
        <w:rPr>
          <w:lang w:val="pl-PL"/>
        </w:rPr>
        <w:t xml:space="preserve"> </w:t>
      </w:r>
      <w:proofErr w:type="spellStart"/>
      <w:r>
        <w:rPr>
          <w:lang w:val="pl-PL"/>
        </w:rPr>
        <w:t>proširenih</w:t>
      </w:r>
      <w:proofErr w:type="spellEnd"/>
      <w:r>
        <w:rPr>
          <w:lang w:val="pl-PL"/>
        </w:rPr>
        <w:t xml:space="preserve"> </w:t>
      </w:r>
      <w:proofErr w:type="spellStart"/>
      <w:r>
        <w:rPr>
          <w:lang w:val="pl-PL"/>
        </w:rPr>
        <w:t>ovlasti</w:t>
      </w:r>
      <w:proofErr w:type="spellEnd"/>
      <w:r>
        <w:rPr>
          <w:lang w:val="pl-PL"/>
        </w:rPr>
        <w:t xml:space="preserve"> </w:t>
      </w:r>
      <w:proofErr w:type="spellStart"/>
      <w:r>
        <w:rPr>
          <w:lang w:val="pl-PL"/>
        </w:rPr>
        <w:t>procjenjuje</w:t>
      </w:r>
      <w:proofErr w:type="spellEnd"/>
      <w:r>
        <w:rPr>
          <w:lang w:val="pl-PL"/>
        </w:rPr>
        <w:t xml:space="preserve"> </w:t>
      </w:r>
      <w:proofErr w:type="spellStart"/>
      <w:r>
        <w:rPr>
          <w:lang w:val="pl-PL"/>
        </w:rPr>
        <w:t>se</w:t>
      </w:r>
      <w:proofErr w:type="spellEnd"/>
      <w:r>
        <w:rPr>
          <w:lang w:val="pl-PL"/>
        </w:rPr>
        <w:t xml:space="preserve"> na 34 </w:t>
      </w:r>
      <w:proofErr w:type="spellStart"/>
      <w:r>
        <w:rPr>
          <w:lang w:val="pl-PL"/>
        </w:rPr>
        <w:t>ekvivalenta</w:t>
      </w:r>
      <w:proofErr w:type="spellEnd"/>
      <w:r>
        <w:rPr>
          <w:lang w:val="pl-PL"/>
        </w:rPr>
        <w:t xml:space="preserve"> </w:t>
      </w:r>
      <w:proofErr w:type="spellStart"/>
      <w:r>
        <w:rPr>
          <w:lang w:val="pl-PL"/>
        </w:rPr>
        <w:t>p</w:t>
      </w:r>
      <w:r>
        <w:rPr>
          <w:lang w:val="pl-PL"/>
        </w:rPr>
        <w:t>unog</w:t>
      </w:r>
      <w:proofErr w:type="spellEnd"/>
      <w:r>
        <w:rPr>
          <w:lang w:val="pl-PL"/>
        </w:rPr>
        <w:t xml:space="preserve"> </w:t>
      </w:r>
      <w:proofErr w:type="spellStart"/>
      <w:r>
        <w:rPr>
          <w:lang w:val="pl-PL"/>
        </w:rPr>
        <w:t>radnog</w:t>
      </w:r>
      <w:proofErr w:type="spellEnd"/>
      <w:r>
        <w:rPr>
          <w:lang w:val="pl-PL"/>
        </w:rPr>
        <w:t xml:space="preserve"> </w:t>
      </w:r>
      <w:proofErr w:type="spellStart"/>
      <w:r>
        <w:rPr>
          <w:lang w:val="pl-PL"/>
        </w:rPr>
        <w:t>vremena</w:t>
      </w:r>
      <w:proofErr w:type="spellEnd"/>
      <w:r>
        <w:rPr>
          <w:lang w:val="pl-PL"/>
        </w:rPr>
        <w:t xml:space="preserve">, </w:t>
      </w:r>
      <w:proofErr w:type="spellStart"/>
      <w:r>
        <w:rPr>
          <w:lang w:val="pl-PL"/>
        </w:rPr>
        <w:t>odnosno</w:t>
      </w:r>
      <w:proofErr w:type="spellEnd"/>
      <w:r>
        <w:rPr>
          <w:lang w:val="pl-PL"/>
        </w:rPr>
        <w:t xml:space="preserve"> </w:t>
      </w:r>
      <w:proofErr w:type="spellStart"/>
      <w:r>
        <w:rPr>
          <w:lang w:val="pl-PL"/>
        </w:rPr>
        <w:t>predviđeni</w:t>
      </w:r>
      <w:proofErr w:type="spellEnd"/>
      <w:r>
        <w:rPr>
          <w:lang w:val="pl-PL"/>
        </w:rPr>
        <w:t xml:space="preserve"> </w:t>
      </w:r>
      <w:proofErr w:type="spellStart"/>
      <w:r>
        <w:rPr>
          <w:lang w:val="pl-PL"/>
        </w:rPr>
        <w:t>ukupni</w:t>
      </w:r>
      <w:proofErr w:type="spellEnd"/>
      <w:r>
        <w:rPr>
          <w:lang w:val="pl-PL"/>
        </w:rPr>
        <w:t xml:space="preserve"> </w:t>
      </w:r>
      <w:proofErr w:type="spellStart"/>
      <w:r>
        <w:rPr>
          <w:lang w:val="pl-PL"/>
        </w:rPr>
        <w:t>iznos</w:t>
      </w:r>
      <w:proofErr w:type="spellEnd"/>
      <w:r>
        <w:rPr>
          <w:lang w:val="pl-PL"/>
        </w:rPr>
        <w:t xml:space="preserve"> </w:t>
      </w:r>
      <w:proofErr w:type="spellStart"/>
      <w:r>
        <w:rPr>
          <w:lang w:val="pl-PL"/>
        </w:rPr>
        <w:t>članova</w:t>
      </w:r>
      <w:proofErr w:type="spellEnd"/>
      <w:r>
        <w:rPr>
          <w:lang w:val="pl-PL"/>
        </w:rPr>
        <w:t xml:space="preserve"> </w:t>
      </w:r>
      <w:proofErr w:type="spellStart"/>
      <w:r>
        <w:rPr>
          <w:lang w:val="pl-PL"/>
        </w:rPr>
        <w:t>osoblja</w:t>
      </w:r>
      <w:proofErr w:type="spellEnd"/>
      <w:r>
        <w:rPr>
          <w:lang w:val="pl-PL"/>
        </w:rPr>
        <w:t xml:space="preserve"> jest 60 </w:t>
      </w:r>
      <w:proofErr w:type="spellStart"/>
      <w:r>
        <w:rPr>
          <w:lang w:val="pl-PL"/>
        </w:rPr>
        <w:t>ekvivalenata</w:t>
      </w:r>
      <w:proofErr w:type="spellEnd"/>
      <w:r>
        <w:rPr>
          <w:lang w:val="pl-PL"/>
        </w:rPr>
        <w:t xml:space="preserve"> </w:t>
      </w:r>
      <w:proofErr w:type="spellStart"/>
      <w:r>
        <w:rPr>
          <w:lang w:val="pl-PL"/>
        </w:rPr>
        <w:t>punog</w:t>
      </w:r>
      <w:proofErr w:type="spellEnd"/>
      <w:r>
        <w:rPr>
          <w:lang w:val="pl-PL"/>
        </w:rPr>
        <w:t xml:space="preserve"> </w:t>
      </w:r>
      <w:proofErr w:type="spellStart"/>
      <w:r>
        <w:rPr>
          <w:lang w:val="pl-PL"/>
        </w:rPr>
        <w:t>radnog</w:t>
      </w:r>
      <w:proofErr w:type="spellEnd"/>
      <w:r>
        <w:rPr>
          <w:lang w:val="pl-PL"/>
        </w:rPr>
        <w:t xml:space="preserve"> </w:t>
      </w:r>
      <w:proofErr w:type="spellStart"/>
      <w:r>
        <w:rPr>
          <w:lang w:val="pl-PL"/>
        </w:rPr>
        <w:t>vremena</w:t>
      </w:r>
      <w:proofErr w:type="spellEnd"/>
      <w:r>
        <w:rPr>
          <w:lang w:val="pl-PL"/>
        </w:rPr>
        <w:t xml:space="preserve"> na </w:t>
      </w:r>
      <w:proofErr w:type="spellStart"/>
      <w:r>
        <w:rPr>
          <w:lang w:val="pl-PL"/>
        </w:rPr>
        <w:t>završetku</w:t>
      </w:r>
      <w:proofErr w:type="spellEnd"/>
      <w:r>
        <w:rPr>
          <w:lang w:val="pl-PL"/>
        </w:rPr>
        <w:t xml:space="preserve"> </w:t>
      </w:r>
      <w:proofErr w:type="spellStart"/>
      <w:r>
        <w:rPr>
          <w:lang w:val="pl-PL"/>
        </w:rPr>
        <w:t>razdoblja</w:t>
      </w:r>
      <w:proofErr w:type="spellEnd"/>
      <w:r>
        <w:rPr>
          <w:lang w:val="pl-PL"/>
        </w:rPr>
        <w:t xml:space="preserve"> </w:t>
      </w:r>
      <w:proofErr w:type="spellStart"/>
      <w:r>
        <w:rPr>
          <w:lang w:val="pl-PL"/>
        </w:rPr>
        <w:t>provedbe</w:t>
      </w:r>
      <w:proofErr w:type="spellEnd"/>
      <w:r>
        <w:rPr>
          <w:lang w:val="pl-PL"/>
        </w:rPr>
        <w:t xml:space="preserve"> 2019. – 2022.</w:t>
      </w:r>
    </w:p>
    <w:p w:rsidR="006C0808" w:rsidRDefault="006C0808">
      <w:pPr>
        <w:pStyle w:val="FootnoteText"/>
        <w:rPr>
          <w:lang w:val="pl-PL"/>
        </w:rPr>
      </w:pPr>
    </w:p>
  </w:footnote>
  <w:footnote w:id="71">
    <w:p w:rsidR="006C0808" w:rsidRDefault="00E3601E">
      <w:pPr>
        <w:pStyle w:val="FootnoteText"/>
        <w:rPr>
          <w:szCs w:val="24"/>
          <w:lang w:val="pl-PL"/>
        </w:rPr>
      </w:pPr>
      <w:r>
        <w:rPr>
          <w:rStyle w:val="FootnoteReference"/>
        </w:rPr>
        <w:footnoteRef/>
      </w:r>
      <w:r>
        <w:rPr>
          <w:lang w:val="pl-PL"/>
        </w:rPr>
        <w:tab/>
        <w:t xml:space="preserve">UO = </w:t>
      </w:r>
      <w:proofErr w:type="spellStart"/>
      <w:r>
        <w:rPr>
          <w:lang w:val="pl-PL"/>
        </w:rPr>
        <w:t>ugovorno</w:t>
      </w:r>
      <w:proofErr w:type="spellEnd"/>
      <w:r>
        <w:rPr>
          <w:lang w:val="pl-PL"/>
        </w:rPr>
        <w:t xml:space="preserve"> </w:t>
      </w:r>
      <w:proofErr w:type="spellStart"/>
      <w:r>
        <w:rPr>
          <w:lang w:val="pl-PL"/>
        </w:rPr>
        <w:t>osoblje</w:t>
      </w:r>
      <w:proofErr w:type="spellEnd"/>
      <w:r>
        <w:rPr>
          <w:lang w:val="pl-PL"/>
        </w:rPr>
        <w:t xml:space="preserve">; LO = </w:t>
      </w:r>
      <w:proofErr w:type="spellStart"/>
      <w:r>
        <w:rPr>
          <w:lang w:val="pl-PL"/>
        </w:rPr>
        <w:t>lokalno</w:t>
      </w:r>
      <w:proofErr w:type="spellEnd"/>
      <w:r>
        <w:rPr>
          <w:lang w:val="pl-PL"/>
        </w:rPr>
        <w:t xml:space="preserve"> </w:t>
      </w:r>
      <w:proofErr w:type="spellStart"/>
      <w:r>
        <w:rPr>
          <w:lang w:val="pl-PL"/>
        </w:rPr>
        <w:t>osoblje</w:t>
      </w:r>
      <w:proofErr w:type="spellEnd"/>
      <w:r>
        <w:rPr>
          <w:lang w:val="pl-PL"/>
        </w:rPr>
        <w:t xml:space="preserve">; UNS = </w:t>
      </w:r>
      <w:proofErr w:type="spellStart"/>
      <w:r>
        <w:rPr>
          <w:lang w:val="pl-PL"/>
        </w:rPr>
        <w:t>upućeni</w:t>
      </w:r>
      <w:proofErr w:type="spellEnd"/>
      <w:r>
        <w:rPr>
          <w:lang w:val="pl-PL"/>
        </w:rPr>
        <w:t xml:space="preserve"> </w:t>
      </w:r>
      <w:proofErr w:type="spellStart"/>
      <w:r>
        <w:rPr>
          <w:lang w:val="pl-PL"/>
        </w:rPr>
        <w:t>nacionalni</w:t>
      </w:r>
      <w:proofErr w:type="spellEnd"/>
      <w:r>
        <w:rPr>
          <w:lang w:val="pl-PL"/>
        </w:rPr>
        <w:t xml:space="preserve"> </w:t>
      </w:r>
      <w:proofErr w:type="spellStart"/>
      <w:r>
        <w:rPr>
          <w:lang w:val="pl-PL"/>
        </w:rPr>
        <w:t>stručnjaci</w:t>
      </w:r>
      <w:proofErr w:type="spellEnd"/>
      <w:r>
        <w:rPr>
          <w:lang w:val="pl-PL"/>
        </w:rPr>
        <w:t xml:space="preserve">; INT= interno </w:t>
      </w:r>
      <w:proofErr w:type="spellStart"/>
      <w:r>
        <w:rPr>
          <w:lang w:val="pl-PL"/>
        </w:rPr>
        <w:t>o</w:t>
      </w:r>
      <w:r>
        <w:rPr>
          <w:lang w:val="pl-PL"/>
        </w:rPr>
        <w:t>soblje</w:t>
      </w:r>
      <w:proofErr w:type="spellEnd"/>
      <w:r>
        <w:rPr>
          <w:lang w:val="pl-PL"/>
        </w:rPr>
        <w:t xml:space="preserve">, MSD = </w:t>
      </w:r>
      <w:proofErr w:type="spellStart"/>
      <w:r>
        <w:rPr>
          <w:lang w:val="pl-PL"/>
        </w:rPr>
        <w:t>mladi</w:t>
      </w:r>
      <w:proofErr w:type="spellEnd"/>
      <w:r>
        <w:rPr>
          <w:lang w:val="pl-PL"/>
        </w:rPr>
        <w:t xml:space="preserve"> </w:t>
      </w:r>
      <w:proofErr w:type="spellStart"/>
      <w:r>
        <w:rPr>
          <w:lang w:val="pl-PL"/>
        </w:rPr>
        <w:t>stručnjaci</w:t>
      </w:r>
      <w:proofErr w:type="spellEnd"/>
      <w:r>
        <w:rPr>
          <w:lang w:val="pl-PL"/>
        </w:rPr>
        <w:t xml:space="preserve"> u </w:t>
      </w:r>
      <w:proofErr w:type="spellStart"/>
      <w:r>
        <w:rPr>
          <w:lang w:val="pl-PL"/>
        </w:rPr>
        <w:t>delegacijama</w:t>
      </w:r>
      <w:proofErr w:type="spellEnd"/>
      <w:r>
        <w:rPr>
          <w:lang w:val="pl-PL"/>
        </w:rPr>
        <w:t>. .</w:t>
      </w:r>
    </w:p>
  </w:footnote>
  <w:footnote w:id="72">
    <w:p w:rsidR="006C0808" w:rsidRDefault="00E3601E">
      <w:pPr>
        <w:pStyle w:val="FootnoteText"/>
        <w:rPr>
          <w:szCs w:val="24"/>
          <w:lang w:val="pl-PL"/>
        </w:rPr>
      </w:pPr>
      <w:r>
        <w:rPr>
          <w:rStyle w:val="FootnoteReference"/>
        </w:rPr>
        <w:footnoteRef/>
      </w:r>
      <w:r>
        <w:rPr>
          <w:lang w:val="pl-PL"/>
        </w:rPr>
        <w:tab/>
      </w:r>
      <w:proofErr w:type="spellStart"/>
      <w:r>
        <w:rPr>
          <w:lang w:val="pl-PL"/>
        </w:rPr>
        <w:t>Vidjeti</w:t>
      </w:r>
      <w:proofErr w:type="spellEnd"/>
      <w:r>
        <w:rPr>
          <w:lang w:val="pl-PL"/>
        </w:rPr>
        <w:t xml:space="preserve"> </w:t>
      </w:r>
      <w:proofErr w:type="spellStart"/>
      <w:r>
        <w:rPr>
          <w:lang w:val="pl-PL"/>
        </w:rPr>
        <w:t>točke</w:t>
      </w:r>
      <w:proofErr w:type="spellEnd"/>
      <w:r>
        <w:rPr>
          <w:lang w:val="pl-PL"/>
        </w:rPr>
        <w:t xml:space="preserve"> 19. i 24. </w:t>
      </w:r>
      <w:proofErr w:type="spellStart"/>
      <w:r>
        <w:rPr>
          <w:lang w:val="pl-PL"/>
        </w:rPr>
        <w:t>Međuinstitucionalnog</w:t>
      </w:r>
      <w:proofErr w:type="spellEnd"/>
      <w:r>
        <w:rPr>
          <w:lang w:val="pl-PL"/>
        </w:rPr>
        <w:t xml:space="preserve"> </w:t>
      </w:r>
      <w:proofErr w:type="spellStart"/>
      <w:r>
        <w:rPr>
          <w:lang w:val="pl-PL"/>
        </w:rPr>
        <w:t>sporazuma</w:t>
      </w:r>
      <w:proofErr w:type="spellEnd"/>
      <w:r>
        <w:rPr>
          <w:lang w:val="pl-PL"/>
        </w:rPr>
        <w:t>.</w:t>
      </w:r>
    </w:p>
  </w:footnote>
  <w:footnote w:id="73">
    <w:p w:rsidR="006C0808" w:rsidRDefault="00E3601E">
      <w:pPr>
        <w:pStyle w:val="FootnoteText"/>
        <w:rPr>
          <w:lang w:val="pl-PL"/>
        </w:rPr>
      </w:pPr>
      <w:r>
        <w:rPr>
          <w:rStyle w:val="FootnoteReference"/>
        </w:rPr>
        <w:footnoteRef/>
      </w:r>
      <w:r>
        <w:rPr>
          <w:lang w:val="pl-PL"/>
        </w:rPr>
        <w:tab/>
      </w:r>
      <w:proofErr w:type="spellStart"/>
      <w:r>
        <w:rPr>
          <w:lang w:val="pl-PL"/>
        </w:rPr>
        <w:t>Točan</w:t>
      </w:r>
      <w:proofErr w:type="spellEnd"/>
      <w:r>
        <w:rPr>
          <w:lang w:val="pl-PL"/>
        </w:rPr>
        <w:t xml:space="preserve"> </w:t>
      </w:r>
      <w:proofErr w:type="spellStart"/>
      <w:r>
        <w:rPr>
          <w:lang w:val="pl-PL"/>
        </w:rPr>
        <w:t>iznos</w:t>
      </w:r>
      <w:proofErr w:type="spellEnd"/>
      <w:r>
        <w:rPr>
          <w:lang w:val="pl-PL"/>
        </w:rPr>
        <w:t xml:space="preserve"> za </w:t>
      </w:r>
      <w:proofErr w:type="spellStart"/>
      <w:r>
        <w:rPr>
          <w:lang w:val="pl-PL"/>
        </w:rPr>
        <w:t>sljedeće</w:t>
      </w:r>
      <w:proofErr w:type="spellEnd"/>
      <w:r>
        <w:rPr>
          <w:lang w:val="pl-PL"/>
        </w:rPr>
        <w:t xml:space="preserve"> </w:t>
      </w:r>
      <w:proofErr w:type="spellStart"/>
      <w:r>
        <w:rPr>
          <w:lang w:val="pl-PL"/>
        </w:rPr>
        <w:t>godine</w:t>
      </w:r>
      <w:proofErr w:type="spellEnd"/>
      <w:r>
        <w:rPr>
          <w:lang w:val="pl-PL"/>
        </w:rPr>
        <w:t xml:space="preserve"> bit </w:t>
      </w:r>
      <w:proofErr w:type="spellStart"/>
      <w:r>
        <w:rPr>
          <w:lang w:val="pl-PL"/>
        </w:rPr>
        <w:t>će</w:t>
      </w:r>
      <w:proofErr w:type="spellEnd"/>
      <w:r>
        <w:rPr>
          <w:lang w:val="pl-PL"/>
        </w:rPr>
        <w:t xml:space="preserve"> </w:t>
      </w:r>
      <w:proofErr w:type="spellStart"/>
      <w:r>
        <w:rPr>
          <w:lang w:val="pl-PL"/>
        </w:rPr>
        <w:t>poznat</w:t>
      </w:r>
      <w:proofErr w:type="spellEnd"/>
      <w:r>
        <w:rPr>
          <w:lang w:val="pl-PL"/>
        </w:rPr>
        <w:t xml:space="preserve"> </w:t>
      </w:r>
      <w:proofErr w:type="spellStart"/>
      <w:r>
        <w:rPr>
          <w:lang w:val="pl-PL"/>
        </w:rPr>
        <w:t>nakon</w:t>
      </w:r>
      <w:proofErr w:type="spellEnd"/>
      <w:r>
        <w:rPr>
          <w:lang w:val="pl-PL"/>
        </w:rPr>
        <w:t xml:space="preserve"> </w:t>
      </w:r>
      <w:proofErr w:type="spellStart"/>
      <w:r>
        <w:rPr>
          <w:lang w:val="pl-PL"/>
        </w:rPr>
        <w:t>utvrđivanja</w:t>
      </w:r>
      <w:proofErr w:type="spellEnd"/>
      <w:r>
        <w:rPr>
          <w:lang w:val="pl-PL"/>
        </w:rPr>
        <w:t xml:space="preserve"> faktora </w:t>
      </w:r>
      <w:proofErr w:type="spellStart"/>
      <w:r>
        <w:rPr>
          <w:lang w:val="pl-PL"/>
        </w:rPr>
        <w:t>proporcionalnosti</w:t>
      </w:r>
      <w:proofErr w:type="spellEnd"/>
      <w:r>
        <w:rPr>
          <w:lang w:val="pl-PL"/>
        </w:rPr>
        <w:t xml:space="preserve"> EFTA-e za </w:t>
      </w:r>
      <w:proofErr w:type="spellStart"/>
      <w:r>
        <w:rPr>
          <w:lang w:val="pl-PL"/>
        </w:rPr>
        <w:t>predmetnu</w:t>
      </w:r>
      <w:proofErr w:type="spellEnd"/>
      <w:r>
        <w:rPr>
          <w:lang w:val="pl-PL"/>
        </w:rPr>
        <w:t xml:space="preserve"> </w:t>
      </w:r>
      <w:proofErr w:type="spellStart"/>
      <w:r>
        <w:rPr>
          <w:lang w:val="pl-PL"/>
        </w:rPr>
        <w:t>godinu</w:t>
      </w:r>
      <w:proofErr w:type="spellEnd"/>
      <w:r>
        <w:rPr>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1E" w:rsidRPr="00E3601E" w:rsidRDefault="00E3601E" w:rsidP="00E36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1E" w:rsidRPr="00E3601E" w:rsidRDefault="00E3601E" w:rsidP="00E360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1E" w:rsidRPr="00E3601E" w:rsidRDefault="00E3601E" w:rsidP="00E360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1E" w:rsidRPr="00E3601E" w:rsidRDefault="00E3601E" w:rsidP="00E3601E">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1E" w:rsidRPr="00E3601E" w:rsidRDefault="00E3601E" w:rsidP="00E3601E">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1E" w:rsidRPr="00E3601E" w:rsidRDefault="00E3601E" w:rsidP="00E360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1E" w:rsidRPr="00E3601E" w:rsidRDefault="00E3601E" w:rsidP="00E36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946A5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49AD5F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D9CCFF8"/>
    <w:lvl w:ilvl="0">
      <w:start w:val="1"/>
      <w:numFmt w:val="decimal"/>
      <w:pStyle w:val="ListNumber2"/>
      <w:lvlText w:val="%1."/>
      <w:lvlJc w:val="left"/>
      <w:pPr>
        <w:tabs>
          <w:tab w:val="num" w:pos="643"/>
        </w:tabs>
        <w:ind w:left="643" w:hanging="360"/>
      </w:pPr>
    </w:lvl>
  </w:abstractNum>
  <w:abstractNum w:abstractNumId="3">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4A9CB24C"/>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75084E24"/>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68725F88"/>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3EE6821C"/>
    <w:lvl w:ilvl="0">
      <w:start w:val="1"/>
      <w:numFmt w:val="decimal"/>
      <w:pStyle w:val="ListNumber"/>
      <w:lvlText w:val="%1."/>
      <w:lvlJc w:val="left"/>
      <w:pPr>
        <w:tabs>
          <w:tab w:val="num" w:pos="360"/>
        </w:tabs>
        <w:ind w:left="360" w:hanging="360"/>
      </w:pPr>
    </w:lvl>
  </w:abstractNum>
  <w:abstractNum w:abstractNumId="8">
    <w:nsid w:val="FFFFFF89"/>
    <w:multiLevelType w:val="singleLevel"/>
    <w:tmpl w:val="5DCCBFA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650526F"/>
    <w:multiLevelType w:val="multilevel"/>
    <w:tmpl w:val="08090025"/>
    <w:styleLink w:val="ArticleSection"/>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D0C058A"/>
    <w:multiLevelType w:val="singleLevel"/>
    <w:tmpl w:val="BAE8D90E"/>
    <w:lvl w:ilvl="0">
      <w:start w:val="1"/>
      <w:numFmt w:val="bullet"/>
      <w:lvlText w:val="–"/>
      <w:lvlJc w:val="left"/>
      <w:pPr>
        <w:tabs>
          <w:tab w:val="num" w:pos="1134"/>
        </w:tabs>
        <w:ind w:left="1134" w:hanging="283"/>
      </w:pPr>
      <w:rPr>
        <w:rFonts w:ascii="Times New Roman" w:hAnsi="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2A8042C"/>
    <w:multiLevelType w:val="singleLevel"/>
    <w:tmpl w:val="CCF20C06"/>
    <w:name w:val="List Dash 1"/>
    <w:lvl w:ilvl="0">
      <w:start w:val="1"/>
      <w:numFmt w:val="bullet"/>
      <w:pStyle w:val="ListDash1"/>
      <w:lvlText w:val="–"/>
      <w:lvlJc w:val="left"/>
      <w:pPr>
        <w:tabs>
          <w:tab w:val="num" w:pos="4678"/>
        </w:tabs>
        <w:ind w:left="4678"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7"/>
  </w:num>
  <w:num w:numId="12">
    <w:abstractNumId w:val="24"/>
  </w:num>
  <w:num w:numId="13">
    <w:abstractNumId w:val="19"/>
  </w:num>
  <w:num w:numId="14">
    <w:abstractNumId w:val="17"/>
  </w:num>
  <w:num w:numId="15">
    <w:abstractNumId w:val="3"/>
  </w:num>
  <w:num w:numId="16">
    <w:abstractNumId w:val="23"/>
  </w:num>
  <w:num w:numId="17">
    <w:abstractNumId w:val="16"/>
    <w:lvlOverride w:ilvl="0">
      <w:startOverride w:val="1"/>
    </w:lvlOverride>
  </w:num>
  <w:num w:numId="18">
    <w:abstractNumId w:val="14"/>
    <w:lvlOverride w:ilvl="0">
      <w:startOverride w:val="1"/>
    </w:lvlOverride>
  </w:num>
  <w:num w:numId="19">
    <w:abstractNumId w:val="22"/>
    <w:lvlOverride w:ilvl="0">
      <w:startOverride w:val="1"/>
    </w:lvlOverride>
  </w:num>
  <w:num w:numId="20">
    <w:abstractNumId w:val="20"/>
    <w:lvlOverride w:ilvl="0">
      <w:startOverride w:val="1"/>
    </w:lvlOverride>
  </w:num>
  <w:num w:numId="21">
    <w:abstractNumId w:val="16"/>
    <w:lvlOverride w:ilvl="0">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4"/>
  </w:num>
  <w:num w:numId="28">
    <w:abstractNumId w:val="26"/>
  </w:num>
  <w:num w:numId="29">
    <w:abstractNumId w:val="12"/>
  </w:num>
  <w:num w:numId="30">
    <w:abstractNumId w:val="15"/>
  </w:num>
  <w:num w:numId="31">
    <w:abstractNumId w:val="10"/>
  </w:num>
  <w:num w:numId="32">
    <w:abstractNumId w:val="25"/>
  </w:num>
  <w:num w:numId="33">
    <w:abstractNumId w:val="9"/>
  </w:num>
  <w:num w:numId="34">
    <w:abstractNumId w:val="16"/>
  </w:num>
  <w:num w:numId="35">
    <w:abstractNumId w:val="20"/>
  </w:num>
  <w:num w:numId="36">
    <w:abstractNumId w:val="21"/>
  </w:num>
  <w:num w:numId="37">
    <w:abstractNumId w:val="11"/>
  </w:num>
  <w:num w:numId="38">
    <w:abstractNumId w:val="18"/>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proofState w:spelling="clean"/>
  <w:attachedTemplate r:id="rId1"/>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12 12:21:0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6"/>
    <w:docVar w:name="DQCResult_ModifiedMarkers" w:val="0;0"/>
    <w:docVar w:name="DQCResult_ModifiedNumbering" w:val="0;0"/>
    <w:docVar w:name="DQCResult_Objects" w:val="0;0"/>
    <w:docVar w:name="DQCResult_Sections" w:val="0;0"/>
    <w:docVar w:name="DQCResult_StructureCheck" w:val="0;0"/>
    <w:docVar w:name="DQCResult_SuperfluousWhitespace" w:val="0;39"/>
    <w:docVar w:name="DQCResult_UnknownFonts" w:val="0;0"/>
    <w:docVar w:name="DQCResult_UnknownStyles" w:val="0;10"/>
    <w:docVar w:name="DQCStatus" w:val="Yellow"/>
    <w:docVar w:name="DQCVersion" w:val="3"/>
    <w:docVar w:name="DQCWithWarnings" w:val="0"/>
    <w:docVar w:name="LW_CONFIDENCE" w:val=" "/>
    <w:docVar w:name="LW_CONST_RESTREINT_UE" w:val="RESTREINT UE/EU RESTRICTED"/>
    <w:docVar w:name="LW_CORRIGENDUM" w:val="&lt;UNUSED&gt;"/>
    <w:docVar w:name="LW_COVERPAGE_GUID" w:val="D1042F1A6A0E4FF2ABC0884299BEBBC0"/>
    <w:docVar w:name="LW_CROSSREFERENCE" w:val="{SWD(2016) 303}_x000a_{SWD(2016) 304}"/>
    <w:docVar w:name="LW_DocType" w:val="COM"/>
    <w:docVar w:name="LW_EMISSION" w:val="14.9.2016."/>
    <w:docVar w:name="LW_EMISSION_ISODATE" w:val="2016-09-14"/>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kst zna\u269?ajan za EGP)"/>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286"/>
    <w:docVar w:name="LW_REF.II.NEW.CP_YEAR" w:val="2016"/>
    <w:docVar w:name="LW_REF.INST.NEW" w:val="COM"/>
    <w:docVar w:name="LW_REF.INST.NEW_ADOPTED" w:val="final"/>
    <w:docVar w:name="LW_REF.INST.NEW_TEXT" w:val="(2016) 591"/>
    <w:docVar w:name="LW_REF.INTERNE" w:val="&lt;UNUSED&gt;"/>
    <w:docVar w:name="LW_SOUS.TITRE.OBJ.CP" w:val="&lt;UNUSED&gt;"/>
    <w:docVar w:name="LW_STATUT.CP" w:val="Prijedlog"/>
    <w:docVar w:name="LW_SUPERTITRE" w:val="&lt;UNUSED&gt;"/>
    <w:docVar w:name="LW_TITRE.OBJ.CP" w:val="o osnivanju Tijela europskih regulatora za elektroni\u269?ke komunikacije"/>
    <w:docVar w:name="LW_TYPE.DOC.CP" w:val="UREDBE EUROPSKOG PARLAMENTA I VIJE\u262?A"/>
    <w:docVar w:name="Stamp" w:val="\\dossiers.dgt.cec.eu.int\dossiers\CNECT\CNECT-2016-00068\CNECT-2016-00068-00-00-EN-REV-00.201608111256166007267.DOCX"/>
  </w:docVars>
  <w:rsids>
    <w:rsidRoot w:val="006C0808"/>
    <w:rsid w:val="006C0808"/>
    <w:rsid w:val="00E360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endnote reference" w:uiPriority="0"/>
    <w:lsdException w:name="endnote text" w:uiPriority="0"/>
    <w:lsdException w:name="List Number" w:uiPriority="0"/>
    <w:lsdException w:name="List Bullet 3" w:uiPriority="0"/>
    <w:lsdException w:name="List Bullet 5"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link w:val="Heading5Char"/>
    <w:semiHidden/>
    <w:unhideWhenUsed/>
    <w:qFormat/>
    <w:pPr>
      <w:keepNext/>
      <w:spacing w:before="480" w:after="240" w:line="312" w:lineRule="atLeast"/>
      <w:ind w:left="1008" w:hanging="432"/>
      <w:jc w:val="left"/>
      <w:outlineLvl w:val="4"/>
    </w:pPr>
    <w:rPr>
      <w:rFonts w:ascii="Arial" w:eastAsia="Times New Roman" w:hAnsi="Arial"/>
      <w:sz w:val="22"/>
      <w:szCs w:val="20"/>
    </w:rPr>
  </w:style>
  <w:style w:type="paragraph" w:styleId="Heading6">
    <w:name w:val="heading 6"/>
    <w:basedOn w:val="Normal"/>
    <w:next w:val="NormalIndent"/>
    <w:link w:val="Heading6Char"/>
    <w:semiHidden/>
    <w:unhideWhenUsed/>
    <w:qFormat/>
    <w:pPr>
      <w:keepNext/>
      <w:spacing w:before="240" w:after="240" w:line="312" w:lineRule="atLeast"/>
      <w:ind w:left="1152" w:hanging="432"/>
      <w:outlineLvl w:val="5"/>
    </w:pPr>
    <w:rPr>
      <w:rFonts w:ascii="Arial" w:eastAsia="Times New Roman" w:hAnsi="Arial"/>
      <w:sz w:val="22"/>
      <w:szCs w:val="20"/>
    </w:rPr>
  </w:style>
  <w:style w:type="paragraph" w:styleId="Heading7">
    <w:name w:val="heading 7"/>
    <w:basedOn w:val="Normal"/>
    <w:next w:val="NormalIndent"/>
    <w:link w:val="Heading7Char"/>
    <w:uiPriority w:val="99"/>
    <w:semiHidden/>
    <w:unhideWhenUsed/>
    <w:qFormat/>
    <w:pPr>
      <w:keepNext/>
      <w:tabs>
        <w:tab w:val="left" w:pos="1418"/>
      </w:tabs>
      <w:spacing w:before="240" w:after="240" w:line="312" w:lineRule="atLeast"/>
      <w:ind w:left="1296" w:hanging="288"/>
      <w:outlineLvl w:val="6"/>
    </w:pPr>
    <w:rPr>
      <w:rFonts w:ascii="Arial" w:eastAsia="Times New Roman" w:hAnsi="Arial"/>
      <w:sz w:val="22"/>
      <w:szCs w:val="20"/>
    </w:rPr>
  </w:style>
  <w:style w:type="paragraph" w:styleId="Heading8">
    <w:name w:val="heading 8"/>
    <w:basedOn w:val="Normal"/>
    <w:next w:val="NormalIndent"/>
    <w:link w:val="Heading8Char"/>
    <w:uiPriority w:val="99"/>
    <w:semiHidden/>
    <w:unhideWhenUsed/>
    <w:qFormat/>
    <w:pPr>
      <w:spacing w:before="0" w:after="240" w:line="312" w:lineRule="atLeast"/>
      <w:ind w:left="1440" w:hanging="432"/>
      <w:outlineLvl w:val="7"/>
    </w:pPr>
    <w:rPr>
      <w:rFonts w:ascii="Times" w:eastAsia="Times New Roman" w:hAnsi="Times"/>
      <w:i/>
      <w:sz w:val="20"/>
      <w:szCs w:val="20"/>
    </w:rPr>
  </w:style>
  <w:style w:type="paragraph" w:styleId="Heading9">
    <w:name w:val="heading 9"/>
    <w:basedOn w:val="Normal"/>
    <w:next w:val="NormalIndent"/>
    <w:link w:val="Heading9Char"/>
    <w:uiPriority w:val="99"/>
    <w:semiHidden/>
    <w:unhideWhenUsed/>
    <w:qFormat/>
    <w:pPr>
      <w:spacing w:before="0" w:after="240" w:line="312" w:lineRule="atLeast"/>
      <w:ind w:left="1584" w:hanging="144"/>
      <w:outlineLvl w:val="8"/>
    </w:pPr>
    <w:rPr>
      <w:rFonts w:ascii="Times" w:eastAsia="Times New Roman" w:hAnsi="Times"/>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gislativeText">
    <w:name w:val="Legislative Text"/>
    <w:basedOn w:val="NoSpacing"/>
    <w:qFormat/>
    <w:pPr>
      <w:jc w:val="left"/>
    </w:pPr>
    <w:rPr>
      <w:rFonts w:cstheme="minorBidi"/>
      <w:sz w:val="22"/>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styleId="ListParagraph">
    <w:name w:val="List Paragraph"/>
    <w:aliases w:val="Paragraphe de liste 2,Reference list,Normal bullet 2,Bullet list,Numbered List,List Paragraph1,1st level - Bullet List Paragraph,Lettre d'introduction,Paragrafo elenco,Paragraph,Bullet EY,List Paragraph11,Normal bullet 21,Puce focus"/>
    <w:basedOn w:val="Normal"/>
    <w:link w:val="ListParagraphChar"/>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link w:val="ListParagraph"/>
    <w:uiPriority w:val="34"/>
    <w:qFormat/>
    <w:locked/>
    <w:rPr>
      <w:rFonts w:ascii="Times New Roman" w:hAnsi="Times New Roman" w:cs="Times New Roman"/>
      <w:sz w:val="24"/>
      <w:lang w:val="hr-HR"/>
    </w:rPr>
  </w:style>
  <w:style w:type="character" w:customStyle="1" w:styleId="None">
    <w:name w:val="None"/>
  </w:style>
  <w:style w:type="character" w:customStyle="1" w:styleId="Heading5Char">
    <w:name w:val="Heading 5 Char"/>
    <w:basedOn w:val="DefaultParagraphFont"/>
    <w:link w:val="Heading5"/>
    <w:semiHidden/>
    <w:rPr>
      <w:rFonts w:ascii="Arial" w:eastAsia="Times New Roman" w:hAnsi="Arial" w:cs="Times New Roman"/>
      <w:szCs w:val="20"/>
      <w:lang w:val="hr-HR" w:eastAsia="hr-HR"/>
    </w:rPr>
  </w:style>
  <w:style w:type="character" w:customStyle="1" w:styleId="Heading6Char">
    <w:name w:val="Heading 6 Char"/>
    <w:basedOn w:val="DefaultParagraphFont"/>
    <w:link w:val="Heading6"/>
    <w:semiHidden/>
    <w:rPr>
      <w:rFonts w:ascii="Arial" w:eastAsia="Times New Roman" w:hAnsi="Arial" w:cs="Times New Roman"/>
      <w:szCs w:val="20"/>
      <w:lang w:val="hr-HR" w:eastAsia="hr-HR"/>
    </w:rPr>
  </w:style>
  <w:style w:type="character" w:customStyle="1" w:styleId="Heading7Char">
    <w:name w:val="Heading 7 Char"/>
    <w:basedOn w:val="DefaultParagraphFont"/>
    <w:link w:val="Heading7"/>
    <w:uiPriority w:val="99"/>
    <w:semiHidden/>
    <w:rPr>
      <w:rFonts w:ascii="Arial" w:eastAsia="Times New Roman" w:hAnsi="Arial" w:cs="Times New Roman"/>
      <w:szCs w:val="20"/>
      <w:lang w:val="hr-HR" w:eastAsia="hr-HR"/>
    </w:rPr>
  </w:style>
  <w:style w:type="character" w:customStyle="1" w:styleId="Heading8Char">
    <w:name w:val="Heading 8 Char"/>
    <w:basedOn w:val="DefaultParagraphFont"/>
    <w:link w:val="Heading8"/>
    <w:uiPriority w:val="99"/>
    <w:semiHidden/>
    <w:rPr>
      <w:rFonts w:ascii="Times" w:eastAsia="Times New Roman" w:hAnsi="Times" w:cs="Times New Roman"/>
      <w:i/>
      <w:sz w:val="20"/>
      <w:szCs w:val="20"/>
      <w:lang w:val="hr-HR" w:eastAsia="hr-HR"/>
    </w:rPr>
  </w:style>
  <w:style w:type="character" w:customStyle="1" w:styleId="Heading9Char">
    <w:name w:val="Heading 9 Char"/>
    <w:basedOn w:val="DefaultParagraphFont"/>
    <w:link w:val="Heading9"/>
    <w:uiPriority w:val="99"/>
    <w:semiHidden/>
    <w:rPr>
      <w:rFonts w:ascii="Times" w:eastAsia="Times New Roman" w:hAnsi="Times" w:cs="Times New Roman"/>
      <w:i/>
      <w:sz w:val="20"/>
      <w:szCs w:val="20"/>
      <w:lang w:val="hr-HR" w:eastAsia="hr-HR"/>
    </w:rPr>
  </w:style>
  <w:style w:type="numbering" w:styleId="ArticleSection">
    <w:name w:val="Outline List 3"/>
    <w:basedOn w:val="NoList"/>
    <w:uiPriority w:val="99"/>
    <w:semiHidden/>
    <w:unhideWhenUsed/>
    <w:pPr>
      <w:numPr>
        <w:numId w:val="10"/>
      </w:numPr>
    </w:pPr>
  </w:style>
  <w:style w:type="paragraph" w:styleId="NormalIndent">
    <w:name w:val="Normal Indent"/>
    <w:basedOn w:val="Normal"/>
    <w:uiPriority w:val="99"/>
    <w:semiHidden/>
    <w:unhideWhenUsed/>
    <w:pPr>
      <w:ind w:left="720"/>
    </w:pPr>
  </w:style>
  <w:style w:type="paragraph" w:customStyle="1" w:styleId="ListBullet1">
    <w:name w:val="List Bullet 1"/>
    <w:basedOn w:val="Normal"/>
    <w:pPr>
      <w:numPr>
        <w:numId w:val="11"/>
      </w:numPr>
    </w:pPr>
    <w:rPr>
      <w:rFonts w:eastAsia="Times New Roman"/>
      <w:szCs w:val="24"/>
    </w:rPr>
  </w:style>
  <w:style w:type="paragraph" w:customStyle="1" w:styleId="ListDash1">
    <w:name w:val="List Dash 1"/>
    <w:basedOn w:val="Normal"/>
    <w:pPr>
      <w:numPr>
        <w:numId w:val="12"/>
      </w:numPr>
    </w:pPr>
    <w:rPr>
      <w:rFonts w:eastAsia="Times New Roman"/>
      <w:szCs w:val="24"/>
    </w:rPr>
  </w:style>
  <w:style w:type="paragraph" w:customStyle="1" w:styleId="ListDash2">
    <w:name w:val="List Dash 2"/>
    <w:basedOn w:val="Normal"/>
    <w:pPr>
      <w:numPr>
        <w:numId w:val="13"/>
      </w:numPr>
    </w:pPr>
    <w:rPr>
      <w:rFonts w:eastAsia="Times New Roman"/>
      <w:szCs w:val="24"/>
    </w:rPr>
  </w:style>
  <w:style w:type="paragraph" w:customStyle="1" w:styleId="ListNumberLevel2">
    <w:name w:val="List Number (Level 2)"/>
    <w:basedOn w:val="Normal"/>
    <w:pPr>
      <w:tabs>
        <w:tab w:val="num" w:pos="1417"/>
      </w:tabs>
      <w:ind w:left="1417" w:hanging="708"/>
    </w:pPr>
    <w:rPr>
      <w:rFonts w:eastAsia="Times New Roman"/>
      <w:szCs w:val="24"/>
    </w:rPr>
  </w:style>
  <w:style w:type="paragraph" w:customStyle="1" w:styleId="ListNumberLevel3">
    <w:name w:val="List Number (Level 3)"/>
    <w:basedOn w:val="Normal"/>
    <w:pPr>
      <w:tabs>
        <w:tab w:val="num" w:pos="2126"/>
      </w:tabs>
      <w:ind w:left="2126" w:hanging="709"/>
    </w:pPr>
    <w:rPr>
      <w:rFonts w:eastAsia="Times New Roman"/>
      <w:szCs w:val="24"/>
    </w:rPr>
  </w:style>
  <w:style w:type="paragraph" w:customStyle="1" w:styleId="ListNumberLevel4">
    <w:name w:val="List Number (Level 4)"/>
    <w:basedOn w:val="Normal"/>
    <w:pPr>
      <w:tabs>
        <w:tab w:val="num" w:pos="2835"/>
      </w:tabs>
      <w:ind w:left="2835" w:hanging="709"/>
    </w:pPr>
    <w:rPr>
      <w:rFonts w:eastAsia="Times New Roman"/>
      <w:szCs w:val="24"/>
    </w:rPr>
  </w:style>
  <w:style w:type="paragraph" w:customStyle="1" w:styleId="Fichefinancirestandardtitre">
    <w:name w:val="Fiche financière (standard) titre"/>
    <w:basedOn w:val="Normal"/>
    <w:next w:val="Normal"/>
    <w:pPr>
      <w:jc w:val="center"/>
    </w:pPr>
    <w:rPr>
      <w:rFonts w:eastAsia="Times New Roman"/>
      <w:b/>
      <w:szCs w:val="24"/>
      <w:u w:val="single"/>
    </w:rPr>
  </w:style>
  <w:style w:type="character" w:customStyle="1" w:styleId="tw4winMark">
    <w:name w:val="tw4winMark"/>
    <w:rPr>
      <w:vanish/>
      <w:color w:val="800080"/>
      <w:vertAlign w:val="subscript"/>
    </w:rPr>
  </w:style>
  <w:style w:type="paragraph" w:styleId="EndnoteText">
    <w:name w:val="endnote text"/>
    <w:basedOn w:val="Normal"/>
    <w:link w:val="EndnoteTextChar"/>
    <w:pPr>
      <w:spacing w:before="0" w:after="0"/>
      <w:jc w:val="left"/>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hr-HR" w:eastAsia="hr-HR"/>
    </w:rPr>
  </w:style>
  <w:style w:type="character" w:styleId="EndnoteReference">
    <w:name w:val="endnote reference"/>
    <w:rPr>
      <w:vertAlign w:val="superscript"/>
    </w:rPr>
  </w:style>
  <w:style w:type="character" w:styleId="FollowedHyperlink">
    <w:name w:val="FollowedHyperlink"/>
    <w:uiPriority w:val="99"/>
    <w:unhideWhenUsed/>
    <w:rPr>
      <w:color w:val="800080"/>
      <w:u w:val="single"/>
    </w:rPr>
  </w:style>
  <w:style w:type="character" w:styleId="Emphasis">
    <w:name w:val="Emphasis"/>
    <w:uiPriority w:val="20"/>
    <w:qFormat/>
    <w:rPr>
      <w:b/>
      <w:bCs/>
      <w:i w:val="0"/>
      <w:iCs w:val="0"/>
    </w:rPr>
  </w:style>
  <w:style w:type="paragraph" w:styleId="PlainText">
    <w:name w:val="Plain Text"/>
    <w:basedOn w:val="Normal"/>
    <w:link w:val="PlainTextChar"/>
    <w:uiPriority w:val="99"/>
    <w:unhideWhenUsed/>
    <w:pPr>
      <w:spacing w:before="0" w:after="0"/>
      <w:jc w:val="left"/>
    </w:pPr>
    <w:rPr>
      <w:rFonts w:ascii="Consolas" w:eastAsia="Calibri" w:hAnsi="Consolas"/>
      <w:sz w:val="21"/>
      <w:szCs w:val="21"/>
    </w:rPr>
  </w:style>
  <w:style w:type="character" w:customStyle="1" w:styleId="PlainTextChar">
    <w:name w:val="Plain Text Char"/>
    <w:basedOn w:val="DefaultParagraphFont"/>
    <w:link w:val="PlainText"/>
    <w:uiPriority w:val="99"/>
    <w:rPr>
      <w:rFonts w:ascii="Consolas" w:eastAsia="Calibri" w:hAnsi="Consolas" w:cs="Times New Roman"/>
      <w:sz w:val="21"/>
      <w:szCs w:val="21"/>
      <w:lang w:val="hr-HR"/>
    </w:rPr>
  </w:style>
  <w:style w:type="paragraph" w:customStyle="1" w:styleId="Mainpara">
    <w:name w:val="Main para"/>
    <w:basedOn w:val="Normal"/>
    <w:pPr>
      <w:spacing w:before="0"/>
    </w:pPr>
    <w:rPr>
      <w:rFonts w:eastAsia="Times New Roman"/>
      <w:szCs w:val="20"/>
    </w:rPr>
  </w:style>
  <w:style w:type="character" w:styleId="PlaceholderText">
    <w:name w:val="Placeholder Text"/>
    <w:uiPriority w:val="99"/>
    <w:semiHidden/>
    <w:rPr>
      <w:color w:val="808080"/>
    </w:rPr>
  </w:style>
  <w:style w:type="character" w:customStyle="1" w:styleId="testo1">
    <w:name w:val="testo1"/>
    <w:rPr>
      <w:rFonts w:ascii="Arial" w:hAnsi="Arial" w:cs="Arial" w:hint="default"/>
      <w:strike w:val="0"/>
      <w:dstrike w:val="0"/>
      <w:color w:val="666666"/>
      <w:sz w:val="18"/>
      <w:szCs w:val="18"/>
      <w:u w:val="none"/>
      <w:effect w:val="none"/>
    </w:rPr>
  </w:style>
  <w:style w:type="character" w:styleId="Strong">
    <w:name w:val="Strong"/>
    <w:uiPriority w:val="22"/>
    <w:qFormat/>
    <w:rPr>
      <w:b/>
      <w:bCs/>
    </w:rPr>
  </w:style>
  <w:style w:type="paragraph" w:styleId="ListBullet5">
    <w:name w:val="List Bullet 5"/>
    <w:basedOn w:val="Normal"/>
    <w:autoRedefine/>
    <w:pPr>
      <w:numPr>
        <w:numId w:val="15"/>
      </w:numPr>
      <w:spacing w:before="0" w:after="240"/>
    </w:pPr>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st1">
    <w:name w:val="st1"/>
    <w:basedOn w:val="DefaultParagraphFont"/>
  </w:style>
  <w:style w:type="character" w:customStyle="1" w:styleId="CRMarker">
    <w:name w:val="CR Marker"/>
    <w:uiPriority w:val="99"/>
    <w:rPr>
      <w:rFonts w:ascii="Wingdings" w:hAnsi="Wingdings" w:cs="Wingdings"/>
    </w:rPr>
  </w:style>
  <w:style w:type="paragraph" w:customStyle="1" w:styleId="CM4">
    <w:name w:val="CM4"/>
    <w:basedOn w:val="Default"/>
    <w:next w:val="Default"/>
    <w:uiPriority w:val="99"/>
    <w:rPr>
      <w:rFonts w:ascii="EUAlbertina" w:hAnsi="EUAlbertina" w:cstheme="minorBidi"/>
      <w:color w:val="auto"/>
    </w:rPr>
  </w:style>
  <w:style w:type="character" w:customStyle="1" w:styleId="apple-converted-space">
    <w:name w:val="apple-converted-space"/>
    <w:basedOn w:val="DefaultParagraphFont"/>
  </w:style>
  <w:style w:type="paragraph" w:styleId="Header">
    <w:name w:val="header"/>
    <w:basedOn w:val="Normal"/>
    <w:link w:val="HeaderChar"/>
    <w:uiPriority w:val="99"/>
    <w:unhideWhenUsed/>
    <w:rsid w:val="00E3601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3601E"/>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3601E"/>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endnote reference" w:uiPriority="0"/>
    <w:lsdException w:name="endnote text" w:uiPriority="0"/>
    <w:lsdException w:name="List Number" w:uiPriority="0"/>
    <w:lsdException w:name="List Bullet 3" w:uiPriority="0"/>
    <w:lsdException w:name="List Bullet 5"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paragraph" w:styleId="Heading5">
    <w:name w:val="heading 5"/>
    <w:basedOn w:val="Normal"/>
    <w:link w:val="Heading5Char"/>
    <w:semiHidden/>
    <w:unhideWhenUsed/>
    <w:qFormat/>
    <w:pPr>
      <w:keepNext/>
      <w:spacing w:before="480" w:after="240" w:line="312" w:lineRule="atLeast"/>
      <w:ind w:left="1008" w:hanging="432"/>
      <w:jc w:val="left"/>
      <w:outlineLvl w:val="4"/>
    </w:pPr>
    <w:rPr>
      <w:rFonts w:ascii="Arial" w:eastAsia="Times New Roman" w:hAnsi="Arial"/>
      <w:sz w:val="22"/>
      <w:szCs w:val="20"/>
    </w:rPr>
  </w:style>
  <w:style w:type="paragraph" w:styleId="Heading6">
    <w:name w:val="heading 6"/>
    <w:basedOn w:val="Normal"/>
    <w:next w:val="NormalIndent"/>
    <w:link w:val="Heading6Char"/>
    <w:semiHidden/>
    <w:unhideWhenUsed/>
    <w:qFormat/>
    <w:pPr>
      <w:keepNext/>
      <w:spacing w:before="240" w:after="240" w:line="312" w:lineRule="atLeast"/>
      <w:ind w:left="1152" w:hanging="432"/>
      <w:outlineLvl w:val="5"/>
    </w:pPr>
    <w:rPr>
      <w:rFonts w:ascii="Arial" w:eastAsia="Times New Roman" w:hAnsi="Arial"/>
      <w:sz w:val="22"/>
      <w:szCs w:val="20"/>
    </w:rPr>
  </w:style>
  <w:style w:type="paragraph" w:styleId="Heading7">
    <w:name w:val="heading 7"/>
    <w:basedOn w:val="Normal"/>
    <w:next w:val="NormalIndent"/>
    <w:link w:val="Heading7Char"/>
    <w:uiPriority w:val="99"/>
    <w:semiHidden/>
    <w:unhideWhenUsed/>
    <w:qFormat/>
    <w:pPr>
      <w:keepNext/>
      <w:tabs>
        <w:tab w:val="left" w:pos="1418"/>
      </w:tabs>
      <w:spacing w:before="240" w:after="240" w:line="312" w:lineRule="atLeast"/>
      <w:ind w:left="1296" w:hanging="288"/>
      <w:outlineLvl w:val="6"/>
    </w:pPr>
    <w:rPr>
      <w:rFonts w:ascii="Arial" w:eastAsia="Times New Roman" w:hAnsi="Arial"/>
      <w:sz w:val="22"/>
      <w:szCs w:val="20"/>
    </w:rPr>
  </w:style>
  <w:style w:type="paragraph" w:styleId="Heading8">
    <w:name w:val="heading 8"/>
    <w:basedOn w:val="Normal"/>
    <w:next w:val="NormalIndent"/>
    <w:link w:val="Heading8Char"/>
    <w:uiPriority w:val="99"/>
    <w:semiHidden/>
    <w:unhideWhenUsed/>
    <w:qFormat/>
    <w:pPr>
      <w:spacing w:before="0" w:after="240" w:line="312" w:lineRule="atLeast"/>
      <w:ind w:left="1440" w:hanging="432"/>
      <w:outlineLvl w:val="7"/>
    </w:pPr>
    <w:rPr>
      <w:rFonts w:ascii="Times" w:eastAsia="Times New Roman" w:hAnsi="Times"/>
      <w:i/>
      <w:sz w:val="20"/>
      <w:szCs w:val="20"/>
    </w:rPr>
  </w:style>
  <w:style w:type="paragraph" w:styleId="Heading9">
    <w:name w:val="heading 9"/>
    <w:basedOn w:val="Normal"/>
    <w:next w:val="NormalIndent"/>
    <w:link w:val="Heading9Char"/>
    <w:uiPriority w:val="99"/>
    <w:semiHidden/>
    <w:unhideWhenUsed/>
    <w:qFormat/>
    <w:pPr>
      <w:spacing w:before="0" w:after="240" w:line="312" w:lineRule="atLeast"/>
      <w:ind w:left="1584" w:hanging="144"/>
      <w:outlineLvl w:val="8"/>
    </w:pPr>
    <w:rPr>
      <w:rFonts w:ascii="Times" w:eastAsia="Times New Roman" w:hAnsi="Times"/>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gislativeText">
    <w:name w:val="Legislative Text"/>
    <w:basedOn w:val="NoSpacing"/>
    <w:qFormat/>
    <w:pPr>
      <w:jc w:val="left"/>
    </w:pPr>
    <w:rPr>
      <w:rFonts w:cstheme="minorBidi"/>
      <w:sz w:val="22"/>
    </w:r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styleId="ListParagraph">
    <w:name w:val="List Paragraph"/>
    <w:aliases w:val="Paragraphe de liste 2,Reference list,Normal bullet 2,Bullet list,Numbered List,List Paragraph1,1st level - Bullet List Paragraph,Lettre d'introduction,Paragrafo elenco,Paragraph,Bullet EY,List Paragraph11,Normal bullet 21,Puce focus"/>
    <w:basedOn w:val="Normal"/>
    <w:link w:val="ListParagraphChar"/>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NormalWeb">
    <w:name w:val="Normal (Web)"/>
    <w:basedOn w:val="Normal"/>
    <w:uiPriority w:val="99"/>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link w:val="ListParagraph"/>
    <w:uiPriority w:val="34"/>
    <w:qFormat/>
    <w:locked/>
    <w:rPr>
      <w:rFonts w:ascii="Times New Roman" w:hAnsi="Times New Roman" w:cs="Times New Roman"/>
      <w:sz w:val="24"/>
      <w:lang w:val="hr-HR"/>
    </w:rPr>
  </w:style>
  <w:style w:type="character" w:customStyle="1" w:styleId="None">
    <w:name w:val="None"/>
  </w:style>
  <w:style w:type="character" w:customStyle="1" w:styleId="Heading5Char">
    <w:name w:val="Heading 5 Char"/>
    <w:basedOn w:val="DefaultParagraphFont"/>
    <w:link w:val="Heading5"/>
    <w:semiHidden/>
    <w:rPr>
      <w:rFonts w:ascii="Arial" w:eastAsia="Times New Roman" w:hAnsi="Arial" w:cs="Times New Roman"/>
      <w:szCs w:val="20"/>
      <w:lang w:val="hr-HR" w:eastAsia="hr-HR"/>
    </w:rPr>
  </w:style>
  <w:style w:type="character" w:customStyle="1" w:styleId="Heading6Char">
    <w:name w:val="Heading 6 Char"/>
    <w:basedOn w:val="DefaultParagraphFont"/>
    <w:link w:val="Heading6"/>
    <w:semiHidden/>
    <w:rPr>
      <w:rFonts w:ascii="Arial" w:eastAsia="Times New Roman" w:hAnsi="Arial" w:cs="Times New Roman"/>
      <w:szCs w:val="20"/>
      <w:lang w:val="hr-HR" w:eastAsia="hr-HR"/>
    </w:rPr>
  </w:style>
  <w:style w:type="character" w:customStyle="1" w:styleId="Heading7Char">
    <w:name w:val="Heading 7 Char"/>
    <w:basedOn w:val="DefaultParagraphFont"/>
    <w:link w:val="Heading7"/>
    <w:uiPriority w:val="99"/>
    <w:semiHidden/>
    <w:rPr>
      <w:rFonts w:ascii="Arial" w:eastAsia="Times New Roman" w:hAnsi="Arial" w:cs="Times New Roman"/>
      <w:szCs w:val="20"/>
      <w:lang w:val="hr-HR" w:eastAsia="hr-HR"/>
    </w:rPr>
  </w:style>
  <w:style w:type="character" w:customStyle="1" w:styleId="Heading8Char">
    <w:name w:val="Heading 8 Char"/>
    <w:basedOn w:val="DefaultParagraphFont"/>
    <w:link w:val="Heading8"/>
    <w:uiPriority w:val="99"/>
    <w:semiHidden/>
    <w:rPr>
      <w:rFonts w:ascii="Times" w:eastAsia="Times New Roman" w:hAnsi="Times" w:cs="Times New Roman"/>
      <w:i/>
      <w:sz w:val="20"/>
      <w:szCs w:val="20"/>
      <w:lang w:val="hr-HR" w:eastAsia="hr-HR"/>
    </w:rPr>
  </w:style>
  <w:style w:type="character" w:customStyle="1" w:styleId="Heading9Char">
    <w:name w:val="Heading 9 Char"/>
    <w:basedOn w:val="DefaultParagraphFont"/>
    <w:link w:val="Heading9"/>
    <w:uiPriority w:val="99"/>
    <w:semiHidden/>
    <w:rPr>
      <w:rFonts w:ascii="Times" w:eastAsia="Times New Roman" w:hAnsi="Times" w:cs="Times New Roman"/>
      <w:i/>
      <w:sz w:val="20"/>
      <w:szCs w:val="20"/>
      <w:lang w:val="hr-HR" w:eastAsia="hr-HR"/>
    </w:rPr>
  </w:style>
  <w:style w:type="numbering" w:styleId="ArticleSection">
    <w:name w:val="Outline List 3"/>
    <w:basedOn w:val="NoList"/>
    <w:uiPriority w:val="99"/>
    <w:semiHidden/>
    <w:unhideWhenUsed/>
    <w:pPr>
      <w:numPr>
        <w:numId w:val="10"/>
      </w:numPr>
    </w:pPr>
  </w:style>
  <w:style w:type="paragraph" w:styleId="NormalIndent">
    <w:name w:val="Normal Indent"/>
    <w:basedOn w:val="Normal"/>
    <w:uiPriority w:val="99"/>
    <w:semiHidden/>
    <w:unhideWhenUsed/>
    <w:pPr>
      <w:ind w:left="720"/>
    </w:pPr>
  </w:style>
  <w:style w:type="paragraph" w:customStyle="1" w:styleId="ListBullet1">
    <w:name w:val="List Bullet 1"/>
    <w:basedOn w:val="Normal"/>
    <w:pPr>
      <w:numPr>
        <w:numId w:val="11"/>
      </w:numPr>
    </w:pPr>
    <w:rPr>
      <w:rFonts w:eastAsia="Times New Roman"/>
      <w:szCs w:val="24"/>
    </w:rPr>
  </w:style>
  <w:style w:type="paragraph" w:customStyle="1" w:styleId="ListDash1">
    <w:name w:val="List Dash 1"/>
    <w:basedOn w:val="Normal"/>
    <w:pPr>
      <w:numPr>
        <w:numId w:val="12"/>
      </w:numPr>
    </w:pPr>
    <w:rPr>
      <w:rFonts w:eastAsia="Times New Roman"/>
      <w:szCs w:val="24"/>
    </w:rPr>
  </w:style>
  <w:style w:type="paragraph" w:customStyle="1" w:styleId="ListDash2">
    <w:name w:val="List Dash 2"/>
    <w:basedOn w:val="Normal"/>
    <w:pPr>
      <w:numPr>
        <w:numId w:val="13"/>
      </w:numPr>
    </w:pPr>
    <w:rPr>
      <w:rFonts w:eastAsia="Times New Roman"/>
      <w:szCs w:val="24"/>
    </w:rPr>
  </w:style>
  <w:style w:type="paragraph" w:customStyle="1" w:styleId="ListNumberLevel2">
    <w:name w:val="List Number (Level 2)"/>
    <w:basedOn w:val="Normal"/>
    <w:pPr>
      <w:tabs>
        <w:tab w:val="num" w:pos="1417"/>
      </w:tabs>
      <w:ind w:left="1417" w:hanging="708"/>
    </w:pPr>
    <w:rPr>
      <w:rFonts w:eastAsia="Times New Roman"/>
      <w:szCs w:val="24"/>
    </w:rPr>
  </w:style>
  <w:style w:type="paragraph" w:customStyle="1" w:styleId="ListNumberLevel3">
    <w:name w:val="List Number (Level 3)"/>
    <w:basedOn w:val="Normal"/>
    <w:pPr>
      <w:tabs>
        <w:tab w:val="num" w:pos="2126"/>
      </w:tabs>
      <w:ind w:left="2126" w:hanging="709"/>
    </w:pPr>
    <w:rPr>
      <w:rFonts w:eastAsia="Times New Roman"/>
      <w:szCs w:val="24"/>
    </w:rPr>
  </w:style>
  <w:style w:type="paragraph" w:customStyle="1" w:styleId="ListNumberLevel4">
    <w:name w:val="List Number (Level 4)"/>
    <w:basedOn w:val="Normal"/>
    <w:pPr>
      <w:tabs>
        <w:tab w:val="num" w:pos="2835"/>
      </w:tabs>
      <w:ind w:left="2835" w:hanging="709"/>
    </w:pPr>
    <w:rPr>
      <w:rFonts w:eastAsia="Times New Roman"/>
      <w:szCs w:val="24"/>
    </w:rPr>
  </w:style>
  <w:style w:type="paragraph" w:customStyle="1" w:styleId="Fichefinancirestandardtitre">
    <w:name w:val="Fiche financière (standard) titre"/>
    <w:basedOn w:val="Normal"/>
    <w:next w:val="Normal"/>
    <w:pPr>
      <w:jc w:val="center"/>
    </w:pPr>
    <w:rPr>
      <w:rFonts w:eastAsia="Times New Roman"/>
      <w:b/>
      <w:szCs w:val="24"/>
      <w:u w:val="single"/>
    </w:rPr>
  </w:style>
  <w:style w:type="character" w:customStyle="1" w:styleId="tw4winMark">
    <w:name w:val="tw4winMark"/>
    <w:rPr>
      <w:vanish/>
      <w:color w:val="800080"/>
      <w:vertAlign w:val="subscript"/>
    </w:rPr>
  </w:style>
  <w:style w:type="paragraph" w:styleId="EndnoteText">
    <w:name w:val="endnote text"/>
    <w:basedOn w:val="Normal"/>
    <w:link w:val="EndnoteTextChar"/>
    <w:pPr>
      <w:spacing w:before="0" w:after="0"/>
      <w:jc w:val="left"/>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hr-HR" w:eastAsia="hr-HR"/>
    </w:rPr>
  </w:style>
  <w:style w:type="character" w:styleId="EndnoteReference">
    <w:name w:val="endnote reference"/>
    <w:rPr>
      <w:vertAlign w:val="superscript"/>
    </w:rPr>
  </w:style>
  <w:style w:type="character" w:styleId="FollowedHyperlink">
    <w:name w:val="FollowedHyperlink"/>
    <w:uiPriority w:val="99"/>
    <w:unhideWhenUsed/>
    <w:rPr>
      <w:color w:val="800080"/>
      <w:u w:val="single"/>
    </w:rPr>
  </w:style>
  <w:style w:type="character" w:styleId="Emphasis">
    <w:name w:val="Emphasis"/>
    <w:uiPriority w:val="20"/>
    <w:qFormat/>
    <w:rPr>
      <w:b/>
      <w:bCs/>
      <w:i w:val="0"/>
      <w:iCs w:val="0"/>
    </w:rPr>
  </w:style>
  <w:style w:type="paragraph" w:styleId="PlainText">
    <w:name w:val="Plain Text"/>
    <w:basedOn w:val="Normal"/>
    <w:link w:val="PlainTextChar"/>
    <w:uiPriority w:val="99"/>
    <w:unhideWhenUsed/>
    <w:pPr>
      <w:spacing w:before="0" w:after="0"/>
      <w:jc w:val="left"/>
    </w:pPr>
    <w:rPr>
      <w:rFonts w:ascii="Consolas" w:eastAsia="Calibri" w:hAnsi="Consolas"/>
      <w:sz w:val="21"/>
      <w:szCs w:val="21"/>
    </w:rPr>
  </w:style>
  <w:style w:type="character" w:customStyle="1" w:styleId="PlainTextChar">
    <w:name w:val="Plain Text Char"/>
    <w:basedOn w:val="DefaultParagraphFont"/>
    <w:link w:val="PlainText"/>
    <w:uiPriority w:val="99"/>
    <w:rPr>
      <w:rFonts w:ascii="Consolas" w:eastAsia="Calibri" w:hAnsi="Consolas" w:cs="Times New Roman"/>
      <w:sz w:val="21"/>
      <w:szCs w:val="21"/>
      <w:lang w:val="hr-HR"/>
    </w:rPr>
  </w:style>
  <w:style w:type="paragraph" w:customStyle="1" w:styleId="Mainpara">
    <w:name w:val="Main para"/>
    <w:basedOn w:val="Normal"/>
    <w:pPr>
      <w:spacing w:before="0"/>
    </w:pPr>
    <w:rPr>
      <w:rFonts w:eastAsia="Times New Roman"/>
      <w:szCs w:val="20"/>
    </w:rPr>
  </w:style>
  <w:style w:type="character" w:styleId="PlaceholderText">
    <w:name w:val="Placeholder Text"/>
    <w:uiPriority w:val="99"/>
    <w:semiHidden/>
    <w:rPr>
      <w:color w:val="808080"/>
    </w:rPr>
  </w:style>
  <w:style w:type="character" w:customStyle="1" w:styleId="testo1">
    <w:name w:val="testo1"/>
    <w:rPr>
      <w:rFonts w:ascii="Arial" w:hAnsi="Arial" w:cs="Arial" w:hint="default"/>
      <w:strike w:val="0"/>
      <w:dstrike w:val="0"/>
      <w:color w:val="666666"/>
      <w:sz w:val="18"/>
      <w:szCs w:val="18"/>
      <w:u w:val="none"/>
      <w:effect w:val="none"/>
    </w:rPr>
  </w:style>
  <w:style w:type="character" w:styleId="Strong">
    <w:name w:val="Strong"/>
    <w:uiPriority w:val="22"/>
    <w:qFormat/>
    <w:rPr>
      <w:b/>
      <w:bCs/>
    </w:rPr>
  </w:style>
  <w:style w:type="paragraph" w:styleId="ListBullet5">
    <w:name w:val="List Bullet 5"/>
    <w:basedOn w:val="Normal"/>
    <w:autoRedefine/>
    <w:pPr>
      <w:numPr>
        <w:numId w:val="15"/>
      </w:numPr>
      <w:spacing w:before="0" w:after="240"/>
    </w:pPr>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st1">
    <w:name w:val="st1"/>
    <w:basedOn w:val="DefaultParagraphFont"/>
  </w:style>
  <w:style w:type="character" w:customStyle="1" w:styleId="CRMarker">
    <w:name w:val="CR Marker"/>
    <w:uiPriority w:val="99"/>
    <w:rPr>
      <w:rFonts w:ascii="Wingdings" w:hAnsi="Wingdings" w:cs="Wingdings"/>
    </w:rPr>
  </w:style>
  <w:style w:type="paragraph" w:customStyle="1" w:styleId="CM4">
    <w:name w:val="CM4"/>
    <w:basedOn w:val="Default"/>
    <w:next w:val="Default"/>
    <w:uiPriority w:val="99"/>
    <w:rPr>
      <w:rFonts w:ascii="EUAlbertina" w:hAnsi="EUAlbertina" w:cstheme="minorBidi"/>
      <w:color w:val="auto"/>
    </w:rPr>
  </w:style>
  <w:style w:type="character" w:customStyle="1" w:styleId="apple-converted-space">
    <w:name w:val="apple-converted-space"/>
    <w:basedOn w:val="DefaultParagraphFont"/>
  </w:style>
  <w:style w:type="paragraph" w:styleId="Header">
    <w:name w:val="header"/>
    <w:basedOn w:val="Normal"/>
    <w:link w:val="HeaderChar"/>
    <w:uiPriority w:val="99"/>
    <w:unhideWhenUsed/>
    <w:rsid w:val="00E3601E"/>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3601E"/>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3601E"/>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84743">
      <w:bodyDiv w:val="1"/>
      <w:marLeft w:val="0"/>
      <w:marRight w:val="0"/>
      <w:marTop w:val="0"/>
      <w:marBottom w:val="0"/>
      <w:divBdr>
        <w:top w:val="none" w:sz="0" w:space="0" w:color="auto"/>
        <w:left w:val="none" w:sz="0" w:space="0" w:color="auto"/>
        <w:bottom w:val="none" w:sz="0" w:space="0" w:color="auto"/>
        <w:right w:val="none" w:sz="0" w:space="0" w:color="auto"/>
      </w:divBdr>
      <w:divsChild>
        <w:div w:id="49187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820482">
              <w:marLeft w:val="0"/>
              <w:marRight w:val="0"/>
              <w:marTop w:val="0"/>
              <w:marBottom w:val="0"/>
              <w:divBdr>
                <w:top w:val="none" w:sz="0" w:space="0" w:color="auto"/>
                <w:left w:val="none" w:sz="0" w:space="0" w:color="auto"/>
                <w:bottom w:val="none" w:sz="0" w:space="0" w:color="auto"/>
                <w:right w:val="none" w:sz="0" w:space="0" w:color="auto"/>
              </w:divBdr>
              <w:divsChild>
                <w:div w:id="3771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1974">
      <w:bodyDiv w:val="1"/>
      <w:marLeft w:val="0"/>
      <w:marRight w:val="0"/>
      <w:marTop w:val="0"/>
      <w:marBottom w:val="0"/>
      <w:divBdr>
        <w:top w:val="none" w:sz="0" w:space="0" w:color="auto"/>
        <w:left w:val="none" w:sz="0" w:space="0" w:color="auto"/>
        <w:bottom w:val="none" w:sz="0" w:space="0" w:color="auto"/>
        <w:right w:val="none" w:sz="0" w:space="0" w:color="auto"/>
      </w:divBdr>
    </w:div>
    <w:div w:id="1177185929">
      <w:bodyDiv w:val="1"/>
      <w:marLeft w:val="0"/>
      <w:marRight w:val="0"/>
      <w:marTop w:val="0"/>
      <w:marBottom w:val="0"/>
      <w:divBdr>
        <w:top w:val="none" w:sz="0" w:space="0" w:color="auto"/>
        <w:left w:val="none" w:sz="0" w:space="0" w:color="auto"/>
        <w:bottom w:val="none" w:sz="0" w:space="0" w:color="auto"/>
        <w:right w:val="none" w:sz="0" w:space="0" w:color="auto"/>
      </w:divBdr>
    </w:div>
    <w:div w:id="1187058898">
      <w:bodyDiv w:val="1"/>
      <w:marLeft w:val="0"/>
      <w:marRight w:val="0"/>
      <w:marTop w:val="0"/>
      <w:marBottom w:val="0"/>
      <w:divBdr>
        <w:top w:val="none" w:sz="0" w:space="0" w:color="auto"/>
        <w:left w:val="none" w:sz="0" w:space="0" w:color="auto"/>
        <w:bottom w:val="none" w:sz="0" w:space="0" w:color="auto"/>
        <w:right w:val="none" w:sz="0" w:space="0" w:color="auto"/>
      </w:divBdr>
    </w:div>
    <w:div w:id="1211377142">
      <w:bodyDiv w:val="1"/>
      <w:marLeft w:val="0"/>
      <w:marRight w:val="0"/>
      <w:marTop w:val="0"/>
      <w:marBottom w:val="0"/>
      <w:divBdr>
        <w:top w:val="none" w:sz="0" w:space="0" w:color="auto"/>
        <w:left w:val="none" w:sz="0" w:space="0" w:color="auto"/>
        <w:bottom w:val="none" w:sz="0" w:space="0" w:color="auto"/>
        <w:right w:val="none" w:sz="0" w:space="0" w:color="auto"/>
      </w:divBdr>
    </w:div>
    <w:div w:id="1417897754">
      <w:bodyDiv w:val="1"/>
      <w:marLeft w:val="0"/>
      <w:marRight w:val="0"/>
      <w:marTop w:val="0"/>
      <w:marBottom w:val="0"/>
      <w:divBdr>
        <w:top w:val="none" w:sz="0" w:space="0" w:color="auto"/>
        <w:left w:val="none" w:sz="0" w:space="0" w:color="auto"/>
        <w:bottom w:val="none" w:sz="0" w:space="0" w:color="auto"/>
        <w:right w:val="none" w:sz="0" w:space="0" w:color="auto"/>
      </w:divBdr>
    </w:div>
    <w:div w:id="1810514879">
      <w:bodyDiv w:val="1"/>
      <w:marLeft w:val="0"/>
      <w:marRight w:val="0"/>
      <w:marTop w:val="0"/>
      <w:marBottom w:val="0"/>
      <w:divBdr>
        <w:top w:val="none" w:sz="0" w:space="0" w:color="auto"/>
        <w:left w:val="none" w:sz="0" w:space="0" w:color="auto"/>
        <w:bottom w:val="none" w:sz="0" w:space="0" w:color="auto"/>
        <w:right w:val="none" w:sz="0" w:space="0" w:color="auto"/>
      </w:divBdr>
    </w:div>
    <w:div w:id="1932201363">
      <w:bodyDiv w:val="1"/>
      <w:marLeft w:val="0"/>
      <w:marRight w:val="0"/>
      <w:marTop w:val="0"/>
      <w:marBottom w:val="0"/>
      <w:divBdr>
        <w:top w:val="none" w:sz="0" w:space="0" w:color="auto"/>
        <w:left w:val="none" w:sz="0" w:space="0" w:color="auto"/>
        <w:bottom w:val="none" w:sz="0" w:space="0" w:color="auto"/>
        <w:right w:val="none" w:sz="0" w:space="0" w:color="auto"/>
      </w:divBdr>
    </w:div>
    <w:div w:id="20272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ur-lex.europa.eu/budget/data/D2007_VOL4/EN/nmc-titleN1529D/nmc-chapterN1557F/articles/index.html" TargetMode="Externa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eur-lex.europa.eu/legal-content/EN/TXT/?uri=celex:32009R1211" TargetMode="Externa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yperlink" Target="http://eur-lex.europa.eu/legal-content/EN/TXT/?uri=celex:32009R1211"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eur-lex.europa.eu/legal-content/EN/TXT/?uri=celex:32009R1211" TargetMode="External"/><Relationship Id="rId27" Type="http://schemas.openxmlformats.org/officeDocument/2006/relationships/header" Target="header5.xml"/><Relationship Id="rId30"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oeil/popups/ficheprocedure.do?lang=en&amp;reference=2015/2147(INI)" TargetMode="External"/><Relationship Id="rId2" Type="http://schemas.openxmlformats.org/officeDocument/2006/relationships/hyperlink" Target="http://rspg-spectrum.eu/wp-content/uploads/2013/05/RSPG16-001-DSM_opinion.pdf" TargetMode="External"/><Relationship Id="rId1" Type="http://schemas.openxmlformats.org/officeDocument/2006/relationships/hyperlink" Target="http://berec.europa.eu/eng/document_register/subject_matter/berec/opinions/5577-berec-opinion-on-the-review-of-the-eu-electronic-communications-regulatory-framework" TargetMode="External"/><Relationship Id="rId5" Type="http://schemas.openxmlformats.org/officeDocument/2006/relationships/hyperlink" Target="https://ec.europa.eu/digital-single-market/en/digital-scoreboard" TargetMode="External"/><Relationship Id="rId4" Type="http://schemas.openxmlformats.org/officeDocument/2006/relationships/hyperlink" Target="http://ec.europa.eu/smart-regulation/impact/ia_carried_out/cia_2016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bc257be0-d5eb-4f72-acc9-a28f7e6f25fa" xsi:nil="true"/>
    <EC_Collab_DocumentLanguage xmlns="bc257be0-d5eb-4f72-acc9-a28f7e6f25fa">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F65168B058A774899EB229F4688081F" ma:contentTypeVersion="9" ma:contentTypeDescription="Create a new document." ma:contentTypeScope="" ma:versionID="6856da9ada1f12f76e10930093ca0912">
  <xsd:schema xmlns:xsd="http://www.w3.org/2001/XMLSchema" xmlns:xs="http://www.w3.org/2001/XMLSchema" xmlns:p="http://schemas.microsoft.com/office/2006/metadata/properties" xmlns:ns3="bc257be0-d5eb-4f72-acc9-a28f7e6f25fa" targetNamespace="http://schemas.microsoft.com/office/2006/metadata/properties" ma:root="true" ma:fieldsID="810a70e73a4944d21842648c3f3873e7" ns3:_="">
    <xsd:import namespace="bc257be0-d5eb-4f72-acc9-a28f7e6f25fa"/>
    <xsd:element name="properties">
      <xsd:complexType>
        <xsd:sequence>
          <xsd:element name="documentManagement">
            <xsd:complexType>
              <xsd:all>
                <xsd:element ref="ns3:EC_Collab_Reference" minOccurs="0"/>
                <xsd:element ref="ns3:EC_Collab_Document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57be0-d5eb-4f72-acc9-a28f7e6f25f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CF3F5-C35D-4248-815C-9BEB3F709190}">
  <ds:schemaRefs>
    <ds:schemaRef ds:uri="http://schemas.microsoft.com/sharepoint/v3/contenttype/forms"/>
  </ds:schemaRefs>
</ds:datastoreItem>
</file>

<file path=customXml/itemProps2.xml><?xml version="1.0" encoding="utf-8"?>
<ds:datastoreItem xmlns:ds="http://schemas.openxmlformats.org/officeDocument/2006/customXml" ds:itemID="{96054F61-9042-4C0C-A0A8-388F6ABB53BC}">
  <ds:schemaRefs>
    <ds:schemaRef ds:uri="http://schemas.microsoft.com/office/2006/metadata/properties"/>
    <ds:schemaRef ds:uri="http://schemas.microsoft.com/office/infopath/2007/PartnerControls"/>
    <ds:schemaRef ds:uri="bc257be0-d5eb-4f72-acc9-a28f7e6f25fa"/>
  </ds:schemaRefs>
</ds:datastoreItem>
</file>

<file path=customXml/itemProps3.xml><?xml version="1.0" encoding="utf-8"?>
<ds:datastoreItem xmlns:ds="http://schemas.openxmlformats.org/officeDocument/2006/customXml" ds:itemID="{77FC4411-4627-4146-8960-7C1FCD07D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57be0-d5eb-4f72-acc9-a28f7e6f2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1E9715-82DC-41C8-8095-1DCD6628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60</Pages>
  <Words>18445</Words>
  <Characters>115656</Characters>
  <Application>Microsoft Office Word</Application>
  <DocSecurity>0</DocSecurity>
  <Lines>2460</Lines>
  <Paragraphs>1186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PAGANELI Erifili (SG)</cp:lastModifiedBy>
  <cp:revision>19</cp:revision>
  <cp:lastPrinted>2016-09-09T08:45:00Z</cp:lastPrinted>
  <dcterms:created xsi:type="dcterms:W3CDTF">2016-10-11T14:54:00Z</dcterms:created>
  <dcterms:modified xsi:type="dcterms:W3CDTF">2016-10-12T13:24:00Z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0x010100258AA79CEB83498886A3A0868112325000FF65168B058A774899EB229F4688081F</vt:lpwstr>
  </property>
  <property fmtid="{D5CDD505-2E9C-101B-9397-08002B2CF9AE}" pid="11" name="EC_Collab_Reference">
    <vt:lpwstr/>
  </property>
  <property fmtid="{D5CDD505-2E9C-101B-9397-08002B2CF9AE}" pid="12" name="EC_Collab_DocumentLanguage">
    <vt:lpwstr>EN</vt:lpwstr>
  </property>
  <property fmtid="{D5CDD505-2E9C-101B-9397-08002B2CF9AE}" pid="13" name="DQCStatus">
    <vt:lpwstr>Yellow (DQC version 03)</vt:lpwstr>
  </property>
</Properties>
</file>