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B2456E4D29F45A3B057D97642E78166" style="width:450.75pt;height:39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Vidusjūras reģionam, kurā 180 miljoniem iedzīvotāju ūdens ir pieejams ierobežotā daudzumā, kopumā ir raksturīga pastiprināta ūdens resursu noslodze. Tādēļ tik liela nozīme ir ūdensapgādes un pārtikas sistēmu ilgtspējīgai apsaimniekošanai šajā reģionā.</w:t>
      </w:r>
    </w:p>
    <w:p>
      <w:pPr>
        <w:pBdr>
          <w:top w:val="nil"/>
          <w:left w:val="nil"/>
          <w:bottom w:val="nil"/>
          <w:right w:val="nil"/>
          <w:between w:val="nil"/>
          <w:bar w:val="nil"/>
        </w:pBdr>
        <w:spacing w:before="0" w:after="240"/>
        <w:rPr>
          <w:noProof/>
        </w:rPr>
      </w:pPr>
      <w:r>
        <w:rPr>
          <w:noProof/>
        </w:rPr>
        <w:t>Klimata pārmaiņas aizvien vairāk izraisa ievērojamu ūdens trūkumu reģionā, būtiski ietekmējot lauksaimniecību. Pieejamais ūdens lielākoties tiek izmantots apūdeņošanas vajadzībām. Tas nozīmē, ka šāda trūkuma rezultātā samazinās un kļūst nevienmērīga labības raža, radot papildu slodzi dabas resursiem un spējai nodrošināt tīru ūdeni un pieejamu pārtiku reģiona iedzīvotājiem.</w:t>
      </w:r>
    </w:p>
    <w:p>
      <w:pPr>
        <w:pBdr>
          <w:top w:val="nil"/>
          <w:left w:val="nil"/>
          <w:bottom w:val="nil"/>
          <w:right w:val="nil"/>
          <w:between w:val="nil"/>
          <w:bar w:val="nil"/>
        </w:pBdr>
        <w:spacing w:before="0" w:after="240"/>
        <w:rPr>
          <w:noProof/>
        </w:rPr>
      </w:pPr>
      <w:r>
        <w:rPr>
          <w:noProof/>
        </w:rPr>
        <w:t>Tas, savukārt, negatīvi ietekmē uzturu, veselību, iztikas līdzekļus, dzīves standartus un labklājības līmeņus. Šāda sociālā un ekonomiskā spriedze ir būtisks nestabilitātes cēlonis. Turklāt tas veicina migrāciju — gan iekšējo, liekot neskaitāmām lauku saimniecību ģimenēm pārcelties uz pilsētām, gan ārējo, liekot daļai iedzīvotāju doties migrācijā, galvenokārt uz Eiropu.</w:t>
      </w:r>
    </w:p>
    <w:p>
      <w:pPr>
        <w:pBdr>
          <w:top w:val="nil"/>
          <w:left w:val="nil"/>
          <w:bottom w:val="nil"/>
          <w:right w:val="nil"/>
          <w:between w:val="nil"/>
          <w:bar w:val="nil"/>
        </w:pBdr>
        <w:spacing w:before="0" w:after="240"/>
        <w:rPr>
          <w:noProof/>
        </w:rPr>
      </w:pPr>
      <w:r>
        <w:rPr>
          <w:noProof/>
        </w:rPr>
        <w:t xml:space="preserve">Ūdensapgādes un pārtikas sistēmu neilgtpējīgā apsaimniekošana Vidusjūras valstu reģionā ir saistīta ar vairākiem faktoriem, tostarp ar politisko nestabilitāti, klimata pārmaiņām un strauji augošo iedzīvotāju skaitu. Viens no galvenajiem tā iemesliem ir kopīgu inovatīvu risinājumu trūkums, kuri būtu pielāgoti reģiona apstākļiem un ir viegli izplatāmi reģionā. Risinājumi nav gaidāmi tāpēc, ka kopējais pētniecības un inovācijas ieguldījumu līmenis Vidusjūras reģionā neatbilst reģionālās problēmas apmēram. Turklāt ieguldījumu līmeņi katrā valstī ievērojami atšķiras. Finansējums nav vērsts uz ūdens un pārtikas problēmas risināšanu, un attiecīgajām ieinteresētajām personām, piemēram, privātajam sektoram, ne vienmēr ir pietiekami spēcīgas pētniecības un inovācijas iespējas. Papildus tam visam sadarbības centieni starp Savienības dalībvalstīm un Vidusjūras dienvidu un austrumu reģiona valstīm pētniecības un inovācijas jomā ir pārāk fragmentēti (tos galvenokārt reglamentē divpusējie nolīgumi), lai tiem būtu vērā ņemama ietekme. </w:t>
      </w:r>
    </w:p>
    <w:p>
      <w:pPr>
        <w:pBdr>
          <w:top w:val="nil"/>
          <w:left w:val="nil"/>
          <w:bottom w:val="nil"/>
          <w:right w:val="nil"/>
          <w:between w:val="nil"/>
          <w:bar w:val="nil"/>
        </w:pBdr>
        <w:spacing w:before="0" w:after="240"/>
        <w:rPr>
          <w:noProof/>
        </w:rPr>
      </w:pPr>
      <w:r>
        <w:rPr>
          <w:noProof/>
        </w:rPr>
        <w:t xml:space="preserve">Šajā saistībā un attiecībā uz migrāciju </w:t>
      </w:r>
      <w:r>
        <w:rPr>
          <w:i/>
          <w:noProof/>
        </w:rPr>
        <w:t>PRIMA</w:t>
      </w:r>
      <w:r>
        <w:rPr>
          <w:noProof/>
        </w:rPr>
        <w:t xml:space="preserve"> Kopīgās programmas iniciatīva, ko vada iesaistītās valstis no Savienības un Vidusjūras dienvidu reģiona</w:t>
      </w:r>
      <w:r>
        <w:rPr>
          <w:rStyle w:val="FootnoteReference"/>
          <w:noProof/>
        </w:rPr>
        <w:footnoteReference w:id="1"/>
      </w:r>
      <w:r>
        <w:rPr>
          <w:noProof/>
        </w:rPr>
        <w:t>, ir īpaši svarīga un būtiska. Iniciatīvā ievērota pieeja, kas ir pamatā jaunajai Migrācijas partnerībai finanšu sadarbības pastiprināšanai ar dalībvalstīm un citiem partneriem. Tā demonstrē, kādā veidā pētniecības politika var veicināt efektīvu koordināciju, piesaistot valstu budžetus un apvienojot Vidusjūras reģiona valstis kopīgo ilgtermiņa problēmu risināšanai.</w:t>
      </w:r>
    </w:p>
    <w:p>
      <w:pPr>
        <w:pBdr>
          <w:top w:val="nil"/>
          <w:left w:val="nil"/>
          <w:bottom w:val="nil"/>
          <w:right w:val="nil"/>
          <w:between w:val="nil"/>
          <w:bar w:val="nil"/>
        </w:pBdr>
        <w:spacing w:before="0" w:after="240"/>
        <w:rPr>
          <w:noProof/>
        </w:rPr>
      </w:pPr>
      <w:r>
        <w:rPr>
          <w:noProof/>
        </w:rPr>
        <w:lastRenderedPageBreak/>
        <w:t xml:space="preserve">Programmas stratēģiskais mērķis ir izstrādāt kopīgās iniciatīvas risinājumus ūdensapgādes un pārtikas sistēmu jomā, kas ir steidzami nepieciešami Vidusjūras reģionam. Sasniedzot šo stratēģisko mērķi, tiks nodrošināta efektīvāka, rentablāka un ilgtspējīgāka ūdensapgāde un pārtikas sistēmas. Šādā veidā pētniecība un inovācija varētu palīdzēt atrisināt lielākas problēmas attiecībā uz uzturu, veselību un sociālo labklājību, un galu galā palīdzētu risināt problēmas saistībā ar masu migrācijas tendencēm. Tādējādi iespējams maksimāli izmantot pētniecības un inovācijas politiku migrācijas problēmas risināšanai saskaņā ar Komisijas Paziņojumu par jauna satvara partnerībai ar trešām valstīm izveidi saskaņā ar Eiropas programmu migrācijas jomā (COM(2016)385). </w:t>
      </w:r>
    </w:p>
    <w:p>
      <w:pPr>
        <w:pStyle w:val="ManualHeading2"/>
        <w:rPr>
          <w:rFonts w:eastAsia="Arial Unicode MS"/>
          <w:noProof/>
          <w:color w:val="000000"/>
          <w:u w:color="000000"/>
          <w:bdr w:val="nil"/>
        </w:rPr>
      </w:pPr>
      <w:r>
        <w:rPr>
          <w:noProof/>
          <w:color w:val="000000"/>
          <w:u w:color="000000"/>
          <w:bdr w:val="nil"/>
        </w:rPr>
        <w:t>•</w:t>
      </w:r>
      <w:r>
        <w:rPr>
          <w:noProof/>
        </w:rPr>
        <w:tab/>
        <w:t>Institucionālais konteksts</w:t>
      </w:r>
    </w:p>
    <w:p>
      <w:pPr>
        <w:pBdr>
          <w:top w:val="nil"/>
          <w:left w:val="nil"/>
          <w:bottom w:val="nil"/>
          <w:right w:val="nil"/>
          <w:between w:val="nil"/>
          <w:bar w:val="nil"/>
        </w:pBdr>
        <w:spacing w:before="0" w:after="240"/>
        <w:rPr>
          <w:noProof/>
        </w:rPr>
      </w:pPr>
      <w:r>
        <w:rPr>
          <w:noProof/>
        </w:rPr>
        <w:t xml:space="preserve">Process, kura rezultātā tika pieņemta </w:t>
      </w:r>
      <w:r>
        <w:rPr>
          <w:i/>
          <w:noProof/>
        </w:rPr>
        <w:t>PRIMA</w:t>
      </w:r>
      <w:r>
        <w:rPr>
          <w:noProof/>
        </w:rPr>
        <w:t xml:space="preserve"> iniciatīva, tika uzsākts 2012. gadā Barselonā notikušajā Eiropas un Vidusjūras reģiona valstu konferencē par pētniecību un inovāciju. Tās mērķis ir stiprināt Eiropas un Vidusjūras reģiona valstu sadarbību pētniecības un inovācijas jomā kā daļu no ES ārpolitikas plašākiem mērķiem attiecībā uz dienvidu kaimiņvalstīm.</w:t>
      </w:r>
    </w:p>
    <w:p>
      <w:pPr>
        <w:pBdr>
          <w:top w:val="nil"/>
          <w:left w:val="nil"/>
          <w:bottom w:val="nil"/>
          <w:right w:val="nil"/>
          <w:between w:val="nil"/>
          <w:bar w:val="nil"/>
        </w:pBdr>
        <w:spacing w:before="0" w:after="240"/>
        <w:rPr>
          <w:noProof/>
        </w:rPr>
      </w:pPr>
      <w:r>
        <w:rPr>
          <w:noProof/>
        </w:rPr>
        <w:t xml:space="preserve">Vairākas Padomes prezidentūras ir uzsvērušas nepieciešamību izveidot reģionālu partnerību, lai novērstu būtiskas kopīgas problēmas, tostarp ūdens pieejamību un apsaimniekošanu, inovācijas un iestāžu sadarbību. Reģionālās partnerības pamatā ir ideja strādāt saskaņā ar līdzatbildības, savstarpējas ieinteresētības un kopēju ieguvumu principiem ilgtermiņa un strukturētā sistēmā. </w:t>
      </w:r>
    </w:p>
    <w:p>
      <w:pPr>
        <w:pBdr>
          <w:top w:val="nil"/>
          <w:left w:val="nil"/>
          <w:bottom w:val="nil"/>
          <w:right w:val="nil"/>
          <w:between w:val="nil"/>
          <w:bar w:val="nil"/>
        </w:pBdr>
        <w:spacing w:before="0" w:after="240"/>
        <w:rPr>
          <w:noProof/>
        </w:rPr>
      </w:pPr>
      <w:r>
        <w:rPr>
          <w:noProof/>
        </w:rPr>
        <w:t xml:space="preserve">Konkurences padome 2014. gada 5. decembrī aicināja Komisiju novērtēt, vai ES dalība </w:t>
      </w:r>
      <w:r>
        <w:rPr>
          <w:i/>
          <w:noProof/>
        </w:rPr>
        <w:t>PRIMA</w:t>
      </w:r>
      <w:r>
        <w:rPr>
          <w:noProof/>
        </w:rPr>
        <w:t xml:space="preserve"> Kopīgajā programmā, pamatojoties uz Līguma par Eiropas Savienības darbību (LESD) 185. pantu, būtu attaisnojama, ņemot vērā mērķu darbības jomu un nepieciešamo resursu apmēru. Savos secinājumos Padome jo īpaši atbalstīja programmas koncentrēšanu uz iniciatīvas izstrādāšanu un ieviešanu, kā arī uz integrētiem risinājumiem ūdensapgādes un pārtikas sistēmu ilgtspējīgai apsaimniekošanai Vidusjūras reģionā. Padome uzskatīja to par prioritāti, lai uzlabotu Vidusjūras reģiona valstu iedzīvotāju veselību, labklājību un sociālos un kultūras apstākļus un sekmētu ekonomikas izaugsmi.</w:t>
      </w:r>
    </w:p>
    <w:p>
      <w:pPr>
        <w:pBdr>
          <w:top w:val="nil"/>
          <w:left w:val="nil"/>
          <w:bottom w:val="nil"/>
          <w:right w:val="nil"/>
          <w:between w:val="nil"/>
          <w:bar w:val="nil"/>
        </w:pBdr>
        <w:spacing w:before="0" w:after="240"/>
        <w:rPr>
          <w:noProof/>
        </w:rPr>
      </w:pPr>
      <w:r>
        <w:rPr>
          <w:noProof/>
        </w:rPr>
        <w:t xml:space="preserve">Tādējādi dalībvalstis un Vidusjūras reģionā esošās trešās valstis 2014. gada decembrī iesniedza Komisijai priekšlikumu piedalīties </w:t>
      </w:r>
      <w:r>
        <w:rPr>
          <w:i/>
          <w:noProof/>
        </w:rPr>
        <w:t xml:space="preserve">PRIMA </w:t>
      </w:r>
      <w:r>
        <w:rPr>
          <w:noProof/>
        </w:rPr>
        <w:t>Kopīgajā programmā.</w:t>
      </w:r>
    </w:p>
    <w:p>
      <w:pPr>
        <w:pBdr>
          <w:top w:val="nil"/>
          <w:left w:val="nil"/>
          <w:bottom w:val="nil"/>
          <w:right w:val="nil"/>
          <w:between w:val="nil"/>
          <w:bar w:val="nil"/>
        </w:pBdr>
        <w:spacing w:before="0" w:after="240"/>
        <w:rPr>
          <w:rFonts w:eastAsia="Arial Unicode MS"/>
          <w:noProof/>
        </w:rPr>
      </w:pPr>
      <w:r>
        <w:rPr>
          <w:noProof/>
        </w:rPr>
        <w:t xml:space="preserve">Pamatojoties uz Konkurences padomes secinājumiem un pēc priekšlikuma formālas iesniegšanas pētniecības, zinātnes un inovāciju komisārs </w:t>
      </w:r>
      <w:r>
        <w:rPr>
          <w:i/>
          <w:noProof/>
        </w:rPr>
        <w:t>Carlos Moedas</w:t>
      </w:r>
      <w:r>
        <w:rPr>
          <w:noProof/>
        </w:rPr>
        <w:t xml:space="preserve"> lūdza Komisijas dienestus sagatavot ietekmes novērtējumu pieejamajiem politikas risinājumu, tostarp iniciatīvai, pamatojoties uz LESD 185. pantā noteikto juridisko pamatu.</w:t>
      </w:r>
    </w:p>
    <w:p>
      <w:pPr>
        <w:pStyle w:val="ManualHeading2"/>
        <w:rPr>
          <w:rFonts w:eastAsia="Arial Unicode MS"/>
          <w:noProof/>
          <w:color w:val="000000"/>
          <w:u w:color="000000"/>
          <w:bdr w:val="nil"/>
        </w:rPr>
      </w:pPr>
      <w:r>
        <w:rPr>
          <w:noProof/>
          <w:color w:val="000000"/>
          <w:u w:color="000000"/>
          <w:bdr w:val="nil"/>
        </w:rPr>
        <w:t>•</w:t>
      </w:r>
      <w:r>
        <w:rPr>
          <w:noProof/>
        </w:rPr>
        <w:tab/>
        <w:t>Saskanība ar pašreizējiem noteikumiem konkrētajā politikas jomā</w:t>
      </w:r>
    </w:p>
    <w:p>
      <w:pPr>
        <w:pBdr>
          <w:top w:val="nil"/>
          <w:left w:val="nil"/>
          <w:bottom w:val="nil"/>
          <w:right w:val="nil"/>
          <w:between w:val="nil"/>
          <w:bar w:val="nil"/>
        </w:pBdr>
        <w:spacing w:before="0" w:after="240"/>
        <w:rPr>
          <w:noProof/>
        </w:rPr>
      </w:pPr>
      <w:r>
        <w:rPr>
          <w:i/>
          <w:noProof/>
        </w:rPr>
        <w:t>PRIMA</w:t>
      </w:r>
      <w:r>
        <w:rPr>
          <w:noProof/>
        </w:rPr>
        <w:t xml:space="preserve"> Kopīgā programma atbilst institucionālajam kontekstam, kas augstākajā politiskajā līmenī uzsvēra nepieciešamību stiprināt ES sadarbību ar Vidusjūras dienvidu reģiona valstīm galvenajās ūdens resursu un pārtikas sistēmu jomās un saistītajās jomās.</w:t>
      </w:r>
    </w:p>
    <w:p>
      <w:pPr>
        <w:pBdr>
          <w:top w:val="nil"/>
          <w:left w:val="nil"/>
          <w:bottom w:val="nil"/>
          <w:right w:val="nil"/>
          <w:between w:val="nil"/>
          <w:bar w:val="nil"/>
        </w:pBdr>
        <w:spacing w:before="0" w:after="240"/>
        <w:rPr>
          <w:noProof/>
        </w:rPr>
      </w:pPr>
      <w:r>
        <w:rPr>
          <w:i/>
          <w:noProof/>
        </w:rPr>
        <w:t>PRIMA</w:t>
      </w:r>
      <w:r>
        <w:rPr>
          <w:noProof/>
        </w:rPr>
        <w:t xml:space="preserve"> iekļauj galvenos reģionālos pētniecības un inovācijas uzdevumus plašākos sociāli ekonomiskajos un ģeopolitiskajos mērķos. Tā ir paredzēta, lai papildinātu tādas nesen veiktās attiecīgās institucionālās darbības ES politikā, kas nav pētniecības un inovācijas. Tās ir turpmāk minētās darbības.</w:t>
      </w:r>
    </w:p>
    <w:p>
      <w:pPr>
        <w:pStyle w:val="ListParagraph"/>
        <w:tabs>
          <w:tab w:val="left" w:pos="851"/>
        </w:tabs>
        <w:ind w:left="426"/>
        <w:rPr>
          <w:noProof/>
        </w:rPr>
      </w:pPr>
      <w:r>
        <w:rPr>
          <w:noProof/>
        </w:rPr>
        <w:lastRenderedPageBreak/>
        <w:t>a)</w:t>
      </w:r>
      <w:r>
        <w:rPr>
          <w:noProof/>
        </w:rPr>
        <w:tab/>
        <w:t>Diplomātija ūdens jomā (Ārlietu padomes 2013. gada 22. jūlija secinājumi)</w:t>
      </w:r>
    </w:p>
    <w:p>
      <w:pPr>
        <w:pBdr>
          <w:top w:val="nil"/>
          <w:left w:val="nil"/>
          <w:bottom w:val="nil"/>
          <w:right w:val="nil"/>
          <w:between w:val="nil"/>
          <w:bar w:val="nil"/>
        </w:pBdr>
        <w:spacing w:before="0" w:after="240"/>
        <w:rPr>
          <w:noProof/>
        </w:rPr>
      </w:pPr>
      <w:r>
        <w:rPr>
          <w:noProof/>
        </w:rPr>
        <w:t>Klimata pārmaiņu un demogrāfiskās un ekonomiskās attīstības ietekme apvienojumā ar uzsvaru uz ūdens kvalitāti, pieejamību un apsaimniekošanu ir ievērojamas drošības problēmas, kas varētu izraisīt spriedzi un konfliktus par piekļuvi ūdenim. Šajā saistībā ES ir būtiska nozīme, atbalstot diplomātiju ūdens jomā visā pasaulē un robežšķērsojošajos ūdeņos Eiropā, tostarp sekmējot ūdens iniciatīvas ar ES valstīm, kaimiņvalstīm un citām valstīm, kas ir identificētas ES ūdens nodrošinājuma kartēšanas projektā.</w:t>
      </w:r>
    </w:p>
    <w:p>
      <w:pPr>
        <w:pStyle w:val="ListParagraph"/>
        <w:tabs>
          <w:tab w:val="left" w:pos="851"/>
        </w:tabs>
        <w:ind w:left="851" w:hanging="425"/>
        <w:rPr>
          <w:noProof/>
        </w:rPr>
      </w:pPr>
      <w:r>
        <w:rPr>
          <w:noProof/>
        </w:rPr>
        <w:t>b)</w:t>
      </w:r>
      <w:r>
        <w:rPr>
          <w:noProof/>
        </w:rPr>
        <w:tab/>
        <w:t>Eiropas Kaimiņattiecību politikas (EKP) pārskatīšana (Ārlietu padomes 2015. gada 14. decembra secinājumi)</w:t>
      </w:r>
    </w:p>
    <w:p>
      <w:pPr>
        <w:pBdr>
          <w:top w:val="nil"/>
          <w:left w:val="nil"/>
          <w:bottom w:val="nil"/>
          <w:right w:val="nil"/>
          <w:between w:val="nil"/>
          <w:bar w:val="nil"/>
        </w:pBdr>
        <w:spacing w:before="0" w:after="240"/>
        <w:rPr>
          <w:noProof/>
        </w:rPr>
      </w:pPr>
      <w:r>
        <w:rPr>
          <w:noProof/>
        </w:rPr>
        <w:t xml:space="preserve">Padome atzinīgi novērtēja EKP pārskatīšanu kā ES galveno politisko prioritāti turpmākajos gados. Tā ietver pētniecības un inovācijas izšķirošo nozīmi kaimiņvalstu sociāli ekonomiskajā attīstībā un palīdz kaimiņvalstīm modernizēt un dažādot savu ekonomiku, sekmējot savu dalību ES iniciatīvās. </w:t>
      </w:r>
    </w:p>
    <w:p>
      <w:pPr>
        <w:pStyle w:val="ListParagraph"/>
        <w:tabs>
          <w:tab w:val="left" w:pos="851"/>
        </w:tabs>
        <w:ind w:left="851" w:hanging="425"/>
        <w:rPr>
          <w:noProof/>
        </w:rPr>
      </w:pPr>
      <w:r>
        <w:rPr>
          <w:noProof/>
        </w:rPr>
        <w:t>c)</w:t>
      </w:r>
      <w:r>
        <w:rPr>
          <w:noProof/>
        </w:rPr>
        <w:tab/>
        <w:t>Ilgtspējīgas attīstības mērķi (Ārlietu padomes 2015. gada 26. maija secinājumi)</w:t>
      </w:r>
    </w:p>
    <w:p>
      <w:pPr>
        <w:pBdr>
          <w:top w:val="nil"/>
          <w:left w:val="nil"/>
          <w:bottom w:val="nil"/>
          <w:right w:val="nil"/>
          <w:between w:val="nil"/>
          <w:bar w:val="nil"/>
        </w:pBdr>
        <w:spacing w:before="0" w:after="240"/>
        <w:rPr>
          <w:noProof/>
        </w:rPr>
      </w:pPr>
      <w:r>
        <w:rPr>
          <w:noProof/>
        </w:rPr>
        <w:t>Ir minēta atsauce uz programmas “Apvārsnis 2020” saistībām atbalstīt ilgtspējīgu attīstību gan Savienībā, gan ar starptautiskajiem partneriem, kā arī uz nepieciešamību veicināt zinātni, tehnoloģijas un inovācijas kā daļu no kopējās pieejas pēc 2015. gada attiecībā uz nabadzības izskaušanu un ilgtspējīgas attīstības veicināšanu.</w:t>
      </w:r>
    </w:p>
    <w:p>
      <w:pPr>
        <w:pStyle w:val="ListParagraph"/>
        <w:tabs>
          <w:tab w:val="left" w:pos="851"/>
        </w:tabs>
        <w:ind w:left="851" w:hanging="425"/>
        <w:rPr>
          <w:noProof/>
        </w:rPr>
      </w:pPr>
      <w:r>
        <w:rPr>
          <w:noProof/>
        </w:rPr>
        <w:t>d)</w:t>
      </w:r>
      <w:r>
        <w:rPr>
          <w:noProof/>
        </w:rPr>
        <w:tab/>
        <w:t xml:space="preserve">Migrācija (Ārlietu padomes 2015. gada 12. oktobra un 2016. gada 17.-18. marta secinājumi) </w:t>
      </w:r>
    </w:p>
    <w:p>
      <w:pPr>
        <w:pBdr>
          <w:top w:val="nil"/>
          <w:left w:val="nil"/>
          <w:bottom w:val="nil"/>
          <w:right w:val="nil"/>
          <w:between w:val="nil"/>
          <w:bar w:val="nil"/>
        </w:pBdr>
        <w:spacing w:before="0" w:after="240"/>
        <w:rPr>
          <w:noProof/>
        </w:rPr>
      </w:pPr>
      <w:r>
        <w:rPr>
          <w:noProof/>
        </w:rPr>
        <w:t>Padome secinājumos atzīst, ka migrācijas krīzi ES un ārpus ES kaimiņvalstīm saasina nabadzība, vājā sociāli ekonomiskā attīstība un cilvēktiesību pārkāpumi, un aicina īstenot stingru ES ārējās migrācijas un patvēruma politiku. Padome turklāt no jauna apstiprināja savu apņemšanos mobilizēt visus instrumentus un politiku, lai risinātu migrācijas plūsmas pamatcēloņus, galvenokārt sociāli ekonomiskos apstākļus un klimata pārmaiņas.</w:t>
      </w:r>
    </w:p>
    <w:p>
      <w:pPr>
        <w:pStyle w:val="ListParagraph"/>
        <w:tabs>
          <w:tab w:val="left" w:pos="851"/>
        </w:tabs>
        <w:ind w:left="851" w:hanging="425"/>
        <w:rPr>
          <w:noProof/>
        </w:rPr>
      </w:pPr>
      <w:r>
        <w:rPr>
          <w:noProof/>
        </w:rPr>
        <w:t>e)</w:t>
      </w:r>
      <w:r>
        <w:rPr>
          <w:noProof/>
        </w:rPr>
        <w:tab/>
        <w:t xml:space="preserve">Eiropas klimata jomas diplomātija pēc </w:t>
      </w:r>
      <w:r>
        <w:rPr>
          <w:i/>
          <w:noProof/>
        </w:rPr>
        <w:t>COP21</w:t>
      </w:r>
      <w:r>
        <w:rPr>
          <w:noProof/>
        </w:rPr>
        <w:t xml:space="preserve"> (Ārlietu padomes 2016. gada 15. februāra secinājumi)</w:t>
      </w:r>
    </w:p>
    <w:p>
      <w:pPr>
        <w:pBdr>
          <w:top w:val="nil"/>
          <w:left w:val="nil"/>
          <w:bottom w:val="nil"/>
          <w:right w:val="nil"/>
          <w:between w:val="nil"/>
          <w:bar w:val="nil"/>
        </w:pBdr>
        <w:spacing w:before="0" w:after="240"/>
        <w:rPr>
          <w:rFonts w:eastAsia="Arial Unicode MS"/>
          <w:noProof/>
        </w:rPr>
      </w:pPr>
      <w:r>
        <w:rPr>
          <w:noProof/>
        </w:rPr>
        <w:t>Klimata jomas diplomātijas vispārējā nozīmē Padome norāda uz klimata jomas diplomātijas rīcības plāna izstrādi, tostarp uz centieniem un pasākumiem, kas vērsti uz klimata pārmaiņu, dabas resursu (tostarp ūdens), labklājības, stabilitātes un migrācijas saikni.</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rPr>
      </w:pPr>
      <w:r>
        <w:rPr>
          <w:noProof/>
        </w:rPr>
        <w:t xml:space="preserve">Mērķi atbilst problēmas definīcijai un aptver saistītās pētniecības un inovācijas problēmas, nodrošinot mijiedarbību ar Eiropas, Vidusjūras un globālo politiku. Jo īpaši </w:t>
      </w:r>
      <w:r>
        <w:rPr>
          <w:i/>
          <w:noProof/>
        </w:rPr>
        <w:t xml:space="preserve">PRIMA </w:t>
      </w:r>
      <w:r>
        <w:rPr>
          <w:noProof/>
        </w:rPr>
        <w:t xml:space="preserve">atbilst nesenajam Komisijas Paziņojumam par jauna satvara partnerībai ar trešām valstīm izveidi saskaņā ar Eiropas programmu migrācijas jomā (COM(2016)385). Tā galvenā uzmanība ir pievērsta migrācijas un piespiedu pārvietošanas pamatcēloņu risināšanai, izmantojot “visas ES politikas jomas, tostarp izglītību, pētniecību, klimata pārmaiņu, enerģētikas, vides un lauksaimniecības politiku”. Tāpat tas atbalsta jaunu sadarbības modeļu izstrādi, iesaistot privāto sektoru, inovatīvus finansēšanas mehānismus un ieguldījumus MVU un ilgtspējīgās infrastruktūrās. </w:t>
      </w:r>
    </w:p>
    <w:p>
      <w:pPr>
        <w:pBdr>
          <w:top w:val="nil"/>
          <w:left w:val="nil"/>
          <w:bottom w:val="nil"/>
          <w:right w:val="nil"/>
          <w:between w:val="nil"/>
          <w:bar w:val="nil"/>
        </w:pBdr>
        <w:spacing w:before="0" w:after="240"/>
        <w:rPr>
          <w:noProof/>
        </w:rPr>
      </w:pPr>
      <w:r>
        <w:rPr>
          <w:noProof/>
        </w:rPr>
        <w:lastRenderedPageBreak/>
        <w:t>Programmā “Apvārsnis 2020” jau noteica “Klimata rīcību, resursefektivitāti un izejvielas” un “Pārtikas nodrošinājumu, ilgtspējīgu lauksaimniecību, jūras zinātnisko un tehnisko pētniecību un bioekonomiku” kā divas prioritāras sabiedrības problēmas, kuras ir jārisina, atbalstot pētniecības un inovācijas ieguldījumus. Tāpat tas atzīst, ka šo problēmu risināšanai paredzētās pētniecības un inovācijas darbības būtu jāveic ES līmenī un ārpus tās robežām, ņemot vērā klimata un vides starptautisko un globālo raksturu, to mērogu un sarežģītību un izejvielu piegādes ķēdes starptautisko dimensiju.</w:t>
      </w:r>
    </w:p>
    <w:p>
      <w:pPr>
        <w:pBdr>
          <w:top w:val="nil"/>
          <w:left w:val="nil"/>
          <w:bottom w:val="nil"/>
          <w:right w:val="nil"/>
          <w:between w:val="nil"/>
          <w:bar w:val="nil"/>
        </w:pBdr>
        <w:spacing w:before="0" w:after="240"/>
        <w:rPr>
          <w:noProof/>
        </w:rPr>
      </w:pPr>
      <w:r>
        <w:rPr>
          <w:noProof/>
        </w:rPr>
        <w:t>Ar ūdensapgādi un pārtikas sistēmām saistītie pētniecības un inovācijas mērķi atbilst un attiecas uz turpmāk minētajām iniciatīvām.</w:t>
      </w:r>
    </w:p>
    <w:p>
      <w:pPr>
        <w:pBdr>
          <w:top w:val="nil"/>
          <w:left w:val="nil"/>
          <w:bottom w:val="nil"/>
          <w:right w:val="nil"/>
          <w:between w:val="nil"/>
          <w:bar w:val="nil"/>
        </w:pBdr>
        <w:tabs>
          <w:tab w:val="left" w:pos="284"/>
        </w:tabs>
        <w:spacing w:before="0" w:after="240"/>
        <w:rPr>
          <w:noProof/>
        </w:rPr>
      </w:pPr>
      <w:r>
        <w:rPr>
          <w:noProof/>
        </w:rPr>
        <w:t>•</w:t>
      </w:r>
      <w:r>
        <w:rPr>
          <w:noProof/>
        </w:rPr>
        <w:tab/>
        <w:t>Attīstības politikas programma pēc 2015. gada un Ilgtspējīgas attīstības mērķi.</w:t>
      </w:r>
    </w:p>
    <w:p>
      <w:pPr>
        <w:pBdr>
          <w:top w:val="nil"/>
          <w:left w:val="nil"/>
          <w:bottom w:val="nil"/>
          <w:right w:val="nil"/>
          <w:between w:val="nil"/>
          <w:bar w:val="nil"/>
        </w:pBdr>
        <w:tabs>
          <w:tab w:val="left" w:pos="284"/>
        </w:tabs>
        <w:spacing w:before="0" w:after="240"/>
        <w:ind w:left="284" w:hanging="284"/>
        <w:rPr>
          <w:noProof/>
        </w:rPr>
      </w:pPr>
      <w:r>
        <w:rPr>
          <w:noProof/>
        </w:rPr>
        <w:t>•</w:t>
      </w:r>
      <w:r>
        <w:rPr>
          <w:noProof/>
        </w:rPr>
        <w:tab/>
        <w:t>Barselonas process, kas tika uzsākts 1995. gada novembrī pēc Eiropas un Vidusjūras reģiona valstu ārlietu ministru iniciatīvas, un ar to saistītais Paziņojums “Barselonas process —</w:t>
      </w:r>
      <w:r>
        <w:rPr>
          <w:i/>
          <w:noProof/>
        </w:rPr>
        <w:t xml:space="preserve"> </w:t>
      </w:r>
      <w:r>
        <w:rPr>
          <w:noProof/>
        </w:rPr>
        <w:t>Vidusjūras reģiona valstu savienība” (COM(2008)319), ar ko tika izveidota divpusēja partnerība, koncentrējoties uz reģionāliem un starpvalstu projektiem.</w:t>
      </w:r>
    </w:p>
    <w:p>
      <w:pPr>
        <w:pBdr>
          <w:top w:val="nil"/>
          <w:left w:val="nil"/>
          <w:bottom w:val="nil"/>
          <w:right w:val="nil"/>
          <w:between w:val="nil"/>
          <w:bar w:val="nil"/>
        </w:pBdr>
        <w:tabs>
          <w:tab w:val="left" w:pos="284"/>
        </w:tabs>
        <w:spacing w:before="0" w:after="240"/>
        <w:ind w:left="284" w:hanging="284"/>
        <w:rPr>
          <w:rFonts w:eastAsia="Arial Unicode MS"/>
          <w:noProof/>
        </w:rPr>
      </w:pPr>
      <w:r>
        <w:rPr>
          <w:noProof/>
        </w:rPr>
        <w:t>•</w:t>
      </w:r>
      <w:r>
        <w:rPr>
          <w:noProof/>
        </w:rPr>
        <w:tab/>
        <w:t>Paziņojums “Uzlabot un koncentrēt ES starptautisko sadarbību pētniecībā un inovācijā.</w:t>
      </w:r>
      <w:r>
        <w:rPr>
          <w:i/>
          <w:noProof/>
        </w:rPr>
        <w:t xml:space="preserve"> </w:t>
      </w:r>
      <w:r>
        <w:rPr>
          <w:noProof/>
        </w:rPr>
        <w:t>Stratēģiska pieeja (COM(2012(497), kur īpaša uzmanība pievērsta tam, lai veicinātu integrāciju — vai saskaņošanu — ar Eiropas pētniecības telpu (EPT) kaimiņattiecību politikas jomā.</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 xml:space="preserve">Priekšlikums par </w:t>
      </w:r>
      <w:r>
        <w:rPr>
          <w:i/>
          <w:noProof/>
        </w:rPr>
        <w:t>PRIMA</w:t>
      </w:r>
      <w:r>
        <w:rPr>
          <w:noProof/>
        </w:rPr>
        <w:t xml:space="preserve"> programmu pamatojas uz LESD 185. pantu. Instruments ļauj ES, īstenojot daudzgadu pamatprogrammu, paredzēt dalību vairāku dalībvalstu īstenotajās pētniecības un attīstības programmās, vienojoties ar attiecīgo dalībvalsti, tostarp dalību šo programmu izpildes vajadzībām izveidotajās struktūrās.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noProof/>
        </w:rPr>
      </w:pPr>
      <w:r>
        <w:rPr>
          <w:i/>
          <w:noProof/>
        </w:rPr>
        <w:t>PRIMA</w:t>
      </w:r>
      <w:r>
        <w:rPr>
          <w:noProof/>
        </w:rPr>
        <w:t xml:space="preserve"> ir kopīga programma, kuras pamatā ir valstu programmas un darbības, ko īsteno iesaistītās dalībvalstis un asociētās valstis ar ES atbalstu un līdzdalību.</w:t>
      </w:r>
    </w:p>
    <w:p>
      <w:pPr>
        <w:pBdr>
          <w:top w:val="nil"/>
          <w:left w:val="nil"/>
          <w:bottom w:val="nil"/>
          <w:right w:val="nil"/>
          <w:between w:val="nil"/>
          <w:bar w:val="nil"/>
        </w:pBdr>
        <w:spacing w:before="0" w:after="240"/>
        <w:rPr>
          <w:noProof/>
        </w:rPr>
      </w:pPr>
      <w:r>
        <w:rPr>
          <w:noProof/>
        </w:rPr>
        <w:t xml:space="preserve">Komisijas priekšlikums par “Apvārsni 2020” paredz ES līdzdalību </w:t>
      </w:r>
      <w:r>
        <w:rPr>
          <w:i/>
          <w:noProof/>
        </w:rPr>
        <w:t>PRIMA</w:t>
      </w:r>
      <w:r>
        <w:rPr>
          <w:noProof/>
        </w:rPr>
        <w:t>, pamatojoties uz LESD 185. pantu. Tas ir piemērots instruments ES, lai atbalstītu iniciatīvu, jo tas ļauj nodrošināt gan valsts programmu koordināciju, gan ES dalību kopīgajā programmā.</w:t>
      </w:r>
    </w:p>
    <w:p>
      <w:pPr>
        <w:pBdr>
          <w:top w:val="nil"/>
          <w:left w:val="nil"/>
          <w:bottom w:val="nil"/>
          <w:right w:val="nil"/>
          <w:between w:val="nil"/>
          <w:bar w:val="nil"/>
        </w:pBdr>
        <w:spacing w:before="0" w:after="240"/>
        <w:rPr>
          <w:noProof/>
        </w:rPr>
      </w:pPr>
      <w:r>
        <w:rPr>
          <w:noProof/>
        </w:rPr>
        <w:t>Līdz šim izmantotās valstu, divpusējās un starpvalstu programmas pētniecības un inovācijas uzlabošanai ūdensapgādē un pārtikas sistēmās nav bijušas pietiekamas pārrobežu jautājumu risināšanai un papildu publisko un privāto ieguldījumu piesaistīšanai.</w:t>
      </w:r>
    </w:p>
    <w:p>
      <w:pPr>
        <w:pBdr>
          <w:top w:val="nil"/>
          <w:left w:val="nil"/>
          <w:bottom w:val="nil"/>
          <w:right w:val="nil"/>
          <w:between w:val="nil"/>
          <w:bar w:val="nil"/>
        </w:pBdr>
        <w:spacing w:before="0" w:after="240"/>
        <w:rPr>
          <w:noProof/>
        </w:rPr>
      </w:pPr>
      <w:r>
        <w:rPr>
          <w:noProof/>
        </w:rPr>
        <w:t>Turklāt ūdensapgādes un pārtikas sistēmu problēmas Vidusjūras valstu reģionā ir sarežģītas, savstarpēji saistītas, ar starpvalstu un daudznozaru raksturu. Tādēļ ir nepieciešami starpdisciplīnu pētniecības un integrēti risinājumi, kas ietver inovācijas. Citi faktori, piemēram, lauku kopienu sociālā uzvedība, ekonomiskie ierobežojumi vai juridisko un institucionālo sistēmu stabilitāte, arī var veicināt vispiemērotāko pasākumu pieņemšanu. Maz ticams, ka viena valsts spētu pati tikt galā ar šādu sarežģītību.</w:t>
      </w:r>
    </w:p>
    <w:p>
      <w:pPr>
        <w:pBdr>
          <w:top w:val="nil"/>
          <w:left w:val="nil"/>
          <w:bottom w:val="nil"/>
          <w:right w:val="nil"/>
          <w:between w:val="nil"/>
          <w:bar w:val="nil"/>
        </w:pBdr>
        <w:spacing w:before="0" w:after="240"/>
        <w:rPr>
          <w:noProof/>
        </w:rPr>
      </w:pPr>
      <w:r>
        <w:rPr>
          <w:noProof/>
        </w:rPr>
        <w:lastRenderedPageBreak/>
        <w:t>Pieredze ar līdzīgām 185. panta iniciatīvām liecina, ka darbība ES līmenī var nodrošināt labi koordinētu un integrētu programmu šādā veidā:</w:t>
      </w:r>
    </w:p>
    <w:p>
      <w:pPr>
        <w:pStyle w:val="ListParagraph"/>
        <w:tabs>
          <w:tab w:val="left" w:pos="851"/>
        </w:tabs>
        <w:ind w:left="851" w:hanging="425"/>
        <w:rPr>
          <w:noProof/>
        </w:rPr>
      </w:pPr>
      <w:r>
        <w:rPr>
          <w:noProof/>
        </w:rPr>
        <w:t>a)</w:t>
      </w:r>
      <w:r>
        <w:rPr>
          <w:noProof/>
        </w:rPr>
        <w:tab/>
        <w:t>sasniedzot nepieciešamo mērogu un apjomu un iegūstot resursu kritisko masu;</w:t>
      </w:r>
    </w:p>
    <w:p>
      <w:pPr>
        <w:pStyle w:val="ListParagraph"/>
        <w:tabs>
          <w:tab w:val="left" w:pos="851"/>
        </w:tabs>
        <w:ind w:left="851" w:hanging="425"/>
        <w:rPr>
          <w:noProof/>
        </w:rPr>
      </w:pPr>
      <w:r>
        <w:rPr>
          <w:noProof/>
        </w:rPr>
        <w:t>b)</w:t>
      </w:r>
      <w:r>
        <w:rPr>
          <w:noProof/>
        </w:rPr>
        <w:tab/>
        <w:t>veicinot sviras efektu un ietekmējot ES ārpolitiku un migrāciju;</w:t>
      </w:r>
    </w:p>
    <w:p>
      <w:pPr>
        <w:pStyle w:val="ListParagraph"/>
        <w:tabs>
          <w:tab w:val="left" w:pos="851"/>
        </w:tabs>
        <w:ind w:left="851" w:hanging="425"/>
        <w:rPr>
          <w:noProof/>
        </w:rPr>
      </w:pPr>
      <w:r>
        <w:rPr>
          <w:noProof/>
        </w:rPr>
        <w:t>c)</w:t>
      </w:r>
      <w:r>
        <w:rPr>
          <w:noProof/>
        </w:rPr>
        <w:tab/>
        <w:t>sekmējot globālo sadarbību un Eiropas dienvidu reģiona valstu kaimiņattiecības.</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 xml:space="preserve">Šajā priekšlikumā paredz vienīgi tos pasākumus, kas vajadzīgi minēto mērķu sasniegšanai. Līdzdalība </w:t>
      </w:r>
      <w:r>
        <w:rPr>
          <w:i/>
          <w:noProof/>
        </w:rPr>
        <w:t>PRIMA</w:t>
      </w:r>
      <w:r>
        <w:rPr>
          <w:noProof/>
        </w:rPr>
        <w:t xml:space="preserve"> notiks kompetences ietvaros, kā paredzēts LESD, un tā sekmēs un atbalstīs, tostarp finansiāli, vienīgi </w:t>
      </w:r>
      <w:r>
        <w:rPr>
          <w:i/>
          <w:noProof/>
        </w:rPr>
        <w:t>PRIMA</w:t>
      </w:r>
      <w:r>
        <w:rPr>
          <w:noProof/>
        </w:rPr>
        <w:t xml:space="preserve"> mērķu izpildi iesaistītajās valstīs. Iesaistītās valstis kopīgi strādās, lai labāk koordinētu, saskaņotu un integrētu attiecīgās valsts programmas vai pasākumus un, visbeidzot, izstrādās kopīgu ilgtermiņa stratēģiskās pētniecības programmu.</w:t>
      </w:r>
    </w:p>
    <w:p>
      <w:pPr>
        <w:pBdr>
          <w:top w:val="nil"/>
          <w:left w:val="nil"/>
          <w:bottom w:val="nil"/>
          <w:right w:val="nil"/>
          <w:between w:val="nil"/>
          <w:bar w:val="nil"/>
        </w:pBdr>
        <w:spacing w:before="0" w:after="240"/>
        <w:rPr>
          <w:rFonts w:eastAsia="Arial Unicode MS"/>
          <w:i/>
          <w:noProof/>
        </w:rPr>
      </w:pPr>
      <w:r>
        <w:rPr>
          <w:noProof/>
        </w:rPr>
        <w:t>Lūdzam skatīt arī ietekmes novērtējuma ziņojumu 6.5. nodaļā.</w:t>
      </w: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noProof/>
        </w:rPr>
      </w:pPr>
      <w:r>
        <w:rPr>
          <w:noProof/>
        </w:rPr>
        <w:t xml:space="preserve">Pēc apspriešanās ar ieinteresētajām personām gūtie secinājumi, kā arī ietekmes novērtējuma risinājumu analīze un salīdzinājums liecina par to, ka LESD 185. pants ir vispiemērotākais veids </w:t>
      </w:r>
      <w:r>
        <w:rPr>
          <w:i/>
          <w:noProof/>
        </w:rPr>
        <w:t xml:space="preserve">PRIMA </w:t>
      </w:r>
      <w:r>
        <w:rPr>
          <w:noProof/>
        </w:rPr>
        <w:t>mērķu sasniegšanai. LESD 185. pants ir arī iesaistīto valstu izvēle.</w:t>
      </w:r>
    </w:p>
    <w:p>
      <w:pPr>
        <w:pBdr>
          <w:top w:val="nil"/>
          <w:left w:val="nil"/>
          <w:bottom w:val="nil"/>
          <w:right w:val="nil"/>
          <w:between w:val="nil"/>
          <w:bar w:val="nil"/>
        </w:pBdr>
        <w:spacing w:before="0" w:after="240"/>
        <w:rPr>
          <w:noProof/>
        </w:rPr>
      </w:pPr>
      <w:r>
        <w:rPr>
          <w:noProof/>
        </w:rPr>
        <w:t xml:space="preserve">LESD 185. panta iniciatīva ir visefektīvākais un iedarbīgākais intervences veids </w:t>
      </w:r>
      <w:r>
        <w:rPr>
          <w:i/>
          <w:noProof/>
        </w:rPr>
        <w:t xml:space="preserve">PRIMA </w:t>
      </w:r>
      <w:r>
        <w:rPr>
          <w:noProof/>
        </w:rPr>
        <w:t>stratēģisko un īpašo mērķu sasniegšanai. LESD 185. panta iniciatīvai varētu būt visievērojamākais kopējais sviras efekts salīdzinājumā ar citiem instrumentiem stabilā, ilgtermiņa un integrētā veidā.</w:t>
      </w:r>
    </w:p>
    <w:p>
      <w:pPr>
        <w:pBdr>
          <w:top w:val="nil"/>
          <w:left w:val="nil"/>
          <w:bottom w:val="nil"/>
          <w:right w:val="nil"/>
          <w:between w:val="nil"/>
          <w:bar w:val="nil"/>
        </w:pBdr>
        <w:spacing w:before="0" w:after="240"/>
        <w:rPr>
          <w:noProof/>
        </w:rPr>
      </w:pPr>
      <w:r>
        <w:rPr>
          <w:noProof/>
        </w:rPr>
        <w:t>LESD 185. pants ļautu turpmāk attīstīt vienlīdzīgākas attiecības ar kaimiņvalstīm. Savienība un attiecīgās valstis kopīgi noteiks savas savstarpējās prioritātes, uzsākot jaunu sadarbības posmu saskaņā ar Eiropas Kaimiņattiecību politikas prioritātēm.</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 xml:space="preserve">Kā daļa no </w:t>
      </w:r>
      <w:r>
        <w:rPr>
          <w:i/>
          <w:noProof/>
        </w:rPr>
        <w:t>PRIMA</w:t>
      </w:r>
      <w:r>
        <w:rPr>
          <w:noProof/>
        </w:rPr>
        <w:t xml:space="preserve"> ietekmes novērtējuma tika noorganizēti divi galvenie apspriešanās pasākumi:</w:t>
      </w:r>
    </w:p>
    <w:p>
      <w:pPr>
        <w:pBdr>
          <w:top w:val="nil"/>
          <w:left w:val="nil"/>
          <w:bottom w:val="nil"/>
          <w:right w:val="nil"/>
          <w:between w:val="nil"/>
          <w:bar w:val="nil"/>
        </w:pBdr>
        <w:tabs>
          <w:tab w:val="left" w:pos="284"/>
        </w:tabs>
        <w:spacing w:before="0"/>
        <w:ind w:left="284"/>
        <w:rPr>
          <w:noProof/>
        </w:rPr>
      </w:pPr>
      <w:r>
        <w:rPr>
          <w:noProof/>
        </w:rPr>
        <w:t>•</w:t>
      </w:r>
      <w:r>
        <w:rPr>
          <w:noProof/>
        </w:rPr>
        <w:tab/>
        <w:t>12 nedēļas ilga sabiedriskā apspriešana tiešsaistē no 2016. gada 1. februāra līdz 24. aprīlim;</w:t>
      </w:r>
    </w:p>
    <w:p>
      <w:pPr>
        <w:pBdr>
          <w:top w:val="nil"/>
          <w:left w:val="nil"/>
          <w:bottom w:val="nil"/>
          <w:right w:val="nil"/>
          <w:between w:val="nil"/>
          <w:bar w:val="nil"/>
        </w:pBdr>
        <w:tabs>
          <w:tab w:val="left" w:pos="284"/>
        </w:tabs>
        <w:spacing w:before="0" w:after="240"/>
        <w:ind w:left="284"/>
        <w:rPr>
          <w:noProof/>
        </w:rPr>
      </w:pPr>
      <w:r>
        <w:rPr>
          <w:noProof/>
        </w:rPr>
        <w:t>•</w:t>
      </w:r>
      <w:r>
        <w:rPr>
          <w:noProof/>
        </w:rPr>
        <w:tab/>
        <w:t xml:space="preserve">ieinteresēto personu pasākums Maltā 2016. gada 17. martā. </w:t>
      </w:r>
    </w:p>
    <w:p>
      <w:pPr>
        <w:pBdr>
          <w:top w:val="nil"/>
          <w:left w:val="nil"/>
          <w:bottom w:val="nil"/>
          <w:right w:val="nil"/>
          <w:between w:val="nil"/>
          <w:bar w:val="nil"/>
        </w:pBdr>
        <w:spacing w:before="0" w:after="240"/>
        <w:rPr>
          <w:noProof/>
        </w:rPr>
      </w:pPr>
      <w:r>
        <w:rPr>
          <w:noProof/>
        </w:rPr>
        <w:t>Savu viedokli pauda dažādas Eiropas un Vidusjūras dienvidu reģiona valstu ieinteresētās personas no pētniecības, akadēmiskajām, rūpniecības un pilsoniskās sabiedrības aprindām. Priekšlikuma sagatavošanā tika pilnībā ņemtas vērā atbildes un ieguldījums.</w:t>
      </w:r>
    </w:p>
    <w:p>
      <w:pPr>
        <w:pBdr>
          <w:top w:val="nil"/>
          <w:left w:val="nil"/>
          <w:bottom w:val="nil"/>
          <w:right w:val="nil"/>
          <w:between w:val="nil"/>
          <w:bar w:val="nil"/>
        </w:pBdr>
        <w:spacing w:before="0" w:after="240"/>
        <w:rPr>
          <w:rFonts w:eastAsia="Arial Unicode MS"/>
          <w:noProof/>
        </w:rPr>
      </w:pPr>
      <w:r>
        <w:rPr>
          <w:noProof/>
        </w:rPr>
        <w:t>Vairākums aptaujāto ieinteresēto personu atbalstīja 185. panta risinājumu.</w:t>
      </w:r>
    </w:p>
    <w:p>
      <w:pPr>
        <w:pStyle w:val="ManualHeading2"/>
        <w:rPr>
          <w:rFonts w:eastAsia="Arial Unicode MS"/>
          <w:noProof/>
          <w:u w:color="000000"/>
          <w:bdr w:val="nil"/>
        </w:rPr>
      </w:pPr>
      <w:r>
        <w:rPr>
          <w:noProof/>
        </w:rPr>
        <w:lastRenderedPageBreak/>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Ietekmes novērtējuma atbalstam tika izveidota ārējo ekspertu grupa (</w:t>
      </w:r>
      <w:r>
        <w:rPr>
          <w:i/>
          <w:noProof/>
        </w:rPr>
        <w:t>PRIMA</w:t>
      </w:r>
      <w:r>
        <w:rPr>
          <w:noProof/>
        </w:rPr>
        <w:t xml:space="preserve"> ekspertu grupa) no Vidusjūras reģiona valstīm, ārpus Vidusjūras reģiona esošām dalībvalstīm un trešām valstīm. Grupas atzinumi tika salīdzināti ar atzinumiem no citiem avotiem (piemēram, Komisijas dienestu sagatavotais literatūras pārskats, tiešsaistes sabiedriskās apspriešanās rezultāti) un tika ņemti vērā ietekmes novērtējumā.</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Ietekmes novērtējuma laikā tika identificēti dažādie iespējamie politikas risinājumi ar atšķirīgu darbības jomu, ģeogrāfisko pārklājumu un izmantotā instrumenta veidu. Visi šie risinājumi tika izvērtēti, izmantojot instrumentu Nr. 14 no Labāka regulējuma instrumentu krājuma. Pamatojoties uz to, tika paturēti šādi politikas risinājumi.</w:t>
      </w:r>
    </w:p>
    <w:p>
      <w:pPr>
        <w:pStyle w:val="ListBullet1"/>
        <w:tabs>
          <w:tab w:val="clear" w:pos="1134"/>
          <w:tab w:val="num" w:pos="1276"/>
        </w:tabs>
        <w:ind w:left="709"/>
        <w:rPr>
          <w:noProof/>
        </w:rPr>
      </w:pPr>
      <w:r>
        <w:rPr>
          <w:noProof/>
        </w:rPr>
        <w:t>0. risinājums: nemainīta politika — pamata scenārijs — “Apvārsnis 2020” turpinās sniegt atbalstu ar ūdeni un pārtiku saistītajos jautājumos kopumā pēc vajadzības.  Maz ticams, ka tiks uzsāktas speciālās iniciatīvas ar mērķi integrēt Vidusjūras reģiona valstu pētniecības un inovācijas sistēmas. Atsevišķu darbību ilgums parasti būtu trīs līdz četri gadi, un to ietekme būtu ierobežota.</w:t>
      </w:r>
    </w:p>
    <w:p>
      <w:pPr>
        <w:pStyle w:val="ListBullet1"/>
        <w:tabs>
          <w:tab w:val="clear" w:pos="1134"/>
          <w:tab w:val="num" w:pos="1276"/>
        </w:tabs>
        <w:ind w:left="709"/>
        <w:rPr>
          <w:noProof/>
        </w:rPr>
      </w:pPr>
      <w:r>
        <w:rPr>
          <w:noProof/>
        </w:rPr>
        <w:t xml:space="preserve">1. risinājums: </w:t>
      </w:r>
      <w:r>
        <w:rPr>
          <w:i/>
          <w:noProof/>
        </w:rPr>
        <w:t xml:space="preserve">ERA-NET Cofund </w:t>
      </w:r>
      <w:r>
        <w:rPr>
          <w:noProof/>
        </w:rPr>
        <w:t xml:space="preserve">darbība — galvenais pasākums programmā “Apvārsnis 2020” ir īstenot vienu līdzfinansētu kopīgu uzaicinājumu iesniegt priekšlikumus par katru darbību, kā rezultātā tiktu nodrošināts finansējums starptautiskiem pētniecības un/ vai inovāciju projektiem. Atsevišķo darbību ilgums parasti būtu pieci gadi. Šis risinājums ietvertu virkni </w:t>
      </w:r>
      <w:r>
        <w:rPr>
          <w:i/>
          <w:noProof/>
        </w:rPr>
        <w:t>ERA-NET Cofund</w:t>
      </w:r>
      <w:r>
        <w:rPr>
          <w:noProof/>
        </w:rPr>
        <w:t xml:space="preserve"> darbību, kas būtu ierobežotas līdz pārējai programmas “Apvārsnis 2020” daļai. Tas neļautu būtiski risināt inovāciju dimensiju, jo valstu programmas, kuras sadarbotos un koordinētu savas darbības, galvenokārt koncentrētos uz sabiedrisko pētniecības iestāžu pētniecības darbībām. Paredzams, ka 1. risinājums neintegrēs valsts finansējuma programmas kopīgā stratēģiskas pētniecības programmā. </w:t>
      </w:r>
    </w:p>
    <w:p>
      <w:pPr>
        <w:pStyle w:val="ListBullet1"/>
        <w:tabs>
          <w:tab w:val="clear" w:pos="1134"/>
          <w:tab w:val="num" w:pos="1276"/>
        </w:tabs>
        <w:ind w:left="709"/>
        <w:rPr>
          <w:noProof/>
        </w:rPr>
      </w:pPr>
      <w:r>
        <w:rPr>
          <w:noProof/>
        </w:rPr>
        <w:t xml:space="preserve">2. risinājums: </w:t>
      </w:r>
      <w:r>
        <w:rPr>
          <w:i/>
          <w:noProof/>
        </w:rPr>
        <w:t>PRIMA</w:t>
      </w:r>
      <w:r>
        <w:rPr>
          <w:noProof/>
        </w:rPr>
        <w:t xml:space="preserve"> Kopīgā programma, pamatojoties uz LESD 185. pantu — tā ļauj ES paredzēt noteikumus par tās dalību vairāku dalībvalstu īstenotajās pētniecības un attīstības programmās, tostarp par tās dalību šo programmu izpildes vajadzībām izveidotajās struktūrās. Regulas par pamatprogrammu “Apvārsnis 2020” 26. pants precizē nosacījumus un kritērijus, lai identificētu un ierosinātu iniciatīvu atbilstīgi LESD 185. pantam.</w:t>
      </w:r>
    </w:p>
    <w:p>
      <w:pPr>
        <w:pBdr>
          <w:top w:val="nil"/>
          <w:left w:val="nil"/>
          <w:bottom w:val="nil"/>
          <w:right w:val="nil"/>
          <w:between w:val="nil"/>
          <w:bar w:val="nil"/>
        </w:pBdr>
        <w:spacing w:before="0" w:after="240"/>
        <w:rPr>
          <w:noProof/>
        </w:rPr>
      </w:pPr>
      <w:r>
        <w:rPr>
          <w:noProof/>
        </w:rPr>
        <w:t xml:space="preserve">Līdzās citiem kritērijiem Komisija var ierosināt 185. panta iniciatīvas tikai gadījumos, kad vajadzīga specializēta īstenošanas struktūra un kad iesaistītajās valstis ir ļoti stingri apņēmušās īstenot integrāciju zinātnes, pārvaldības un finanšu līmenī. Šis risinājums ietver visaptverošas stratēģiskās pētniecības programmas sagatavošanu un tās pilnīgu ieviešanu, izmantojot vairākus starptautiskus uzaicinājumus iesniegt priekšlikumus, ko veic vairākas iesaistītās valstis un īsteno specializēta īstenošanas struktūra (turpmāk — SĪS finansējuma struktūra). Parasti tās ir ilgtermiņa saistības (desmit gadi). ES sniegtu finansiālu atbalstu, saskaņojot to ar valstu ieguldījumiem. Šis risinājums ir vislabākais, lai panāktu konkrētus un vispārējus mērķus un īstenotu izmēģinājuma projektus un demonstrējumu pasākumus stratēģiski nozīmīgos reģionos, kas ir saistīti ar ūdensapgādi un pārtikas sistēmām. Tajā ir pilnībā ņemtas vērā visas gūtās mācības, īstenojot iepriekšējās un pašreizējo 185. panta iniciatīvu, attiecībā uz Savienības finansiālā ieguldījuma pārvaldību, ietekmes panākšanu, </w:t>
      </w:r>
      <w:r>
        <w:rPr>
          <w:noProof/>
        </w:rPr>
        <w:lastRenderedPageBreak/>
        <w:t xml:space="preserve">u.c.  Tāpat tas ir paredzēts, lai nodrošinātu pareizu finanšu pārvaldību un aizsargātu Savienības finanšu intereses, izmantojot piemērotas </w:t>
      </w:r>
      <w:r>
        <w:rPr>
          <w:i/>
          <w:noProof/>
        </w:rPr>
        <w:t>ex-ante</w:t>
      </w:r>
      <w:r>
        <w:rPr>
          <w:noProof/>
        </w:rPr>
        <w:t xml:space="preserve"> pārbaudes, finanšu pārskatus un </w:t>
      </w:r>
      <w:r>
        <w:rPr>
          <w:i/>
          <w:noProof/>
        </w:rPr>
        <w:t xml:space="preserve">ex-post </w:t>
      </w:r>
      <w:r>
        <w:rPr>
          <w:noProof/>
        </w:rPr>
        <w:t>verificēšanu.</w:t>
      </w:r>
    </w:p>
    <w:p>
      <w:pPr>
        <w:pBdr>
          <w:top w:val="nil"/>
          <w:left w:val="nil"/>
          <w:bottom w:val="nil"/>
          <w:right w:val="nil"/>
          <w:between w:val="nil"/>
          <w:bar w:val="nil"/>
        </w:pBdr>
        <w:spacing w:before="0" w:after="240"/>
        <w:rPr>
          <w:noProof/>
        </w:rPr>
      </w:pPr>
      <w:r>
        <w:rPr>
          <w:noProof/>
        </w:rPr>
        <w:t>Ņemot vērā to iespējamo ietekmi, šie risinājumi tika savstarpēji salīdzināti, izmantojot pamata scenāriju kā atsauces punktu un piemērojot turpmāk minētos kritērijus.</w:t>
      </w:r>
    </w:p>
    <w:p>
      <w:pPr>
        <w:pStyle w:val="ListBullet1"/>
        <w:tabs>
          <w:tab w:val="clear" w:pos="1134"/>
          <w:tab w:val="num" w:pos="1276"/>
        </w:tabs>
        <w:ind w:left="709"/>
        <w:rPr>
          <w:noProof/>
        </w:rPr>
      </w:pPr>
      <w:r>
        <w:rPr>
          <w:noProof/>
        </w:rPr>
        <w:t>Efektivitāte: ierosinātajiem risinājumiem būtu jāuzlabo pētniecības un inovācijas sistēma Vidusjūras reģiona valstīs ūdensapgādes un pārtikas sistēmu jomā.</w:t>
      </w:r>
    </w:p>
    <w:p>
      <w:pPr>
        <w:pStyle w:val="ListBullet1"/>
        <w:tabs>
          <w:tab w:val="clear" w:pos="1134"/>
          <w:tab w:val="num" w:pos="1276"/>
        </w:tabs>
        <w:ind w:left="709"/>
        <w:rPr>
          <w:noProof/>
        </w:rPr>
      </w:pPr>
      <w:r>
        <w:rPr>
          <w:noProof/>
        </w:rPr>
        <w:t>Lietderīgums: ierosinātajiem risinājumiem būtu jāpanāk ietekme ar vislabāko izmaksu/ ieguvumu attiecību.</w:t>
      </w:r>
    </w:p>
    <w:p>
      <w:pPr>
        <w:pStyle w:val="ListBullet1"/>
        <w:tabs>
          <w:tab w:val="clear" w:pos="1134"/>
          <w:tab w:val="num" w:pos="1276"/>
        </w:tabs>
        <w:ind w:left="709"/>
        <w:rPr>
          <w:noProof/>
        </w:rPr>
      </w:pPr>
      <w:r>
        <w:rPr>
          <w:noProof/>
        </w:rPr>
        <w:t>Atbilstība pārējiem politikas virzieniem: ierosinātajiem risinājumiem būtu jāatbilst citām ES un valstu pētniecības un inovācijas politikas virzieniem un programmām, kā arī starptautiskajai koordinācijas un sadarbības politikai.</w:t>
      </w:r>
    </w:p>
    <w:p>
      <w:pPr>
        <w:pBdr>
          <w:top w:val="nil"/>
          <w:left w:val="nil"/>
          <w:bottom w:val="nil"/>
          <w:right w:val="nil"/>
          <w:between w:val="nil"/>
          <w:bar w:val="nil"/>
        </w:pBdr>
        <w:spacing w:before="0" w:after="240"/>
        <w:rPr>
          <w:noProof/>
        </w:rPr>
      </w:pPr>
      <w:r>
        <w:rPr>
          <w:noProof/>
        </w:rPr>
        <w:t>Iepriekšējās un pašreizējā LESD 185. panta iniciatīva liecina par to, ka šādai iniciatīvai varētu būt ievērojams sviras efekts uz valsts publisko finansējumu stabilā, ilgtermiņa un integrētā veidā, palīdzot:</w:t>
      </w:r>
    </w:p>
    <w:p>
      <w:pPr>
        <w:pStyle w:val="ListBullet1"/>
        <w:tabs>
          <w:tab w:val="clear" w:pos="1134"/>
          <w:tab w:val="num" w:pos="1276"/>
        </w:tabs>
        <w:ind w:left="709"/>
        <w:rPr>
          <w:noProof/>
        </w:rPr>
      </w:pPr>
      <w:r>
        <w:rPr>
          <w:noProof/>
        </w:rPr>
        <w:t>panākt vēlamo strukturējošo ietekmi uz valsts pētniecības un inovācijas politiku un programmām un integrēt tās;</w:t>
      </w:r>
    </w:p>
    <w:p>
      <w:pPr>
        <w:pStyle w:val="ListBullet1"/>
        <w:tabs>
          <w:tab w:val="clear" w:pos="1134"/>
          <w:tab w:val="num" w:pos="1276"/>
        </w:tabs>
        <w:ind w:left="709"/>
        <w:rPr>
          <w:noProof/>
        </w:rPr>
      </w:pPr>
      <w:r>
        <w:rPr>
          <w:noProof/>
        </w:rPr>
        <w:t xml:space="preserve">formulēt stabilas, ilgtermiņa, kopīgas stratēģiskas programmas ar atbilstošu mērogu un darbības jomu; </w:t>
      </w:r>
    </w:p>
    <w:p>
      <w:pPr>
        <w:pStyle w:val="ListBullet1"/>
        <w:tabs>
          <w:tab w:val="clear" w:pos="1134"/>
          <w:tab w:val="num" w:pos="1276"/>
        </w:tabs>
        <w:ind w:left="709"/>
        <w:rPr>
          <w:noProof/>
        </w:rPr>
      </w:pPr>
      <w:r>
        <w:rPr>
          <w:noProof/>
        </w:rPr>
        <w:t xml:space="preserve">atbalstīt valsts pētniecības un inovācijas programmu saskaņošanu; </w:t>
      </w:r>
    </w:p>
    <w:p>
      <w:pPr>
        <w:pStyle w:val="ListBullet1"/>
        <w:tabs>
          <w:tab w:val="clear" w:pos="1134"/>
          <w:tab w:val="num" w:pos="1276"/>
        </w:tabs>
        <w:ind w:left="709"/>
        <w:rPr>
          <w:noProof/>
        </w:rPr>
      </w:pPr>
      <w:r>
        <w:rPr>
          <w:noProof/>
        </w:rPr>
        <w:t>veicināt partnervalstu iesaistīšanu ar līdzvērtīgiem nosacījumiem;</w:t>
      </w:r>
    </w:p>
    <w:p>
      <w:pPr>
        <w:pStyle w:val="ListBullet1"/>
        <w:tabs>
          <w:tab w:val="clear" w:pos="1134"/>
          <w:tab w:val="num" w:pos="1276"/>
        </w:tabs>
        <w:ind w:left="709"/>
        <w:rPr>
          <w:noProof/>
        </w:rPr>
      </w:pPr>
      <w:r>
        <w:rPr>
          <w:noProof/>
        </w:rPr>
        <w:t>veicināt dažādu ieinteresēto personu grupu, gan publisko, gan privāto, strukturālu iesaisti, apvienojot un piesaistot to attiecīgās zināšanas un finanšu resursus;</w:t>
      </w:r>
    </w:p>
    <w:p>
      <w:pPr>
        <w:pStyle w:val="ListBullet1"/>
        <w:tabs>
          <w:tab w:val="clear" w:pos="1134"/>
          <w:tab w:val="num" w:pos="1276"/>
        </w:tabs>
        <w:ind w:left="709"/>
        <w:rPr>
          <w:noProof/>
        </w:rPr>
      </w:pPr>
      <w:r>
        <w:rPr>
          <w:noProof/>
        </w:rPr>
        <w:t>ilgstoši stiprināt pētniecības un inovācijas spējas.</w:t>
      </w:r>
    </w:p>
    <w:p>
      <w:pPr>
        <w:pBdr>
          <w:top w:val="nil"/>
          <w:left w:val="nil"/>
          <w:bottom w:val="nil"/>
          <w:right w:val="nil"/>
          <w:between w:val="nil"/>
          <w:bar w:val="nil"/>
        </w:pBdr>
        <w:tabs>
          <w:tab w:val="left" w:pos="284"/>
        </w:tabs>
        <w:spacing w:before="0"/>
        <w:rPr>
          <w:rFonts w:eastAsia="Arial Unicode MS"/>
          <w:noProof/>
        </w:rPr>
      </w:pP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Iniciatīva atbilst ES Pamattiesību hartas 37. pantam par vides aizsardzību: “Augstam vides aizsardzības līmenim un vides kvalitātei jābūt integrētai Savienības politikā un jābūt nodrošinātai saskaņā ar ilgtspējīgas attīstības principu”.</w:t>
      </w:r>
    </w:p>
    <w:p>
      <w:pPr>
        <w:pStyle w:val="ManualHeading1"/>
        <w:rPr>
          <w:noProof/>
        </w:rPr>
      </w:pPr>
      <w:r>
        <w:rPr>
          <w:noProof/>
        </w:rPr>
        <w:t>4.</w:t>
      </w:r>
      <w:r>
        <w:rPr>
          <w:noProof/>
        </w:rPr>
        <w:tab/>
        <w:t>IETEKME UZ BUDŽETU</w:t>
      </w:r>
    </w:p>
    <w:p>
      <w:pPr>
        <w:autoSpaceDE w:val="0"/>
        <w:autoSpaceDN w:val="0"/>
        <w:rPr>
          <w:noProof/>
        </w:rPr>
      </w:pPr>
      <w:r>
        <w:rPr>
          <w:noProof/>
        </w:rPr>
        <w:t xml:space="preserve">Šim lēmumam pievienotajā tiesību akta priekšlikuma finanšu pārskatā ir izklāstīta paredzamā ietekme uz budžetu. Savienības ieguldījums ir līdz EUR 200 miljoniem </w:t>
      </w:r>
      <w:r>
        <w:rPr>
          <w:i/>
          <w:noProof/>
        </w:rPr>
        <w:t>euro</w:t>
      </w:r>
      <w:r>
        <w:rPr>
          <w:noProof/>
        </w:rPr>
        <w:t>, ieskaitot EBTA ieguldījumu. Finansējums norādīts pašreizējās cenās. ES ieguldījumu nodrošina, īstenojot pētniecības un inovācijas pamatprogrammu “Apvārsnis 2020”.</w:t>
      </w:r>
    </w:p>
    <w:p>
      <w:pPr>
        <w:pStyle w:val="Bullet0"/>
        <w:numPr>
          <w:ilvl w:val="0"/>
          <w:numId w:val="30"/>
        </w:numPr>
        <w:rPr>
          <w:noProof/>
        </w:rPr>
      </w:pPr>
      <w:r>
        <w:rPr>
          <w:noProof/>
        </w:rPr>
        <w:t>No Lauksaimniecības un lauku attīstības ģenerāldirektorāta:</w:t>
      </w:r>
    </w:p>
    <w:p>
      <w:pPr>
        <w:pStyle w:val="Tiret1"/>
        <w:numPr>
          <w:ilvl w:val="0"/>
          <w:numId w:val="29"/>
        </w:numPr>
        <w:rPr>
          <w:noProof/>
        </w:rPr>
      </w:pPr>
      <w:r>
        <w:rPr>
          <w:noProof/>
        </w:rPr>
        <w:t>Sabiedrības problēma Nr. 2 “Ar lauksaimniecību saistīta pētniecība un inovācijas — nodrošināt pietiekamu apgādi ar nekaitīgu un kvalitatīvu pārtiku”.</w:t>
      </w:r>
    </w:p>
    <w:p>
      <w:pPr>
        <w:pStyle w:val="Bullet0"/>
        <w:rPr>
          <w:noProof/>
        </w:rPr>
      </w:pPr>
      <w:r>
        <w:rPr>
          <w:noProof/>
        </w:rPr>
        <w:lastRenderedPageBreak/>
        <w:t>No RTD ĢD:</w:t>
      </w:r>
    </w:p>
    <w:p>
      <w:pPr>
        <w:pStyle w:val="Tiret1"/>
        <w:spacing w:after="0"/>
        <w:ind w:left="1418"/>
        <w:rPr>
          <w:noProof/>
        </w:rPr>
      </w:pPr>
      <w:r>
        <w:rPr>
          <w:noProof/>
        </w:rPr>
        <w:t xml:space="preserve">Sabiedrības problēma Nr. 2 “Pārtikas nodrošinājums, ilgtspējīga lauksaimniecība, jūras zinātniskā un tehniskā pētniecība un bioekonomika”; </w:t>
      </w:r>
    </w:p>
    <w:p>
      <w:pPr>
        <w:pStyle w:val="Tiret1"/>
        <w:spacing w:before="0" w:after="0"/>
        <w:ind w:left="1418"/>
        <w:rPr>
          <w:noProof/>
        </w:rPr>
      </w:pPr>
      <w:r>
        <w:rPr>
          <w:noProof/>
        </w:rPr>
        <w:t>Sabiedrības problēma Nr. 5 “Klimata rīcība, resursefektivitāte un izejvielas”;</w:t>
      </w:r>
    </w:p>
    <w:p>
      <w:pPr>
        <w:pStyle w:val="Tiret1"/>
        <w:spacing w:before="0"/>
        <w:ind w:left="1418"/>
        <w:rPr>
          <w:noProof/>
        </w:rPr>
      </w:pPr>
      <w:r>
        <w:rPr>
          <w:noProof/>
        </w:rPr>
        <w:t xml:space="preserve">Vadošā loma rūpniecībā. </w:t>
      </w:r>
    </w:p>
    <w:p>
      <w:pPr>
        <w:pBdr>
          <w:top w:val="nil"/>
          <w:left w:val="nil"/>
          <w:bottom w:val="nil"/>
          <w:right w:val="nil"/>
          <w:between w:val="nil"/>
          <w:bar w:val="nil"/>
        </w:pBdr>
        <w:spacing w:before="0" w:after="240"/>
        <w:rPr>
          <w:noProof/>
        </w:rPr>
      </w:pPr>
      <w:r>
        <w:rPr>
          <w:noProof/>
        </w:rPr>
        <w:t>Maksimālais ES ieguldījuma apmērs administratīvo izmaksu segšanai ir 5 %. Tas atbilst EUR 10 miljoniem.</w:t>
      </w:r>
    </w:p>
    <w:p>
      <w:pPr>
        <w:pBdr>
          <w:top w:val="nil"/>
          <w:left w:val="nil"/>
          <w:bottom w:val="nil"/>
          <w:right w:val="nil"/>
          <w:between w:val="nil"/>
          <w:bar w:val="nil"/>
        </w:pBdr>
        <w:spacing w:before="0" w:after="240"/>
        <w:rPr>
          <w:noProof/>
          <w:szCs w:val="24"/>
        </w:rPr>
      </w:pPr>
      <w:r>
        <w:rPr>
          <w:noProof/>
        </w:rPr>
        <w:t xml:space="preserve">ES ieguldījumu pārvaldīs </w:t>
      </w:r>
      <w:r>
        <w:rPr>
          <w:i/>
          <w:noProof/>
        </w:rPr>
        <w:t>Prima</w:t>
      </w:r>
      <w:r>
        <w:rPr>
          <w:noProof/>
        </w:rPr>
        <w:t xml:space="preserve"> īstenošanas struktūra</w:t>
      </w:r>
      <w:r>
        <w:rPr>
          <w:i/>
          <w:noProof/>
        </w:rPr>
        <w:t xml:space="preserve"> PRIMA </w:t>
      </w:r>
      <w:r>
        <w:rPr>
          <w:noProof/>
        </w:rPr>
        <w:t xml:space="preserve">ĪS (ES līdzekļu netiešā pārvaldība). Pirms līdzekļu pārvaldības deleģēšanas un līdzekļu pārskaitīšanas </w:t>
      </w:r>
      <w:r>
        <w:rPr>
          <w:i/>
          <w:noProof/>
        </w:rPr>
        <w:t xml:space="preserve">PRIMA </w:t>
      </w:r>
      <w:r>
        <w:rPr>
          <w:noProof/>
        </w:rPr>
        <w:t xml:space="preserve">ĪS tiks veikts </w:t>
      </w:r>
      <w:r>
        <w:rPr>
          <w:i/>
          <w:noProof/>
        </w:rPr>
        <w:t xml:space="preserve">ex-ante </w:t>
      </w:r>
      <w:r>
        <w:rPr>
          <w:noProof/>
        </w:rPr>
        <w:t xml:space="preserve">novērtējums saskaņā ar Finanšu regulas 61. pantā noteiktajām prasībām, lai novērtētu tās spēju īstenot programmu, tostarp saņemt, piešķirt un uzraudzīt ES finanšu ieguldījumu, izmantojot ES budžeta netiešo pārvaldību. </w:t>
      </w:r>
    </w:p>
    <w:p>
      <w:pPr>
        <w:autoSpaceDE w:val="0"/>
        <w:autoSpaceDN w:val="0"/>
        <w:adjustRightInd w:val="0"/>
        <w:spacing w:before="0" w:after="0"/>
        <w:rPr>
          <w:noProof/>
          <w:szCs w:val="24"/>
        </w:rPr>
      </w:pPr>
      <w:r>
        <w:rPr>
          <w:noProof/>
        </w:rPr>
        <w:t>Noteikumiem šajā lēmumā un deleģēšanas nolīgumā, kas jānoslēdz Komisijai un īpašajai īstenošanas struktūrai, jānodrošina ES finansiālo interešu aizsardzība. Risku par līdzekļu neatgūšanu sedz finanšu garantijas, kuras iesaistītajām valstīm būs jāsniedz laikus un ne vēlāk kā pirms deleģēšanas nolīguma parakstīšanas.</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Iesaistītās valstis uzņemas sākotnējās saistības veikt ieguldījumu </w:t>
      </w:r>
      <w:r>
        <w:rPr>
          <w:i/>
          <w:noProof/>
        </w:rPr>
        <w:t>PRIMA</w:t>
      </w:r>
      <w:r>
        <w:rPr>
          <w:noProof/>
        </w:rPr>
        <w:t xml:space="preserve">. ES saistības EUR 200 miljonu apmērā no pašreizējās daudzgadu finanšu shēmas galvenokārt tiks izmantotas, lai finansētu ar </w:t>
      </w:r>
      <w:r>
        <w:rPr>
          <w:i/>
          <w:noProof/>
        </w:rPr>
        <w:t xml:space="preserve">PRIMA </w:t>
      </w:r>
      <w:r>
        <w:rPr>
          <w:noProof/>
        </w:rPr>
        <w:t>ĪS uzaicinājumu saistītās netiešās darbības. Tās segs septiņus gada darba plānus (2018.–2024. gads), turklāt pēdējās saistības, ko Komisija uzņemsies 2020. gadā, tiks izmantotas ar 2020.–2024. gada uzaicinājumiem saistīto projektu finansēšanai. Iesaistītās valstis raksturos gada darba plānā savas darbības, kas tiek līdzfinansētas no valsts programmām un šīm darbībām atvēlētajiem attiecīgajiem budžetiem. Iesaistītās valstis ir informētas par nepieciešamību uzņemties būtiskas saistības jau pirmajos programmas īstenošanas gados un sagatavot iniciatīvu, lai līdzsvarotu stingrās sākotnējās saistības no Savienības budžeta.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ES ieguldījums katrā gada darba plānā nepārsniegs tā iesaistīto valstu saistības. Tādējādi tiek nodrošināts līdzsvars ar vismaz līdzvērtīgiem ieguldījumiem no ES finansējuma un iesaistītajām valstīm. Tas ļauj izveidot mehānismu, lai samazinātu ES saistības, ja iesaistītās valstis neuzņemas saistības saskaņā ar iepriekš paredzēto.</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rPr>
        <w:t>Turklāt tiesību akta priekšlikumā kā ES finanšu ieguldījuma nosacījums ir paredzēts Komisijas novērtējums par saistībām, ko iesaistītās valstis ir uzņēmušās pirmajos divos gada darba plānos. Pēc šā novērtējuma var tikt pārskatīts ES maksimālais ieguldījums saskaņā ar piemērojamajiem aizsardzības pasākumiem attiecībā uz ES finanšu ieguldījuma izbeigšanu, samazināšanu vai apturēšanu, nosakot, ka “</w:t>
      </w:r>
      <w:r>
        <w:rPr>
          <w:i/>
          <w:noProof/>
        </w:rPr>
        <w:t>Ja iesaistītās valstis neveic ieguldījumu PRIMA finansēšanā, vai veic to tikai daļēji vai novēloti, Komisija var izbeigt, proporcionāli samazināt vai apturēt Savienības finanšu ieguldījumu, ņemot vērā iesaistīto valstu piešķirto finansējumu PRIMA īstenošanai</w:t>
      </w:r>
      <w:r>
        <w:rPr>
          <w:noProof/>
        </w:rPr>
        <w:t>”.</w:t>
      </w:r>
    </w:p>
    <w:p>
      <w:pPr>
        <w:pStyle w:val="ManualHeading1"/>
        <w:rPr>
          <w:noProof/>
        </w:rPr>
      </w:pPr>
      <w:r>
        <w:rPr>
          <w:noProof/>
        </w:rPr>
        <w:lastRenderedPageBreak/>
        <w:t>5.</w:t>
      </w:r>
      <w:r>
        <w:rPr>
          <w:noProof/>
        </w:rPr>
        <w:tab/>
        <w:t>CITI ELEMENTI</w:t>
      </w:r>
    </w:p>
    <w:p>
      <w:pPr>
        <w:pStyle w:val="ManualHeading2"/>
        <w:rPr>
          <w:rFonts w:eastAsia="Arial Unicode MS"/>
          <w:noProof/>
          <w:u w:color="000000"/>
          <w:bdr w:val="nil"/>
        </w:rPr>
      </w:pPr>
      <w:r>
        <w:rPr>
          <w:noProof/>
        </w:rPr>
        <w:t>•</w:t>
      </w:r>
      <w:r>
        <w:rPr>
          <w:noProof/>
        </w:rPr>
        <w:tab/>
        <w:t>Gada darba plāni un uzraudzības, izvērtēšanas un ziņošanas kārtība</w:t>
      </w:r>
    </w:p>
    <w:p>
      <w:pPr>
        <w:pBdr>
          <w:top w:val="nil"/>
          <w:left w:val="nil"/>
          <w:bottom w:val="nil"/>
          <w:right w:val="nil"/>
          <w:between w:val="nil"/>
          <w:bar w:val="nil"/>
        </w:pBdr>
        <w:spacing w:before="0" w:after="240"/>
        <w:rPr>
          <w:noProof/>
        </w:rPr>
      </w:pPr>
      <w:r>
        <w:rPr>
          <w:i/>
          <w:noProof/>
        </w:rPr>
        <w:t xml:space="preserve">PRIMA </w:t>
      </w:r>
      <w:r>
        <w:rPr>
          <w:noProof/>
        </w:rPr>
        <w:t xml:space="preserve">gada darba plāni (GDP) nodrošinās visu darbību saskaņotību un koordinēšanu un to virzību uz </w:t>
      </w:r>
      <w:r>
        <w:rPr>
          <w:i/>
          <w:noProof/>
        </w:rPr>
        <w:t>PRIMA</w:t>
      </w:r>
      <w:r>
        <w:rPr>
          <w:noProof/>
        </w:rPr>
        <w:t xml:space="preserve"> darbības, konkrēto un vispārīgo mērķu sasniegšanu. GDP, kam nepieciešams Komisijas apstiprinājums, ietvers: </w:t>
      </w:r>
    </w:p>
    <w:p>
      <w:pPr>
        <w:pBdr>
          <w:top w:val="nil"/>
          <w:left w:val="nil"/>
          <w:bottom w:val="nil"/>
          <w:right w:val="nil"/>
          <w:between w:val="nil"/>
          <w:bar w:val="nil"/>
        </w:pBdr>
        <w:spacing w:before="0" w:after="240"/>
        <w:rPr>
          <w:noProof/>
        </w:rPr>
      </w:pPr>
      <w:r>
        <w:rPr>
          <w:noProof/>
        </w:rPr>
        <w:t xml:space="preserve">- Starptautiskus uzaicinājumus iesniegt priekšlikumus, kurus finansēs </w:t>
      </w:r>
      <w:r>
        <w:rPr>
          <w:i/>
          <w:noProof/>
        </w:rPr>
        <w:t xml:space="preserve">PRIMA </w:t>
      </w:r>
      <w:r>
        <w:rPr>
          <w:noProof/>
        </w:rPr>
        <w:t>ĪS ar ES ieguldījumu saskaņā ar programmas “Apvārsnis 2020” dalības noteikumiem;</w:t>
      </w:r>
    </w:p>
    <w:p>
      <w:pPr>
        <w:pBdr>
          <w:top w:val="nil"/>
          <w:left w:val="nil"/>
          <w:bottom w:val="nil"/>
          <w:right w:val="nil"/>
          <w:between w:val="nil"/>
          <w:bar w:val="nil"/>
        </w:pBdr>
        <w:spacing w:before="0" w:after="240"/>
        <w:rPr>
          <w:noProof/>
        </w:rPr>
      </w:pPr>
      <w:r>
        <w:rPr>
          <w:noProof/>
        </w:rPr>
        <w:t xml:space="preserve">- Darbības, ko finansēs tikai iesaistītās valstis un kuras tiks uzskatītas par līdzvērtīgām Savienības ieguldījumam zināmos apstākļos. Proti, šīs darbības tiks iekļautas GDP pēc tam, kad tās būs saņēmušas pozitīvu ārējo novērtējumu starptautiskā salīdzinošā novērtējumā attiecībā uz </w:t>
      </w:r>
      <w:r>
        <w:rPr>
          <w:i/>
          <w:noProof/>
        </w:rPr>
        <w:t xml:space="preserve">PRIMA </w:t>
      </w:r>
      <w:r>
        <w:rPr>
          <w:noProof/>
        </w:rPr>
        <w:t xml:space="preserve">Kopīgās programmas mērķiem. Tās tiks īstenotas saskaņā ar kopējiem principiem, par kuriem jāvienojas iesaistītajām valstīm un Komisijai. Šīs darbības ietvers uzaicinājumus, kas ir kopīgi iesaistīto valstu programmām starptautisku projektu īstenošanai, ko organizē </w:t>
      </w:r>
      <w:r>
        <w:rPr>
          <w:i/>
          <w:noProof/>
        </w:rPr>
        <w:t xml:space="preserve">PRIMA </w:t>
      </w:r>
      <w:r>
        <w:rPr>
          <w:noProof/>
        </w:rPr>
        <w:t>ĪS (tostarp priekšlikumu novērtējumus). Darbības būtu aizvien vairāk jāvērš arī uz augstākajiem tehnoloģiju gatavības līmeņiem, kā definēts “Apvāršņa 2020” darba programmu vispārīgajos pielikumos</w:t>
      </w:r>
      <w:r>
        <w:rPr>
          <w:rStyle w:val="FootnoteReference"/>
          <w:noProof/>
        </w:rPr>
        <w:footnoteReference w:id="2"/>
      </w:r>
      <w:r>
        <w:rPr>
          <w:noProof/>
        </w:rPr>
        <w:t>.</w:t>
      </w:r>
    </w:p>
    <w:p>
      <w:pPr>
        <w:pBdr>
          <w:top w:val="nil"/>
          <w:left w:val="nil"/>
          <w:bottom w:val="nil"/>
          <w:right w:val="nil"/>
          <w:between w:val="nil"/>
          <w:bar w:val="nil"/>
        </w:pBdr>
        <w:spacing w:before="0" w:after="240"/>
        <w:rPr>
          <w:noProof/>
          <w:szCs w:val="24"/>
        </w:rPr>
      </w:pPr>
      <w:r>
        <w:rPr>
          <w:i/>
          <w:noProof/>
        </w:rPr>
        <w:t xml:space="preserve">PRIMA </w:t>
      </w:r>
      <w:r>
        <w:rPr>
          <w:noProof/>
        </w:rPr>
        <w:t>ĪS gada pārskati ietvers abas jomas. Tas ļauj Komisijas dienestiem veikt ciešu uzraudzību un atvieglos korektīvu pasākumu veikšanu, ja tādi ir nepieciešami, jo īpaši, samazinot ES saistības attiecībā uz atsevišķiem gada darba plāniem, ja iesaistīto valstu īstenotās darbības nesaglabā nepieciešamo saistību līmeni, kas atbilst ES saistību līmenim.</w:t>
      </w:r>
    </w:p>
    <w:p>
      <w:pPr>
        <w:pBdr>
          <w:top w:val="nil"/>
          <w:left w:val="nil"/>
          <w:bottom w:val="nil"/>
          <w:right w:val="nil"/>
          <w:between w:val="nil"/>
          <w:bar w:val="nil"/>
        </w:pBdr>
        <w:spacing w:before="0" w:after="240"/>
        <w:rPr>
          <w:noProof/>
        </w:rPr>
      </w:pPr>
      <w:r>
        <w:rPr>
          <w:noProof/>
        </w:rPr>
        <w:t xml:space="preserve">Pētniecības un inovāciju ģenerāldirektorāts ir pieņēmis standarta uzraudzības pasākumus LESD 185. panta iniciatīvām. Šie pasākumi attieksies arī uz </w:t>
      </w:r>
      <w:r>
        <w:rPr>
          <w:i/>
          <w:noProof/>
        </w:rPr>
        <w:t>PRIMA</w:t>
      </w:r>
      <w:r>
        <w:rPr>
          <w:noProof/>
        </w:rPr>
        <w:t xml:space="preserve"> Kopīgo programmu. To efektivitāte būtu jānovērtē gan programmas līmenī (koncentrējoties uz to, vai ir sasniegti vispārējie mērķi), gan valsts līmenī (koncentrējoties uz atsevišķu valstu mērķiem).</w:t>
      </w:r>
    </w:p>
    <w:p>
      <w:pPr>
        <w:pBdr>
          <w:top w:val="nil"/>
          <w:left w:val="nil"/>
          <w:bottom w:val="nil"/>
          <w:right w:val="nil"/>
          <w:between w:val="nil"/>
          <w:bar w:val="nil"/>
        </w:pBdr>
        <w:spacing w:before="0" w:after="240"/>
        <w:rPr>
          <w:noProof/>
        </w:rPr>
      </w:pPr>
      <w:r>
        <w:rPr>
          <w:noProof/>
        </w:rPr>
        <w:t xml:space="preserve">Komisijas dienestu, </w:t>
      </w:r>
      <w:r>
        <w:rPr>
          <w:i/>
          <w:noProof/>
        </w:rPr>
        <w:t xml:space="preserve">PRIMA </w:t>
      </w:r>
      <w:r>
        <w:rPr>
          <w:noProof/>
        </w:rPr>
        <w:t xml:space="preserve">ĪS un iesaistīto valstu atbildība attiecībā uz uzraudzību un revīzijas mehānismiem ir skaidri definēta pamataktā. Sīkāks to izklāsts būs ietverts deleģēšanas nolīgumā starp Komisiju un </w:t>
      </w:r>
      <w:r>
        <w:rPr>
          <w:i/>
          <w:noProof/>
        </w:rPr>
        <w:t xml:space="preserve">PRIMA </w:t>
      </w:r>
      <w:r>
        <w:rPr>
          <w:noProof/>
        </w:rPr>
        <w:t>ĪS.</w:t>
      </w:r>
    </w:p>
    <w:p>
      <w:pPr>
        <w:pBdr>
          <w:top w:val="nil"/>
          <w:left w:val="nil"/>
          <w:bottom w:val="nil"/>
          <w:right w:val="nil"/>
          <w:between w:val="nil"/>
          <w:bar w:val="nil"/>
        </w:pBdr>
        <w:spacing w:before="0" w:after="240"/>
        <w:rPr>
          <w:noProof/>
        </w:rPr>
      </w:pPr>
      <w:r>
        <w:rPr>
          <w:noProof/>
        </w:rPr>
        <w:t>Ir paredzēts veikt pagaidu un galīgo neatkarīgo novērtējumu.</w:t>
      </w:r>
    </w:p>
    <w:p>
      <w:pPr>
        <w:pBdr>
          <w:top w:val="nil"/>
          <w:left w:val="nil"/>
          <w:bottom w:val="nil"/>
          <w:right w:val="nil"/>
          <w:between w:val="nil"/>
          <w:bar w:val="nil"/>
        </w:pBdr>
        <w:spacing w:before="0" w:after="240"/>
        <w:rPr>
          <w:rFonts w:eastAsia="Arial Unicode MS"/>
          <w:noProof/>
        </w:rPr>
      </w:pPr>
      <w:r>
        <w:rPr>
          <w:noProof/>
        </w:rPr>
        <w:t>Tāpat Komisija nodrošinās, ka visās darbībās, kas veiktas un atbalstītas, īstenojot iniciatīvu, tiek ievērota ES Pamattiesību harta.</w:t>
      </w:r>
    </w:p>
    <w:p>
      <w:pPr>
        <w:pStyle w:val="ManualHeading2"/>
        <w:rPr>
          <w:rFonts w:eastAsia="Arial Unicode MS"/>
          <w:noProof/>
          <w:u w:color="000000"/>
          <w:bdr w:val="nil"/>
        </w:rPr>
      </w:pPr>
      <w:r>
        <w:rPr>
          <w:noProof/>
        </w:rPr>
        <w:t>•</w:t>
      </w:r>
      <w:r>
        <w:rPr>
          <w:noProof/>
        </w:rPr>
        <w:tab/>
        <w:t>Atkāpes no “Apvārsnis 2020” dalības noteikumiem</w:t>
      </w:r>
    </w:p>
    <w:p>
      <w:pPr>
        <w:pBdr>
          <w:top w:val="nil"/>
          <w:left w:val="nil"/>
          <w:bottom w:val="nil"/>
          <w:right w:val="nil"/>
          <w:between w:val="nil"/>
          <w:bar w:val="nil"/>
        </w:pBdr>
        <w:spacing w:before="0" w:after="240"/>
        <w:rPr>
          <w:noProof/>
        </w:rPr>
      </w:pPr>
      <w:r>
        <w:rPr>
          <w:noProof/>
        </w:rPr>
        <w:t xml:space="preserve">Izvēlētā pieeja 185. panta </w:t>
      </w:r>
      <w:r>
        <w:rPr>
          <w:i/>
          <w:noProof/>
        </w:rPr>
        <w:t>PRIMA</w:t>
      </w:r>
      <w:r>
        <w:rPr>
          <w:noProof/>
        </w:rPr>
        <w:t xml:space="preserve"> risinājumam paredz tikai nelielas atkāpes no “Apvārsnis 2020” dalības noteikumiem. Lai nodrošinātu līdzsvarotu pamatdalību netiešajās darbībās ziemeļu-dienvidu konfigurācijā, atkāpjoties no Regulas (ES) Nr. 1290/2013 9. panta 1. punkta b) apakšpunkta, darbībā jāpiedalās vismaz trīs tiesību subjektiem, kuri veic uzņēmējdarbību trīs dažādās iesaistītajās valstīs un no kuriem viens veic uzņēmējdarbību dalībvalstī vai programmas “Apvārsnis 2020” asociētā valstī un viens — trešā valstī, kas ir vai nav programmas “Apvārsnis 2020” asociētā valsts. Atkāpe no Regulas (ES) Nr. 1290/2013 </w:t>
      </w:r>
      <w:r>
        <w:rPr>
          <w:noProof/>
        </w:rPr>
        <w:lastRenderedPageBreak/>
        <w:t xml:space="preserve">9. panta 3. punkta ir nepieciešama, lai nodrošinātu, ka minimālais atbilstības nosacījums par dalību netiešajās darbībās ar minimālo nosacījumu par viena tiesību subjekta dalību nediskriminē tos subjektus, kas veic uzņēmējdarbību trešās valstīs, kuras piedalās </w:t>
      </w:r>
      <w:r>
        <w:rPr>
          <w:i/>
          <w:noProof/>
        </w:rPr>
        <w:t>PRIMA</w:t>
      </w:r>
      <w:r>
        <w:rPr>
          <w:noProof/>
        </w:rPr>
        <w:t xml:space="preserve"> kā iesaistītās valstis. Tas būtu piemērojams tikai izņēmuma gadījumos, kad uzaicinājumi iesniegt priekšlikumus gada darba plānā ietver viena saņēmēja darbības, un pēc apstiprinājuma saņemšanas no Komisijas. Atkāpes no 12. panta Regulā (ES) Nr. 1290/2013 ir nepieciešamas, lai paplašinātu sadarbību ar kopīgiem uzaicinājumiem, ko iesniedz PRIMA Īstenošanas struktūra ar tiesību subjektiem, kas nav trešās valstis un starptautiskas organizācijas.</w:t>
      </w:r>
    </w:p>
    <w:p>
      <w:pPr>
        <w:pStyle w:val="Statu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2016/0325 (COD)</w:t>
      </w: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 xml:space="preserve">par Savienības dalību </w:t>
      </w:r>
      <w:r>
        <w:rPr>
          <w:noProof/>
        </w:rPr>
        <w:br/>
        <w:t>partnerībā pētniecības un inovācijas jomā Vidusjūras reģionā (</w:t>
      </w:r>
      <w:r>
        <w:rPr>
          <w:i/>
          <w:noProof/>
        </w:rPr>
        <w:t>PRIMA</w:t>
      </w:r>
      <w:r>
        <w:rPr>
          <w:noProof/>
        </w:rPr>
        <w:t xml:space="preserve">), </w:t>
      </w:r>
      <w:r>
        <w:rPr>
          <w:noProof/>
        </w:rPr>
        <w:br/>
        <w:t>ko kopīgi īsteno vairākas dalībvalstis</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185. pantu un 188. panta otro daļu,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3"/>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Komisija savā 2010. gada 3. marta paziņojumā “Eiropa 2020 — stratēģija gudrai, ilgtspējīgai un integrējošai izaugsmei” uzsver vajadzību radīt labus apstākļus ieguldījumiem zināšanās un inovācijā, lai panāktu gudru, ilgtspējīgu un integrējošu izaugsmi Savienībā. Eiropas Parlaments un Padome ir pauduši atbalstu minētajai stratēģijai.</w:t>
      </w:r>
    </w:p>
    <w:p>
      <w:pPr>
        <w:pStyle w:val="ManualConsidrant"/>
        <w:rPr>
          <w:noProof/>
        </w:rPr>
      </w:pPr>
      <w:r>
        <w:t>(2)</w:t>
      </w:r>
      <w:r>
        <w:tab/>
      </w:r>
      <w:r>
        <w:rPr>
          <w:noProof/>
        </w:rPr>
        <w:t>Ar Eiropas Parlamenta un Padomes Regulu (ES) Nr. 1291/2013</w:t>
      </w:r>
      <w:r>
        <w:rPr>
          <w:rStyle w:val="FootnoteReference"/>
          <w:noProof/>
        </w:rPr>
        <w:footnoteReference w:id="4"/>
      </w:r>
      <w:r>
        <w:rPr>
          <w:noProof/>
        </w:rPr>
        <w:t xml:space="preserve"> tika izveidots “Apvārsnis 2020” – Pētniecības un inovāciju pamatprogramma (2014–2020. gads) (“Apvārsnis 2020”). “Apvāršņa 2020” mērķis ir panākt lielāku ietekmi uz pētniecību un inovācijām, stiprinot publiskā-publiskā sektora partnerības, tostarp izmantojot Savienības dalību programmās, ko īsteno vairākas dalībvalstis. </w:t>
      </w:r>
    </w:p>
    <w:p>
      <w:pPr>
        <w:pStyle w:val="ManualConsidrant"/>
        <w:rPr>
          <w:noProof/>
        </w:rPr>
      </w:pPr>
      <w:r>
        <w:t>(3)</w:t>
      </w:r>
      <w:r>
        <w:tab/>
      </w:r>
      <w:r>
        <w:rPr>
          <w:noProof/>
        </w:rPr>
        <w:t>Ar publiskā–publiskā sektora partnerībām būtu jācenšas attīstīt ciešākas sinerģijas, palielināt koordināciju un izvairīties no nevajadzīgas dublēšanās ar Savienības, starptautiskām, valstu un reģionālām pētniecības programmām un tām pilnībā būtu jāievēro “Apvāršņa 2020” vispārīgie principi, jo īpaši attiecībā uz atvērtību un pārredzamību.</w:t>
      </w:r>
    </w:p>
    <w:p>
      <w:pPr>
        <w:pStyle w:val="ManualConsidrant"/>
        <w:rPr>
          <w:noProof/>
        </w:rPr>
      </w:pPr>
      <w:r>
        <w:t>(4)</w:t>
      </w:r>
      <w:r>
        <w:tab/>
      </w:r>
      <w:r>
        <w:rPr>
          <w:noProof/>
        </w:rPr>
        <w:t xml:space="preserve">Regulā (ES) Nr. 1291/2013 “Klimata politika, resursefektivitāte un izejvielas” un “Pārtikas nodrošinājums, ilgtspējīga lauksaimniecība un mežsaimniecība, jūras un jūrlietu, kā arī iekšzemes ūdeņu pētniecība, un bioekonomika” ir noteiktas kā divas prioritāras sabiedrības problēmas, kas ir jārisina, atbalstot ieguldījumus pētniecībā un inovācijās. Turklāt Regulā (ES) Nr. 1291/2013 tiek atzīts, ka šo problēmu risināšanai </w:t>
      </w:r>
      <w:r>
        <w:rPr>
          <w:noProof/>
        </w:rPr>
        <w:lastRenderedPageBreak/>
        <w:t>paredzētās pētniecības un inovāciju darbības būtu jāveic Savienības līmenī un ārpus tās, ņemot vērā klimata un vides jautājumu starptautisko un globālo raksturu, mērogu un sarežģītību un pārtikas un lauksaimniecības produktu piegādes ķēdes starptautisko dimensiju.</w:t>
      </w:r>
    </w:p>
    <w:p>
      <w:pPr>
        <w:pStyle w:val="ManualConsidrant"/>
        <w:rPr>
          <w:noProof/>
        </w:rPr>
      </w:pPr>
      <w:r>
        <w:t>(5)</w:t>
      </w:r>
      <w:r>
        <w:tab/>
      </w:r>
      <w:r>
        <w:rPr>
          <w:noProof/>
        </w:rPr>
        <w:t xml:space="preserve">Regulā (ES) Nr. 1291/2013 tāpat tiek atzīta nepieciešamība pēc starptautiskas sadarbības ar trešām valstīm, lai efektīvi risinātu kopīgās problēmas. Starptautiskā sadarbība pētniecības un inovācijas jomā ir būtisks Savienības globālo saistību aspekts, un tai ir svarīga nozīme Savienības partnerībā ar kaimiņvalstīm. Šī sadarbība balstās uz Eiropas kaimiņattiecību politikā izmantoto pieeju, lai diferencētu sadarbības līmeni ar katru kaimiņos esošo valsti, pamatojoties uz tās saistībām attiecībā uz Savienību. </w:t>
      </w:r>
    </w:p>
    <w:p>
      <w:pPr>
        <w:pStyle w:val="ManualConsidrant"/>
        <w:rPr>
          <w:noProof/>
        </w:rPr>
      </w:pPr>
      <w:r>
        <w:t>(6)</w:t>
      </w:r>
      <w:r>
        <w:tab/>
      </w:r>
      <w:r>
        <w:rPr>
          <w:noProof/>
        </w:rPr>
        <w:t xml:space="preserve">Komisija savā 2016. gada 7. jūnija Paziņojumā par jauna satvara partnerībai ar trešām valstīm izveidi saskaņā ar Eiropas programmu migrācijas jomā uzsvēra nepieciešamību iesaistīta visas politikas, tostarp pētniecību un inovāciju, lai novērstu migrācijas pamatcēloņus ar jaunu sadarbības modeli, iesaistot privātos investorus, piesaistot ierobežotajiem budžeta līdzekļiem papildu finansējumu un koncentrējoties uz MVU un ilgtspējīgu infrastruktūru. </w:t>
      </w:r>
    </w:p>
    <w:p>
      <w:pPr>
        <w:pStyle w:val="ManualConsidrant"/>
        <w:rPr>
          <w:noProof/>
        </w:rPr>
      </w:pPr>
      <w:r>
        <w:t>(7)</w:t>
      </w:r>
      <w:r>
        <w:tab/>
      </w:r>
      <w:r>
        <w:rPr>
          <w:noProof/>
        </w:rPr>
        <w:t>2014. gada 23. decembrī 19 Vidusjūras reģiona valstu grupa iesniedza Komisijai priekšlikumu par kopīgas programmas iniciatīvu “Partnerība pētniecības un inovāciju jomā Vidusjūras reģionā” (</w:t>
      </w:r>
      <w:r>
        <w:rPr>
          <w:i/>
          <w:noProof/>
        </w:rPr>
        <w:t>PRIMA</w:t>
      </w:r>
      <w:r>
        <w:rPr>
          <w:noProof/>
        </w:rPr>
        <w:t xml:space="preserve">). 14 no šīm valstīm piekrita kopīgi uzsākt </w:t>
      </w:r>
      <w:r>
        <w:rPr>
          <w:i/>
          <w:noProof/>
        </w:rPr>
        <w:t>PRIMA</w:t>
      </w:r>
      <w:r>
        <w:rPr>
          <w:noProof/>
        </w:rPr>
        <w:t xml:space="preserve"> iniciatīvu, apņemoties veikt finansiālus ieguldījumus: Kipra, Čehijas Republika, Francija, Grieķija, Itālija, Luksemburga, Malta, Portugāle un Spānija — Savienības dalībvalstis; Izraēla un Tunisija — programmas “Apvārsnis 2020” asociētās trešās valstis; Ēģipte, Libāna un Maroka — trešās valstis, kas nav “Apvāršņa 2020” asociētās valstis.</w:t>
      </w:r>
    </w:p>
    <w:p>
      <w:pPr>
        <w:pStyle w:val="ManualConsidrant"/>
        <w:rPr>
          <w:noProof/>
        </w:rPr>
      </w:pPr>
      <w:r>
        <w:t>(8)</w:t>
      </w:r>
      <w:r>
        <w:tab/>
      </w:r>
      <w:r>
        <w:rPr>
          <w:i/>
          <w:noProof/>
        </w:rPr>
        <w:t xml:space="preserve">PRIMA </w:t>
      </w:r>
      <w:r>
        <w:rPr>
          <w:noProof/>
        </w:rPr>
        <w:t xml:space="preserve">mērķis ir īstenot kopīgu programmu, lai izstrādātu un pieņemtu inovatīvus un integrētus risinājumus pārtikas ražošanas un ūdensapgādes efektivitātes, drošības, nodrošinājuma un ilgtspējas uzlabošanai Vidusjūras reģionā. </w:t>
      </w:r>
      <w:r>
        <w:rPr>
          <w:i/>
          <w:noProof/>
        </w:rPr>
        <w:t>PRIMA</w:t>
      </w:r>
      <w:r>
        <w:rPr>
          <w:noProof/>
        </w:rPr>
        <w:t xml:space="preserve"> būtu jāveicina nesen saskaņoto ilgtspējīgas attīstības mērķu sasniegšana un gaidāmā Eiropas Ilgtspējīgas attīstības stratēģija.</w:t>
      </w:r>
    </w:p>
    <w:p>
      <w:pPr>
        <w:pStyle w:val="ManualConsidrant"/>
        <w:rPr>
          <w:noProof/>
        </w:rPr>
      </w:pPr>
      <w:r>
        <w:t>(9)</w:t>
      </w:r>
      <w:r>
        <w:tab/>
      </w:r>
      <w:r>
        <w:rPr>
          <w:noProof/>
        </w:rPr>
        <w:t xml:space="preserve">Lai nodrošinātu, ka </w:t>
      </w:r>
      <w:r>
        <w:rPr>
          <w:i/>
          <w:noProof/>
        </w:rPr>
        <w:t>PRIMA</w:t>
      </w:r>
      <w:r>
        <w:rPr>
          <w:noProof/>
        </w:rPr>
        <w:t xml:space="preserve"> piedalās trešās valstis, kas nav “Apvāršņa 2020” asociētās valstis, proti, Ēģipte, Libāna un Maroka, būtu nepieciešami starptautiski nolīgumi starp Savienību un minētajām valstīm, lai attiecinātu uz tām šajā lēmumā noteikto tiesisko režīmu.</w:t>
      </w:r>
    </w:p>
    <w:p>
      <w:pPr>
        <w:pStyle w:val="ManualConsidrant"/>
        <w:rPr>
          <w:noProof/>
        </w:rPr>
      </w:pPr>
      <w:r>
        <w:t>(10)</w:t>
      </w:r>
      <w:r>
        <w:tab/>
      </w:r>
      <w:r>
        <w:rPr>
          <w:noProof/>
        </w:rPr>
        <w:t xml:space="preserve">Atbilstīgi “Apvāršņa 2020” mērķiem būtu jāparedz tiesības jebkurai citai dalībvalstij un “Apvāršņa 2020” trešai asociētai valstij piedalīties </w:t>
      </w:r>
      <w:r>
        <w:rPr>
          <w:i/>
          <w:noProof/>
        </w:rPr>
        <w:t>PRIMA</w:t>
      </w:r>
      <w:r>
        <w:rPr>
          <w:noProof/>
        </w:rPr>
        <w:t xml:space="preserve">, ja tā apņemas veikt ieguldījumu </w:t>
      </w:r>
      <w:r>
        <w:rPr>
          <w:i/>
          <w:noProof/>
        </w:rPr>
        <w:t>PRIMA</w:t>
      </w:r>
      <w:r>
        <w:rPr>
          <w:noProof/>
        </w:rPr>
        <w:t xml:space="preserve"> finansējumā.</w:t>
      </w:r>
    </w:p>
    <w:p>
      <w:pPr>
        <w:pStyle w:val="ManualConsidrant"/>
        <w:rPr>
          <w:noProof/>
        </w:rPr>
      </w:pPr>
      <w:r>
        <w:t>(11)</w:t>
      </w:r>
      <w:r>
        <w:tab/>
      </w:r>
      <w:r>
        <w:rPr>
          <w:noProof/>
        </w:rPr>
        <w:t>Lai panāktu</w:t>
      </w:r>
      <w:r>
        <w:rPr>
          <w:i/>
          <w:noProof/>
        </w:rPr>
        <w:t xml:space="preserve"> PRIMA</w:t>
      </w:r>
      <w:r>
        <w:rPr>
          <w:noProof/>
        </w:rPr>
        <w:t xml:space="preserve"> mērķus, būtu jāparedz dalības iespēja jebkurai citai trešai valstij, kas nav “Apvāršņa 2020” asociētā valsts, jo īpaši Vidusjūras dienvidu reģiona valstīm, ja tā apņemas veikt ieguldījumu </w:t>
      </w:r>
      <w:r>
        <w:rPr>
          <w:i/>
          <w:noProof/>
        </w:rPr>
        <w:t>PRIMA</w:t>
      </w:r>
      <w:r>
        <w:rPr>
          <w:noProof/>
        </w:rPr>
        <w:t xml:space="preserve"> finansējumā un ja </w:t>
      </w:r>
      <w:r>
        <w:rPr>
          <w:i/>
          <w:noProof/>
        </w:rPr>
        <w:t xml:space="preserve">PRIMA </w:t>
      </w:r>
      <w:r>
        <w:rPr>
          <w:noProof/>
        </w:rPr>
        <w:t>ĪS apstiprina tās dalību. Tās dalība būtu jāparedz arī attiecīgā starptautiskā nolīgumā starp šādu trešo valsti un Savienību.</w:t>
      </w:r>
    </w:p>
    <w:p>
      <w:pPr>
        <w:pStyle w:val="ManualConsidrant"/>
        <w:rPr>
          <w:noProof/>
        </w:rPr>
      </w:pPr>
      <w:r>
        <w:t>(12)</w:t>
      </w:r>
      <w:r>
        <w:tab/>
      </w:r>
      <w:r>
        <w:rPr>
          <w:noProof/>
        </w:rPr>
        <w:t xml:space="preserve">Lai nodrošinātu </w:t>
      </w:r>
      <w:r>
        <w:rPr>
          <w:i/>
          <w:noProof/>
        </w:rPr>
        <w:t xml:space="preserve">PRIMA </w:t>
      </w:r>
      <w:r>
        <w:rPr>
          <w:noProof/>
        </w:rPr>
        <w:t>kopīgu īstenošanu, būtu jāizveido īstenošanas struktūra (“</w:t>
      </w:r>
      <w:r>
        <w:rPr>
          <w:i/>
          <w:noProof/>
        </w:rPr>
        <w:t xml:space="preserve">PRIMA </w:t>
      </w:r>
      <w:r>
        <w:rPr>
          <w:noProof/>
        </w:rPr>
        <w:t xml:space="preserve">ĪS”). </w:t>
      </w:r>
      <w:r>
        <w:rPr>
          <w:i/>
          <w:noProof/>
        </w:rPr>
        <w:t xml:space="preserve">PRIMA </w:t>
      </w:r>
      <w:r>
        <w:rPr>
          <w:noProof/>
        </w:rPr>
        <w:t>ĪS vajadzētu būt Savienības finanšu ieguldījuma saņēmējai, un tai būtu jānodrošina efektīva</w:t>
      </w:r>
      <w:r>
        <w:rPr>
          <w:i/>
          <w:noProof/>
        </w:rPr>
        <w:t xml:space="preserve"> PRIMA </w:t>
      </w:r>
      <w:r>
        <w:rPr>
          <w:noProof/>
        </w:rPr>
        <w:t xml:space="preserve">īstenošana. </w:t>
      </w:r>
    </w:p>
    <w:p>
      <w:pPr>
        <w:pStyle w:val="ManualConsidrant"/>
        <w:rPr>
          <w:noProof/>
          <w:color w:val="000000"/>
        </w:rPr>
      </w:pPr>
      <w:r>
        <w:lastRenderedPageBreak/>
        <w:t>(13)</w:t>
      </w:r>
      <w:r>
        <w:tab/>
      </w:r>
      <w:r>
        <w:rPr>
          <w:noProof/>
        </w:rPr>
        <w:t xml:space="preserve">Savienības finansiālā ieguldījuma izmaksa būtu jāparedz ar nosacījumu, ka iesaistītās valstis uzņemas formālas saistības veikt ieguldījumu </w:t>
      </w:r>
      <w:r>
        <w:rPr>
          <w:i/>
          <w:noProof/>
        </w:rPr>
        <w:t xml:space="preserve">PRIMA </w:t>
      </w:r>
      <w:r>
        <w:rPr>
          <w:noProof/>
        </w:rPr>
        <w:t>finansējumā un ka minētās saistības ir izpildītas saskaņā ar šā lēmuma nosacījumiem. Būtu jāparedz rīcības elastīgums iesaistītajām valstīm pēc izvēles veikt finansiālu ieguldījumu</w:t>
      </w:r>
      <w:r>
        <w:rPr>
          <w:i/>
          <w:noProof/>
        </w:rPr>
        <w:t xml:space="preserve"> PRIMA </w:t>
      </w:r>
      <w:r>
        <w:rPr>
          <w:noProof/>
        </w:rPr>
        <w:t>ĪS, ņemot vērā netiešo darbību finansējumu, tādējādi panākot augstu finansiālās integrācijas pakāpi. Turklāt iesaistītajām valstīm būtu jāsniedz finansiāls vai materiāls ieguldījums darbībās, kuras tiek īstenotas bez Savienības ieguldījuma.</w:t>
      </w:r>
      <w:r>
        <w:rPr>
          <w:noProof/>
          <w:color w:val="000000"/>
        </w:rPr>
        <w:t xml:space="preserve"> Būtu skaidri jādefinē laikposms, kurā iesaistītajām valstīm jāsniedz savs ieguldījums.</w:t>
      </w:r>
    </w:p>
    <w:p>
      <w:pPr>
        <w:pStyle w:val="ManualConsidrant"/>
        <w:rPr>
          <w:noProof/>
        </w:rPr>
      </w:pPr>
      <w:r>
        <w:t>(14)</w:t>
      </w:r>
      <w:r>
        <w:tab/>
      </w:r>
      <w:r>
        <w:rPr>
          <w:noProof/>
        </w:rPr>
        <w:t xml:space="preserve">Būtu jānosaka maksimālais apmērs Savienības ieguldījumam </w:t>
      </w:r>
      <w:r>
        <w:rPr>
          <w:i/>
          <w:noProof/>
        </w:rPr>
        <w:t>PRIMA</w:t>
      </w:r>
      <w:r>
        <w:rPr>
          <w:noProof/>
        </w:rPr>
        <w:t xml:space="preserve">, izmantojot finansējumu no “Apvāršņa 2020”. Ievērojot šo maksimālo apmēru, Savienības ieguldījumam vajadzētu būt vienādam ar </w:t>
      </w:r>
      <w:r>
        <w:rPr>
          <w:i/>
          <w:noProof/>
        </w:rPr>
        <w:t xml:space="preserve">PRIMA </w:t>
      </w:r>
      <w:r>
        <w:rPr>
          <w:noProof/>
        </w:rPr>
        <w:t xml:space="preserve">iesaistīto valstu ieguldījumu, lai panāktu spēcīgu sviras efektu un nodrošinātu iesaistīto valstu programmu ciešāku integrāciju. Būtu jāparedz iespēja izmantot ierobežotu Savienības ieguldījuma daļu </w:t>
      </w:r>
      <w:r>
        <w:rPr>
          <w:i/>
          <w:noProof/>
        </w:rPr>
        <w:t xml:space="preserve">PRIMA </w:t>
      </w:r>
      <w:r>
        <w:rPr>
          <w:noProof/>
        </w:rPr>
        <w:t>ĪS administratīvo izmaksu segšanai.</w:t>
      </w:r>
    </w:p>
    <w:p>
      <w:pPr>
        <w:pStyle w:val="ManualConsidrant"/>
        <w:rPr>
          <w:noProof/>
        </w:rPr>
      </w:pPr>
      <w:r>
        <w:t>(15)</w:t>
      </w:r>
      <w:r>
        <w:tab/>
      </w:r>
      <w:r>
        <w:rPr>
          <w:noProof/>
        </w:rPr>
        <w:t xml:space="preserve">Lai novērstu ilgstošu </w:t>
      </w:r>
      <w:r>
        <w:rPr>
          <w:i/>
          <w:noProof/>
        </w:rPr>
        <w:t>PRIMA</w:t>
      </w:r>
      <w:r>
        <w:rPr>
          <w:noProof/>
        </w:rPr>
        <w:t xml:space="preserve"> īstenošanu, būtu jānosaka termiņš pēdējo darbību uzsākšanai, tostarp uzaicinājumiem iesniegt priekšlikumus.</w:t>
      </w:r>
    </w:p>
    <w:p>
      <w:pPr>
        <w:pStyle w:val="ManualConsidrant"/>
        <w:rPr>
          <w:noProof/>
        </w:rPr>
      </w:pPr>
      <w:r>
        <w:t>(16)</w:t>
      </w:r>
      <w:r>
        <w:tab/>
      </w:r>
      <w:r>
        <w:rPr>
          <w:i/>
          <w:noProof/>
        </w:rPr>
        <w:t xml:space="preserve">PRIMA </w:t>
      </w:r>
      <w:r>
        <w:rPr>
          <w:noProof/>
        </w:rPr>
        <w:t xml:space="preserve">darbībām būtu jāatbilst “Apvāršņa 2020” mērķiem un pētniecības un inovāciju prioritātēm, kā arī Regulas (ES) Nr. 1291/2013 26. pantā izklāstītajiem vispārīgajiem principiem un nosacījumiem. Klasificējot pētniecību tehnoloģiju jomā, produktu izstrādi un demonstrējumu pasākumus, </w:t>
      </w:r>
      <w:r>
        <w:rPr>
          <w:i/>
          <w:noProof/>
        </w:rPr>
        <w:t>PRIMA</w:t>
      </w:r>
      <w:r>
        <w:rPr>
          <w:noProof/>
        </w:rPr>
        <w:t xml:space="preserve"> būtu jāņem vērā ESAO tehnoloģiskās gatavības līmeņa definīcijas.</w:t>
      </w:r>
    </w:p>
    <w:p>
      <w:pPr>
        <w:pStyle w:val="ManualConsidrant"/>
        <w:rPr>
          <w:noProof/>
          <w:color w:val="002060"/>
        </w:rPr>
      </w:pPr>
      <w:r>
        <w:t>(17)</w:t>
      </w:r>
      <w:r>
        <w:tab/>
      </w:r>
      <w:r>
        <w:rPr>
          <w:noProof/>
        </w:rPr>
        <w:t xml:space="preserve">Lai sasniegtu </w:t>
      </w:r>
      <w:r>
        <w:rPr>
          <w:i/>
          <w:noProof/>
        </w:rPr>
        <w:t>PRIMA</w:t>
      </w:r>
      <w:r>
        <w:rPr>
          <w:noProof/>
        </w:rPr>
        <w:t xml:space="preserve"> mērķus, </w:t>
      </w:r>
      <w:r>
        <w:rPr>
          <w:i/>
          <w:noProof/>
        </w:rPr>
        <w:t xml:space="preserve">PRIMA </w:t>
      </w:r>
      <w:r>
        <w:rPr>
          <w:noProof/>
        </w:rPr>
        <w:t xml:space="preserve">ĪS būtu jāsniedz finansiālais atbalsts </w:t>
      </w:r>
      <w:r>
        <w:rPr>
          <w:i/>
          <w:noProof/>
        </w:rPr>
        <w:t xml:space="preserve">PRIMA </w:t>
      </w:r>
      <w:r>
        <w:rPr>
          <w:noProof/>
        </w:rPr>
        <w:t xml:space="preserve">ĪS finansēto darbību dalībniekiem galvenokārt dotāciju veidā. Šādas darbības būtu jāizvēlas atklāta konkursa kārtībā pēc uzaicinājumiem iesniegt priekšlikumus, kas ir </w:t>
      </w:r>
      <w:r>
        <w:rPr>
          <w:i/>
          <w:noProof/>
        </w:rPr>
        <w:t xml:space="preserve">PRIMA </w:t>
      </w:r>
      <w:r>
        <w:rPr>
          <w:noProof/>
        </w:rPr>
        <w:t xml:space="preserve">ĪS pienākums. </w:t>
      </w:r>
    </w:p>
    <w:p>
      <w:pPr>
        <w:pStyle w:val="ManualConsidrant"/>
        <w:rPr>
          <w:noProof/>
        </w:rPr>
      </w:pPr>
      <w:r>
        <w:t>(18)</w:t>
      </w:r>
      <w:r>
        <w:tab/>
      </w:r>
      <w:r>
        <w:rPr>
          <w:i/>
          <w:noProof/>
        </w:rPr>
        <w:t xml:space="preserve">PRIMA </w:t>
      </w:r>
      <w:r>
        <w:rPr>
          <w:noProof/>
        </w:rPr>
        <w:t>ĪS rīkotie uzaicinājumi iesniegt priekšlikumus būtu arī jāpublisko dalībniekiem paredzētā vienotā portālā, kā arī, izmantojot citus Komisijas pārziņā esošos “Apvāršņa 2020” elektroniskos informācijas izplatīšanas līdzekļus.</w:t>
      </w:r>
    </w:p>
    <w:p>
      <w:pPr>
        <w:pStyle w:val="ManualConsidrant"/>
        <w:rPr>
          <w:noProof/>
        </w:rPr>
      </w:pPr>
      <w:r>
        <w:t>(19)</w:t>
      </w:r>
      <w:r>
        <w:tab/>
      </w:r>
      <w:r>
        <w:rPr>
          <w:noProof/>
        </w:rPr>
        <w:t>Savienības finansiālais ieguldījums būtu jāpārvalda saskaņā ar pareizas finanšu pārvaldības principu un attiecīgajiem noteikumiem par netiešu pārvaldību, kuri izklāstīti Eiropas Parlamenta un Padomes Regulā (ES, Euratom) Nr. 966/2012</w:t>
      </w:r>
      <w:r>
        <w:rPr>
          <w:rStyle w:val="FootnoteReference"/>
          <w:noProof/>
        </w:rPr>
        <w:footnoteReference w:id="5"/>
      </w:r>
      <w:r>
        <w:rPr>
          <w:noProof/>
        </w:rPr>
        <w:t xml:space="preserve"> un Komisijas Deleģētajā regulā (ES) Nr. 1268/2012</w:t>
      </w:r>
      <w:r>
        <w:rPr>
          <w:rStyle w:val="FootnoteReference"/>
          <w:noProof/>
        </w:rPr>
        <w:footnoteReference w:id="6"/>
      </w:r>
      <w:r>
        <w:rPr>
          <w:noProof/>
        </w:rPr>
        <w:t>.</w:t>
      </w:r>
    </w:p>
    <w:p>
      <w:pPr>
        <w:pStyle w:val="ManualConsidrant"/>
        <w:rPr>
          <w:noProof/>
        </w:rPr>
      </w:pPr>
      <w:r>
        <w:t>(20)</w:t>
      </w:r>
      <w:r>
        <w:tab/>
      </w:r>
      <w:r>
        <w:rPr>
          <w:noProof/>
        </w:rPr>
        <w:t xml:space="preserve">Lai aizsargātu Savienības finanšu intereses, Komisijai vajadzētu būt tiesībām samazināt, apturēt vai izbeigt Savienības finansiālo ieguldījumu, ja </w:t>
      </w:r>
      <w:r>
        <w:rPr>
          <w:i/>
          <w:noProof/>
        </w:rPr>
        <w:t>PRIMA</w:t>
      </w:r>
      <w:r>
        <w:rPr>
          <w:noProof/>
        </w:rPr>
        <w:t xml:space="preserve"> tiek īstenota nepienācīgi, daļēji vai novēloti vai ja iesaistītās valstis neveic ieguldījumu </w:t>
      </w:r>
      <w:r>
        <w:rPr>
          <w:i/>
          <w:noProof/>
        </w:rPr>
        <w:t>PRIMA</w:t>
      </w:r>
      <w:r>
        <w:rPr>
          <w:noProof/>
        </w:rPr>
        <w:t xml:space="preserve"> finansēšanā vai veic to daļēji vai novēloti.</w:t>
      </w:r>
    </w:p>
    <w:p>
      <w:pPr>
        <w:pStyle w:val="ManualConsidrant"/>
        <w:rPr>
          <w:noProof/>
        </w:rPr>
      </w:pPr>
      <w:r>
        <w:lastRenderedPageBreak/>
        <w:t>(21)</w:t>
      </w:r>
      <w:r>
        <w:tab/>
      </w:r>
      <w:r>
        <w:rPr>
          <w:noProof/>
        </w:rPr>
        <w:t>Dalībai netiešās darbībās, ko finansē</w:t>
      </w:r>
      <w:r>
        <w:rPr>
          <w:i/>
          <w:noProof/>
        </w:rPr>
        <w:t xml:space="preserve"> PRIMA </w:t>
      </w:r>
      <w:r>
        <w:rPr>
          <w:noProof/>
        </w:rPr>
        <w:t>ĪS, piemēro Eiropas Parlamenta un Padomes Regulu (ES) Nr. 1290/2013</w:t>
      </w:r>
      <w:r>
        <w:rPr>
          <w:rStyle w:val="FootnoteReference"/>
          <w:noProof/>
        </w:rPr>
        <w:footnoteReference w:id="7"/>
      </w:r>
      <w:r>
        <w:rPr>
          <w:noProof/>
        </w:rPr>
        <w:t xml:space="preserve">. Taču, ņemot vērā </w:t>
      </w:r>
      <w:r>
        <w:rPr>
          <w:i/>
          <w:noProof/>
        </w:rPr>
        <w:t xml:space="preserve">PRIMA </w:t>
      </w:r>
      <w:r>
        <w:rPr>
          <w:noProof/>
        </w:rPr>
        <w:t>darbības īpašās vajadzības, nepieciešams paredzēt atkāpes saskaņā ar minētās regulas 1. panta 3. punktu.</w:t>
      </w:r>
    </w:p>
    <w:p>
      <w:pPr>
        <w:pStyle w:val="ManualConsidrant"/>
        <w:rPr>
          <w:noProof/>
        </w:rPr>
      </w:pPr>
      <w:r>
        <w:t>(22)</w:t>
      </w:r>
      <w:r>
        <w:tab/>
      </w:r>
      <w:r>
        <w:rPr>
          <w:noProof/>
        </w:rPr>
        <w:t xml:space="preserve">Atkāpes no Regulas (ES) Nr. 1290/2013 9. panta 1. punkta b) apakšpunkta un 9. panta 3. punkta ir nepieciešamas, lai ņemtu vērā īpatnības, kas izriet no </w:t>
      </w:r>
      <w:r>
        <w:rPr>
          <w:i/>
          <w:noProof/>
        </w:rPr>
        <w:t>PRIMA</w:t>
      </w:r>
      <w:r>
        <w:rPr>
          <w:noProof/>
        </w:rPr>
        <w:t xml:space="preserve"> ģeogrāfiskās darbības jomas, papildus pielāgojot minimālos atbilstības nosacījumus dalībai netiešajās darbībās.</w:t>
      </w:r>
      <w:r>
        <w:rPr>
          <w:noProof/>
          <w:color w:val="000000"/>
        </w:rPr>
        <w:t xml:space="preserve"> </w:t>
      </w:r>
      <w:r>
        <w:rPr>
          <w:noProof/>
        </w:rPr>
        <w:t>Lai nodrošinātu līdzsvarotu pamatdalību netiešajās darbībās ziemeļu-dienvidu konfigurācijā, atkāpjoties no Regulas (ES) Nr. 1290/2013 9. panta 1. punkta b) apakšpunkta, darbībā būtu jāpiedalās vismaz trim tiesību subjektiem, kuri veic uzņēmējdarbību trīs dažādās iesaistītajās valstīs, no kuriem viens veic uzņēmējdarbību dalībvalstī vai programmas “Apvārsnis 2020” asociētā valstī un viens – trešā valstī, kas ir vai nav programmas “Apvārsnis 2020” asociētā valsts.</w:t>
      </w:r>
      <w:r>
        <w:rPr>
          <w:noProof/>
          <w:color w:val="000000"/>
        </w:rPr>
        <w:t xml:space="preserve"> </w:t>
      </w:r>
      <w:r>
        <w:rPr>
          <w:noProof/>
        </w:rPr>
        <w:t xml:space="preserve">Atkāpe no Regulas (ES) Nr. 1290/2013 9. panta 3. punkta ir nepieciešama, lai nodrošinātu, ka minimālais atbilstības nosacījums par dalību netiešajās darbībās ar minimālo nosacījumu par viena tiesību subjekta dalību nediskriminē tos subjektus, kas veic uzņēmējdarbību trešās valstīs, kuras piedalās </w:t>
      </w:r>
      <w:r>
        <w:rPr>
          <w:i/>
          <w:noProof/>
        </w:rPr>
        <w:t xml:space="preserve">PRIMA </w:t>
      </w:r>
      <w:r>
        <w:rPr>
          <w:noProof/>
        </w:rPr>
        <w:t>kā iesaistītās valstis.</w:t>
      </w:r>
      <w:r>
        <w:rPr>
          <w:noProof/>
          <w:color w:val="000000"/>
        </w:rPr>
        <w:t xml:space="preserve"> Lai nodrošinātu, ka finansējuma nosacījumi nav diskriminējoši attiecībā uz subjektiem, kas veic uzņēmējdarbību trešās valstīs, kuras ir </w:t>
      </w:r>
      <w:r>
        <w:rPr>
          <w:i/>
          <w:noProof/>
          <w:color w:val="000000"/>
        </w:rPr>
        <w:t xml:space="preserve">PRIMA </w:t>
      </w:r>
      <w:r>
        <w:rPr>
          <w:noProof/>
          <w:color w:val="000000"/>
        </w:rPr>
        <w:t xml:space="preserve">iesaistītās valstis, būtu jāparedz, ka šādi tiesību subjekti, kuri veic uzņēmējdarbību iesaistītajās valstīs, ir tiesīgi saņemt finansējumu papildus Regulas (ES) Nr. 1290/2013 10. panta 1. punktā minētajiem subjektiem. </w:t>
      </w:r>
      <w:r>
        <w:rPr>
          <w:noProof/>
        </w:rPr>
        <w:t xml:space="preserve">Atkāpes no Regulas (ES) Nr. 1290/2013 12. panta ir nepieciešamas, lai paplašinātu sadarbību ar kopīgiem uzaicinājumiem, ko iesniedz </w:t>
      </w:r>
      <w:r>
        <w:rPr>
          <w:i/>
          <w:noProof/>
        </w:rPr>
        <w:t xml:space="preserve">PRIMA </w:t>
      </w:r>
      <w:r>
        <w:rPr>
          <w:noProof/>
        </w:rPr>
        <w:t>ĪS ar tiesību subjektiem, kas nav trešās valstis un starptautiskas organizācijas.</w:t>
      </w:r>
    </w:p>
    <w:p>
      <w:pPr>
        <w:pStyle w:val="ManualConsidrant"/>
        <w:rPr>
          <w:noProof/>
        </w:rPr>
      </w:pPr>
      <w:r>
        <w:t>(23)</w:t>
      </w:r>
      <w:r>
        <w:tab/>
      </w:r>
      <w:r>
        <w:rPr>
          <w:noProof/>
        </w:rPr>
        <w:t>Vienkāršošanas nolūkā būtu jāsamazina visu dalībnieku administratīvā slodze. Būtu jāizvairās no dubultām revīzijām un nesamērīgi liela dokumentu un ziņojumu skaita. Veicot revīzijas, attiecīgi būtu jāņem vērā valstu programmu īpatnības.</w:t>
      </w:r>
    </w:p>
    <w:p>
      <w:pPr>
        <w:pStyle w:val="ManualConsidrant"/>
        <w:rPr>
          <w:noProof/>
        </w:rPr>
      </w:pPr>
      <w:r>
        <w:t>(24)</w:t>
      </w:r>
      <w:r>
        <w:tab/>
      </w:r>
      <w:r>
        <w:rPr>
          <w:noProof/>
        </w:rPr>
        <w:t xml:space="preserve">Saskaņā ar šo lēmumu piešķirta Savienības finansējuma saņēmēju revīzijām būtu jānodrošina administratīvā sloga samazināšana saskaņā ar Regulu (ES) Nr. 1291/2013. </w:t>
      </w:r>
    </w:p>
    <w:p>
      <w:pPr>
        <w:pStyle w:val="ManualConsidrant"/>
        <w:rPr>
          <w:noProof/>
        </w:rPr>
      </w:pPr>
      <w:r>
        <w:t>(25)</w:t>
      </w:r>
      <w:r>
        <w:tab/>
      </w:r>
      <w:r>
        <w:rPr>
          <w:noProof/>
        </w:rPr>
        <w:t>Savienības finanšu intereses būtu jāaizsargā, visā izdevumu ciklā piemērojot samērīgus pasākumus, tostarp pārkāpumu novēršanu, konstatēšanu un izmeklēšanu, zaudēto, kļūdaini izmaksāto vai nepareizi izmantoto līdzekļu atgūšanu un – vajadzības gadījumā – administratīvas sankcijas saskaņā ar Regulu (ES, Euratom) Nr. 966/2012.</w:t>
      </w:r>
    </w:p>
    <w:p>
      <w:pPr>
        <w:pStyle w:val="ManualConsidrant"/>
        <w:rPr>
          <w:noProof/>
        </w:rPr>
      </w:pPr>
      <w:r>
        <w:t>(26)</w:t>
      </w:r>
      <w:r>
        <w:tab/>
      </w:r>
      <w:r>
        <w:rPr>
          <w:noProof/>
        </w:rPr>
        <w:t xml:space="preserve">Komisijai būtu jāveic starpposma novērtējums, izvērtējot jo īpaši </w:t>
      </w:r>
      <w:r>
        <w:rPr>
          <w:i/>
          <w:noProof/>
        </w:rPr>
        <w:t xml:space="preserve">PRIMA </w:t>
      </w:r>
      <w:r>
        <w:rPr>
          <w:noProof/>
        </w:rPr>
        <w:t xml:space="preserve">kvalitāti un efektivitāti un panākto progresu attiecībā uz noteiktajiem mērķiem, kā arī nobeiguma novērtējums, un būtu jāsagatavo ziņojumi par šiem novērtējumiem. </w:t>
      </w:r>
    </w:p>
    <w:p>
      <w:pPr>
        <w:pStyle w:val="ManualConsidrant"/>
        <w:rPr>
          <w:noProof/>
        </w:rPr>
      </w:pPr>
      <w:r>
        <w:t>(27)</w:t>
      </w:r>
      <w:r>
        <w:tab/>
      </w:r>
      <w:r>
        <w:rPr>
          <w:noProof/>
        </w:rPr>
        <w:t xml:space="preserve">Pēc Komisijas lūguma </w:t>
      </w:r>
      <w:r>
        <w:rPr>
          <w:i/>
          <w:noProof/>
        </w:rPr>
        <w:t xml:space="preserve">PRIMA </w:t>
      </w:r>
      <w:r>
        <w:rPr>
          <w:noProof/>
        </w:rPr>
        <w:t xml:space="preserve">ĪS un iesaistītajām valstīm būtu jāsniedz jebkāda informācija, ko Komisijai nepieciešams iekļaut ziņojumos par </w:t>
      </w:r>
      <w:r>
        <w:rPr>
          <w:i/>
          <w:noProof/>
        </w:rPr>
        <w:t xml:space="preserve">PRIMA </w:t>
      </w:r>
      <w:r>
        <w:rPr>
          <w:noProof/>
        </w:rPr>
        <w:t>novērtējumu.</w:t>
      </w:r>
    </w:p>
    <w:p>
      <w:pPr>
        <w:pStyle w:val="ManualConsidrant"/>
        <w:rPr>
          <w:noProof/>
        </w:rPr>
      </w:pPr>
      <w:r>
        <w:t>(28)</w:t>
      </w:r>
      <w:r>
        <w:tab/>
      </w:r>
      <w:r>
        <w:rPr>
          <w:noProof/>
        </w:rPr>
        <w:t xml:space="preserve">Šā lēmuma mērķis ir veicināt pētniecības un inovācijas sistēmu integrāciju un saskanību, kā arī darbības Vidusjūras reģiona valstīs ūdensapgādes un pārtikas sistēmu jomā. Pētniecības un inovācijas darbību apmērs, kas nepieciešams problēmu risināšanai Vidusjūras reģionā, ir milzīgs, ņemot vērā galveno trūkumu sistēmisko </w:t>
      </w:r>
      <w:r>
        <w:rPr>
          <w:noProof/>
        </w:rPr>
        <w:lastRenderedPageBreak/>
        <w:t>raksturu. Pētniecības un inovāciju darbības joma ir sarežģīta, ar daudznozaru raksturu, un tai ir nepieciešama pieeja, kas apvieno vairākus iesaistītos dalībniekus, kā arī pārrobežu pieeja. Sadarbības pieeja ar plašu iesaistīto valstu klāstu var palīdzēt palielināt nepieciešamo mērogu un darbības jomu, apvienojot finanšu un intelektuālos resursus. Tā kā minēto mērķi var labāk sasniegt Savienības līmenī, integrējot valstu centienus saskaņotā Eiropas pieejā, apvienojot sadrumstalotas valstu pētniecības programmas, palīdzot izstrādāt vienotas pētniecības un finansēšanas stratēģijas, kas sniedzas pāri valstu robežām, un izveidojot dalībnieku un vajadzīgo ieguldījumu kritisko masu, Savienība var pieņemt pasākumus saskaņā ar Līguma par Eiropas Savienību 5. pantā noteikto subsidiaritātes principu. Saskaņā ar minētajā pantā noteikto proporcionalitātes principu šajā lēmumā paredz vienīgi tos pasākumus, kas ir vajadzīgi minēto mērķu sasniegšanai.</w:t>
      </w:r>
    </w:p>
    <w:p>
      <w:pPr>
        <w:pStyle w:val="ManualConsidrant"/>
        <w:rPr>
          <w:noProof/>
        </w:rPr>
      </w:pPr>
      <w:r>
        <w:t>(29)</w:t>
      </w:r>
      <w:r>
        <w:tab/>
      </w:r>
      <w:r>
        <w:rPr>
          <w:noProof/>
        </w:rPr>
        <w:t xml:space="preserve">Tādēļ Savienībai būtu jāpiedalās </w:t>
      </w:r>
      <w:r>
        <w:rPr>
          <w:i/>
          <w:noProof/>
        </w:rPr>
        <w:t>PRIMA</w:t>
      </w:r>
      <w:r>
        <w:rPr>
          <w:noProof/>
        </w:rPr>
        <w:t>,</w:t>
      </w:r>
    </w:p>
    <w:p>
      <w:pPr>
        <w:pStyle w:val="Formuledadoption"/>
        <w:rPr>
          <w:noProof/>
        </w:rPr>
      </w:pPr>
      <w:r>
        <w:rPr>
          <w:noProof/>
        </w:rPr>
        <w:t>IR PIEŅĒMUŠI ŠO LĒMUMU.</w:t>
      </w:r>
    </w:p>
    <w:p>
      <w:pPr>
        <w:pStyle w:val="Titrearticle"/>
        <w:ind w:left="720"/>
        <w:rPr>
          <w:noProof/>
        </w:rPr>
      </w:pPr>
      <w:r>
        <w:rPr>
          <w:noProof/>
        </w:rPr>
        <w:t>1. pants</w:t>
      </w:r>
      <w:r>
        <w:rPr>
          <w:noProof/>
        </w:rPr>
        <w:br/>
        <w:t xml:space="preserve">Dalība PRIMA </w:t>
      </w:r>
    </w:p>
    <w:p>
      <w:pPr>
        <w:pStyle w:val="ManualNumPar1"/>
        <w:rPr>
          <w:noProof/>
        </w:rPr>
      </w:pPr>
      <w:r>
        <w:t>1.</w:t>
      </w:r>
      <w:r>
        <w:tab/>
      </w:r>
      <w:r>
        <w:rPr>
          <w:noProof/>
        </w:rPr>
        <w:t>Savienība piedalīsies Partnerībā pētniecībaas un inovācijas jomā Vidusjūras reģionā (“</w:t>
      </w:r>
      <w:r>
        <w:rPr>
          <w:i/>
          <w:noProof/>
        </w:rPr>
        <w:t>PRIMA</w:t>
      </w:r>
      <w:r>
        <w:rPr>
          <w:noProof/>
        </w:rPr>
        <w:t>”), ko kopīgi uzsākusi [Kipra, Čehijas Republika, Francija, Grieķija, Izraēla, Itālija, Luksemburga, Malta, Portugāle, Spānija un Tunisija] (“iesaistītās valstis”), saskaņā ar šajā lēmumā izklāstītajiem nosacījumiem.</w:t>
      </w:r>
    </w:p>
    <w:p>
      <w:pPr>
        <w:pStyle w:val="ManualNumPar1"/>
        <w:rPr>
          <w:noProof/>
        </w:rPr>
      </w:pPr>
      <w:r>
        <w:t>2.</w:t>
      </w:r>
      <w:r>
        <w:tab/>
      </w:r>
      <w:r>
        <w:rPr>
          <w:noProof/>
        </w:rPr>
        <w:t xml:space="preserve">Ēģipte, Lībija un Maroka kļūst par iesaistītajām valstīm, ja ar Savienību tiek noslēgti starptautiski nolīgumi, kuros paredzēti noteikumi un nosacījumi to dalībai </w:t>
      </w:r>
      <w:r>
        <w:rPr>
          <w:i/>
          <w:noProof/>
        </w:rPr>
        <w:t>PRIMA</w:t>
      </w:r>
      <w:r>
        <w:rPr>
          <w:noProof/>
        </w:rPr>
        <w:t>.</w:t>
      </w:r>
    </w:p>
    <w:p>
      <w:pPr>
        <w:pStyle w:val="ManualNumPar1"/>
        <w:rPr>
          <w:noProof/>
        </w:rPr>
      </w:pPr>
      <w:r>
        <w:t>3.</w:t>
      </w:r>
      <w:r>
        <w:tab/>
      </w:r>
      <w:r>
        <w:rPr>
          <w:noProof/>
        </w:rPr>
        <w:t xml:space="preserve">Jebkura dalībvalsts un jebkura programmas “Apvārsnis 2020” asociētā valsts, kas nav kāda no 1. punktā minētajām valstīm, var piedalīties </w:t>
      </w:r>
      <w:r>
        <w:rPr>
          <w:i/>
          <w:noProof/>
        </w:rPr>
        <w:t>PRIMA</w:t>
      </w:r>
      <w:r>
        <w:rPr>
          <w:noProof/>
        </w:rPr>
        <w:t>, ja tā izpilda šā lēmuma 4. panta 1. punkta c) apakšpunktā paredzēto nosacījumu. Ja tā izpilda šo nosacījumu, to uzskata par iesaistīto valsti šā lēmuma nozīmē.</w:t>
      </w:r>
    </w:p>
    <w:p>
      <w:pPr>
        <w:pStyle w:val="ManualNumPar1"/>
        <w:rPr>
          <w:noProof/>
        </w:rPr>
      </w:pPr>
      <w:r>
        <w:t>4.</w:t>
      </w:r>
      <w:r>
        <w:tab/>
      </w:r>
      <w:r>
        <w:rPr>
          <w:noProof/>
        </w:rPr>
        <w:t xml:space="preserve">Jebkura trešā valsts, kas nav “Apvāršņa 2020” asociētā valsts un kas nav kāda no 2. punktā minētajām valstīm, var piedalīties </w:t>
      </w:r>
      <w:r>
        <w:rPr>
          <w:i/>
          <w:noProof/>
        </w:rPr>
        <w:t>PRIMA</w:t>
      </w:r>
      <w:r>
        <w:rPr>
          <w:noProof/>
        </w:rPr>
        <w:t>, ja:</w:t>
      </w:r>
    </w:p>
    <w:p>
      <w:pPr>
        <w:pStyle w:val="ListNumberLevel2"/>
        <w:ind w:hanging="566"/>
        <w:rPr>
          <w:noProof/>
        </w:rPr>
      </w:pPr>
      <w:r>
        <w:rPr>
          <w:noProof/>
        </w:rPr>
        <w:t>tā izpilda šā lēmuma 4. panta 1. punkta c) apakšpunktā paredzēto nosacījumu;</w:t>
      </w:r>
    </w:p>
    <w:p>
      <w:pPr>
        <w:pStyle w:val="ListNumberLevel2"/>
        <w:ind w:hanging="566"/>
        <w:rPr>
          <w:noProof/>
        </w:rPr>
      </w:pPr>
      <w:r>
        <w:rPr>
          <w:i/>
          <w:noProof/>
        </w:rPr>
        <w:t xml:space="preserve">PRIMA </w:t>
      </w:r>
      <w:r>
        <w:rPr>
          <w:noProof/>
        </w:rPr>
        <w:t xml:space="preserve">ĪS apstiprina tās dalību </w:t>
      </w:r>
      <w:r>
        <w:rPr>
          <w:i/>
          <w:noProof/>
        </w:rPr>
        <w:t xml:space="preserve">PRIMA </w:t>
      </w:r>
      <w:r>
        <w:rPr>
          <w:noProof/>
        </w:rPr>
        <w:t xml:space="preserve">pēc tam, kad tā ir pārbaudījusi tās dalības nozīmīgumu </w:t>
      </w:r>
      <w:r>
        <w:rPr>
          <w:i/>
          <w:noProof/>
        </w:rPr>
        <w:t xml:space="preserve">PRIMA </w:t>
      </w:r>
      <w:r>
        <w:rPr>
          <w:noProof/>
        </w:rPr>
        <w:t xml:space="preserve">mērķu sasniegšanā; un </w:t>
      </w:r>
    </w:p>
    <w:p>
      <w:pPr>
        <w:pStyle w:val="ListNumberLevel2"/>
        <w:ind w:hanging="566"/>
        <w:rPr>
          <w:noProof/>
        </w:rPr>
      </w:pPr>
      <w:r>
        <w:rPr>
          <w:noProof/>
        </w:rPr>
        <w:t xml:space="preserve">tā noslēdz ar Savienību starptautisku nolīgumu, kurā paredzēti noteikumi un nosacījumi tās dalībai </w:t>
      </w:r>
      <w:r>
        <w:rPr>
          <w:i/>
          <w:noProof/>
        </w:rPr>
        <w:t>PRIMA</w:t>
      </w:r>
      <w:r>
        <w:rPr>
          <w:noProof/>
        </w:rPr>
        <w:t>.</w:t>
      </w:r>
    </w:p>
    <w:p>
      <w:pPr>
        <w:ind w:left="851"/>
        <w:rPr>
          <w:noProof/>
        </w:rPr>
      </w:pPr>
      <w:r>
        <w:rPr>
          <w:noProof/>
        </w:rPr>
        <w:t>Ja valsts atbilst pirmajā apakšpunktā noteiktajām prasībām, to uzskata par iesaistīto valsti šā lēmuma nozīmē.</w:t>
      </w:r>
    </w:p>
    <w:p>
      <w:pPr>
        <w:pStyle w:val="Titrearticle"/>
        <w:rPr>
          <w:noProof/>
        </w:rPr>
      </w:pPr>
      <w:r>
        <w:rPr>
          <w:noProof/>
        </w:rPr>
        <w:t>2. pants</w:t>
      </w:r>
      <w:r>
        <w:rPr>
          <w:noProof/>
        </w:rPr>
        <w:br/>
        <w:t xml:space="preserve">PRIMA mērķi </w:t>
      </w:r>
    </w:p>
    <w:p>
      <w:pPr>
        <w:pStyle w:val="ManualNumPar1"/>
        <w:rPr>
          <w:noProof/>
        </w:rPr>
      </w:pPr>
      <w:r>
        <w:t>1.</w:t>
      </w:r>
      <w:r>
        <w:tab/>
      </w:r>
      <w:r>
        <w:rPr>
          <w:i/>
          <w:noProof/>
        </w:rPr>
        <w:t>PRIMA</w:t>
      </w:r>
      <w:r>
        <w:rPr>
          <w:noProof/>
        </w:rPr>
        <w:t xml:space="preserve"> vispārīgais mērķis ir izstrādāt pilnībā izmēģinātus un demonstrētus kopīgus inovatīvos risinājumus ūdensapgādes un pārtikas sistēmām Vidusjūras reģionā, lai sekmētu to klimatnoturību, lielāku efektivitāti, rentabilitāti un ilgtspēju, kā arī </w:t>
      </w:r>
      <w:r>
        <w:rPr>
          <w:noProof/>
        </w:rPr>
        <w:lastRenderedPageBreak/>
        <w:t>veicinātu ar uzturu, veselību, labklājību un migrāciju saistīto problēmu savlaicīgu risināšanu.</w:t>
      </w:r>
    </w:p>
    <w:p>
      <w:pPr>
        <w:pStyle w:val="ManualNumPar1"/>
        <w:rPr>
          <w:noProof/>
        </w:rPr>
      </w:pPr>
      <w:r>
        <w:t>2.</w:t>
      </w:r>
      <w:r>
        <w:tab/>
      </w:r>
      <w:r>
        <w:rPr>
          <w:noProof/>
        </w:rPr>
        <w:t xml:space="preserve">Lai sekmētu vispārējo mērķi, </w:t>
      </w:r>
      <w:r>
        <w:rPr>
          <w:i/>
          <w:noProof/>
        </w:rPr>
        <w:t xml:space="preserve">PRIMA </w:t>
      </w:r>
      <w:r>
        <w:rPr>
          <w:noProof/>
        </w:rPr>
        <w:t>īsteno šādus konkrētus mērķus:</w:t>
      </w:r>
    </w:p>
    <w:p>
      <w:pPr>
        <w:pStyle w:val="ManualNumPar1"/>
        <w:ind w:left="1418" w:hanging="709"/>
        <w:rPr>
          <w:noProof/>
        </w:rPr>
      </w:pPr>
      <w:r>
        <w:rPr>
          <w:noProof/>
        </w:rPr>
        <w:t>i)</w:t>
      </w:r>
      <w:r>
        <w:rPr>
          <w:noProof/>
        </w:rPr>
        <w:tab/>
        <w:t>stabilas, ilgtermiņa, kopīgas stratēģiskas programmas definēšana ūdensapgādes un pārtikas sistēmu jomā;</w:t>
      </w:r>
    </w:p>
    <w:p>
      <w:pPr>
        <w:pStyle w:val="ManualNumPar1"/>
        <w:ind w:left="1418" w:hanging="709"/>
        <w:rPr>
          <w:noProof/>
        </w:rPr>
      </w:pPr>
      <w:r>
        <w:rPr>
          <w:noProof/>
        </w:rPr>
        <w:t>ii)</w:t>
      </w:r>
      <w:r>
        <w:rPr>
          <w:noProof/>
        </w:rPr>
        <w:tab/>
        <w:t>visu valsts pētniecības un inovācijas programmu virzīšana un stratēģiskās programmas īstenošana;</w:t>
      </w:r>
    </w:p>
    <w:p>
      <w:pPr>
        <w:pStyle w:val="ManualNumPar1"/>
        <w:ind w:left="1418" w:hanging="709"/>
        <w:rPr>
          <w:noProof/>
        </w:rPr>
      </w:pPr>
      <w:r>
        <w:rPr>
          <w:noProof/>
        </w:rPr>
        <w:t>iii)</w:t>
      </w:r>
      <w:r>
        <w:rPr>
          <w:noProof/>
        </w:rPr>
        <w:tab/>
        <w:t>visu attiecīgo publiskā un privātā sektora dalībnieku strukturāla iesaistīšana stratēģiskās programmas īstenošanā, apvienojot zināšanas un finanšu līdzekļus nepieciešamās kritiskās masas sasniegšanai;</w:t>
      </w:r>
    </w:p>
    <w:p>
      <w:pPr>
        <w:pStyle w:val="ManualNumPar1"/>
        <w:ind w:left="1418" w:hanging="709"/>
        <w:rPr>
          <w:noProof/>
        </w:rPr>
      </w:pPr>
      <w:r>
        <w:rPr>
          <w:noProof/>
        </w:rPr>
        <w:t>iv)</w:t>
      </w:r>
      <w:r>
        <w:rPr>
          <w:noProof/>
        </w:rPr>
        <w:tab/>
        <w:t>finansējuma palielināšana un visu iesaistīto dalībnieku spēju īstenošana.</w:t>
      </w:r>
    </w:p>
    <w:p>
      <w:pPr>
        <w:pStyle w:val="Titrearticle"/>
        <w:rPr>
          <w:noProof/>
        </w:rPr>
      </w:pPr>
      <w:r>
        <w:rPr>
          <w:noProof/>
        </w:rPr>
        <w:t>3. pants</w:t>
      </w:r>
      <w:r>
        <w:rPr>
          <w:noProof/>
        </w:rPr>
        <w:br/>
        <w:t>Savienības finansiālais ieguldījums PRIMA</w:t>
      </w:r>
    </w:p>
    <w:p>
      <w:pPr>
        <w:pStyle w:val="ManualNumPar1"/>
        <w:rPr>
          <w:noProof/>
        </w:rPr>
      </w:pPr>
      <w:r>
        <w:t>1.</w:t>
      </w:r>
      <w:r>
        <w:tab/>
      </w:r>
      <w:r>
        <w:rPr>
          <w:noProof/>
        </w:rPr>
        <w:t xml:space="preserve">Savienības maksimālais finansiālais ieguldījums </w:t>
      </w:r>
      <w:r>
        <w:rPr>
          <w:i/>
          <w:noProof/>
        </w:rPr>
        <w:t>PRIMA</w:t>
      </w:r>
      <w:r>
        <w:rPr>
          <w:noProof/>
        </w:rPr>
        <w:t xml:space="preserve">, ieskaitot EBTA apropriācijas, ir EUR 200 000 000, lai vienādotu to ar iesaistīto valstu ieguldījumus. </w:t>
      </w:r>
    </w:p>
    <w:p>
      <w:pPr>
        <w:pStyle w:val="ManualNumPar1"/>
        <w:rPr>
          <w:noProof/>
        </w:rPr>
      </w:pPr>
      <w:r>
        <w:t>2.</w:t>
      </w:r>
      <w:r>
        <w:tab/>
      </w:r>
      <w:r>
        <w:rPr>
          <w:noProof/>
        </w:rPr>
        <w:t>Savienības finansiālo ieguldījumu izmaksā no apropriācijām Savienības vispārējā budžetā, kas piešķirtas attiecīgajām daļām īpašajā programmā, ar kuru īsteno programmu “Apvārsnis 2020”, kas izveidota ar Padomes Lēmumu 2013/743/ES</w:t>
      </w:r>
      <w:r>
        <w:rPr>
          <w:rStyle w:val="FootnoteReference"/>
          <w:noProof/>
        </w:rPr>
        <w:footnoteReference w:id="8"/>
      </w:r>
      <w:r>
        <w:rPr>
          <w:noProof/>
        </w:rPr>
        <w:t>, un jo īpaši no II daļas “Vadošā loma rūpniecībā” un III daļas “Sabiedrības problēmu risināšana” saskaņā ar 58. panta 1. punkta c) apakšpunkta vi) daļu un 60. un 61. pantu Regulā (ES, Euratom) Nr. 966/2012.</w:t>
      </w:r>
    </w:p>
    <w:p>
      <w:pPr>
        <w:pStyle w:val="ManualNumPar1"/>
        <w:rPr>
          <w:noProof/>
        </w:rPr>
      </w:pPr>
      <w:r>
        <w:t>3.</w:t>
      </w:r>
      <w:r>
        <w:tab/>
      </w:r>
      <w:r>
        <w:rPr>
          <w:noProof/>
        </w:rPr>
        <w:t xml:space="preserve">Savienības finansiālo ieguldījumu izmantos </w:t>
      </w:r>
      <w:r>
        <w:rPr>
          <w:i/>
          <w:noProof/>
        </w:rPr>
        <w:t>PRIMA</w:t>
      </w:r>
      <w:r>
        <w:rPr>
          <w:noProof/>
        </w:rPr>
        <w:t xml:space="preserve"> īstenošanas struktūra (“</w:t>
      </w:r>
      <w:r>
        <w:rPr>
          <w:i/>
          <w:noProof/>
        </w:rPr>
        <w:t xml:space="preserve">PRIMA </w:t>
      </w:r>
      <w:r>
        <w:rPr>
          <w:noProof/>
        </w:rPr>
        <w:t>ĪS”):</w:t>
      </w:r>
    </w:p>
    <w:p>
      <w:pPr>
        <w:pStyle w:val="Point0letter"/>
        <w:numPr>
          <w:ilvl w:val="1"/>
          <w:numId w:val="35"/>
        </w:numPr>
        <w:tabs>
          <w:tab w:val="clear" w:pos="850"/>
          <w:tab w:val="num" w:pos="1276"/>
        </w:tabs>
        <w:ind w:hanging="141"/>
        <w:rPr>
          <w:noProof/>
        </w:rPr>
      </w:pPr>
      <w:r>
        <w:rPr>
          <w:noProof/>
        </w:rPr>
        <w:t xml:space="preserve">lai finansētu darbības, kas minētas 6. panta 1. punkta a) apakšpunktā; </w:t>
      </w:r>
    </w:p>
    <w:p>
      <w:pPr>
        <w:pStyle w:val="Point0letter"/>
        <w:tabs>
          <w:tab w:val="clear" w:pos="850"/>
          <w:tab w:val="num" w:pos="1276"/>
        </w:tabs>
        <w:ind w:left="1276" w:hanging="567"/>
        <w:rPr>
          <w:noProof/>
        </w:rPr>
      </w:pPr>
      <w:r>
        <w:rPr>
          <w:noProof/>
        </w:rPr>
        <w:t xml:space="preserve">lai segtu </w:t>
      </w:r>
      <w:r>
        <w:rPr>
          <w:i/>
          <w:noProof/>
        </w:rPr>
        <w:t>PRIMA</w:t>
      </w:r>
      <w:r>
        <w:rPr>
          <w:noProof/>
        </w:rPr>
        <w:t xml:space="preserve"> ĪS administratīvās izmaksas ne vairāk kā 5 % apmērā no Savienības finansiālā ieguldījuma.</w:t>
      </w:r>
    </w:p>
    <w:p>
      <w:pPr>
        <w:pStyle w:val="Titrearticle"/>
        <w:rPr>
          <w:noProof/>
        </w:rPr>
      </w:pPr>
      <w:r>
        <w:rPr>
          <w:noProof/>
        </w:rPr>
        <w:t>4. pants</w:t>
      </w:r>
      <w:r>
        <w:rPr>
          <w:noProof/>
        </w:rPr>
        <w:br/>
        <w:t>Nosacījumi attiecībā uz Savienības finansiālo ieguldījumu PRIMA</w:t>
      </w:r>
    </w:p>
    <w:p>
      <w:pPr>
        <w:pStyle w:val="ManualNumPar1"/>
        <w:rPr>
          <w:noProof/>
        </w:rPr>
      </w:pPr>
      <w:r>
        <w:t>1.</w:t>
      </w:r>
      <w:r>
        <w:tab/>
      </w:r>
      <w:r>
        <w:rPr>
          <w:noProof/>
        </w:rPr>
        <w:t>Savienības finansiālā ieguldījuma nosacījumi ir šādi:</w:t>
      </w:r>
    </w:p>
    <w:p>
      <w:pPr>
        <w:pStyle w:val="Point1letter"/>
        <w:numPr>
          <w:ilvl w:val="3"/>
          <w:numId w:val="1"/>
        </w:numPr>
        <w:rPr>
          <w:noProof/>
        </w:rPr>
      </w:pPr>
      <w:r>
        <w:rPr>
          <w:noProof/>
        </w:rPr>
        <w:t xml:space="preserve">iesaistītās valstis ir apliecinājušas, ka </w:t>
      </w:r>
      <w:r>
        <w:rPr>
          <w:i/>
          <w:noProof/>
        </w:rPr>
        <w:t>PRIMA</w:t>
      </w:r>
      <w:r>
        <w:rPr>
          <w:noProof/>
        </w:rPr>
        <w:t xml:space="preserve"> ir izveidota saskaņā ar šajā lēmumā paredzētajiem noteikumiem;</w:t>
      </w:r>
    </w:p>
    <w:p>
      <w:pPr>
        <w:pStyle w:val="Point1letter"/>
        <w:numPr>
          <w:ilvl w:val="3"/>
          <w:numId w:val="1"/>
        </w:numPr>
        <w:rPr>
          <w:noProof/>
        </w:rPr>
      </w:pPr>
      <w:r>
        <w:rPr>
          <w:noProof/>
        </w:rPr>
        <w:t xml:space="preserve">iesaistītās valstis vai to norīkotās organizācijas ir iecēlušas publisko tiesību subjektu, kā minēts 58. panta 1. punkta c) apakšpunkta vi) punktā Regulā (ES, Euratom) Nr. 966/2012, kas rīkojas kā </w:t>
      </w:r>
      <w:r>
        <w:rPr>
          <w:i/>
          <w:noProof/>
        </w:rPr>
        <w:t>PRIMA</w:t>
      </w:r>
      <w:r>
        <w:rPr>
          <w:noProof/>
        </w:rPr>
        <w:t xml:space="preserve"> ĪS. </w:t>
      </w:r>
      <w:r>
        <w:rPr>
          <w:i/>
          <w:noProof/>
        </w:rPr>
        <w:t>PRIMA</w:t>
      </w:r>
      <w:r>
        <w:rPr>
          <w:noProof/>
        </w:rPr>
        <w:t xml:space="preserve"> ĪS atbild par efektīvu </w:t>
      </w:r>
      <w:r>
        <w:rPr>
          <w:i/>
          <w:noProof/>
        </w:rPr>
        <w:t xml:space="preserve">PRIMA </w:t>
      </w:r>
      <w:r>
        <w:rPr>
          <w:noProof/>
        </w:rPr>
        <w:t xml:space="preserve">īstenošanu, lai saņemtu piešķirtu un uzraudzītu Savienības finansiālo ieguldījumu, kā arī vajadzības gadījumā iesaistīto valstu </w:t>
      </w:r>
      <w:r>
        <w:rPr>
          <w:noProof/>
        </w:rPr>
        <w:lastRenderedPageBreak/>
        <w:t xml:space="preserve">ieguldījumu, un lai nodrošinātu, ka ir veikti visi nepieciešamie pasākumi </w:t>
      </w:r>
      <w:r>
        <w:rPr>
          <w:i/>
          <w:noProof/>
        </w:rPr>
        <w:t>PRIMA</w:t>
      </w:r>
      <w:r>
        <w:rPr>
          <w:noProof/>
        </w:rPr>
        <w:t xml:space="preserve"> mērķu sasniegšanai;</w:t>
      </w:r>
    </w:p>
    <w:p>
      <w:pPr>
        <w:pStyle w:val="Point1letter"/>
        <w:numPr>
          <w:ilvl w:val="3"/>
          <w:numId w:val="1"/>
        </w:numPr>
        <w:rPr>
          <w:noProof/>
        </w:rPr>
      </w:pPr>
      <w:r>
        <w:rPr>
          <w:noProof/>
        </w:rPr>
        <w:t xml:space="preserve">katra iesaistītā valsts ir apņēmusies piedalīties </w:t>
      </w:r>
      <w:r>
        <w:rPr>
          <w:i/>
          <w:noProof/>
        </w:rPr>
        <w:t>PRIMA</w:t>
      </w:r>
      <w:r>
        <w:rPr>
          <w:noProof/>
        </w:rPr>
        <w:t xml:space="preserve"> finansēšanā; </w:t>
      </w:r>
    </w:p>
    <w:p>
      <w:pPr>
        <w:pStyle w:val="Point1letter"/>
        <w:numPr>
          <w:ilvl w:val="3"/>
          <w:numId w:val="1"/>
        </w:numPr>
        <w:rPr>
          <w:noProof/>
        </w:rPr>
      </w:pPr>
      <w:r>
        <w:rPr>
          <w:i/>
          <w:noProof/>
        </w:rPr>
        <w:t>PRIMA</w:t>
      </w:r>
      <w:r>
        <w:rPr>
          <w:noProof/>
        </w:rPr>
        <w:t xml:space="preserve"> ĪS ir pierādījusi spēju īstenot </w:t>
      </w:r>
      <w:r>
        <w:rPr>
          <w:i/>
          <w:noProof/>
        </w:rPr>
        <w:t>PRIMA</w:t>
      </w:r>
      <w:r>
        <w:rPr>
          <w:noProof/>
        </w:rPr>
        <w:t>, tostarp saņemt, piešķirt un uzraudzīt Savienības ieguldījumu, īstenojot Savienības budžeta netiešu pārvaldību saskaņā ar Regulas (ES, Euratom) Nr. 966/2012 58., 60. un 61. pantu;</w:t>
      </w:r>
    </w:p>
    <w:p>
      <w:pPr>
        <w:pStyle w:val="Point1letter"/>
        <w:numPr>
          <w:ilvl w:val="3"/>
          <w:numId w:val="1"/>
        </w:numPr>
        <w:rPr>
          <w:noProof/>
        </w:rPr>
      </w:pPr>
      <w:r>
        <w:rPr>
          <w:noProof/>
        </w:rPr>
        <w:t xml:space="preserve">ir izveidots </w:t>
      </w:r>
      <w:r>
        <w:rPr>
          <w:i/>
          <w:noProof/>
        </w:rPr>
        <w:t>PRIMA</w:t>
      </w:r>
      <w:r>
        <w:rPr>
          <w:noProof/>
        </w:rPr>
        <w:t xml:space="preserve"> pārvaldības modelis saskaņā ar 12. pantu;</w:t>
      </w:r>
    </w:p>
    <w:p>
      <w:pPr>
        <w:pStyle w:val="Point1letter"/>
        <w:numPr>
          <w:ilvl w:val="3"/>
          <w:numId w:val="1"/>
        </w:numPr>
        <w:rPr>
          <w:noProof/>
        </w:rPr>
      </w:pPr>
      <w:r>
        <w:rPr>
          <w:noProof/>
        </w:rPr>
        <w:t xml:space="preserve">pēc apstiprinājuma saņemšanas no Komisijas </w:t>
      </w:r>
      <w:r>
        <w:rPr>
          <w:i/>
          <w:noProof/>
        </w:rPr>
        <w:t>PRIMA</w:t>
      </w:r>
      <w:r>
        <w:rPr>
          <w:noProof/>
        </w:rPr>
        <w:t xml:space="preserve"> ĪS ir pieņēmusi vispārējos principus, kas minēti 6. panta 6. punktā.</w:t>
      </w:r>
    </w:p>
    <w:p>
      <w:pPr>
        <w:pStyle w:val="ManualNumPar1"/>
        <w:rPr>
          <w:noProof/>
        </w:rPr>
      </w:pPr>
      <w:r>
        <w:t>2.</w:t>
      </w:r>
      <w:r>
        <w:tab/>
      </w:r>
      <w:r>
        <w:rPr>
          <w:i/>
          <w:noProof/>
        </w:rPr>
        <w:t>PRIMA</w:t>
      </w:r>
      <w:r>
        <w:rPr>
          <w:noProof/>
        </w:rPr>
        <w:t xml:space="preserve"> īstenošanas laikā Savienības finansiālajam ieguldījumam ir vēl šādi nosacījumi: </w:t>
      </w:r>
    </w:p>
    <w:p>
      <w:pPr>
        <w:pStyle w:val="Point1letter"/>
        <w:numPr>
          <w:ilvl w:val="3"/>
          <w:numId w:val="23"/>
        </w:numPr>
        <w:rPr>
          <w:noProof/>
        </w:rPr>
      </w:pPr>
      <w:r>
        <w:rPr>
          <w:i/>
          <w:noProof/>
        </w:rPr>
        <w:t>PRIMA</w:t>
      </w:r>
      <w:r>
        <w:rPr>
          <w:noProof/>
        </w:rPr>
        <w:t xml:space="preserve"> ĪS nodrošina 2. pantā izklāstīto mērķu īstenošanu un 6. pantā minēto darbību veikšanu;</w:t>
      </w:r>
    </w:p>
    <w:p>
      <w:pPr>
        <w:pStyle w:val="Point1letter"/>
        <w:numPr>
          <w:ilvl w:val="3"/>
          <w:numId w:val="1"/>
        </w:numPr>
        <w:rPr>
          <w:noProof/>
        </w:rPr>
      </w:pPr>
      <w:r>
        <w:rPr>
          <w:noProof/>
        </w:rPr>
        <w:t>tiek uzturēts atbilstīgs un efektīvs pārvaldības modelis saskaņā ar 12. pantu;</w:t>
      </w:r>
    </w:p>
    <w:p>
      <w:pPr>
        <w:pStyle w:val="Point1letter"/>
        <w:numPr>
          <w:ilvl w:val="3"/>
          <w:numId w:val="1"/>
        </w:numPr>
        <w:rPr>
          <w:noProof/>
        </w:rPr>
      </w:pPr>
      <w:r>
        <w:rPr>
          <w:i/>
          <w:noProof/>
        </w:rPr>
        <w:t>PRIMA</w:t>
      </w:r>
      <w:r>
        <w:rPr>
          <w:noProof/>
        </w:rPr>
        <w:t xml:space="preserve"> ĪS ievēro ziņošanas prasības, kas paredzētas 60. panta 5. punktā Regulā (ES, Euratom) Nr. 966/2012;</w:t>
      </w:r>
    </w:p>
    <w:p>
      <w:pPr>
        <w:pStyle w:val="Point1letter"/>
        <w:numPr>
          <w:ilvl w:val="3"/>
          <w:numId w:val="1"/>
        </w:numPr>
        <w:rPr>
          <w:noProof/>
        </w:rPr>
      </w:pPr>
      <w:r>
        <w:rPr>
          <w:noProof/>
        </w:rPr>
        <w:t xml:space="preserve">iesaistītās valstis ir izpildījušas 1. punkta c) apakšpunktā minētās saistības. </w:t>
      </w:r>
    </w:p>
    <w:p>
      <w:pPr>
        <w:pStyle w:val="ManualNumPar1"/>
        <w:rPr>
          <w:noProof/>
        </w:rPr>
      </w:pPr>
      <w:r>
        <w:t>3.</w:t>
      </w:r>
      <w:r>
        <w:tab/>
      </w:r>
      <w:r>
        <w:rPr>
          <w:noProof/>
        </w:rPr>
        <w:t>Komisija novērtē, vai ir izpildītas saistības, ko uzņēmušās iesaistītās valstis, jo īpaši, izmantojot pirmos divus</w:t>
      </w:r>
      <w:r>
        <w:rPr>
          <w:i/>
          <w:noProof/>
        </w:rPr>
        <w:t xml:space="preserve"> PRIMA </w:t>
      </w:r>
      <w:r>
        <w:rPr>
          <w:noProof/>
        </w:rPr>
        <w:t>gada darba plānus. Pēc šā novērtējuma saskaņā ar 9. pantu tiek pārskatīts 3. panta 1. punktā minētais Savienības maksimālais ieguldījums.</w:t>
      </w:r>
    </w:p>
    <w:p>
      <w:pPr>
        <w:pStyle w:val="Titrearticle"/>
        <w:rPr>
          <w:noProof/>
        </w:rPr>
      </w:pPr>
      <w:r>
        <w:rPr>
          <w:noProof/>
        </w:rPr>
        <w:t>5. pants</w:t>
      </w:r>
      <w:r>
        <w:rPr>
          <w:noProof/>
        </w:rPr>
        <w:br/>
        <w:t>Iesaistīto valstu ieguldījums PRIMA</w:t>
      </w:r>
    </w:p>
    <w:p>
      <w:pPr>
        <w:pStyle w:val="ManualNumPar1"/>
        <w:rPr>
          <w:noProof/>
        </w:rPr>
      </w:pPr>
      <w:r>
        <w:rPr>
          <w:noProof/>
        </w:rPr>
        <w:t>1.</w:t>
      </w:r>
      <w:r>
        <w:rPr>
          <w:noProof/>
        </w:rPr>
        <w:tab/>
        <w:t xml:space="preserve">Iesaistītās valstis veic finansiālus vai materiālus ieguldījumus vai nodrošina, ka tos veic to valsts finansēšanas struktūras, vismaz EUR 200 000 000 apmērā laikposmā no šā lēmuma stāšanās spēkā līdz 2028. gada 31. decembrim. </w:t>
      </w:r>
    </w:p>
    <w:p>
      <w:pPr>
        <w:pStyle w:val="ManualNumPar1"/>
        <w:rPr>
          <w:noProof/>
        </w:rPr>
      </w:pPr>
      <w:r>
        <w:rPr>
          <w:noProof/>
        </w:rPr>
        <w:t>2.</w:t>
      </w:r>
      <w:r>
        <w:rPr>
          <w:noProof/>
        </w:rPr>
        <w:tab/>
        <w:t>Iesaistīto valstu vai to valsts finansēšanas struktūru ieguldījumu veido:</w:t>
      </w:r>
    </w:p>
    <w:p>
      <w:pPr>
        <w:pStyle w:val="Point0letter"/>
        <w:numPr>
          <w:ilvl w:val="1"/>
          <w:numId w:val="20"/>
        </w:numPr>
        <w:tabs>
          <w:tab w:val="clear" w:pos="850"/>
          <w:tab w:val="left" w:pos="1418"/>
        </w:tabs>
        <w:ind w:left="1418" w:hanging="567"/>
        <w:rPr>
          <w:noProof/>
        </w:rPr>
      </w:pPr>
      <w:r>
        <w:rPr>
          <w:noProof/>
        </w:rPr>
        <w:t xml:space="preserve">vajadzības gadījumā finansiāli ieguldījumi </w:t>
      </w:r>
      <w:r>
        <w:rPr>
          <w:i/>
          <w:noProof/>
        </w:rPr>
        <w:t>PRIMA</w:t>
      </w:r>
      <w:r>
        <w:rPr>
          <w:noProof/>
        </w:rPr>
        <w:t xml:space="preserve"> ĪS, ņemot vērā 6. panta 1. punkta a) apakšpunktā minēto netiešo darbību finansēšanu; </w:t>
      </w:r>
    </w:p>
    <w:p>
      <w:pPr>
        <w:pStyle w:val="Point0letter"/>
        <w:numPr>
          <w:ilvl w:val="1"/>
          <w:numId w:val="20"/>
        </w:numPr>
        <w:tabs>
          <w:tab w:val="clear" w:pos="850"/>
          <w:tab w:val="left" w:pos="1418"/>
        </w:tabs>
        <w:ind w:left="1418" w:hanging="567"/>
        <w:rPr>
          <w:noProof/>
        </w:rPr>
      </w:pPr>
      <w:r>
        <w:rPr>
          <w:noProof/>
        </w:rPr>
        <w:t>finansiāli vai materiāli ieguldījumi 6. panta 1. punkta b) apakšpunktā minētajās īstenošanas darbībās;  un</w:t>
      </w:r>
    </w:p>
    <w:p>
      <w:pPr>
        <w:pStyle w:val="Point0letter"/>
        <w:numPr>
          <w:ilvl w:val="1"/>
          <w:numId w:val="20"/>
        </w:numPr>
        <w:tabs>
          <w:tab w:val="clear" w:pos="850"/>
          <w:tab w:val="left" w:pos="1418"/>
        </w:tabs>
        <w:ind w:left="1418" w:hanging="567"/>
        <w:rPr>
          <w:noProof/>
        </w:rPr>
      </w:pPr>
      <w:r>
        <w:rPr>
          <w:noProof/>
        </w:rPr>
        <w:t>finansiāls ieguldījums to</w:t>
      </w:r>
      <w:r>
        <w:rPr>
          <w:i/>
          <w:noProof/>
        </w:rPr>
        <w:t xml:space="preserve"> PRIMA </w:t>
      </w:r>
      <w:r>
        <w:rPr>
          <w:noProof/>
        </w:rPr>
        <w:t>ĪS administratīvo izmaksu segšanā, kuras netiek segtas no Savienības ieguldījuma, kā noteikts 3. panta 3. punkta b) apakšpunktā.</w:t>
      </w:r>
    </w:p>
    <w:p>
      <w:pPr>
        <w:pStyle w:val="ManualNumPar1"/>
        <w:rPr>
          <w:noProof/>
        </w:rPr>
      </w:pPr>
      <w:r>
        <w:rPr>
          <w:noProof/>
        </w:rPr>
        <w:t>3.</w:t>
      </w:r>
      <w:r>
        <w:rPr>
          <w:noProof/>
        </w:rPr>
        <w:tab/>
        <w:t>Šā panta 2. punkta b) apakšpunktā minētos materiālos ieguldījumus veido izmaksas, kas radušās iesaistītajām valstīm saistībā ar to valsts finansēšanas struktūru veiktajām īstenošanas darbībām, kuras minētas 6. panta 1. punkta b) apakšpunktā, atskaitot jebkādu Savienības tiešo vai netiešo ieguldījumu šo izmaksu segšanai.</w:t>
      </w:r>
    </w:p>
    <w:p>
      <w:pPr>
        <w:pStyle w:val="ManualNumPar1"/>
        <w:rPr>
          <w:noProof/>
        </w:rPr>
      </w:pPr>
      <w:r>
        <w:rPr>
          <w:noProof/>
        </w:rPr>
        <w:lastRenderedPageBreak/>
        <w:t>4.</w:t>
      </w:r>
      <w:r>
        <w:rPr>
          <w:noProof/>
        </w:rPr>
        <w:tab/>
        <w:t xml:space="preserve">Šā panta 2. punkta b) apakšpunktā minēto materiālo ieguldījumu novērtēšanas nolūkā izmaksas nosaka saskaņā ar iesaistīto valstu vai attiecīgo valsts finansēšanas struktūru parasto praksi, tās iesaistītās valsts piemērojamajiem grāmatvedības standartiem, kurā ir izveidotas valsts finansēšanas struktūras, kā arī saskaņā ar piemērojamajiem starptautiskajiem grāmatvedības standartiem/ starptautiskajiem finanšu pārskatu standartiem. Izmaksas apstiprina iesaistīto valstu vai attiecīgo valsts finansēšanas struktūru iecelts neatkarīgs revidents. Ja apstiprināšanas gaitā rodas jebkādas neskaidrības, vērtēšanas metodi var verificēt </w:t>
      </w:r>
      <w:r>
        <w:rPr>
          <w:i/>
          <w:noProof/>
        </w:rPr>
        <w:t xml:space="preserve">PRIMA </w:t>
      </w:r>
      <w:r>
        <w:rPr>
          <w:noProof/>
        </w:rPr>
        <w:t xml:space="preserve">ĪS. Ja neskaidrības saglabājas, revīziju var veikt </w:t>
      </w:r>
      <w:r>
        <w:rPr>
          <w:i/>
          <w:noProof/>
        </w:rPr>
        <w:t xml:space="preserve">PRIMA </w:t>
      </w:r>
      <w:r>
        <w:rPr>
          <w:noProof/>
        </w:rPr>
        <w:t>ĪS.</w:t>
      </w:r>
    </w:p>
    <w:p>
      <w:pPr>
        <w:pStyle w:val="ManualNumPar1"/>
        <w:rPr>
          <w:noProof/>
        </w:rPr>
      </w:pPr>
      <w:r>
        <w:rPr>
          <w:noProof/>
        </w:rPr>
        <w:t>5.</w:t>
      </w:r>
      <w:r>
        <w:rPr>
          <w:noProof/>
        </w:rPr>
        <w:tab/>
        <w:t xml:space="preserve">Šā panta 2. punkta a) un b) apakšpunktā minētos ieguldījumus, ko uzskata par iesaistīto valstu ieguldījumiem, veic pēc šā lēmuma stāšanās spēkā par darbībām, kas ietvertas </w:t>
      </w:r>
      <w:r>
        <w:rPr>
          <w:i/>
          <w:noProof/>
        </w:rPr>
        <w:t xml:space="preserve">PRIMA </w:t>
      </w:r>
      <w:r>
        <w:rPr>
          <w:noProof/>
        </w:rPr>
        <w:t xml:space="preserve">pirmajā gada darba plānā, un pēc tam, kad </w:t>
      </w:r>
      <w:r>
        <w:rPr>
          <w:i/>
          <w:noProof/>
        </w:rPr>
        <w:t xml:space="preserve">PRIMA </w:t>
      </w:r>
      <w:r>
        <w:rPr>
          <w:noProof/>
        </w:rPr>
        <w:t>ĪS ir pieņēmusi nākamos gada darba plānus.</w:t>
      </w:r>
    </w:p>
    <w:p>
      <w:pPr>
        <w:pStyle w:val="Titrearticle"/>
        <w:rPr>
          <w:noProof/>
        </w:rPr>
      </w:pPr>
      <w:r>
        <w:rPr>
          <w:noProof/>
        </w:rPr>
        <w:t>6. pants</w:t>
      </w:r>
      <w:r>
        <w:rPr>
          <w:noProof/>
        </w:rPr>
        <w:br/>
        <w:t xml:space="preserve">PRIMA darbības un īstenošana </w:t>
      </w:r>
    </w:p>
    <w:p>
      <w:pPr>
        <w:pStyle w:val="ManualNumPar1"/>
        <w:rPr>
          <w:noProof/>
        </w:rPr>
      </w:pPr>
      <w:r>
        <w:t>1.</w:t>
      </w:r>
      <w:r>
        <w:tab/>
      </w:r>
      <w:r>
        <w:rPr>
          <w:i/>
          <w:noProof/>
        </w:rPr>
        <w:t>PRIMA</w:t>
      </w:r>
      <w:r>
        <w:rPr>
          <w:noProof/>
        </w:rPr>
        <w:t xml:space="preserve"> atbalsta šādas darbības:</w:t>
      </w:r>
    </w:p>
    <w:p>
      <w:pPr>
        <w:pStyle w:val="Text1"/>
        <w:rPr>
          <w:noProof/>
        </w:rPr>
      </w:pPr>
      <w:r>
        <w:rPr>
          <w:noProof/>
        </w:rPr>
        <w:t xml:space="preserve">a) netiešas darbības Regulas (ES) Nr. 1290/2013 un Regulas (ES) Nr.1291/2013 nozīmē, ko finansē </w:t>
      </w:r>
      <w:r>
        <w:rPr>
          <w:i/>
          <w:noProof/>
        </w:rPr>
        <w:t xml:space="preserve">PRIMA </w:t>
      </w:r>
      <w:r>
        <w:rPr>
          <w:noProof/>
        </w:rPr>
        <w:t xml:space="preserve">ĪS saskaņā ar 7. pantu, galvenokārt dotāciju veidā, kas atklāta konkursa kārtībā atlasītas pēc starptautiskiem uzaicinājumiem iesniegt priekšlikumus, kurus organizē </w:t>
      </w:r>
      <w:r>
        <w:rPr>
          <w:i/>
          <w:noProof/>
        </w:rPr>
        <w:t xml:space="preserve">PRIMA </w:t>
      </w:r>
      <w:r>
        <w:rPr>
          <w:noProof/>
        </w:rPr>
        <w:t>ĪS, tostarp:</w:t>
      </w:r>
    </w:p>
    <w:p>
      <w:pPr>
        <w:pStyle w:val="Text1"/>
        <w:ind w:left="1440"/>
        <w:rPr>
          <w:noProof/>
        </w:rPr>
      </w:pPr>
      <w:r>
        <w:rPr>
          <w:noProof/>
        </w:rPr>
        <w:t>i) pētniecības un inovāciju darbības, kā arī inovācijas darbības, tostarp demonstrējumu pasākumus, eksperimentālās ražotnes, testēšanu, pirmskomercializācijas izmantojuma darbības, jo īpaši pievēršoties augstākiem tehnoloģiskās gatavības līmeņiem,</w:t>
      </w:r>
    </w:p>
    <w:p>
      <w:pPr>
        <w:pStyle w:val="Text1"/>
        <w:ind w:left="1440"/>
        <w:rPr>
          <w:noProof/>
        </w:rPr>
      </w:pPr>
      <w:r>
        <w:rPr>
          <w:noProof/>
        </w:rPr>
        <w:t xml:space="preserve">ii) koordinācijas un atbalsta darbības, kas vērstas uz izplatīšanas un informatīviem pasākumiem, lai veicinātu </w:t>
      </w:r>
      <w:r>
        <w:rPr>
          <w:i/>
          <w:noProof/>
        </w:rPr>
        <w:t>PRIMA</w:t>
      </w:r>
      <w:r>
        <w:rPr>
          <w:noProof/>
        </w:rPr>
        <w:t xml:space="preserve"> un palielinātu tās ietekmi;</w:t>
      </w:r>
    </w:p>
    <w:p>
      <w:pPr>
        <w:pStyle w:val="Text1"/>
        <w:rPr>
          <w:noProof/>
        </w:rPr>
      </w:pPr>
      <w:r>
        <w:rPr>
          <w:noProof/>
        </w:rPr>
        <w:t>b) darbības, ko finansē iesaistītās valstis, izmantojot savas valsts finansēšanas struktūras un bez Savienības ieguldījuma, aizvien vairāk pievēršoties arī augstākajiem tehnoloģiju gatavības līmeņiem, un ko veido:</w:t>
      </w:r>
    </w:p>
    <w:p>
      <w:pPr>
        <w:pStyle w:val="Text1"/>
        <w:ind w:left="1440"/>
        <w:rPr>
          <w:noProof/>
        </w:rPr>
      </w:pPr>
      <w:r>
        <w:rPr>
          <w:noProof/>
        </w:rPr>
        <w:t xml:space="preserve">i) darbības, kas atklāta konkursa kārtībā atlasītas pēc starptautiskiem uzaicinājumiem iesniegt priekšlikumus, kurus organizē </w:t>
      </w:r>
      <w:r>
        <w:rPr>
          <w:i/>
          <w:noProof/>
        </w:rPr>
        <w:t xml:space="preserve">PRIMA </w:t>
      </w:r>
      <w:r>
        <w:rPr>
          <w:noProof/>
        </w:rPr>
        <w:t>ĪS, un ko pārvalda valsts finansēšanas struktūras saskaņā ar iesaistīto valstu valsts programmām, sniedzot finansiālu atbalstu galvenokārt dotāciju veidā,</w:t>
      </w:r>
    </w:p>
    <w:p>
      <w:pPr>
        <w:pStyle w:val="Text1"/>
        <w:ind w:left="1440"/>
        <w:rPr>
          <w:noProof/>
        </w:rPr>
      </w:pPr>
      <w:r>
        <w:rPr>
          <w:noProof/>
        </w:rPr>
        <w:t>ii) darbības, īstenojot iesaistīto valstu valsts programmas.</w:t>
      </w:r>
    </w:p>
    <w:p>
      <w:pPr>
        <w:pStyle w:val="ManualNumPar1"/>
        <w:rPr>
          <w:noProof/>
        </w:rPr>
      </w:pPr>
      <w:r>
        <w:t>2.</w:t>
      </w:r>
      <w:r>
        <w:tab/>
      </w:r>
      <w:r>
        <w:rPr>
          <w:i/>
          <w:noProof/>
        </w:rPr>
        <w:t xml:space="preserve">PRIMA </w:t>
      </w:r>
      <w:r>
        <w:rPr>
          <w:noProof/>
        </w:rPr>
        <w:t xml:space="preserve">īsteno, pamatojoties uz gada darba plāniem, kuri pēc apstiprinājuma saņemšanas no Komisijas </w:t>
      </w:r>
      <w:r>
        <w:rPr>
          <w:i/>
          <w:noProof/>
        </w:rPr>
        <w:t xml:space="preserve">PRIMA </w:t>
      </w:r>
      <w:r>
        <w:rPr>
          <w:noProof/>
        </w:rPr>
        <w:t xml:space="preserve">ĪS jāpieņem  līdz iepriekšējā gada beigām. Izņēmuma kārtā </w:t>
      </w:r>
      <w:r>
        <w:rPr>
          <w:i/>
          <w:noProof/>
        </w:rPr>
        <w:t xml:space="preserve">PRIMA </w:t>
      </w:r>
      <w:r>
        <w:rPr>
          <w:noProof/>
        </w:rPr>
        <w:t xml:space="preserve">gada darba plānu 2018. gadam var pieņemt līdz 2018. gada 31. martam. </w:t>
      </w:r>
      <w:r>
        <w:rPr>
          <w:i/>
          <w:noProof/>
        </w:rPr>
        <w:t xml:space="preserve">PRIMA </w:t>
      </w:r>
      <w:r>
        <w:rPr>
          <w:noProof/>
        </w:rPr>
        <w:t>ĪS nodrošina gada darba plāna publisku pieejamību.</w:t>
      </w:r>
    </w:p>
    <w:p>
      <w:pPr>
        <w:pStyle w:val="ManualNumPar1"/>
        <w:rPr>
          <w:noProof/>
        </w:rPr>
      </w:pPr>
      <w:r>
        <w:t>3.</w:t>
      </w:r>
      <w:r>
        <w:tab/>
      </w:r>
      <w:r>
        <w:rPr>
          <w:noProof/>
        </w:rPr>
        <w:t xml:space="preserve">Darbības var finansēt, pamatojoties uz </w:t>
      </w:r>
      <w:r>
        <w:rPr>
          <w:i/>
          <w:noProof/>
        </w:rPr>
        <w:t>PRIMA</w:t>
      </w:r>
      <w:r>
        <w:rPr>
          <w:noProof/>
        </w:rPr>
        <w:t xml:space="preserve">, tikai tad, ja tās ir izklāstītas </w:t>
      </w:r>
      <w:r>
        <w:rPr>
          <w:i/>
          <w:noProof/>
        </w:rPr>
        <w:t>PRIMA</w:t>
      </w:r>
      <w:r>
        <w:rPr>
          <w:noProof/>
        </w:rPr>
        <w:t xml:space="preserve"> gada darba plānā. </w:t>
      </w:r>
      <w:r>
        <w:rPr>
          <w:i/>
          <w:noProof/>
        </w:rPr>
        <w:t>PRIMA</w:t>
      </w:r>
      <w:r>
        <w:rPr>
          <w:noProof/>
        </w:rPr>
        <w:t xml:space="preserve"> gada darba plānā izšķir 1. panta a) apakšpunktā minētās darbības, 1. panta b) apakšpunktā minētās darbības, kā arī </w:t>
      </w:r>
      <w:r>
        <w:rPr>
          <w:i/>
          <w:noProof/>
        </w:rPr>
        <w:t xml:space="preserve">PRIMA </w:t>
      </w:r>
      <w:r>
        <w:rPr>
          <w:noProof/>
        </w:rPr>
        <w:t xml:space="preserve">ĪS administratīvās izmaksas. Tas nodrošina atbilstīgo izdevumu tāmi, kā arī budžeta līdzekļu piešķiršanu darbībām, kuras tiek finansētas ar Savienības ieguldījumu, un darbībām, </w:t>
      </w:r>
      <w:r>
        <w:rPr>
          <w:noProof/>
        </w:rPr>
        <w:lastRenderedPageBreak/>
        <w:t xml:space="preserve">ko finansē iesaistītās valstis, izmantojot savas valsts finansēšanas struktūras un bez Savienības ieguldījuma. </w:t>
      </w:r>
      <w:r>
        <w:rPr>
          <w:i/>
          <w:noProof/>
        </w:rPr>
        <w:t>PRIMA</w:t>
      </w:r>
      <w:r>
        <w:rPr>
          <w:noProof/>
        </w:rPr>
        <w:t xml:space="preserve"> gada darba plāns ietver arī aplēsto vērtību iesaistīto valstu materiālajiem ieguldījumiem, kas minēti 5. panta 2. punkta b) apakšpunktā.</w:t>
      </w:r>
    </w:p>
    <w:p>
      <w:pPr>
        <w:pStyle w:val="ManualNumPar1"/>
        <w:rPr>
          <w:noProof/>
        </w:rPr>
      </w:pPr>
      <w:r>
        <w:t>4.</w:t>
      </w:r>
      <w:r>
        <w:tab/>
      </w:r>
      <w:r>
        <w:rPr>
          <w:noProof/>
        </w:rPr>
        <w:t xml:space="preserve">Pēdējās finansējamās darbības, tostarp uzaicinājumus iesniegt priekšlikumus, pamatojoties uz attiecīgajiem </w:t>
      </w:r>
      <w:r>
        <w:rPr>
          <w:i/>
          <w:noProof/>
        </w:rPr>
        <w:t>PRIMA</w:t>
      </w:r>
      <w:r>
        <w:rPr>
          <w:noProof/>
        </w:rPr>
        <w:t xml:space="preserve"> gada darba plāniem, uzsāk līdz 2024. gada 31. decembrim. Pienācīgi pamatotos gadījumos tās var uzsākt līdz 2025. gada 31. decembrim. </w:t>
      </w:r>
    </w:p>
    <w:p>
      <w:pPr>
        <w:pStyle w:val="ManualNumPar1"/>
        <w:rPr>
          <w:noProof/>
        </w:rPr>
      </w:pPr>
      <w:r>
        <w:t>5.</w:t>
      </w:r>
      <w:r>
        <w:tab/>
      </w:r>
      <w:r>
        <w:rPr>
          <w:noProof/>
        </w:rPr>
        <w:t xml:space="preserve">Darbības, ko finansē iesaistītās valstis, izmantojot savas valsts finansēšanas struktūras un bez Savienības ieguldījuma, var iekļaut </w:t>
      </w:r>
      <w:r>
        <w:rPr>
          <w:i/>
          <w:noProof/>
        </w:rPr>
        <w:t>PRIMA</w:t>
      </w:r>
      <w:r>
        <w:rPr>
          <w:noProof/>
        </w:rPr>
        <w:t xml:space="preserve"> gada darba plānā tikai pēc pozitīva vērtējuma, kas iegūts šo darbību starptautiskā, neatkarīgā salīdzinošajā izvērtēšanā attiecībā uz </w:t>
      </w:r>
      <w:r>
        <w:rPr>
          <w:i/>
          <w:noProof/>
        </w:rPr>
        <w:t>PRIMA</w:t>
      </w:r>
      <w:r>
        <w:rPr>
          <w:noProof/>
        </w:rPr>
        <w:t xml:space="preserve"> mērķiem, ko organizējusi </w:t>
      </w:r>
      <w:r>
        <w:rPr>
          <w:i/>
          <w:noProof/>
        </w:rPr>
        <w:t xml:space="preserve">PRIMA </w:t>
      </w:r>
      <w:r>
        <w:rPr>
          <w:noProof/>
        </w:rPr>
        <w:t>ĪS.</w:t>
      </w:r>
    </w:p>
    <w:p>
      <w:pPr>
        <w:pStyle w:val="ManualNumPar1"/>
        <w:rPr>
          <w:noProof/>
        </w:rPr>
      </w:pPr>
      <w:r>
        <w:t>6.</w:t>
      </w:r>
      <w:r>
        <w:tab/>
      </w:r>
      <w:r>
        <w:rPr>
          <w:i/>
          <w:noProof/>
        </w:rPr>
        <w:t>PRIMA</w:t>
      </w:r>
      <w:r>
        <w:rPr>
          <w:noProof/>
        </w:rPr>
        <w:t xml:space="preserve"> gada darba plānā ietvertās darbības, ko finansē iesaistītās valstis, izmantojot savas valsts finansēšanas struktūras un bez Savienības ieguldījuma, īsteno atbilstīgi </w:t>
      </w:r>
      <w:r>
        <w:rPr>
          <w:i/>
          <w:noProof/>
        </w:rPr>
        <w:t xml:space="preserve">PRIMA </w:t>
      </w:r>
      <w:r>
        <w:rPr>
          <w:noProof/>
        </w:rPr>
        <w:t xml:space="preserve">ĪS pieņemtajiem kopīgajiem principiem pēc Komisijas apstiprinājuma saņemšanas. Kopīgajos principos ņem vērā šajā lēmumā, Regulas (ES, </w:t>
      </w:r>
      <w:r>
        <w:rPr>
          <w:i/>
          <w:noProof/>
        </w:rPr>
        <w:t>Euratom</w:t>
      </w:r>
      <w:r>
        <w:rPr>
          <w:noProof/>
        </w:rPr>
        <w:t>) Nr. 966/2012 VI sadaļā un Regulā (ES) Nr. 1290/2013 paredzētos principus, jo īpaši vienlīdzīgas attieksmes, pārredzamības, neatkarīgas salīdzinošās izvērtēšanas un atlases principus. Turklāt pēc Komisijas apstiprinājuma saņemšanas</w:t>
      </w:r>
      <w:r>
        <w:rPr>
          <w:i/>
          <w:noProof/>
        </w:rPr>
        <w:t xml:space="preserve"> PRIMA </w:t>
      </w:r>
      <w:r>
        <w:rPr>
          <w:noProof/>
        </w:rPr>
        <w:t xml:space="preserve">ĪS pieņem prasības par iesaistīto valstu ziņojumu sniegšanu </w:t>
      </w:r>
      <w:r>
        <w:rPr>
          <w:i/>
          <w:noProof/>
        </w:rPr>
        <w:t xml:space="preserve">PRIMA </w:t>
      </w:r>
      <w:r>
        <w:rPr>
          <w:noProof/>
        </w:rPr>
        <w:t>ĪS, tostarp attiecībā uz rādītājiem, kas ietverti katrā no minētajām darbībām.</w:t>
      </w:r>
    </w:p>
    <w:p>
      <w:pPr>
        <w:pStyle w:val="ManualNumPar1"/>
        <w:rPr>
          <w:noProof/>
        </w:rPr>
      </w:pPr>
      <w:r>
        <w:t>7.</w:t>
      </w:r>
      <w:r>
        <w:tab/>
      </w:r>
      <w:r>
        <w:rPr>
          <w:noProof/>
        </w:rPr>
        <w:t xml:space="preserve">Darbības, kas minētas 1. punkta b) apakšpunkta i) punktā, kā arī 6. pantā minētie kopējie principi atbilst šādiem nosacījumiem: </w:t>
      </w:r>
    </w:p>
    <w:p>
      <w:pPr>
        <w:pStyle w:val="Text1"/>
        <w:ind w:left="1276" w:hanging="426"/>
        <w:rPr>
          <w:noProof/>
        </w:rPr>
      </w:pPr>
      <w:r>
        <w:rPr>
          <w:noProof/>
        </w:rPr>
        <w:t>a)</w:t>
      </w:r>
      <w:r>
        <w:rPr>
          <w:noProof/>
        </w:rPr>
        <w:tab/>
        <w:t>priekšlikumi attiecas uz starptautiskiem projektiem, kuros piedalās vismaz trīs neatkarīgi tiesību subjekti, kuri veic uzņēmējdarbību trīs dažādās iesaistītajās valstīs un no kuriem:</w:t>
      </w:r>
    </w:p>
    <w:p>
      <w:pPr>
        <w:pStyle w:val="Text1"/>
        <w:ind w:left="1843" w:hanging="425"/>
        <w:rPr>
          <w:noProof/>
        </w:rPr>
      </w:pPr>
      <w:r>
        <w:rPr>
          <w:noProof/>
        </w:rPr>
        <w:t>i)</w:t>
      </w:r>
      <w:r>
        <w:rPr>
          <w:noProof/>
        </w:rPr>
        <w:tab/>
        <w:t>viens veic uzņēmējdarbību dalībvalstī vai programmas “Apvārsnis 2020” asociētā valstī, un</w:t>
      </w:r>
    </w:p>
    <w:p>
      <w:pPr>
        <w:pStyle w:val="Text1"/>
        <w:ind w:left="1843" w:hanging="425"/>
        <w:rPr>
          <w:noProof/>
        </w:rPr>
      </w:pPr>
      <w:r>
        <w:rPr>
          <w:noProof/>
        </w:rPr>
        <w:t>ii)</w:t>
      </w:r>
      <w:r>
        <w:rPr>
          <w:noProof/>
        </w:rPr>
        <w:tab/>
        <w:t>viens veic uzņēmējdarbību trešā valstī, kas līdz termiņam, līdz kuram jāiesniedz attiecīgie uzaicinājumi iesniegt priekšlikumus, ir uzskatāma par iesaistīto valsti saskaņā ar šo lēmumu;</w:t>
      </w:r>
    </w:p>
    <w:p>
      <w:pPr>
        <w:pStyle w:val="Text1"/>
        <w:ind w:left="1276" w:hanging="426"/>
        <w:rPr>
          <w:noProof/>
        </w:rPr>
      </w:pPr>
      <w:r>
        <w:rPr>
          <w:noProof/>
        </w:rPr>
        <w:t>b)</w:t>
      </w:r>
      <w:r>
        <w:rPr>
          <w:noProof/>
        </w:rPr>
        <w:tab/>
        <w:t xml:space="preserve">priekšlikumus atlasa pēc starptautiska uzaicinājuma iesniegt priekšlikumus un izmantojot divu posmu procedūru; 1. posmā valsts vai starptautiskā līmenī izskata priekšlikumus, ko iesnieguši tiesību subjekti, kam ir tiesības saņemt finansējumu, pamatojoties uz attiecīgajām valsts programmām; 2. posmā veic vienu neatkarīgu starptautisko salīdzinošo izvērtēšanu, ko organizē </w:t>
      </w:r>
      <w:r>
        <w:rPr>
          <w:i/>
          <w:noProof/>
        </w:rPr>
        <w:t xml:space="preserve">PRIMA </w:t>
      </w:r>
      <w:r>
        <w:rPr>
          <w:noProof/>
        </w:rPr>
        <w:t>ĪS. 2. posmā priekšlikumus izvērtē ar vismaz trīs neatkarīgu ekspertu atbalstu, pamatojoties uz šādiem piešķiršanas kritērijiem: īstenošanas izcilība, ietekme, kvalitāte un efektivitāte;</w:t>
      </w:r>
    </w:p>
    <w:p>
      <w:pPr>
        <w:pStyle w:val="Text1"/>
        <w:ind w:left="1276" w:hanging="426"/>
        <w:rPr>
          <w:noProof/>
        </w:rPr>
      </w:pPr>
      <w:r>
        <w:rPr>
          <w:noProof/>
        </w:rPr>
        <w:t>c)</w:t>
      </w:r>
      <w:r>
        <w:rPr>
          <w:noProof/>
        </w:rPr>
        <w:tab/>
        <w:t xml:space="preserve">priekšlikumus sarindo pēc novērtēšanas rezultātiem. Atlasi veic </w:t>
      </w:r>
      <w:r>
        <w:rPr>
          <w:i/>
          <w:noProof/>
        </w:rPr>
        <w:t xml:space="preserve">PRIMA </w:t>
      </w:r>
      <w:r>
        <w:rPr>
          <w:noProof/>
        </w:rPr>
        <w:t>ĪS, pamatojoties uz šo sarindošanu. Iesaistītās valstis vienojas par piemērotu finansējuma veidu, kas ļauj palielināt to priekšlikumu skaitu, kuri jāfinansē, pamatojoties uz šo sarindošanu, jo īpaši nodrošinot rezerves summas valsts ieguldījumiem uzaicinājumos iesniegt priekšlikumus.</w:t>
      </w:r>
    </w:p>
    <w:p>
      <w:pPr>
        <w:pStyle w:val="ManualNumPar1"/>
        <w:rPr>
          <w:noProof/>
        </w:rPr>
      </w:pPr>
      <w:r>
        <w:lastRenderedPageBreak/>
        <w:t>8.</w:t>
      </w:r>
      <w:r>
        <w:tab/>
      </w:r>
      <w:r>
        <w:rPr>
          <w:i/>
          <w:noProof/>
        </w:rPr>
        <w:t xml:space="preserve">PRIMA </w:t>
      </w:r>
      <w:r>
        <w:rPr>
          <w:noProof/>
        </w:rPr>
        <w:t xml:space="preserve">ĪS uzrauga un ziņo Komisijai par visām darbībām, kas ir ietvertas </w:t>
      </w:r>
      <w:r>
        <w:rPr>
          <w:i/>
          <w:noProof/>
        </w:rPr>
        <w:t>PRIMA</w:t>
      </w:r>
      <w:r>
        <w:rPr>
          <w:noProof/>
        </w:rPr>
        <w:t xml:space="preserve"> gada darba plānā.</w:t>
      </w:r>
    </w:p>
    <w:p>
      <w:pPr>
        <w:pStyle w:val="ManualNumPar1"/>
        <w:rPr>
          <w:noProof/>
        </w:rPr>
      </w:pPr>
      <w:r>
        <w:t>9.</w:t>
      </w:r>
      <w:r>
        <w:tab/>
      </w:r>
      <w:r>
        <w:rPr>
          <w:noProof/>
        </w:rPr>
        <w:t xml:space="preserve">Uz visiem paziņojumiem vai publikācijām, kas ir saistītas ar </w:t>
      </w:r>
      <w:r>
        <w:rPr>
          <w:i/>
          <w:noProof/>
        </w:rPr>
        <w:t>PRIMA</w:t>
      </w:r>
      <w:r>
        <w:rPr>
          <w:noProof/>
        </w:rPr>
        <w:t xml:space="preserve"> darbībām un ir veiktas sadarbībā ar</w:t>
      </w:r>
      <w:r>
        <w:rPr>
          <w:i/>
          <w:noProof/>
        </w:rPr>
        <w:t xml:space="preserve"> PRIMA</w:t>
      </w:r>
      <w:r>
        <w:rPr>
          <w:noProof/>
        </w:rPr>
        <w:t xml:space="preserve">, neatkarīgi no tā, vai tās ir veikusi </w:t>
      </w:r>
      <w:r>
        <w:rPr>
          <w:i/>
          <w:noProof/>
        </w:rPr>
        <w:t xml:space="preserve">PRIMA </w:t>
      </w:r>
      <w:r>
        <w:rPr>
          <w:noProof/>
        </w:rPr>
        <w:t xml:space="preserve">ĪS, iesaistītā valsts vai tās valsts finansēšanas struktūras, vai darbības dalībnieki, ir šāda norāde vai papildus norāde: “[darbības nosaukums] ir daļa no Eiropas Savienības atbalstītās </w:t>
      </w:r>
      <w:r>
        <w:rPr>
          <w:i/>
          <w:noProof/>
        </w:rPr>
        <w:t>PRIMA</w:t>
      </w:r>
      <w:r>
        <w:rPr>
          <w:noProof/>
        </w:rPr>
        <w:t xml:space="preserve"> programmas”.</w:t>
      </w:r>
    </w:p>
    <w:p>
      <w:pPr>
        <w:pStyle w:val="Titrearticle"/>
        <w:rPr>
          <w:noProof/>
        </w:rPr>
      </w:pPr>
      <w:r>
        <w:rPr>
          <w:noProof/>
        </w:rPr>
        <w:t>7. pants</w:t>
      </w:r>
      <w:r>
        <w:rPr>
          <w:noProof/>
        </w:rPr>
        <w:br/>
        <w:t>Dalības un izplatīšanas noteikumi</w:t>
      </w:r>
    </w:p>
    <w:p>
      <w:pPr>
        <w:pStyle w:val="ManualNumPar1"/>
        <w:rPr>
          <w:noProof/>
        </w:rPr>
      </w:pPr>
      <w:r>
        <w:t>1.</w:t>
      </w:r>
      <w:r>
        <w:tab/>
      </w:r>
      <w:r>
        <w:rPr>
          <w:i/>
          <w:noProof/>
        </w:rPr>
        <w:t xml:space="preserve">PRIMA </w:t>
      </w:r>
      <w:r>
        <w:rPr>
          <w:noProof/>
        </w:rPr>
        <w:t>ĪS uzskata par finansēšanas struktūru Regulas (ES) Nr. 1290/2013 nozīmē, un tā sniedz finansiālu atbalstu šā lēmuma 6. panta 1. punkta a) apakšpunktā minētajām netiešajām darbībām saskaņā ar minētajā regulā paredzētajiem noteikumiem, ievērojot šajā pantā paredzētās atkāpes.</w:t>
      </w:r>
      <w:r>
        <w:rPr>
          <w:noProof/>
          <w:color w:val="000000"/>
        </w:rPr>
        <w:t xml:space="preserve"> </w:t>
      </w:r>
    </w:p>
    <w:p>
      <w:pPr>
        <w:pStyle w:val="ManualNumPar1"/>
        <w:rPr>
          <w:noProof/>
        </w:rPr>
      </w:pPr>
      <w:r>
        <w:t>2.</w:t>
      </w:r>
      <w:r>
        <w:tab/>
      </w:r>
      <w:r>
        <w:rPr>
          <w:noProof/>
        </w:rPr>
        <w:t xml:space="preserve">Atkāpjoties no Regulas (ES) Nr. 1290/2013 9. panta 1. punkta b) apakšpunkta, minimālais dalībnieku skaits ir trīs tiesību subjekti, kuri veic uzņēmējdarbību trīs dažādās iesaistītajās valstīs un no kuriem: </w:t>
      </w:r>
    </w:p>
    <w:p>
      <w:pPr>
        <w:pStyle w:val="Text1"/>
        <w:ind w:left="1276" w:hanging="426"/>
        <w:rPr>
          <w:noProof/>
        </w:rPr>
      </w:pPr>
      <w:r>
        <w:rPr>
          <w:noProof/>
        </w:rPr>
        <w:t>a)</w:t>
      </w:r>
      <w:r>
        <w:rPr>
          <w:noProof/>
        </w:rPr>
        <w:tab/>
        <w:t xml:space="preserve">viens veic uzņēmējdarbību dalībvalstī vai programmas “Apvārsnis 2020” asociētā valstī; un </w:t>
      </w:r>
    </w:p>
    <w:p>
      <w:pPr>
        <w:pStyle w:val="Text1"/>
        <w:ind w:left="1276" w:hanging="426"/>
        <w:rPr>
          <w:noProof/>
        </w:rPr>
      </w:pPr>
      <w:r>
        <w:rPr>
          <w:noProof/>
        </w:rPr>
        <w:t>b)</w:t>
      </w:r>
      <w:r>
        <w:rPr>
          <w:noProof/>
        </w:rPr>
        <w:tab/>
        <w:t>viens veic uzņēmējdarbību trešā valstī, kas līdz termiņam, līdz kuram jāiesniedz attiecīgie uzaicinājumi iesniegt priekšlikumus, ir uzskatāma par iesaistīto valsti saskaņā ar šo lēmumu.</w:t>
      </w:r>
    </w:p>
    <w:p>
      <w:pPr>
        <w:pStyle w:val="ManualNumPar1"/>
        <w:rPr>
          <w:noProof/>
        </w:rPr>
      </w:pPr>
      <w:r>
        <w:t>3.</w:t>
      </w:r>
      <w:r>
        <w:tab/>
      </w:r>
      <w:r>
        <w:rPr>
          <w:noProof/>
        </w:rPr>
        <w:t xml:space="preserve">Atkāpjoties no Regulas (ES) Nr. 1290/2013 9. panta 3. punkta, pienācīgi pamatotos gadījumos, kas ir paredzēti </w:t>
      </w:r>
      <w:r>
        <w:rPr>
          <w:i/>
          <w:noProof/>
        </w:rPr>
        <w:t>PRIMA</w:t>
      </w:r>
      <w:r>
        <w:rPr>
          <w:noProof/>
        </w:rPr>
        <w:t xml:space="preserve"> gada darba plānā, minimālais nosacījums ir tāda viena tiesību subjekta dalība, kas veic uzņēmējdarbību iesaistītā valstī, kura ir dalībvalsts, “Apvāršņa 2020” asociētā valsts vai trešā valsts, kas līdz termiņam, līdz kuram jāiesniedz attiecīgie uzaicinājumi iesniegt priekšlikumus, ir uzskatāma par iesaistīto valsti saskaņā ar šo lēmumu.</w:t>
      </w:r>
    </w:p>
    <w:p>
      <w:pPr>
        <w:pStyle w:val="ManualNumPar1"/>
        <w:rPr>
          <w:noProof/>
        </w:rPr>
      </w:pPr>
      <w:r>
        <w:t>4.</w:t>
      </w:r>
      <w:r>
        <w:tab/>
      </w:r>
      <w:r>
        <w:rPr>
          <w:noProof/>
        </w:rPr>
        <w:t>Papildus dalībniekiem, kuri ir tiesīgi saņemt finansējumu, pamatojoties uz Regulas (ES) Nr. 1290/2013 10. panta 1. punktu, tiesības saņemt finansējumu ir jebkuram tiesību subjektam, kas veic uzņēmējdarbību iesaistītajā valstī.</w:t>
      </w:r>
    </w:p>
    <w:p>
      <w:pPr>
        <w:pStyle w:val="ManualNumPar1"/>
        <w:rPr>
          <w:noProof/>
        </w:rPr>
      </w:pPr>
      <w:r>
        <w:t>5.</w:t>
      </w:r>
      <w:r>
        <w:tab/>
      </w:r>
      <w:r>
        <w:rPr>
          <w:noProof/>
        </w:rPr>
        <w:t xml:space="preserve">Atkāpjoties no Regulas (ES) Nr. 1290/2013 12. panta, ja šāda darbība ir iekļauta </w:t>
      </w:r>
      <w:r>
        <w:rPr>
          <w:i/>
          <w:noProof/>
        </w:rPr>
        <w:t>PRIMA</w:t>
      </w:r>
      <w:r>
        <w:rPr>
          <w:noProof/>
        </w:rPr>
        <w:t xml:space="preserve"> gada darba plānā, </w:t>
      </w:r>
      <w:r>
        <w:rPr>
          <w:i/>
          <w:noProof/>
        </w:rPr>
        <w:t xml:space="preserve">PRIMA </w:t>
      </w:r>
      <w:r>
        <w:rPr>
          <w:noProof/>
        </w:rPr>
        <w:t>ĪS var izsludināt uzaicinājumus kopā ar trešām valstīm, kuras nav iesaistītās valstis, vai to zinātniskām un tehnoloģiju organizācijām un aģentūrām, ar starptautiskām organizācijām vai citām trešām personām, jo īpaši ar nevalstiskajām organizācijām saskaņā ar noteikumiem, kas paredzēti Regulas (ES) Nr. 1290/2013 12. pantā.</w:t>
      </w:r>
    </w:p>
    <w:p>
      <w:pPr>
        <w:pStyle w:val="Titrearticle"/>
        <w:rPr>
          <w:noProof/>
        </w:rPr>
      </w:pPr>
      <w:r>
        <w:rPr>
          <w:noProof/>
        </w:rPr>
        <w:t>8. pants</w:t>
      </w:r>
      <w:r>
        <w:rPr>
          <w:noProof/>
        </w:rPr>
        <w:br/>
        <w:t xml:space="preserve">Nolīgumi starp Savienību un PRIMA ĪS </w:t>
      </w:r>
    </w:p>
    <w:p>
      <w:pPr>
        <w:pStyle w:val="ManualNumPar1"/>
        <w:rPr>
          <w:noProof/>
        </w:rPr>
      </w:pPr>
      <w:r>
        <w:t>1.</w:t>
      </w:r>
      <w:r>
        <w:tab/>
      </w:r>
      <w:r>
        <w:rPr>
          <w:noProof/>
        </w:rPr>
        <w:t xml:space="preserve">Ja par </w:t>
      </w:r>
      <w:r>
        <w:rPr>
          <w:i/>
          <w:noProof/>
        </w:rPr>
        <w:t xml:space="preserve">PRIMA </w:t>
      </w:r>
      <w:r>
        <w:rPr>
          <w:noProof/>
        </w:rPr>
        <w:t xml:space="preserve">ĪS saņemts pozitīvs </w:t>
      </w:r>
      <w:r>
        <w:rPr>
          <w:i/>
          <w:noProof/>
        </w:rPr>
        <w:t>ex-ante</w:t>
      </w:r>
      <w:r>
        <w:rPr>
          <w:noProof/>
        </w:rPr>
        <w:t xml:space="preserve"> novērtējums saskaņā ar Regulas (ES, Euratom) Nr. 966/2012 61. panta 1. punktu un piešķirtas pietiekamas finanšu garantijas saskaņā ar 58. panta 1. punkta c) apakšpunkta vi) punktu, Komisija </w:t>
      </w:r>
      <w:r>
        <w:rPr>
          <w:noProof/>
        </w:rPr>
        <w:lastRenderedPageBreak/>
        <w:t xml:space="preserve">Savienības vārdā ar </w:t>
      </w:r>
      <w:r>
        <w:rPr>
          <w:i/>
          <w:noProof/>
        </w:rPr>
        <w:t xml:space="preserve">PRIMA </w:t>
      </w:r>
      <w:r>
        <w:rPr>
          <w:noProof/>
        </w:rPr>
        <w:t>ĪS slēdz deleģēšanas nolīgumu un nolīgumus par ikgadējiem naudas līdzekļu pārskaitījumiem .</w:t>
      </w:r>
    </w:p>
    <w:p>
      <w:pPr>
        <w:pStyle w:val="ManualNumPar1"/>
        <w:rPr>
          <w:noProof/>
        </w:rPr>
      </w:pPr>
      <w:r>
        <w:t>2.</w:t>
      </w:r>
      <w:r>
        <w:tab/>
      </w:r>
      <w:r>
        <w:rPr>
          <w:noProof/>
        </w:rPr>
        <w:t>Šā panta 1. punktā minēto deleģēšanas nolīgumu slēdz saskaņā ar Regulas (ES, Euratom) Nr. 966/2012 58. panta 3. punktu un 60. un 61. pantu un Komisijas Deleģētās regulas (ES) Nr. 1268/2012 40. pantu. Tajā arī cita starpā paredz:</w:t>
      </w:r>
    </w:p>
    <w:p>
      <w:pPr>
        <w:pStyle w:val="Text1"/>
        <w:ind w:left="1418" w:hanging="567"/>
        <w:rPr>
          <w:noProof/>
        </w:rPr>
      </w:pPr>
      <w:r>
        <w:rPr>
          <w:noProof/>
        </w:rPr>
        <w:t>a)</w:t>
      </w:r>
      <w:r>
        <w:rPr>
          <w:noProof/>
        </w:rPr>
        <w:tab/>
        <w:t xml:space="preserve">prasības attiecībā uz </w:t>
      </w:r>
      <w:r>
        <w:rPr>
          <w:i/>
          <w:noProof/>
        </w:rPr>
        <w:t xml:space="preserve">PRIMA </w:t>
      </w:r>
      <w:r>
        <w:rPr>
          <w:noProof/>
        </w:rPr>
        <w:t>ĪS ieguldījumu saistībā ar rezultātu rādītājiem, kas paredzēti Lēmuma 2013/743/ES II pielikumā;</w:t>
      </w:r>
    </w:p>
    <w:p>
      <w:pPr>
        <w:pStyle w:val="Text1"/>
        <w:ind w:left="1418" w:hanging="567"/>
        <w:rPr>
          <w:noProof/>
        </w:rPr>
      </w:pPr>
      <w:r>
        <w:rPr>
          <w:noProof/>
        </w:rPr>
        <w:t>b)</w:t>
      </w:r>
      <w:r>
        <w:rPr>
          <w:noProof/>
        </w:rPr>
        <w:tab/>
        <w:t xml:space="preserve">prasības attiecībā uz </w:t>
      </w:r>
      <w:r>
        <w:rPr>
          <w:i/>
          <w:noProof/>
        </w:rPr>
        <w:t xml:space="preserve">PRIMA </w:t>
      </w:r>
      <w:r>
        <w:rPr>
          <w:noProof/>
        </w:rPr>
        <w:t xml:space="preserve">ĪS ieguldījumu uzraudzībā, kā minēts Lēmuma 2013/743/ES III pielikumā; </w:t>
      </w:r>
    </w:p>
    <w:p>
      <w:pPr>
        <w:pStyle w:val="Text1"/>
        <w:ind w:left="1418" w:hanging="567"/>
        <w:rPr>
          <w:noProof/>
        </w:rPr>
      </w:pPr>
      <w:r>
        <w:rPr>
          <w:noProof/>
        </w:rPr>
        <w:t>c)</w:t>
      </w:r>
      <w:r>
        <w:rPr>
          <w:noProof/>
        </w:rPr>
        <w:tab/>
        <w:t xml:space="preserve">ar </w:t>
      </w:r>
      <w:r>
        <w:rPr>
          <w:i/>
          <w:noProof/>
        </w:rPr>
        <w:t xml:space="preserve">PRIMA </w:t>
      </w:r>
      <w:r>
        <w:rPr>
          <w:noProof/>
        </w:rPr>
        <w:t>ĪS darbību saistītos īpašos rezultātu rādītājus;</w:t>
      </w:r>
    </w:p>
    <w:p>
      <w:pPr>
        <w:pStyle w:val="Text1"/>
        <w:ind w:left="1418" w:hanging="567"/>
        <w:rPr>
          <w:noProof/>
        </w:rPr>
      </w:pPr>
      <w:r>
        <w:rPr>
          <w:noProof/>
        </w:rPr>
        <w:t>d)</w:t>
      </w:r>
      <w:r>
        <w:rPr>
          <w:noProof/>
        </w:rPr>
        <w:tab/>
        <w:t xml:space="preserve">prasības </w:t>
      </w:r>
      <w:r>
        <w:rPr>
          <w:i/>
          <w:noProof/>
        </w:rPr>
        <w:t xml:space="preserve">PRIMA </w:t>
      </w:r>
      <w:r>
        <w:rPr>
          <w:noProof/>
        </w:rPr>
        <w:t xml:space="preserve">ĪS par to, kā sniedzama informācija par administratīvajām izmaksām un detalizēti skaitļi saistībā ar </w:t>
      </w:r>
      <w:r>
        <w:rPr>
          <w:i/>
          <w:noProof/>
        </w:rPr>
        <w:t xml:space="preserve">PRIMA </w:t>
      </w:r>
      <w:r>
        <w:rPr>
          <w:noProof/>
        </w:rPr>
        <w:t>īstenošanu;</w:t>
      </w:r>
    </w:p>
    <w:p>
      <w:pPr>
        <w:pStyle w:val="Text1"/>
        <w:ind w:left="1418" w:hanging="567"/>
        <w:rPr>
          <w:noProof/>
        </w:rPr>
      </w:pPr>
      <w:r>
        <w:rPr>
          <w:noProof/>
        </w:rPr>
        <w:t>e)</w:t>
      </w:r>
      <w:r>
        <w:rPr>
          <w:noProof/>
        </w:rPr>
        <w:tab/>
        <w:t>kārtību, kādā sniedzami dati, kas nepieciešami, lai nodrošinātu, ka Komisija var izpildīt savas izplatīšanas un paziņošanas saistības;</w:t>
      </w:r>
    </w:p>
    <w:p>
      <w:pPr>
        <w:pStyle w:val="Text1"/>
        <w:ind w:left="1418" w:hanging="567"/>
        <w:rPr>
          <w:noProof/>
        </w:rPr>
      </w:pPr>
      <w:r>
        <w:rPr>
          <w:noProof/>
        </w:rPr>
        <w:t>f)</w:t>
      </w:r>
      <w:r>
        <w:rPr>
          <w:noProof/>
        </w:rPr>
        <w:tab/>
        <w:t xml:space="preserve">kārtību, kādā Komisija apstiprina vai noraida </w:t>
      </w:r>
      <w:r>
        <w:rPr>
          <w:i/>
          <w:noProof/>
        </w:rPr>
        <w:t>PRIMA</w:t>
      </w:r>
      <w:r>
        <w:rPr>
          <w:noProof/>
        </w:rPr>
        <w:t xml:space="preserve"> gada darba plāna projektu, 6. panta 6. punktā minētos kopējos principus un iesaistīto valstu ziņošanas prasības, pirms tos pieņem </w:t>
      </w:r>
      <w:r>
        <w:rPr>
          <w:i/>
          <w:noProof/>
        </w:rPr>
        <w:t xml:space="preserve">PRIMA </w:t>
      </w:r>
      <w:r>
        <w:rPr>
          <w:noProof/>
        </w:rPr>
        <w:t>ĪS; un</w:t>
      </w:r>
    </w:p>
    <w:p>
      <w:pPr>
        <w:pStyle w:val="Text1"/>
        <w:ind w:left="1418" w:hanging="567"/>
        <w:rPr>
          <w:noProof/>
        </w:rPr>
      </w:pPr>
      <w:r>
        <w:rPr>
          <w:noProof/>
        </w:rPr>
        <w:t>g)</w:t>
      </w:r>
      <w:r>
        <w:rPr>
          <w:noProof/>
        </w:rPr>
        <w:tab/>
        <w:t xml:space="preserve">noteikumus par to, kā </w:t>
      </w:r>
      <w:r>
        <w:rPr>
          <w:i/>
          <w:noProof/>
        </w:rPr>
        <w:t xml:space="preserve">PRIMA </w:t>
      </w:r>
      <w:r>
        <w:rPr>
          <w:noProof/>
        </w:rPr>
        <w:t>ĪS publisko uzaicinājumus iesniegt priekšlikumus, proti, dalībniekiem paredzētā vienotā portālā, kā arī, izmantojot “Apvāršņa 2020” elektroniskos informācijas līdzekļus, ko pārvalda Komisija.</w:t>
      </w:r>
    </w:p>
    <w:p>
      <w:pPr>
        <w:pStyle w:val="Titrearticle"/>
        <w:rPr>
          <w:noProof/>
        </w:rPr>
      </w:pPr>
      <w:r>
        <w:rPr>
          <w:noProof/>
        </w:rPr>
        <w:t>9. pants</w:t>
      </w:r>
      <w:r>
        <w:rPr>
          <w:noProof/>
        </w:rPr>
        <w:br/>
        <w:t>Savienības finansiālā ieguldījuma izbeigšana, samazināšana vai apturēšana</w:t>
      </w:r>
    </w:p>
    <w:p>
      <w:pPr>
        <w:pStyle w:val="ManualNumPar1"/>
        <w:rPr>
          <w:noProof/>
        </w:rPr>
      </w:pPr>
      <w:r>
        <w:t>1.</w:t>
      </w:r>
      <w:r>
        <w:tab/>
      </w:r>
      <w:r>
        <w:rPr>
          <w:noProof/>
        </w:rPr>
        <w:t xml:space="preserve">Ja </w:t>
      </w:r>
      <w:r>
        <w:rPr>
          <w:i/>
          <w:noProof/>
        </w:rPr>
        <w:t>PRIMA</w:t>
      </w:r>
      <w:r>
        <w:rPr>
          <w:noProof/>
        </w:rPr>
        <w:t xml:space="preserve"> netiek īstenota vai tiek īstenota nepienācīgi, daļēji vai novēloti, Komisija var izbeigt, proporcionāli samazināt vai apturēt Savienības finansiālo ieguldījumu atbilstīgi </w:t>
      </w:r>
      <w:r>
        <w:rPr>
          <w:i/>
          <w:noProof/>
        </w:rPr>
        <w:t xml:space="preserve">PRIMA </w:t>
      </w:r>
      <w:r>
        <w:rPr>
          <w:noProof/>
        </w:rPr>
        <w:t>faktiskajai īstenošanai.</w:t>
      </w:r>
    </w:p>
    <w:p>
      <w:pPr>
        <w:pStyle w:val="ManualNumPar1"/>
        <w:rPr>
          <w:noProof/>
        </w:rPr>
      </w:pPr>
      <w:r>
        <w:t>2.</w:t>
      </w:r>
      <w:r>
        <w:tab/>
      </w:r>
      <w:r>
        <w:rPr>
          <w:noProof/>
        </w:rPr>
        <w:t xml:space="preserve">Ja iesaistītās valstis neveic ieguldījumu </w:t>
      </w:r>
      <w:r>
        <w:rPr>
          <w:i/>
          <w:noProof/>
        </w:rPr>
        <w:t xml:space="preserve">PRIMA </w:t>
      </w:r>
      <w:r>
        <w:rPr>
          <w:noProof/>
        </w:rPr>
        <w:t xml:space="preserve">finansēšanā, vai veic to tikai daļēji vai novēloti, Komisija var izbeigt, proporcionāli samazināt vai apturēt Savienības finanšu ieguldījumu, ņemot vērā iesaistīto valstu piešķirto finansējumu </w:t>
      </w:r>
      <w:r>
        <w:rPr>
          <w:i/>
          <w:noProof/>
        </w:rPr>
        <w:t>PRIMA</w:t>
      </w:r>
      <w:r>
        <w:rPr>
          <w:noProof/>
        </w:rPr>
        <w:t xml:space="preserve"> īstenošanai. </w:t>
      </w:r>
    </w:p>
    <w:p>
      <w:pPr>
        <w:pStyle w:val="Titrearticle"/>
        <w:rPr>
          <w:noProof/>
        </w:rPr>
      </w:pPr>
      <w:r>
        <w:rPr>
          <w:noProof/>
        </w:rPr>
        <w:t>10. pants</w:t>
      </w:r>
      <w:r>
        <w:rPr>
          <w:noProof/>
        </w:rPr>
        <w:br/>
        <w:t xml:space="preserve">Ex post revīzijas </w:t>
      </w:r>
    </w:p>
    <w:p>
      <w:pPr>
        <w:pStyle w:val="ManualNumPar1"/>
        <w:rPr>
          <w:noProof/>
        </w:rPr>
      </w:pPr>
      <w:r>
        <w:rPr>
          <w:noProof/>
        </w:rPr>
        <w:t>1.</w:t>
      </w:r>
      <w:r>
        <w:rPr>
          <w:noProof/>
        </w:rPr>
        <w:tab/>
      </w:r>
      <w:r>
        <w:rPr>
          <w:i/>
          <w:noProof/>
        </w:rPr>
        <w:t xml:space="preserve">Ex post </w:t>
      </w:r>
      <w:r>
        <w:rPr>
          <w:noProof/>
        </w:rPr>
        <w:t xml:space="preserve">revīzijas par šā lēmuma 6. panta 1. punkta a) apakšpunktā minēto netiešo darbību izdevumiem veic </w:t>
      </w:r>
      <w:r>
        <w:rPr>
          <w:i/>
          <w:noProof/>
        </w:rPr>
        <w:t xml:space="preserve">PRIMA </w:t>
      </w:r>
      <w:r>
        <w:rPr>
          <w:noProof/>
        </w:rPr>
        <w:t xml:space="preserve">ĪS saskaņā ar Regulas (ES) Nr. 1291/2013 29. pantu. </w:t>
      </w:r>
    </w:p>
    <w:p>
      <w:pPr>
        <w:pStyle w:val="ManualNumPar1"/>
        <w:rPr>
          <w:noProof/>
        </w:rPr>
      </w:pPr>
      <w:r>
        <w:rPr>
          <w:noProof/>
        </w:rPr>
        <w:t>2.</w:t>
      </w:r>
      <w:r>
        <w:rPr>
          <w:noProof/>
        </w:rPr>
        <w:tab/>
        <w:t>Komisija var nolemt 1. punktā minētās revīzijas veikt pati. Šādos gadījumos Komisija to dara saskaņā ar piemērojamiem noteikumiem, jo īpaši saskaņā ar Regulu (ES, Euratom) Nr. 966/2012, (ES) Nr. 1291/2013 un (ES) Nr. 1290/2013 noteikumiem.</w:t>
      </w:r>
    </w:p>
    <w:p>
      <w:pPr>
        <w:pStyle w:val="Titrearticle"/>
        <w:rPr>
          <w:noProof/>
        </w:rPr>
      </w:pPr>
      <w:r>
        <w:rPr>
          <w:noProof/>
        </w:rPr>
        <w:lastRenderedPageBreak/>
        <w:t>11. pants</w:t>
      </w:r>
      <w:r>
        <w:rPr>
          <w:noProof/>
        </w:rPr>
        <w:br/>
        <w:t>Savienības finanšu interešu aizsardzība</w:t>
      </w:r>
    </w:p>
    <w:p>
      <w:pPr>
        <w:pStyle w:val="ManualNumPar1"/>
        <w:rPr>
          <w:noProof/>
        </w:rPr>
      </w:pPr>
      <w:r>
        <w:t>1.</w:t>
      </w:r>
      <w:r>
        <w:tab/>
      </w:r>
      <w:r>
        <w:rPr>
          <w:noProof/>
        </w:rPr>
        <w:t xml:space="preserve">Komisija veic atbilstošus pasākumus, lai nodrošinātu, ka, īstenojot saskaņā ar šo lēmumu finansētas darbības, Savienības finansiālās intereses tiek aizsargātas, piemērojot aizsargpasākumus pret krāpšanu, korupciju un jebkādām citām nelikumīgām darbībām, veicot efektīvas pārbaudes un, ja ir atklāti pārkāpumi, atgūstot nepamatoti izmaksātās summas un attiecīgā gadījumā piemērojot iedarbīgus, samērīgus un korektīvas administratīvas sankcijas. </w:t>
      </w:r>
    </w:p>
    <w:p>
      <w:pPr>
        <w:pStyle w:val="ManualNumPar1"/>
        <w:rPr>
          <w:noProof/>
        </w:rPr>
      </w:pPr>
      <w:r>
        <w:t>2.</w:t>
      </w:r>
      <w:r>
        <w:tab/>
      </w:r>
      <w:r>
        <w:rPr>
          <w:i/>
          <w:noProof/>
        </w:rPr>
        <w:t xml:space="preserve">PRIMA </w:t>
      </w:r>
      <w:r>
        <w:rPr>
          <w:noProof/>
        </w:rPr>
        <w:t>ĪS piešķir Komisijas personālam un citām Komisijas, kā arī Revīzijas palātas pilnvarotām personām piekļuvi tās objektiem un telpām un visai informācijai, tostarp informācijai elektroniskā formā, kas nepieciešama revīziju veikšanai.</w:t>
      </w:r>
    </w:p>
    <w:p>
      <w:pPr>
        <w:pStyle w:val="ManualNumPar1"/>
        <w:rPr>
          <w:noProof/>
        </w:rPr>
      </w:pPr>
      <w:r>
        <w:t>3.</w:t>
      </w:r>
      <w:r>
        <w:tab/>
      </w:r>
      <w:r>
        <w:rPr>
          <w:noProof/>
        </w:rPr>
        <w:t>Lai noteiktu, vai notikusi krāpšana, korupcija vai jebkāda cita nelikumīga darbība, kas ietekmē Eiropas Savienības finanšu intereses saistībā ar dotācijas nolīgumu vai lēmumu vai līgumu, kurš tieši vai netieši finansēts saskaņā ar šo lēmumu, Eiropas Birojs krāpšanas apkarošanai (</w:t>
      </w:r>
      <w:r>
        <w:rPr>
          <w:i/>
          <w:noProof/>
        </w:rPr>
        <w:t>OLAF</w:t>
      </w:r>
      <w:r>
        <w:rPr>
          <w:noProof/>
        </w:rPr>
        <w:t>) var veikt izmeklēšanu, tostarp pārbaudes uz vietas un apskates atbilstoši noteikumiem un procedūrām, kas paredzēti Padomes Regulā (Euratom, EK) Nr. 2185/96</w:t>
      </w:r>
      <w:r>
        <w:rPr>
          <w:rStyle w:val="FootnoteReference"/>
          <w:noProof/>
        </w:rPr>
        <w:footnoteReference w:id="9"/>
      </w:r>
      <w:r>
        <w:rPr>
          <w:noProof/>
        </w:rPr>
        <w:t xml:space="preserve"> un Eiropas Parlamenta un Padomes Regulā (ES) Nr. 883/2013</w:t>
      </w:r>
      <w:r>
        <w:rPr>
          <w:rStyle w:val="FootnoteReference"/>
          <w:noProof/>
        </w:rPr>
        <w:footnoteReference w:id="10"/>
      </w:r>
      <w:r>
        <w:rPr>
          <w:noProof/>
        </w:rPr>
        <w:t>.</w:t>
      </w:r>
    </w:p>
    <w:p>
      <w:pPr>
        <w:pStyle w:val="ManualNumPar1"/>
        <w:rPr>
          <w:noProof/>
        </w:rPr>
      </w:pPr>
      <w:r>
        <w:t>4.</w:t>
      </w:r>
      <w:r>
        <w:tab/>
      </w:r>
      <w:r>
        <w:rPr>
          <w:noProof/>
        </w:rPr>
        <w:t>Neskarot 1., 2. un 3. punktu, līgumi, dotāciju nolīgumi un dotāciju lēmumi, kas izriet no šā lēmuma īstenošanas, ietver noteikumus, ar kuriem skaidri pilnvaro Komisiju,</w:t>
      </w:r>
      <w:r>
        <w:rPr>
          <w:i/>
          <w:noProof/>
        </w:rPr>
        <w:t xml:space="preserve"> PRIMA </w:t>
      </w:r>
      <w:r>
        <w:rPr>
          <w:noProof/>
        </w:rPr>
        <w:t xml:space="preserve">ĪS, Revīzijas palātu un </w:t>
      </w:r>
      <w:r>
        <w:rPr>
          <w:i/>
          <w:noProof/>
        </w:rPr>
        <w:t>OLAF</w:t>
      </w:r>
      <w:r>
        <w:rPr>
          <w:noProof/>
        </w:rPr>
        <w:t xml:space="preserve"> veikt šādas revīzijas un izmeklēšanas saskaņā ar to attiecīgo kompetenci. Ja darbības īstenošanai pilnā apmērā vai daļēji tiek izmantoti ārpakalpojumi vai tā tiek deleģēta tālāk, vai ja ir nepieciešams noslēgt publiskā iepirkuma līgumu vai piešķirt finansiālu atbalstu trešai personai, attiecīgajā līgumā, dotācijas nolīgumā vai lēmumā atbalsta saņēmējam paredz pienākumu nodrošināt, ka jebkura iesaistītā trešā persona nepārprotami akceptē Komisijas, </w:t>
      </w:r>
      <w:r>
        <w:rPr>
          <w:i/>
          <w:noProof/>
        </w:rPr>
        <w:t xml:space="preserve">PRIMA </w:t>
      </w:r>
      <w:r>
        <w:rPr>
          <w:noProof/>
        </w:rPr>
        <w:t xml:space="preserve">ĪS, Revīzijas palātas un </w:t>
      </w:r>
      <w:r>
        <w:rPr>
          <w:i/>
          <w:noProof/>
        </w:rPr>
        <w:t>OLAF</w:t>
      </w:r>
      <w:r>
        <w:rPr>
          <w:noProof/>
        </w:rPr>
        <w:t xml:space="preserve"> minētās pilnvaras.</w:t>
      </w:r>
    </w:p>
    <w:p>
      <w:pPr>
        <w:pStyle w:val="ManualNumPar1"/>
        <w:rPr>
          <w:noProof/>
        </w:rPr>
      </w:pPr>
      <w:r>
        <w:t>5.</w:t>
      </w:r>
      <w:r>
        <w:tab/>
      </w:r>
      <w:r>
        <w:rPr>
          <w:noProof/>
        </w:rPr>
        <w:t xml:space="preserve">Īstenojot </w:t>
      </w:r>
      <w:r>
        <w:rPr>
          <w:i/>
          <w:noProof/>
        </w:rPr>
        <w:t>PRIMA</w:t>
      </w:r>
      <w:r>
        <w:rPr>
          <w:noProof/>
        </w:rPr>
        <w:t>, iesaistītās valstis veic likumdošanas, regulatīvos, administratīvos un citus pasākumus, kas vajadzīgi Savienības finansiālo interešu aizsardzībai, jo īpaši, lai nodrošinātu pilnīgu Savienībai piekritīgo līdzekļu atgūšanu saskaņā ar Regulu (ES, Euratom) Nr. 966/2012 un Deleģēto regulu (ES) Nr. 1268/2012.</w:t>
      </w:r>
    </w:p>
    <w:p>
      <w:pPr>
        <w:pStyle w:val="Titrearticle"/>
        <w:rPr>
          <w:noProof/>
        </w:rPr>
      </w:pPr>
      <w:r>
        <w:rPr>
          <w:noProof/>
        </w:rPr>
        <w:t>12. pants</w:t>
      </w:r>
      <w:r>
        <w:rPr>
          <w:noProof/>
        </w:rPr>
        <w:br/>
        <w:t>PRIMA pārvaldība</w:t>
      </w:r>
    </w:p>
    <w:p>
      <w:pPr>
        <w:pStyle w:val="ManualNumPar1"/>
        <w:rPr>
          <w:noProof/>
        </w:rPr>
      </w:pPr>
      <w:r>
        <w:t>1.</w:t>
      </w:r>
      <w:r>
        <w:tab/>
      </w:r>
      <w:r>
        <w:rPr>
          <w:i/>
          <w:noProof/>
        </w:rPr>
        <w:t xml:space="preserve">PRIMA </w:t>
      </w:r>
      <w:r>
        <w:rPr>
          <w:noProof/>
        </w:rPr>
        <w:t>ĪS ietver šādas struktūrvienības:</w:t>
      </w:r>
    </w:p>
    <w:p>
      <w:pPr>
        <w:pStyle w:val="Text1"/>
        <w:rPr>
          <w:noProof/>
        </w:rPr>
      </w:pPr>
      <w:r>
        <w:rPr>
          <w:noProof/>
        </w:rPr>
        <w:t>a) Ģenerālo asambleju;</w:t>
      </w:r>
    </w:p>
    <w:p>
      <w:pPr>
        <w:pStyle w:val="Text1"/>
        <w:rPr>
          <w:noProof/>
        </w:rPr>
      </w:pPr>
      <w:r>
        <w:rPr>
          <w:noProof/>
        </w:rPr>
        <w:t>b) Valdi;</w:t>
      </w:r>
    </w:p>
    <w:p>
      <w:pPr>
        <w:pStyle w:val="Text1"/>
        <w:rPr>
          <w:noProof/>
        </w:rPr>
      </w:pPr>
      <w:r>
        <w:rPr>
          <w:noProof/>
        </w:rPr>
        <w:lastRenderedPageBreak/>
        <w:t>c) Sekretariātu;</w:t>
      </w:r>
    </w:p>
    <w:p>
      <w:pPr>
        <w:pStyle w:val="Text1"/>
        <w:rPr>
          <w:noProof/>
        </w:rPr>
      </w:pPr>
      <w:r>
        <w:rPr>
          <w:noProof/>
        </w:rPr>
        <w:t>d) Zinātnisko konsultatīvo padomi.</w:t>
      </w:r>
    </w:p>
    <w:p>
      <w:pPr>
        <w:pStyle w:val="ManualNumPar1"/>
        <w:rPr>
          <w:noProof/>
        </w:rPr>
      </w:pPr>
      <w:r>
        <w:t>2.</w:t>
      </w:r>
      <w:r>
        <w:tab/>
      </w:r>
      <w:r>
        <w:rPr>
          <w:i/>
          <w:noProof/>
        </w:rPr>
        <w:t xml:space="preserve">PRIMA </w:t>
      </w:r>
      <w:r>
        <w:rPr>
          <w:noProof/>
        </w:rPr>
        <w:t xml:space="preserve">ĪS pārvalda Ģenerālā asambleja, kurā ir pārstāvētas visas iesaistītās valstis. Ģenerālā asambleja ir </w:t>
      </w:r>
      <w:r>
        <w:rPr>
          <w:i/>
          <w:noProof/>
        </w:rPr>
        <w:t xml:space="preserve">PRIMA </w:t>
      </w:r>
      <w:r>
        <w:rPr>
          <w:noProof/>
        </w:rPr>
        <w:t>ĪS lēmumu pieņemšanas struktūra.</w:t>
      </w:r>
    </w:p>
    <w:p>
      <w:pPr>
        <w:pStyle w:val="Text1"/>
        <w:rPr>
          <w:noProof/>
        </w:rPr>
      </w:pPr>
      <w:r>
        <w:rPr>
          <w:noProof/>
        </w:rPr>
        <w:t>Ģenerālā asambleja pēc Komisijas apstiprinājuma saņemšanas pieņem:</w:t>
      </w:r>
    </w:p>
    <w:p>
      <w:pPr>
        <w:pStyle w:val="Text1"/>
        <w:ind w:left="840"/>
        <w:rPr>
          <w:noProof/>
        </w:rPr>
      </w:pPr>
      <w:r>
        <w:rPr>
          <w:noProof/>
        </w:rPr>
        <w:t>a)</w:t>
      </w:r>
      <w:r>
        <w:rPr>
          <w:noProof/>
        </w:rPr>
        <w:tab/>
      </w:r>
      <w:r>
        <w:rPr>
          <w:i/>
          <w:noProof/>
        </w:rPr>
        <w:t xml:space="preserve">PRIMA </w:t>
      </w:r>
      <w:r>
        <w:rPr>
          <w:noProof/>
        </w:rPr>
        <w:t>gada darba plānu;</w:t>
      </w:r>
    </w:p>
    <w:p>
      <w:pPr>
        <w:pStyle w:val="Text1"/>
        <w:ind w:left="1440" w:hanging="600"/>
        <w:rPr>
          <w:noProof/>
        </w:rPr>
      </w:pPr>
      <w:r>
        <w:rPr>
          <w:noProof/>
        </w:rPr>
        <w:t>b)</w:t>
      </w:r>
      <w:r>
        <w:rPr>
          <w:noProof/>
        </w:rPr>
        <w:tab/>
        <w:t>šā lēmuma 6. panta 6. punktā minētos kopējos principus; un</w:t>
      </w:r>
    </w:p>
    <w:p>
      <w:pPr>
        <w:pStyle w:val="Text1"/>
        <w:ind w:left="840"/>
        <w:rPr>
          <w:noProof/>
        </w:rPr>
      </w:pPr>
      <w:r>
        <w:rPr>
          <w:noProof/>
        </w:rPr>
        <w:t>c)</w:t>
      </w:r>
      <w:r>
        <w:rPr>
          <w:noProof/>
        </w:rPr>
        <w:tab/>
        <w:t xml:space="preserve">prasības par iesaistīto valstu ziņošanu </w:t>
      </w:r>
      <w:r>
        <w:rPr>
          <w:i/>
          <w:noProof/>
        </w:rPr>
        <w:t xml:space="preserve">PRIMA </w:t>
      </w:r>
      <w:r>
        <w:rPr>
          <w:noProof/>
        </w:rPr>
        <w:t>ĪS.</w:t>
      </w:r>
    </w:p>
    <w:p>
      <w:pPr>
        <w:pStyle w:val="Text1"/>
        <w:rPr>
          <w:noProof/>
        </w:rPr>
      </w:pPr>
      <w:r>
        <w:rPr>
          <w:noProof/>
        </w:rPr>
        <w:t xml:space="preserve">Ģenerālā asambleja apstiprina jebkuras tādas trešās valsts dalību </w:t>
      </w:r>
      <w:r>
        <w:rPr>
          <w:i/>
          <w:noProof/>
        </w:rPr>
        <w:t>PRIMA</w:t>
      </w:r>
      <w:r>
        <w:rPr>
          <w:noProof/>
        </w:rPr>
        <w:t xml:space="preserve">, kas nav “Apvāršņa 2020” asociētā valsts un kas nav kāda no 1. panta 2. punktā uzskaitītajām valstīm, pēc tam, kad tā ir pārbaudījusi tās dalības nozīmīgumu </w:t>
      </w:r>
      <w:r>
        <w:rPr>
          <w:i/>
          <w:noProof/>
        </w:rPr>
        <w:t>PRIMA</w:t>
      </w:r>
      <w:r>
        <w:rPr>
          <w:noProof/>
        </w:rPr>
        <w:t xml:space="preserve"> mērķu sasniegšanā.</w:t>
      </w:r>
    </w:p>
    <w:p>
      <w:pPr>
        <w:ind w:left="851"/>
        <w:rPr>
          <w:noProof/>
        </w:rPr>
      </w:pPr>
      <w:r>
        <w:rPr>
          <w:noProof/>
        </w:rPr>
        <w:t xml:space="preserve">Katrai iesaistītajai valstij ir viena balss Ģenerālajā asamblejā. Lēmumus pieņem vienprātīgi. Ja tas nav iespējams, Ģenerālā asambleja pieņem savus lēmumus ar vismaz 75 % balsu vairākumu. Jebkuras tādas trešās valsts dalību </w:t>
      </w:r>
      <w:r>
        <w:rPr>
          <w:i/>
          <w:noProof/>
        </w:rPr>
        <w:t>PRIMA</w:t>
      </w:r>
      <w:r>
        <w:rPr>
          <w:noProof/>
        </w:rPr>
        <w:t>, kas nav “Apvāršņa 2020” asociētā valsts un kāda no 1. panta 2. punktā uzskaitītajām valstīm, apstiprina vienprātīgi.</w:t>
      </w:r>
    </w:p>
    <w:p>
      <w:pPr>
        <w:ind w:left="851"/>
        <w:rPr>
          <w:noProof/>
        </w:rPr>
      </w:pPr>
      <w:r>
        <w:rPr>
          <w:noProof/>
        </w:rPr>
        <w:t>Savienību, ko pārstāv Komisija, aicina uz visām Ģenerālās asamblejas sanāksmēm kā novērotāju, un tā var piedalīties diskusijās. Tā saņem visus nepieciešamos dokumentus.</w:t>
      </w:r>
    </w:p>
    <w:p>
      <w:pPr>
        <w:pStyle w:val="ManualNumPar1"/>
        <w:rPr>
          <w:noProof/>
        </w:rPr>
      </w:pPr>
      <w:r>
        <w:t>3.</w:t>
      </w:r>
      <w:r>
        <w:tab/>
      </w:r>
      <w:r>
        <w:rPr>
          <w:noProof/>
        </w:rPr>
        <w:t xml:space="preserve">Ģenerālā asambleja nosaka valdes locekļu skaitu, kas nav mazāks par pieciem, un ieceļ viņus. Valde pārrauga </w:t>
      </w:r>
      <w:r>
        <w:rPr>
          <w:i/>
          <w:noProof/>
        </w:rPr>
        <w:t xml:space="preserve">PRIMA </w:t>
      </w:r>
      <w:r>
        <w:rPr>
          <w:noProof/>
        </w:rPr>
        <w:t>ĪS sekretariātu.</w:t>
      </w:r>
    </w:p>
    <w:p>
      <w:pPr>
        <w:pStyle w:val="ManualNumPar1"/>
        <w:rPr>
          <w:noProof/>
        </w:rPr>
      </w:pPr>
      <w:r>
        <w:t>4.</w:t>
      </w:r>
      <w:r>
        <w:tab/>
      </w:r>
      <w:r>
        <w:rPr>
          <w:noProof/>
        </w:rPr>
        <w:t xml:space="preserve">Ģenerālā asambleja izveido </w:t>
      </w:r>
      <w:r>
        <w:rPr>
          <w:i/>
          <w:noProof/>
        </w:rPr>
        <w:t xml:space="preserve">PRIMA </w:t>
      </w:r>
      <w:r>
        <w:rPr>
          <w:noProof/>
        </w:rPr>
        <w:t xml:space="preserve">ĪS sekretariātu kā </w:t>
      </w:r>
      <w:r>
        <w:rPr>
          <w:i/>
          <w:noProof/>
        </w:rPr>
        <w:t xml:space="preserve">PRIMA </w:t>
      </w:r>
      <w:r>
        <w:rPr>
          <w:noProof/>
        </w:rPr>
        <w:t xml:space="preserve">izpildstruktūru. </w:t>
      </w:r>
    </w:p>
    <w:p>
      <w:pPr>
        <w:pStyle w:val="Text1"/>
        <w:ind w:left="851"/>
        <w:rPr>
          <w:noProof/>
        </w:rPr>
      </w:pPr>
      <w:r>
        <w:rPr>
          <w:noProof/>
        </w:rPr>
        <w:t>Sekretariāts:</w:t>
      </w:r>
    </w:p>
    <w:p>
      <w:pPr>
        <w:pStyle w:val="Point1letter"/>
        <w:numPr>
          <w:ilvl w:val="3"/>
          <w:numId w:val="33"/>
        </w:numPr>
        <w:rPr>
          <w:noProof/>
        </w:rPr>
      </w:pPr>
      <w:r>
        <w:rPr>
          <w:noProof/>
        </w:rPr>
        <w:t xml:space="preserve">īsteno </w:t>
      </w:r>
      <w:r>
        <w:rPr>
          <w:i/>
          <w:noProof/>
        </w:rPr>
        <w:t xml:space="preserve">PRIMA </w:t>
      </w:r>
      <w:r>
        <w:rPr>
          <w:noProof/>
        </w:rPr>
        <w:t>gada darba plānu;</w:t>
      </w:r>
    </w:p>
    <w:p>
      <w:pPr>
        <w:pStyle w:val="Point1letter"/>
        <w:numPr>
          <w:ilvl w:val="3"/>
          <w:numId w:val="33"/>
        </w:numPr>
        <w:rPr>
          <w:noProof/>
        </w:rPr>
      </w:pPr>
      <w:r>
        <w:rPr>
          <w:noProof/>
        </w:rPr>
        <w:t xml:space="preserve">sniedz atbalstu citām </w:t>
      </w:r>
      <w:r>
        <w:rPr>
          <w:i/>
          <w:noProof/>
        </w:rPr>
        <w:t xml:space="preserve">PRIMA </w:t>
      </w:r>
      <w:r>
        <w:rPr>
          <w:noProof/>
        </w:rPr>
        <w:t>ĪS struktūrvienībām;</w:t>
      </w:r>
    </w:p>
    <w:p>
      <w:pPr>
        <w:pStyle w:val="Point1letter"/>
        <w:numPr>
          <w:ilvl w:val="3"/>
          <w:numId w:val="33"/>
        </w:numPr>
        <w:rPr>
          <w:noProof/>
        </w:rPr>
      </w:pPr>
      <w:r>
        <w:rPr>
          <w:noProof/>
        </w:rPr>
        <w:t xml:space="preserve">uzrauga un ziņo par </w:t>
      </w:r>
      <w:r>
        <w:rPr>
          <w:i/>
          <w:noProof/>
        </w:rPr>
        <w:t>PRIMA</w:t>
      </w:r>
      <w:r>
        <w:rPr>
          <w:noProof/>
        </w:rPr>
        <w:t xml:space="preserve"> īstenošanu;</w:t>
      </w:r>
    </w:p>
    <w:p>
      <w:pPr>
        <w:pStyle w:val="Point1letter"/>
        <w:numPr>
          <w:ilvl w:val="3"/>
          <w:numId w:val="33"/>
        </w:numPr>
        <w:rPr>
          <w:noProof/>
        </w:rPr>
      </w:pPr>
      <w:r>
        <w:rPr>
          <w:noProof/>
        </w:rPr>
        <w:t>pārvalda Savienības un iesaistīto valstu finansiālos ieguldījumus un ziņo par to izmantošanu;</w:t>
      </w:r>
    </w:p>
    <w:p>
      <w:pPr>
        <w:pStyle w:val="Point1letter"/>
        <w:numPr>
          <w:ilvl w:val="3"/>
          <w:numId w:val="33"/>
        </w:numPr>
        <w:rPr>
          <w:noProof/>
        </w:rPr>
      </w:pPr>
      <w:r>
        <w:rPr>
          <w:noProof/>
        </w:rPr>
        <w:t xml:space="preserve">veicina </w:t>
      </w:r>
      <w:r>
        <w:rPr>
          <w:i/>
          <w:noProof/>
        </w:rPr>
        <w:t>PRIMA</w:t>
      </w:r>
      <w:r>
        <w:rPr>
          <w:noProof/>
        </w:rPr>
        <w:t xml:space="preserve"> pamanāmību ar atbalsta un saziņas pasākumiem;</w:t>
      </w:r>
    </w:p>
    <w:p>
      <w:pPr>
        <w:pStyle w:val="Point1letter"/>
        <w:numPr>
          <w:ilvl w:val="3"/>
          <w:numId w:val="33"/>
        </w:numPr>
        <w:rPr>
          <w:noProof/>
        </w:rPr>
      </w:pPr>
      <w:r>
        <w:rPr>
          <w:noProof/>
        </w:rPr>
        <w:t>sadarbojas ar Komisiju atbilstīgi 8. pantā minētajam deleģēšanas nolīgumam;</w:t>
      </w:r>
    </w:p>
    <w:p>
      <w:pPr>
        <w:pStyle w:val="ManualNumPar1"/>
        <w:rPr>
          <w:noProof/>
        </w:rPr>
      </w:pPr>
      <w:r>
        <w:t>5.</w:t>
      </w:r>
      <w:r>
        <w:tab/>
      </w:r>
      <w:r>
        <w:rPr>
          <w:noProof/>
        </w:rPr>
        <w:t xml:space="preserve">Ģenerālā asambleja ieceļ zinātnisko konsultatīvo padomi, ko veido neatkarīgi eksperti no iesaistītajām valstīm, kuri ir kompetenti ar </w:t>
      </w:r>
      <w:r>
        <w:rPr>
          <w:i/>
          <w:noProof/>
        </w:rPr>
        <w:t xml:space="preserve">PRIMA </w:t>
      </w:r>
      <w:r>
        <w:rPr>
          <w:noProof/>
        </w:rPr>
        <w:t xml:space="preserve">saistītajās jomās. Ģenerālā asambleja nosaka zinātniskās konsultatīvās padomes locekļu skaitu, viņu balsošanas tiesības un iecelšanas kārtību saskaņā ar Regulas (ES) Nr. 1290/2013 40. pantu. </w:t>
      </w:r>
    </w:p>
    <w:p>
      <w:pPr>
        <w:ind w:left="851"/>
        <w:rPr>
          <w:noProof/>
        </w:rPr>
      </w:pPr>
      <w:r>
        <w:rPr>
          <w:noProof/>
        </w:rPr>
        <w:t>Ģenerālā asambleja ir tiesīga izveidot specializētas darba grupas, kas būtu zinātniskās konsultatīvās padomes pakļautībā, ar papildu neatkarīgajiem ekspertiem īpašu uzdevumu veikšanai.</w:t>
      </w:r>
    </w:p>
    <w:p>
      <w:pPr>
        <w:ind w:left="851"/>
        <w:rPr>
          <w:noProof/>
        </w:rPr>
      </w:pPr>
      <w:r>
        <w:rPr>
          <w:noProof/>
        </w:rPr>
        <w:lastRenderedPageBreak/>
        <w:t>Zinātniskā konsultatīvā padome:</w:t>
      </w:r>
    </w:p>
    <w:p>
      <w:pPr>
        <w:pStyle w:val="Point1letter"/>
        <w:numPr>
          <w:ilvl w:val="3"/>
          <w:numId w:val="34"/>
        </w:numPr>
        <w:rPr>
          <w:noProof/>
        </w:rPr>
      </w:pPr>
      <w:r>
        <w:rPr>
          <w:noProof/>
        </w:rPr>
        <w:t>konsultē Ģenerālo asambleju stratēģisko prioritāšu un vajadzību jautājumos;</w:t>
      </w:r>
    </w:p>
    <w:p>
      <w:pPr>
        <w:pStyle w:val="Point1letter"/>
        <w:numPr>
          <w:ilvl w:val="3"/>
          <w:numId w:val="34"/>
        </w:numPr>
        <w:rPr>
          <w:noProof/>
        </w:rPr>
      </w:pPr>
      <w:r>
        <w:rPr>
          <w:noProof/>
        </w:rPr>
        <w:t xml:space="preserve">konsultē Ģenerālo asambleju par </w:t>
      </w:r>
      <w:r>
        <w:rPr>
          <w:i/>
          <w:noProof/>
        </w:rPr>
        <w:t xml:space="preserve">PRIMA </w:t>
      </w:r>
      <w:r>
        <w:rPr>
          <w:noProof/>
        </w:rPr>
        <w:t>gada darba plāna projekta saturu un darbības jomu no zinātniskā un tehniskā viedokļa;</w:t>
      </w:r>
    </w:p>
    <w:p>
      <w:pPr>
        <w:pStyle w:val="Point1letter"/>
        <w:numPr>
          <w:ilvl w:val="3"/>
          <w:numId w:val="34"/>
        </w:numPr>
        <w:rPr>
          <w:noProof/>
        </w:rPr>
      </w:pPr>
      <w:r>
        <w:rPr>
          <w:noProof/>
        </w:rPr>
        <w:t xml:space="preserve">pārskata </w:t>
      </w:r>
      <w:r>
        <w:rPr>
          <w:i/>
          <w:noProof/>
        </w:rPr>
        <w:t xml:space="preserve">PRIMA </w:t>
      </w:r>
      <w:r>
        <w:rPr>
          <w:noProof/>
        </w:rPr>
        <w:t>īstenošanas zinātniskos un tehniskos aspektus un sniedz atzinumu par gada pārskatu;</w:t>
      </w:r>
    </w:p>
    <w:p>
      <w:pPr>
        <w:pStyle w:val="Point1letter"/>
        <w:numPr>
          <w:ilvl w:val="3"/>
          <w:numId w:val="34"/>
        </w:numPr>
        <w:rPr>
          <w:noProof/>
        </w:rPr>
      </w:pPr>
      <w:r>
        <w:rPr>
          <w:noProof/>
        </w:rPr>
        <w:t>vajadzības gadījumā konsultē Ģenerālo asambleju par zinātnisko apakškomiteju, īpašo uzdevumu grupu un specializēto darba grupu izveidi.</w:t>
      </w:r>
    </w:p>
    <w:p>
      <w:pPr>
        <w:pStyle w:val="Titrearticle"/>
        <w:rPr>
          <w:noProof/>
        </w:rPr>
      </w:pPr>
      <w:r>
        <w:rPr>
          <w:noProof/>
        </w:rPr>
        <w:t>13. pants</w:t>
      </w:r>
      <w:r>
        <w:rPr>
          <w:noProof/>
        </w:rPr>
        <w:br/>
        <w:t>Informācijas paziņošana</w:t>
      </w:r>
    </w:p>
    <w:p>
      <w:pPr>
        <w:pStyle w:val="ManualNumPar1"/>
        <w:rPr>
          <w:noProof/>
        </w:rPr>
      </w:pPr>
      <w:r>
        <w:t>1.</w:t>
      </w:r>
      <w:r>
        <w:tab/>
      </w:r>
      <w:r>
        <w:rPr>
          <w:noProof/>
        </w:rPr>
        <w:t xml:space="preserve">Pēc Komisijas pieprasījuma </w:t>
      </w:r>
      <w:r>
        <w:rPr>
          <w:i/>
          <w:noProof/>
        </w:rPr>
        <w:t xml:space="preserve">PRIMA </w:t>
      </w:r>
      <w:r>
        <w:rPr>
          <w:noProof/>
        </w:rPr>
        <w:t>ĪS sniedz Komisijai visu informāciju, kas vajadzīga 14. pantā minēto ziņojumu sagatavošanai.</w:t>
      </w:r>
    </w:p>
    <w:p>
      <w:pPr>
        <w:pStyle w:val="ManualNumPar1"/>
        <w:rPr>
          <w:noProof/>
        </w:rPr>
      </w:pPr>
      <w:r>
        <w:t>2.</w:t>
      </w:r>
      <w:r>
        <w:tab/>
      </w:r>
      <w:r>
        <w:rPr>
          <w:noProof/>
        </w:rPr>
        <w:t>Iesaistītās valstis iesniedz Komisijai ar</w:t>
      </w:r>
      <w:r>
        <w:rPr>
          <w:i/>
          <w:noProof/>
        </w:rPr>
        <w:t xml:space="preserve"> PRIMA </w:t>
      </w:r>
      <w:r>
        <w:rPr>
          <w:noProof/>
        </w:rPr>
        <w:t>ĪS starpniecību visu informāciju, ko pieprasa Eiropas Parlaments, Padome vai Revīzijas palāta, par</w:t>
      </w:r>
      <w:r>
        <w:rPr>
          <w:i/>
          <w:noProof/>
        </w:rPr>
        <w:t xml:space="preserve"> PRIMA </w:t>
      </w:r>
      <w:r>
        <w:rPr>
          <w:noProof/>
        </w:rPr>
        <w:t>finanšu pārvaldību/</w:t>
      </w:r>
    </w:p>
    <w:p>
      <w:pPr>
        <w:pStyle w:val="ManualNumPar1"/>
        <w:rPr>
          <w:noProof/>
        </w:rPr>
      </w:pPr>
      <w:r>
        <w:t>3.</w:t>
      </w:r>
      <w:r>
        <w:tab/>
      </w:r>
      <w:r>
        <w:rPr>
          <w:noProof/>
        </w:rPr>
        <w:t>Komisija šā panta 2. punktā minēto informāciju iekļauj 14. pantā minētajos ziņojumos.</w:t>
      </w:r>
    </w:p>
    <w:p>
      <w:pPr>
        <w:pStyle w:val="Titrearticle"/>
        <w:rPr>
          <w:noProof/>
        </w:rPr>
      </w:pPr>
      <w:r>
        <w:rPr>
          <w:noProof/>
        </w:rPr>
        <w:t>14. pants</w:t>
      </w:r>
      <w:r>
        <w:rPr>
          <w:noProof/>
        </w:rPr>
        <w:br/>
        <w:t>Novērtējums</w:t>
      </w:r>
    </w:p>
    <w:p>
      <w:pPr>
        <w:pStyle w:val="ManualNumPar1"/>
        <w:rPr>
          <w:noProof/>
        </w:rPr>
      </w:pPr>
      <w:r>
        <w:t>1.</w:t>
      </w:r>
      <w:r>
        <w:tab/>
      </w:r>
      <w:r>
        <w:rPr>
          <w:noProof/>
        </w:rPr>
        <w:t xml:space="preserve">Komisija līdz 2022. gada 30. jūnijam veic </w:t>
      </w:r>
      <w:r>
        <w:rPr>
          <w:i/>
          <w:noProof/>
        </w:rPr>
        <w:t xml:space="preserve">PRIMA </w:t>
      </w:r>
      <w:r>
        <w:rPr>
          <w:noProof/>
        </w:rPr>
        <w:t>starpposma novērtējumu. Komisija sagatavo ziņojumu par minēto novērtējumu, tajā iekļaujot novērtējuma secinājumus un Komisijas komentārus. Komisija minēto ziņojumu līdz 2022. gada 31. decembrim nosūta Eiropas Parlamentam un Padomei.</w:t>
      </w:r>
    </w:p>
    <w:p>
      <w:pPr>
        <w:pStyle w:val="ManualNumPar1"/>
        <w:rPr>
          <w:noProof/>
        </w:rPr>
      </w:pPr>
      <w:r>
        <w:t>2.</w:t>
      </w:r>
      <w:r>
        <w:tab/>
      </w:r>
      <w:r>
        <w:rPr>
          <w:noProof/>
        </w:rPr>
        <w:t xml:space="preserve">Komisija līdz 2028. gada 31. decembrim veic </w:t>
      </w:r>
      <w:r>
        <w:rPr>
          <w:i/>
          <w:noProof/>
        </w:rPr>
        <w:t>PRIMA</w:t>
      </w:r>
      <w:r>
        <w:rPr>
          <w:noProof/>
        </w:rPr>
        <w:t xml:space="preserve"> galīgo novērtējumu. Komisija sagatavo ziņojumu par minēto novērtējumu, tajā iekļaujot novērtējuma secinājumus. Komisija minēto ziņojumu līdz 2029. gada 30. jūnijam nosūta Eiropas Parlamentam un Padomei.</w:t>
      </w:r>
    </w:p>
    <w:p>
      <w:pPr>
        <w:pStyle w:val="Titrearticle"/>
        <w:rPr>
          <w:noProof/>
        </w:rPr>
      </w:pPr>
      <w:r>
        <w:rPr>
          <w:noProof/>
        </w:rPr>
        <w:t>15. pants</w:t>
      </w:r>
      <w:r>
        <w:rPr>
          <w:noProof/>
        </w:rPr>
        <w:br/>
        <w:t>Stāšanās spēkā</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pStyle w:val="Titrearticle"/>
        <w:rPr>
          <w:noProof/>
        </w:rPr>
      </w:pPr>
      <w:r>
        <w:rPr>
          <w:noProof/>
        </w:rPr>
        <w:t>16. pants</w:t>
      </w:r>
      <w:r>
        <w:rPr>
          <w:noProof/>
        </w:rPr>
        <w:br/>
        <w:t xml:space="preserve">Adresāti </w:t>
      </w:r>
    </w:p>
    <w:p>
      <w:pPr>
        <w:keepNext/>
        <w:keepLines/>
        <w:rPr>
          <w:noProof/>
        </w:rPr>
      </w:pPr>
      <w:r>
        <w:rPr>
          <w:noProof/>
        </w:rPr>
        <w:t>Šis lēmums ir adresēts dalībvalstīm.</w:t>
      </w:r>
    </w:p>
    <w:p>
      <w:pPr>
        <w:pStyle w:val="Fait"/>
        <w:rPr>
          <w:noProof/>
        </w:rPr>
      </w:pPr>
      <w:r>
        <w:rPr>
          <w:noProof/>
        </w:rPr>
        <w:lastRenderedPageBreak/>
        <w:t>Briselē,</w:t>
      </w:r>
    </w:p>
    <w:p>
      <w:pPr>
        <w:pStyle w:val="Institutionquisigne"/>
        <w:rPr>
          <w:noProof/>
        </w:rPr>
      </w:pPr>
      <w:r>
        <w:rPr>
          <w:noProof/>
        </w:rPr>
        <w:t>Eiropas Parlamenta vārdā –</w:t>
      </w:r>
      <w:r>
        <w:rPr>
          <w:noProof/>
        </w:rPr>
        <w:tab/>
        <w:t>Padomes vārdā –</w:t>
      </w:r>
    </w:p>
    <w:p>
      <w:pPr>
        <w:pStyle w:val="Personnequisigne"/>
        <w:rPr>
          <w:i w:val="0"/>
          <w:noProof/>
        </w:rPr>
      </w:pPr>
      <w:r>
        <w:rPr>
          <w:noProof/>
        </w:rPr>
        <w:t>priekšsēdētājs</w:t>
      </w:r>
      <w:r>
        <w:rPr>
          <w:noProof/>
        </w:rPr>
        <w:tab/>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Attiecīgās politikas jomas ABM/ABB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jc w:val="center"/>
        <w:rPr>
          <w:noProof/>
        </w:rPr>
      </w:pPr>
      <w:r>
        <w:rPr>
          <w:b/>
          <w:noProof/>
          <w:u w:val="single"/>
        </w:rPr>
        <w:lastRenderedPageBreak/>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Eiropas Parlamenta un Padomes lēmums par Eiropas Savienības dalību Partnerībā pētniecības un inovācijas jomā Vidusjūras reģionā (</w:t>
      </w:r>
      <w:r>
        <w:rPr>
          <w:i/>
          <w:noProof/>
        </w:rPr>
        <w:t>PRIMA</w:t>
      </w:r>
      <w:r>
        <w:rPr>
          <w:noProof/>
        </w:rPr>
        <w:t>), ko kopīgi īsteno vairākas dalībvalstis.</w:t>
      </w:r>
    </w:p>
    <w:p>
      <w:pPr>
        <w:pStyle w:val="ManualHeading2"/>
        <w:rPr>
          <w:noProof/>
          <w:szCs w:val="24"/>
        </w:rPr>
      </w:pPr>
      <w:r>
        <w:t>1.2.</w:t>
      </w:r>
      <w:r>
        <w:tab/>
      </w:r>
      <w:r>
        <w:rPr>
          <w:noProof/>
        </w:rPr>
        <w:t>Attiecīgās politikas jomas ABM/ABB struktūrā</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08. sadaļa Pētniecība un inovācija, pamatprogramma “Apvārsnis 2020”</w:t>
      </w:r>
    </w:p>
    <w:p>
      <w:pPr>
        <w:pStyle w:val="ManualHeading2"/>
        <w:rPr>
          <w:bCs/>
          <w:noProof/>
          <w:szCs w:val="24"/>
        </w:rPr>
      </w:pPr>
      <w:r>
        <w:t>1.3.</w:t>
      </w:r>
      <w:r>
        <w:tab/>
      </w:r>
      <w:r>
        <w:rPr>
          <w:noProof/>
        </w:rPr>
        <w:t xml:space="preserve">Priekšlikuma/iniciatīvas būtība </w:t>
      </w:r>
    </w:p>
    <w:p>
      <w:pPr>
        <w:pStyle w:val="Text1"/>
        <w:rPr>
          <w:b/>
          <w:noProof/>
          <w:sz w:val="22"/>
        </w:rPr>
      </w:pPr>
      <w:r>
        <w:rPr>
          <w:noProof/>
        </w:rPr>
        <w:sym w:font="Wingdings" w:char="F078"/>
      </w:r>
      <w:r>
        <w:rPr>
          <w:noProof/>
        </w:rPr>
        <w:t xml:space="preserve">Priekšlikums/iniciatīva attiecas uz </w:t>
      </w:r>
      <w:r>
        <w:rPr>
          <w:b/>
          <w:noProof/>
        </w:rPr>
        <w:t>jaunu darbību</w:t>
      </w:r>
      <w:r>
        <w:rPr>
          <w:b/>
          <w:noProof/>
          <w:sz w:val="22"/>
        </w:rPr>
        <w:t xml:space="preserve"> </w:t>
      </w:r>
    </w:p>
    <w:p>
      <w:pPr>
        <w:pStyle w:val="Text1"/>
        <w:rPr>
          <w:noProof/>
          <w:sz w:val="22"/>
        </w:rPr>
      </w:pPr>
      <w:r>
        <w:rPr>
          <w:noProof/>
          <w:sz w:val="22"/>
        </w:rPr>
        <w:sym w:font="Wingdings" w:char="F0A8"/>
      </w:r>
      <w:r>
        <w:rPr>
          <w:noProof/>
        </w:rPr>
        <w:t xml:space="preserve">Priekšlikums/iniciatīva attiecas uz </w:t>
      </w:r>
      <w:r>
        <w:rPr>
          <w:b/>
          <w:noProof/>
        </w:rPr>
        <w:t>jaunu darbību, pamatojoties uz izmēģinājuma projektu/sagatavošanas darbību</w:t>
      </w:r>
      <w:r>
        <w:rPr>
          <w:rStyle w:val="FootnoteReference"/>
          <w:b/>
          <w:noProof/>
        </w:rPr>
        <w:footnoteReference w:id="12"/>
      </w:r>
      <w:r>
        <w:rPr>
          <w:noProof/>
          <w:sz w:val="22"/>
        </w:rPr>
        <w:t xml:space="preserve"> </w:t>
      </w:r>
    </w:p>
    <w:p>
      <w:pPr>
        <w:pStyle w:val="Text1"/>
        <w:rPr>
          <w:noProof/>
          <w:sz w:val="22"/>
        </w:rPr>
      </w:pPr>
      <w:r>
        <w:rPr>
          <w:noProof/>
          <w:sz w:val="22"/>
        </w:rPr>
        <w:sym w:font="Wingdings" w:char="F0A8"/>
      </w:r>
      <w:r>
        <w:rPr>
          <w:noProof/>
        </w:rPr>
        <w:t xml:space="preserve">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noProof/>
        </w:rPr>
        <w:t xml:space="preserve">Priekšlikums/iniciatīva attiecas uz </w:t>
      </w:r>
      <w:r>
        <w:rPr>
          <w:b/>
          <w:noProof/>
        </w:rPr>
        <w:t>darbību, kas pārveidota jaunā darbībā</w:t>
      </w:r>
      <w:r>
        <w:rPr>
          <w:noProof/>
        </w:rPr>
        <w:t xml:space="preserve"> </w:t>
      </w:r>
    </w:p>
    <w:p>
      <w:pPr>
        <w:pStyle w:val="ManualHeading2"/>
        <w:rPr>
          <w:bCs/>
          <w:noProof/>
          <w:szCs w:val="24"/>
        </w:rPr>
      </w:pPr>
      <w:r>
        <w:t>1.4.</w:t>
      </w:r>
      <w:r>
        <w:tab/>
      </w:r>
      <w:r>
        <w:rPr>
          <w:noProof/>
        </w:rPr>
        <w:t>Mērķis(-i)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i/>
          <w:noProof/>
        </w:rPr>
        <w:t>PRIMA</w:t>
      </w:r>
      <w:r>
        <w:rPr>
          <w:noProof/>
        </w:rPr>
        <w:t xml:space="preserve"> stratēģiskais mērķis ir izstrādāt pilnībā izmēģinātus un demonstrētus kopīgus inovatīvos risinājumus ūdensapgādei un pārtikas sistēmām Vidusjūras reģionā, lai sekmētu to klimatnoturību, lielāku efektivitāti, rentabilitāti un ilgtspēju, kā arī veicinātu ar uzturu, veselību, labklājību un migrāciju saistīto problēmu savlaicīgu risināšanu.</w:t>
      </w:r>
    </w:p>
    <w:p>
      <w:pPr>
        <w:pStyle w:val="ManualHeading3"/>
        <w:rPr>
          <w:bCs/>
          <w:noProof/>
          <w:szCs w:val="24"/>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rPr>
      </w:pPr>
      <w:r>
        <w:rPr>
          <w:noProof/>
        </w:rPr>
        <w:t>Iepriekš minētā stratēģiskā mērķa īstenošanai nepieciešams stabils satvars pētniecībai un inovācijām, kas konkrēti izpaužas kā šādi stratēģiskie mērķi:</w:t>
      </w:r>
    </w:p>
    <w:p>
      <w:pPr>
        <w:pStyle w:val="Text1"/>
        <w:pBdr>
          <w:top w:val="single" w:sz="4" w:space="1" w:color="auto"/>
          <w:left w:val="single" w:sz="4" w:space="4" w:color="auto"/>
          <w:bottom w:val="single" w:sz="4" w:space="1" w:color="auto"/>
          <w:right w:val="single" w:sz="4" w:space="4" w:color="auto"/>
        </w:pBdr>
        <w:rPr>
          <w:noProof/>
        </w:rPr>
      </w:pPr>
      <w:r>
        <w:rPr>
          <w:noProof/>
        </w:rPr>
        <w:t>• stabilas, ilgtermiņa, kopīgas stratēģiskas programmas un inovāciju programmas definēšana ūdensapgādes un pārtikas sistēmu jomā;</w:t>
      </w:r>
    </w:p>
    <w:p>
      <w:pPr>
        <w:pStyle w:val="Text1"/>
        <w:pBdr>
          <w:top w:val="single" w:sz="4" w:space="1" w:color="auto"/>
          <w:left w:val="single" w:sz="4" w:space="4" w:color="auto"/>
          <w:bottom w:val="single" w:sz="4" w:space="1" w:color="auto"/>
          <w:right w:val="single" w:sz="4" w:space="4" w:color="auto"/>
        </w:pBdr>
        <w:rPr>
          <w:noProof/>
        </w:rPr>
      </w:pPr>
      <w:r>
        <w:rPr>
          <w:noProof/>
        </w:rPr>
        <w:t>• visu valsts pētniecības un inovāciju programmu virzīšana uz stratēģiskās pētniecības un inovāciju programmas īstenošanu;</w:t>
      </w:r>
    </w:p>
    <w:p>
      <w:pPr>
        <w:pStyle w:val="Text1"/>
        <w:pBdr>
          <w:top w:val="single" w:sz="4" w:space="1" w:color="auto"/>
          <w:left w:val="single" w:sz="4" w:space="4" w:color="auto"/>
          <w:bottom w:val="single" w:sz="4" w:space="1" w:color="auto"/>
          <w:right w:val="single" w:sz="4" w:space="4" w:color="auto"/>
        </w:pBdr>
        <w:rPr>
          <w:noProof/>
        </w:rPr>
      </w:pPr>
      <w:r>
        <w:rPr>
          <w:noProof/>
        </w:rPr>
        <w:t>• visu attiecīgo pētniecības un inovācijas jomas dalībnieku strukturāla iesaistīšana (publiskais un privātais sektors) stratēģiskās programmas īstenošanā, apvienojot zināšanas un finanšu resursus nepieciešamās kritiskās masas sasniegšanai;</w:t>
      </w:r>
    </w:p>
    <w:p>
      <w:pPr>
        <w:pStyle w:val="Text1"/>
        <w:pBdr>
          <w:top w:val="single" w:sz="4" w:space="1" w:color="auto"/>
          <w:left w:val="single" w:sz="4" w:space="4" w:color="auto"/>
          <w:bottom w:val="single" w:sz="4" w:space="1" w:color="auto"/>
          <w:right w:val="single" w:sz="4" w:space="4" w:color="auto"/>
        </w:pBdr>
        <w:rPr>
          <w:noProof/>
        </w:rPr>
      </w:pPr>
      <w:r>
        <w:rPr>
          <w:noProof/>
        </w:rPr>
        <w:t>• pētniecības un inovāciju finansējuma palielināšana un visu iesaistīto dalībnieku spēju īstenošana.</w:t>
      </w:r>
    </w:p>
    <w:p>
      <w:pPr>
        <w:pStyle w:val="ManualHeading3"/>
        <w:rPr>
          <w:bCs/>
          <w:noProof/>
          <w:szCs w:val="24"/>
        </w:rPr>
      </w:pPr>
      <w:r>
        <w:rPr>
          <w:noProof/>
        </w:rPr>
        <w:br w:type="page"/>
      </w:r>
      <w:r>
        <w:lastRenderedPageBreak/>
        <w:t>1.4.3.</w:t>
      </w:r>
      <w:r>
        <w:tab/>
      </w:r>
      <w:r>
        <w:rPr>
          <w:noProof/>
        </w:rPr>
        <w:t>Paredzamais(-ie) rezultāts(-i)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Stabilas, ilgtermiņa, kopīgas stratēģiskas programmas un inovāciju programmas definēšana ūdensapgādes un pārtikas sistēmu jomā; veicinot būtisku progresu ceļā uz iepriekš minēto īpašo mērķu sasniegšanu. Papildu ietekme, piemēram, privāto investīciju piesaistīšana, pateicoties paredzamām iestāžu ilgtermiņa saistībām; zinātnisko un diplomātisko saišu sekmēšana starp dalībniekiem (zinātnes diplomātija); tāpat ir paredzēts nostiprināt divpusējos zinātniskos un tehnoloģiskos nolīgumus starp ES un atsevišķām valstīm.</w:t>
      </w:r>
    </w:p>
    <w:p>
      <w:pPr>
        <w:pStyle w:val="ManualHeading3"/>
        <w:rPr>
          <w:bCs/>
          <w:noProof/>
          <w:szCs w:val="24"/>
        </w:rPr>
      </w:pPr>
      <w:r>
        <w:t>1.4.4.</w:t>
      </w:r>
      <w:r>
        <w:tab/>
      </w:r>
      <w:r>
        <w:rPr>
          <w:noProof/>
        </w:rPr>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ind w:left="851"/>
        <w:rPr>
          <w:noProof/>
        </w:rPr>
      </w:pPr>
      <w:r>
        <w:rPr>
          <w:i/>
          <w:noProof/>
        </w:rPr>
        <w:t xml:space="preserve">PRIMA </w:t>
      </w:r>
      <w:r>
        <w:rPr>
          <w:noProof/>
        </w:rPr>
        <w:t>progresu vērtēs šādi:</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1. Izmantojot īstenošanas rādītājus, proti, izvades un ievades rādītājus, lai novērtētu </w:t>
      </w:r>
      <w:r>
        <w:rPr>
          <w:i/>
          <w:noProof/>
        </w:rPr>
        <w:t>PRIMA</w:t>
      </w:r>
      <w:r>
        <w:rPr>
          <w:noProof/>
        </w:rPr>
        <w:t xml:space="preserve"> darbību vidējā termiņa attīstību:</w:t>
      </w:r>
    </w:p>
    <w:p>
      <w:pPr>
        <w:pStyle w:val="Text1"/>
        <w:pBdr>
          <w:top w:val="single" w:sz="4" w:space="1" w:color="auto"/>
          <w:left w:val="single" w:sz="4" w:space="4" w:color="auto"/>
          <w:bottom w:val="single" w:sz="4" w:space="1" w:color="auto"/>
          <w:right w:val="single" w:sz="4" w:space="4" w:color="auto"/>
        </w:pBdr>
        <w:ind w:left="851"/>
        <w:rPr>
          <w:noProof/>
        </w:rPr>
      </w:pPr>
      <w:r>
        <w:rPr>
          <w:noProof/>
        </w:rPr>
        <w:t>a) izvades rādītāji: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Liela mēroga izmēģinājumu un demonstrējumu pasākumi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Valsts pētniecības (finansējuma) prioritātes, kas pielāgotas kā SPIA rezultāti un pētniecības un inovācijas prioritātes;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Valsts pētniecības un inovācijas finansējuma programmu saskaņošana</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Jaunas vai atjauninātas valsts stratēģijas, kas atspoguļo iniciatīvas ietekmi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Efektivitātes ieguvumi resursu apvienošanas rezultātā. Iesaistīto valstu publiskā sektora ieguldījumu daļa. ES un Vidusjūras reģiona trešo valstu līdzfinansējuma apmērs un daļa. Darbības izmaksas Piešķiršanas termiņš. Samaksas termiņš</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Piešķirtais finansējums, izmantojot kopīgos starptautiskos uzaicinājumus iesniegt priekšlikumus, vai darbības, kas netiek finansētas projekta ietvaros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Īstenoto modeļu īpatsvara pieaugums ūdensapgādes un pārtikas sistēmu ilgtspējīgas apsaimniekošanas jomā Vidusjūras reģionā</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Īstenoto jauno stratēģiju uzlabotas ūdens un pārtikas efektivitātes un atkritumu samazināšanas jomā, kas izstrādātas Vidusjūras reģiona vajadzībām, īpatsvara pieaugums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Valstu un reģionālā līmenī pieņemti jauni uzņēmējdarbības modeļi un stratēģijas, kas vērstas un ūdens un pārtikas kvalitāti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To valsts ekspertu grupu paplašināšana, kas ir iesaistītas ar ūdensapgādes un pārtikas sistēmu efektīvas pārvaldības uzlabošanu saistītajos pētniecības un inovācijas projektos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To valstu skaits, kurās ir īstenoti ūdens taupīšanas risinājumi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To pārejas laika uzaicinājumu iesniegt priekšlikumu skaits gadā, kas ir paredzēti ūdensapgādes un pārtikas sistēmu problēmu risināšanai</w:t>
      </w:r>
    </w:p>
    <w:p>
      <w:pPr>
        <w:pStyle w:val="Text1"/>
        <w:pBdr>
          <w:top w:val="single" w:sz="4" w:space="1" w:color="auto"/>
          <w:left w:val="single" w:sz="4" w:space="4" w:color="auto"/>
          <w:bottom w:val="single" w:sz="4" w:space="1" w:color="auto"/>
          <w:right w:val="single" w:sz="4" w:space="4" w:color="auto"/>
        </w:pBdr>
        <w:ind w:left="851"/>
        <w:rPr>
          <w:noProof/>
        </w:rPr>
      </w:pPr>
      <w:r>
        <w:rPr>
          <w:noProof/>
        </w:rPr>
        <w:t>b) ievades rādītāji: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lastRenderedPageBreak/>
        <w:t>• Iesaistīto valstu līdzdalības pakāpe Valdes sanāksmēs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Papildu valstis, kas piedalās iniciatīvā</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Valstis, kas pārtrauc darboties kā iesaistītās valstis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Iesaistīto valstu faktiskās finanšu saistības materiālā veidā</w:t>
      </w:r>
    </w:p>
    <w:p>
      <w:pPr>
        <w:pStyle w:val="Text1"/>
        <w:pBdr>
          <w:top w:val="single" w:sz="4" w:space="1" w:color="auto"/>
          <w:left w:val="single" w:sz="4" w:space="4" w:color="auto"/>
          <w:bottom w:val="single" w:sz="4" w:space="1" w:color="auto"/>
          <w:right w:val="single" w:sz="4" w:space="4" w:color="auto"/>
        </w:pBdr>
        <w:ind w:firstLine="283"/>
        <w:rPr>
          <w:noProof/>
        </w:rPr>
      </w:pPr>
      <w:r>
        <w:rPr>
          <w:noProof/>
        </w:rPr>
        <w:t>• Progress saistībā ar Stratēģiskās pētniecības un inovāciju programmas (SPIP) atjaunināšanu</w:t>
      </w:r>
    </w:p>
    <w:p>
      <w:pPr>
        <w:pStyle w:val="Text1"/>
        <w:pBdr>
          <w:top w:val="single" w:sz="4" w:space="1" w:color="auto"/>
          <w:left w:val="single" w:sz="4" w:space="4" w:color="auto"/>
          <w:bottom w:val="single" w:sz="4" w:space="1" w:color="auto"/>
          <w:right w:val="single" w:sz="4" w:space="4" w:color="auto"/>
        </w:pBdr>
        <w:ind w:firstLine="283"/>
        <w:rPr>
          <w:noProof/>
        </w:rPr>
      </w:pPr>
      <w:r>
        <w:rPr>
          <w:noProof/>
        </w:rPr>
        <w:t>• Visu trešo valstu līdzdalība uz līdzvērtīgiem nosacījumiem</w:t>
      </w:r>
    </w:p>
    <w:p>
      <w:pPr>
        <w:pStyle w:val="Text1"/>
        <w:pBdr>
          <w:top w:val="single" w:sz="4" w:space="1" w:color="auto"/>
          <w:left w:val="single" w:sz="4" w:space="4" w:color="auto"/>
          <w:bottom w:val="single" w:sz="4" w:space="1" w:color="auto"/>
          <w:right w:val="single" w:sz="4" w:space="4" w:color="auto"/>
        </w:pBdr>
        <w:rPr>
          <w:noProof/>
        </w:rPr>
      </w:pPr>
      <w:r>
        <w:rPr>
          <w:noProof/>
        </w:rPr>
        <w:t>2. Ar specifisku rādītāju palīdzību, pamatojoties uz Ilgtspējīgas attīstības mērķu (IAM) sistēmu, un galvenokārt, taču ne tikai, pievērsties uz pārtikas nodrošinājumam (IAM Nr. 2) un ūdens ilgtspējīgai apsaimniekošanai (IAM Nr. 6). Vissvarīgākie rādītāji un to saikne ar darbības mērķiem ir šāda:</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 Daudzdimensionāls nabadzības riska indekss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 xml:space="preserve">1. mērķis (viedas un ilgtspējīgas lauksaimniecības dabas resursu ražošanas pieaugums),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4. mērķis (risinājumi pārtikas un ūdens resursu piegādes ķēdes efektivitātei, zaudējumu un atkritumu samazināšana),</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5. mērķis (samazināt lauksaimniecībā izmantotos pesticīdus un patogēnus, kas ietekmē cilvēku veselību).</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Iedzīvotāju liekais svars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 xml:space="preserve">3. mērķis (risinājumi uzturam paredzētu lauksaimniecības pārtikas produktiem ar Vidusjūras reģiona </w:t>
      </w:r>
      <w:r>
        <w:rPr>
          <w:noProof/>
        </w:rPr>
        <w:tab/>
        <w:t>izcelsmi).</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Zemes izmantojums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7. mērķis (uzlabot zemes un ūdens ilgtspējīgu izmantošanu daļēji sausās ūdensgūtves baseinos).</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 SEG emisijas (kopā un </w:t>
      </w:r>
      <w:r>
        <w:rPr>
          <w:i/>
          <w:noProof/>
        </w:rPr>
        <w:t xml:space="preserve">AFOLU </w:t>
      </w:r>
      <w:r>
        <w:rPr>
          <w:noProof/>
        </w:rPr>
        <w:t xml:space="preserve">– t CO2e)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 xml:space="preserve">1. mērķis. </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 Graudaugu raža (kg/ha)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1. mērķis.</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Lauksaimniecības pievienotā vērtība (EUR/ strādnieks).</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6. mērķis (novatoriski modeļi lauksaimniecības uzņēmējdarbībā jaunu darba vietu un ekonomiskas izaugsmes veicināšanai).</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 Mēslojuma patēriņš (kg/ha aramās zemes)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1. mērķis.</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Izmantotais ūdens kultūraugu ražīgumam (kg/m3).</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2. mērķis (ūdens taupības risinājumi lauksaimniecībai).</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Visa izmantotā ūdens īpatsvars.</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7. mērķis.</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Iedzīvotāji, kas izmanto droši pārvaldītus ūdens pakalpojumus (lauku teritorijās,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8. mērķis  (jauni pārvaldības modeļi ūdens apsaimniekošanai).</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Iedzīvotāji, kas izmanto droši pārvaldītus sanitārijas pakalpojumus (lauku teritorijās,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 xml:space="preserve">8. mērķis. </w:t>
      </w:r>
    </w:p>
    <w:p>
      <w:pPr>
        <w:pStyle w:val="Text1"/>
        <w:pBdr>
          <w:top w:val="single" w:sz="4" w:space="1" w:color="auto"/>
          <w:left w:val="single" w:sz="4" w:space="4" w:color="auto"/>
          <w:bottom w:val="single" w:sz="4" w:space="1" w:color="auto"/>
          <w:right w:val="single" w:sz="4" w:space="4" w:color="auto"/>
        </w:pBdr>
        <w:spacing w:before="0" w:after="0"/>
        <w:rPr>
          <w:noProof/>
        </w:rPr>
      </w:pP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 Enerģijas iegūšanas nolūkā izmantot lauksaimniecības atlieku daudzums (t).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sym w:font="Wingdings" w:char="F0E0"/>
      </w:r>
      <w:r>
        <w:rPr>
          <w:noProof/>
        </w:rPr>
        <w:t>4. mērķis.</w:t>
      </w:r>
    </w:p>
    <w:p>
      <w:pPr>
        <w:pStyle w:val="ManualHeading2"/>
        <w:rPr>
          <w:bCs/>
          <w:noProof/>
          <w:szCs w:val="24"/>
        </w:rPr>
      </w:pPr>
      <w:r>
        <w:t>1.5.</w:t>
      </w:r>
      <w:r>
        <w:tab/>
      </w:r>
      <w:r>
        <w:rPr>
          <w:noProof/>
        </w:rPr>
        <w:t>Priekšlikuma/iniciatīvas pamatojums</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i/>
          <w:noProof/>
        </w:rPr>
        <w:t xml:space="preserve">PRIMA </w:t>
      </w:r>
      <w:r>
        <w:rPr>
          <w:noProof/>
        </w:rPr>
        <w:t>apvienos ES un valstu resursus, lai strukturētā veidā izstrādātu ilgtspējīgu pētniecības un inovācijas programmu ūdensapgādes un pārtikas sistēmu jomā Vidusjūras reģionā.</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Lai saņemtu plašāku informāciju, lūdzam skatīt </w:t>
      </w:r>
      <w:r>
        <w:rPr>
          <w:i/>
          <w:noProof/>
        </w:rPr>
        <w:t xml:space="preserve">PRIMA </w:t>
      </w:r>
      <w:r>
        <w:rPr>
          <w:noProof/>
        </w:rPr>
        <w:t>ietekmes novērtējuma ziņojumu, kas pievienots tiesību akta priekšlikumam.</w:t>
      </w:r>
    </w:p>
    <w:p>
      <w:pPr>
        <w:pStyle w:val="ManualHeading3"/>
        <w:rPr>
          <w:bCs/>
          <w:noProof/>
          <w:szCs w:val="24"/>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Iniciatīva atbilst jaunajam satvaram partnerībai ar trešām valstīm saskaņā ar Eiropas programmu migrācijas jomā, tā kā tā novērš dažus migrācijas pamatcēloņus; tā ir skaidri manāma apmaiņā starp pētniecības, klimata pārmaiņu, vides un lauksaimniecības politikas jomām; un ilustrē jaunās attīstības sadarbības modeli, ko aizstāv jaunais partnerības satvars, ciktāl tas ietver privātos investoru, piesaista ierobežotos budžeta līdzekļus un koncentrējas uz MVU un ilgtspējīgu infrastruktūru.</w:t>
      </w:r>
    </w:p>
    <w:p>
      <w:pPr>
        <w:pStyle w:val="Text1"/>
        <w:pBdr>
          <w:top w:val="single" w:sz="4" w:space="1" w:color="auto"/>
          <w:left w:val="single" w:sz="4" w:space="4" w:color="auto"/>
          <w:bottom w:val="single" w:sz="4" w:space="1" w:color="auto"/>
          <w:right w:val="single" w:sz="4" w:space="4" w:color="auto"/>
        </w:pBdr>
        <w:rPr>
          <w:noProof/>
        </w:rPr>
      </w:pPr>
      <w:r>
        <w:rPr>
          <w:noProof/>
        </w:rPr>
        <w:t>Tikai ar ES līmeņa rīcību var panākt labi koordinētu un integrētu programmu, sasniedzot nepieciešamo mērogu, darbības jomu un kritisko masu, lai sasniegtu konkrētos un vispārīgos mērķus. ES līmeņa rīcību raksturo spēcīga sviras ietekme, tā kā tā mobilizē ievērojamu papildu publisko un privāto ieguldījumu. Turklāt tā radītā ietekme pārsniedz pētniecības un inovācijas politiku un risinājumus, tādējādi atbalstot ES ārpolitiku un centienus novērst migrācijas pamatcēloņus. Paredzams, ka ES līdzdalība</w:t>
      </w:r>
      <w:r>
        <w:rPr>
          <w:i/>
          <w:noProof/>
        </w:rPr>
        <w:t xml:space="preserve"> PRIMA</w:t>
      </w:r>
      <w:r>
        <w:rPr>
          <w:noProof/>
        </w:rPr>
        <w:t xml:space="preserve"> veicinās Eiropas pamanāmību un globālo atbildību, ņemot vērā ES kaimiņattiecību politiku, kas stimulē diferenciācijas principus un lielāku savstarpējo līdzatbildību ar kaimiņvalstu partneriem.</w:t>
      </w:r>
    </w:p>
    <w:p>
      <w:pPr>
        <w:pStyle w:val="ManualHeading3"/>
        <w:rPr>
          <w:bCs/>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i/>
          <w:noProof/>
        </w:rPr>
        <w:t>PRIMA</w:t>
      </w:r>
      <w:r>
        <w:rPr>
          <w:noProof/>
        </w:rPr>
        <w:t xml:space="preserve"> ir izstrādāta tā, lai tā darbotos kā 185. panta iniciatīva, proti, DS ar ES līdzdalību. Gūtā pieredze ar iepriekšējām un pašreizējām iniciatīvām no PP6 līdz “Apvārsnim 2020” liecina par pozitīvu ietekmi, jo īpaši attiecībā uz:</w:t>
      </w:r>
    </w:p>
    <w:p>
      <w:pPr>
        <w:pStyle w:val="Text1"/>
        <w:pBdr>
          <w:top w:val="single" w:sz="4" w:space="1" w:color="auto"/>
          <w:left w:val="single" w:sz="4" w:space="4" w:color="auto"/>
          <w:bottom w:val="single" w:sz="4" w:space="1" w:color="auto"/>
          <w:right w:val="single" w:sz="4" w:space="4" w:color="auto"/>
        </w:pBdr>
        <w:rPr>
          <w:noProof/>
        </w:rPr>
      </w:pPr>
      <w:r>
        <w:rPr>
          <w:noProof/>
        </w:rPr>
        <w:t>- valstu un Eiropas centienu, lai risinātu kopīgās problēmas, ilgtermiņa zinātnisku, vadības un finanšu integrāciju ar skaidrām sākotnējām finanšu un politiskajām saistībām; bez nepieciešamības institucionalizēt kopīgos centienus vai izveidot lielas, jaunas struktūras;</w:t>
      </w:r>
    </w:p>
    <w:p>
      <w:pPr>
        <w:pStyle w:val="Text1"/>
        <w:pBdr>
          <w:top w:val="single" w:sz="4" w:space="1" w:color="auto"/>
          <w:left w:val="single" w:sz="4" w:space="4" w:color="auto"/>
          <w:bottom w:val="single" w:sz="4" w:space="1" w:color="auto"/>
          <w:right w:val="single" w:sz="4" w:space="4" w:color="auto"/>
        </w:pBdr>
        <w:rPr>
          <w:noProof/>
        </w:rPr>
      </w:pPr>
      <w:r>
        <w:rPr>
          <w:noProof/>
        </w:rPr>
        <w:t>- sviras efektu un ietekmes radīšanu;</w:t>
      </w:r>
    </w:p>
    <w:p>
      <w:pPr>
        <w:pStyle w:val="Text1"/>
        <w:pBdr>
          <w:top w:val="single" w:sz="4" w:space="1" w:color="auto"/>
          <w:left w:val="single" w:sz="4" w:space="4" w:color="auto"/>
          <w:bottom w:val="single" w:sz="4" w:space="1" w:color="auto"/>
          <w:right w:val="single" w:sz="4" w:space="4" w:color="auto"/>
        </w:pBdr>
        <w:jc w:val="left"/>
        <w:rPr>
          <w:noProof/>
        </w:rPr>
      </w:pPr>
      <w:r>
        <w:rPr>
          <w:noProof/>
        </w:rPr>
        <w:lastRenderedPageBreak/>
        <w:t>- vadošo lomu starptautiskā mērogā un globālo sadarbību gan pamanāmības izteiksmē, gan attiecībā uz vadošo pozīciju zinātnes jomā un uz jaunu attīstības sadarbības modeli;</w:t>
      </w:r>
    </w:p>
    <w:p>
      <w:pPr>
        <w:pStyle w:val="Text1"/>
        <w:pBdr>
          <w:top w:val="single" w:sz="4" w:space="1" w:color="auto"/>
          <w:left w:val="single" w:sz="4" w:space="4" w:color="auto"/>
          <w:bottom w:val="single" w:sz="4" w:space="1" w:color="auto"/>
          <w:right w:val="single" w:sz="4" w:space="4" w:color="auto"/>
        </w:pBdr>
        <w:rPr>
          <w:noProof/>
        </w:rPr>
      </w:pPr>
      <w:r>
        <w:rPr>
          <w:noProof/>
        </w:rPr>
        <w:t>- efektīvu īstenošanu un pareizu finanšu pārvaldību.</w:t>
      </w:r>
    </w:p>
    <w:p>
      <w:pPr>
        <w:pStyle w:val="ManualHeading3"/>
        <w:rPr>
          <w:bCs/>
          <w:noProof/>
          <w:szCs w:val="24"/>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i/>
          <w:noProof/>
        </w:rPr>
        <w:t>PRIMA</w:t>
      </w:r>
      <w:r>
        <w:rPr>
          <w:noProof/>
        </w:rPr>
        <w:t xml:space="preserve"> sekmēs vairākas pamatiniciatīvas, jo īpaši attiecībā uz ilgtspējīgu politiku: Pamatiniciatīvu “Resursu ziņā efektīva Eiropa”, Eiropas kaimiņattiecību programmu lauksaimniecībai un lauku attīstībai. Tāpat</w:t>
      </w:r>
      <w:r>
        <w:rPr>
          <w:i/>
          <w:noProof/>
        </w:rPr>
        <w:t xml:space="preserve"> PRIMA</w:t>
      </w:r>
      <w:r>
        <w:rPr>
          <w:noProof/>
        </w:rPr>
        <w:t xml:space="preserve"> ir būtiska nozīme arī vairākās ārpolitikas jomās, jo īpaši attiecībā uz Satvaru partnerībai ar trešām valstīm saskaņā ar Eiropas programmu migrācijas jomā un Attīstības politikas programmu pēc 2015. gada, kā arī uz Ilgtspējīgas attīstības mērķiem.</w:t>
      </w:r>
    </w:p>
    <w:p>
      <w:pPr>
        <w:pStyle w:val="Text1"/>
        <w:pBdr>
          <w:top w:val="single" w:sz="4" w:space="1" w:color="auto"/>
          <w:left w:val="single" w:sz="4" w:space="4" w:color="auto"/>
          <w:bottom w:val="single" w:sz="4" w:space="1" w:color="auto"/>
          <w:right w:val="single" w:sz="4" w:space="4" w:color="auto"/>
        </w:pBdr>
        <w:rPr>
          <w:noProof/>
        </w:rPr>
      </w:pPr>
      <w:r>
        <w:rPr>
          <w:i/>
          <w:noProof/>
        </w:rPr>
        <w:t>PRIMA</w:t>
      </w:r>
      <w:r>
        <w:rPr>
          <w:noProof/>
        </w:rPr>
        <w:t xml:space="preserve"> būtiski veicinās programmā “Apvārsnis 2020” un Pētniecības &amp; inovāciju politikā (3 A — atvērtā zinātne, atvērtās inovācijas, atvērti pasaulei) noteikto mērķu sasniegšanu.</w:t>
      </w:r>
    </w:p>
    <w:p>
      <w:pPr>
        <w:pStyle w:val="ManualHeading2"/>
        <w:rPr>
          <w:bCs/>
          <w:noProof/>
          <w:szCs w:val="24"/>
        </w:rPr>
      </w:pPr>
      <w:r>
        <w:rPr>
          <w:noProof/>
        </w:rPr>
        <w:br w:type="page"/>
      </w:r>
      <w:r>
        <w:lastRenderedPageBreak/>
        <w:t>1.6.</w:t>
      </w:r>
      <w:r>
        <w:tab/>
      </w:r>
      <w:r>
        <w:rPr>
          <w:noProof/>
        </w:rPr>
        <w:t xml:space="preserve">Ilgums un finansiālā ietekme </w:t>
      </w:r>
    </w:p>
    <w:p>
      <w:pPr>
        <w:pStyle w:val="Text1"/>
        <w:rPr>
          <w:noProof/>
        </w:rPr>
      </w:pPr>
      <w:r>
        <w:rPr>
          <w:noProof/>
        </w:rPr>
        <w:sym w:font="Wingdings" w:char="F078"/>
      </w:r>
      <w:r>
        <w:rPr>
          <w:noProof/>
        </w:rPr>
        <w:t>Ierobežota ilguma</w:t>
      </w:r>
      <w:r>
        <w:rPr>
          <w:b/>
          <w:noProof/>
        </w:rPr>
        <w:t xml:space="preserve"> priekšlikums/iniciatīva </w:t>
      </w:r>
    </w:p>
    <w:p>
      <w:pPr>
        <w:pStyle w:val="ListDash2"/>
        <w:rPr>
          <w:noProof/>
        </w:rPr>
      </w:pPr>
      <w:r>
        <w:rPr>
          <w:noProof/>
        </w:rPr>
        <w:sym w:font="Wingdings" w:char="F078"/>
      </w:r>
      <w:r>
        <w:rPr>
          <w:noProof/>
        </w:rPr>
        <w:tab/>
        <w:t>Priekšlikums/ iniciatīva ir spēkā no šā lēmuma stāšanās spēkā līdz 2028. gada 31. decembrim.</w:t>
      </w:r>
    </w:p>
    <w:p>
      <w:pPr>
        <w:pStyle w:val="ListDash2"/>
        <w:rPr>
          <w:noProof/>
        </w:rPr>
      </w:pPr>
      <w:r>
        <w:rPr>
          <w:noProof/>
        </w:rPr>
        <w:sym w:font="Wingdings" w:char="F078"/>
      </w:r>
      <w:r>
        <w:rPr>
          <w:noProof/>
        </w:rPr>
        <w:t>Finansiālā ietekme no 2018. gada līdz 2020. gadam saistību apropriāciju jomā un no 2018. gada līdz 2029. gadam maksājumu apropriāciju jomā</w:t>
      </w:r>
    </w:p>
    <w:p>
      <w:pPr>
        <w:pStyle w:val="Text1"/>
        <w:rPr>
          <w:noProof/>
        </w:rPr>
      </w:pPr>
      <w:r>
        <w:rPr>
          <w:noProof/>
        </w:rPr>
        <w:sym w:font="Wingdings" w:char="F0A8"/>
      </w:r>
      <w:r>
        <w:rPr>
          <w:b/>
          <w:noProof/>
        </w:rPr>
        <w:t xml:space="preserve">Beztermiņa </w:t>
      </w:r>
      <w:r>
        <w:rPr>
          <w:noProof/>
        </w:rPr>
        <w:t>priekšlikums/iniciatīva</w:t>
      </w:r>
    </w:p>
    <w:p>
      <w:pPr>
        <w:pStyle w:val="ListDash1"/>
        <w:rPr>
          <w:noProof/>
        </w:rPr>
      </w:pPr>
      <w:r>
        <w:rPr>
          <w:noProof/>
        </w:rPr>
        <w:t>Īstenošana ar uzsākšanas periodu no GGGG. līdz GGGG.,</w:t>
      </w:r>
    </w:p>
    <w:p>
      <w:pPr>
        <w:pStyle w:val="ListDash1"/>
        <w:rPr>
          <w:noProof/>
        </w:rPr>
      </w:pPr>
      <w:r>
        <w:rPr>
          <w:noProof/>
        </w:rPr>
        <w:t xml:space="preserve">pēc kura turpinās normāla darbība. </w:t>
      </w:r>
    </w:p>
    <w:p>
      <w:pPr>
        <w:pStyle w:val="ManualHeading2"/>
        <w:rPr>
          <w:bCs/>
          <w:noProof/>
          <w:szCs w:val="24"/>
        </w:rPr>
      </w:pPr>
      <w:r>
        <w:t>1.7.</w:t>
      </w:r>
      <w:r>
        <w:tab/>
      </w:r>
      <w:r>
        <w:rPr>
          <w:noProof/>
        </w:rPr>
        <w:t>Paredzētie pārvaldības veidi</w:t>
      </w:r>
      <w:r>
        <w:rPr>
          <w:rStyle w:val="FootnoteReference"/>
          <w:noProof/>
        </w:rPr>
        <w:footnoteReference w:id="13"/>
      </w:r>
      <w:r>
        <w:rPr>
          <w:rStyle w:val="FootnoteReference"/>
          <w:noProof/>
        </w:rPr>
        <w:t xml:space="preserve"> </w:t>
      </w:r>
    </w:p>
    <w:p>
      <w:pPr>
        <w:pStyle w:val="Text1"/>
        <w:rPr>
          <w:noProof/>
        </w:rPr>
      </w:pPr>
      <w:r>
        <w:rPr>
          <w:noProof/>
        </w:rPr>
        <w:sym w:font="Wingdings" w:char="F0A8"/>
      </w:r>
      <w:r>
        <w:rPr>
          <w:noProof/>
        </w:rPr>
        <w:t xml:space="preserve">Komisijas īstenota </w:t>
      </w:r>
      <w:r>
        <w:rPr>
          <w:b/>
          <w:noProof/>
        </w:rPr>
        <w:t>tieša pārvaldība</w:t>
      </w:r>
    </w:p>
    <w:p>
      <w:pPr>
        <w:pStyle w:val="ListDash2"/>
        <w:rPr>
          <w:rFonts w:cs="EUAlbertina"/>
          <w:noProof/>
        </w:rPr>
      </w:pPr>
      <w:r>
        <w:rPr>
          <w:noProof/>
        </w:rPr>
        <w:sym w:font="Wingdings" w:char="F0A8"/>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b/>
          <w:noProof/>
        </w:rPr>
        <w:t>Dalīta pārvaldība</w:t>
      </w:r>
      <w:r>
        <w:rPr>
          <w:noProof/>
        </w:rPr>
        <w:t xml:space="preserve"> kopā ar dalībvalstīm </w:t>
      </w:r>
    </w:p>
    <w:p>
      <w:pPr>
        <w:pStyle w:val="Text1"/>
        <w:rPr>
          <w:noProof/>
        </w:rPr>
      </w:pPr>
      <w:r>
        <w:rPr>
          <w:noProof/>
        </w:rPr>
        <w:sym w:font="Wingdings" w:char="F078"/>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ieceltām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7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 xml:space="preserve">Tiks izveidots jauns tiesību subjekts, kas koncentrēsies tikai uz </w:t>
      </w:r>
      <w:r>
        <w:rPr>
          <w:i/>
          <w:noProof/>
        </w:rPr>
        <w:t xml:space="preserve">PRIMA </w:t>
      </w:r>
      <w:r>
        <w:rPr>
          <w:noProof/>
        </w:rPr>
        <w:t>īstenošanu. Savienības finansiālais ieguldījums iniciatīvā tiks sniegts ar šīs organizācijas starpniecību.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Standarta uzraudzības pasākumi, ko pieņēmis RTD ĢD saskaņā ar LESD 185. pantu īstenotām iniciatīvām, kas ir vienādi attieksies uz </w:t>
      </w:r>
      <w:r>
        <w:rPr>
          <w:i/>
          <w:noProof/>
        </w:rPr>
        <w:t xml:space="preserve">PRIMA </w:t>
      </w:r>
      <w:r>
        <w:rPr>
          <w:noProof/>
        </w:rPr>
        <w:t>Kopīgo programmu.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Komisijas dienestu, </w:t>
      </w:r>
      <w:r>
        <w:rPr>
          <w:i/>
          <w:noProof/>
        </w:rPr>
        <w:t>PRIMA</w:t>
      </w:r>
      <w:r>
        <w:rPr>
          <w:noProof/>
        </w:rPr>
        <w:t xml:space="preserve"> īpašās īstenošanas struktūras (</w:t>
      </w:r>
      <w:r>
        <w:rPr>
          <w:i/>
          <w:noProof/>
        </w:rPr>
        <w:t xml:space="preserve">PRIMA </w:t>
      </w:r>
      <w:r>
        <w:rPr>
          <w:noProof/>
        </w:rPr>
        <w:t xml:space="preserve">ĪS) un iesaistīto valstu pienākumi tiks definēti pamataktā un deleģēšanas nolīgumā,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Pirms deleģēšanas nolīguma parakstīšanas </w:t>
      </w:r>
      <w:r>
        <w:rPr>
          <w:i/>
          <w:noProof/>
        </w:rPr>
        <w:t xml:space="preserve">PRIMA </w:t>
      </w:r>
      <w:r>
        <w:rPr>
          <w:noProof/>
        </w:rPr>
        <w:t xml:space="preserve">ĪS tiks veikts </w:t>
      </w:r>
      <w:r>
        <w:rPr>
          <w:i/>
          <w:noProof/>
        </w:rPr>
        <w:t>ex-ante</w:t>
      </w:r>
      <w:r>
        <w:rPr>
          <w:noProof/>
        </w:rPr>
        <w:t xml:space="preserve"> novērtējums saskaņā ar Finanšu regulas 61. panta noteiktajām prasībām. </w:t>
      </w:r>
      <w:r>
        <w:rPr>
          <w:i/>
          <w:noProof/>
        </w:rPr>
        <w:t xml:space="preserve">PRIMA </w:t>
      </w:r>
      <w:r>
        <w:rPr>
          <w:noProof/>
        </w:rPr>
        <w:t xml:space="preserve">ĪS nodrošina visaptverošus gada ziņojumus, tostarp revidentu atzinumus un pārvaldības deklarāciju, kā arī atbild par </w:t>
      </w:r>
      <w:r>
        <w:rPr>
          <w:i/>
          <w:noProof/>
        </w:rPr>
        <w:t xml:space="preserve">ex-ante </w:t>
      </w:r>
      <w:r>
        <w:rPr>
          <w:noProof/>
        </w:rPr>
        <w:t xml:space="preserve">kontroles veikšanu visām </w:t>
      </w:r>
      <w:r>
        <w:rPr>
          <w:i/>
          <w:noProof/>
        </w:rPr>
        <w:t xml:space="preserve">PRIMA </w:t>
      </w:r>
      <w:r>
        <w:rPr>
          <w:noProof/>
        </w:rPr>
        <w:t xml:space="preserve">ĪS finansētajām netiešajām darbībām.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Turklāt, kā noteikts Finanšu regulā, iesaistītās valstis savlaicīgi un ne vēlāk kā līdz brīdim, kad Komisija paraksta deleģēšanas nolīgumu, sniedz pienācīgas finanšu garantijas.  </w:t>
      </w:r>
    </w:p>
    <w:p>
      <w:pPr>
        <w:pStyle w:val="Text1"/>
        <w:pBdr>
          <w:top w:val="single" w:sz="4" w:space="1" w:color="auto"/>
          <w:left w:val="single" w:sz="4" w:space="4" w:color="auto"/>
          <w:bottom w:val="single" w:sz="4" w:space="1" w:color="auto"/>
          <w:right w:val="single" w:sz="4" w:space="4" w:color="auto"/>
        </w:pBdr>
        <w:rPr>
          <w:noProof/>
        </w:rPr>
      </w:pPr>
      <w:r>
        <w:rPr>
          <w:noProof/>
        </w:rPr>
        <w:t>Iesaistītās valstis noteiks savu darbību izmaksas saskaņā ar parasto grāmatvedības praksi un attiecīgo iesaistīto valstu grāmatvedības standartiem, kā arī piemērojamajiem starptautiskajiem grāmatvedības standartiem/ starptautiskajiem finanšu pārskatu standartiem. Tie ietver revīzijas sertifikātus un pārvaldības deklarāciju.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Komisijai ir novērotājas loma </w:t>
      </w:r>
      <w:r>
        <w:rPr>
          <w:i/>
          <w:noProof/>
        </w:rPr>
        <w:t>PRIMA</w:t>
      </w:r>
      <w:r>
        <w:rPr>
          <w:noProof/>
        </w:rPr>
        <w:t xml:space="preserve"> ĪS lēmumu pieņemšanas struktūrvienībā, un tā verificē un apstiprina ar Komisijas lēmumu gada darba plānu (GDP) un ar to saistītos budžeta plānus, kā arī gada pārskatus. Ja pārskati nav pieņemami, tiks veikti papildu pasākumi, lai mazinātu jebkādus Komisijas finanšu un reputācijas riskus. Vajadzības gadījumā tiks apturēti un/ vai atgūti maksājumi </w:t>
      </w:r>
      <w:r>
        <w:rPr>
          <w:i/>
          <w:noProof/>
        </w:rPr>
        <w:t xml:space="preserve">PRIMA </w:t>
      </w:r>
      <w:r>
        <w:rPr>
          <w:noProof/>
        </w:rPr>
        <w:t xml:space="preserve">ĪS, kā arī izmantotas iesaistīto valstu sniegtās finanšu garantijas. Ja visi iepriekš minētie pasākumi nav pietiekami, lai nodrošinātu Savienības finansiālo interešu aizsardzību vai politikas mērķu pienācīgu īstenošanu, pēc rūpīgas izvērtēšanas var tikt veikta </w:t>
      </w:r>
      <w:r>
        <w:rPr>
          <w:i/>
          <w:noProof/>
        </w:rPr>
        <w:t xml:space="preserve">PRIMA </w:t>
      </w:r>
      <w:r>
        <w:rPr>
          <w:noProof/>
        </w:rPr>
        <w:t>ĪS revīzija. Turklāt Komisija vajadzības gadījumā var lemt par deleģēšanas nolīguma īstenošanas apturēšanu vai izbeigšanu.</w:t>
      </w:r>
    </w:p>
    <w:p>
      <w:pPr>
        <w:pStyle w:val="Text1"/>
        <w:pBdr>
          <w:top w:val="single" w:sz="4" w:space="1" w:color="auto"/>
          <w:left w:val="single" w:sz="4" w:space="4" w:color="auto"/>
          <w:bottom w:val="single" w:sz="4" w:space="1" w:color="auto"/>
          <w:right w:val="single" w:sz="4" w:space="4" w:color="auto"/>
        </w:pBdr>
        <w:rPr>
          <w:noProof/>
        </w:rPr>
      </w:pPr>
      <w:r>
        <w:rPr>
          <w:i/>
          <w:noProof/>
        </w:rPr>
        <w:t xml:space="preserve">PRIMA </w:t>
      </w:r>
      <w:r>
        <w:rPr>
          <w:noProof/>
        </w:rPr>
        <w:t xml:space="preserve">īstenošana tiks uzraudzīta ar gada pārskatu palīdzību. Tie ietvers detalizētu pārskatu pār </w:t>
      </w:r>
      <w:r>
        <w:rPr>
          <w:i/>
          <w:noProof/>
        </w:rPr>
        <w:t xml:space="preserve">PRIMA </w:t>
      </w:r>
      <w:r>
        <w:rPr>
          <w:noProof/>
        </w:rPr>
        <w:t>darbību salīdzinājumā ar daudzgadu stratēģisko darba plānu un gada darba plānu, kā arī pār panākto progresu attiecībā uz mērķu sasniegšanu un 1.4.4. punktā uzskaitītajiem atjauninātiem rādītājiem.</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i/>
          <w:noProof/>
        </w:rPr>
        <w:t xml:space="preserve">PRIMA </w:t>
      </w:r>
      <w:r>
        <w:rPr>
          <w:noProof/>
        </w:rPr>
        <w:t>ĪS kapacitāte pārvaldīt ES iemaksas un aizsargāt ES finansiālās intereses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Iesaistīto valstu kapacitāte finansēt savus ieguldījumus programmā </w:t>
      </w:r>
    </w:p>
    <w:p>
      <w:pPr>
        <w:pStyle w:val="Text1"/>
        <w:pBdr>
          <w:top w:val="single" w:sz="4" w:space="1" w:color="auto"/>
          <w:left w:val="single" w:sz="4" w:space="4" w:color="auto"/>
          <w:bottom w:val="single" w:sz="4" w:space="1" w:color="auto"/>
          <w:right w:val="single" w:sz="4" w:space="4" w:color="auto"/>
        </w:pBdr>
        <w:rPr>
          <w:noProof/>
        </w:rPr>
      </w:pPr>
      <w:r>
        <w:rPr>
          <w:noProof/>
        </w:rPr>
        <w:t>3) Būtiskas ES sākotnējās saistības 2020. gadā.</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1. risks — skatīt 2.1. punktu.</w:t>
      </w:r>
    </w:p>
    <w:p>
      <w:pPr>
        <w:pStyle w:val="Text1"/>
        <w:pBdr>
          <w:top w:val="single" w:sz="4" w:space="1" w:color="auto"/>
          <w:left w:val="single" w:sz="4" w:space="4" w:color="auto"/>
          <w:bottom w:val="single" w:sz="4" w:space="1" w:color="auto"/>
          <w:right w:val="single" w:sz="4" w:space="4" w:color="auto"/>
        </w:pBdr>
        <w:rPr>
          <w:noProof/>
        </w:rPr>
      </w:pPr>
      <w:r>
        <w:rPr>
          <w:noProof/>
        </w:rPr>
        <w:t>2. risks — ES ieguldījums tiks atbrīvots jo īpaši saskaņā ar pamataktā un deleģēšanas nolīgumā paredzētajiem nosacījumiem. Savienības ieguldījuma izbeigšanas, samazināšanas vai apturēšanas mehānisms arī ir paredzēts pamataktā (9. pants).</w:t>
      </w:r>
    </w:p>
    <w:p>
      <w:pPr>
        <w:pStyle w:val="Text1"/>
        <w:pBdr>
          <w:top w:val="single" w:sz="4" w:space="1" w:color="auto"/>
          <w:left w:val="single" w:sz="4" w:space="4" w:color="auto"/>
          <w:bottom w:val="single" w:sz="4" w:space="1" w:color="auto"/>
          <w:right w:val="single" w:sz="4" w:space="4" w:color="auto"/>
        </w:pBdr>
        <w:rPr>
          <w:noProof/>
        </w:rPr>
      </w:pPr>
      <w:r>
        <w:rPr>
          <w:noProof/>
        </w:rPr>
        <w:t>3. risks — Pamataktā ir paredzēta iespēja izbeigt, samazināt vai apturēt ES finansiālo ieguldījumu, ja iesaistītās valstis nav savlaicīgi izpildījušas savas saistības, kā arī budžeta pārdalīšana citām iniciatīvām 2020. gadā.</w:t>
      </w: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Pamatakta 10. pantā paredzēts, ka tiks veiktas </w:t>
      </w:r>
      <w:r>
        <w:rPr>
          <w:i/>
          <w:noProof/>
        </w:rPr>
        <w:t>ex</w:t>
      </w:r>
      <w:r>
        <w:rPr>
          <w:noProof/>
        </w:rPr>
        <w:t>-</w:t>
      </w:r>
      <w:r>
        <w:rPr>
          <w:i/>
          <w:noProof/>
        </w:rPr>
        <w:t xml:space="preserve">post </w:t>
      </w:r>
      <w:r>
        <w:rPr>
          <w:noProof/>
        </w:rPr>
        <w:t xml:space="preserve">revīzijas pārbaudes attiecībā uz netiešo darbību izdevumiem saskaņā ar A2020 noteikumiem. Kontroles sistēmu izmaksas veido daļu no administratīvajām izmaksām </w:t>
      </w:r>
      <w:r>
        <w:rPr>
          <w:i/>
          <w:noProof/>
        </w:rPr>
        <w:t>PRIMA</w:t>
      </w:r>
      <w:r>
        <w:rPr>
          <w:noProof/>
        </w:rPr>
        <w:t xml:space="preserve"> īstenošanas vajadzībām. Sistēma sniegs pamatotu pārliecību un panāks identificēto risku pienācīgu pārvaldību.</w:t>
      </w: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Pamataktā ir paredzēts pasākumu kopums krāpšanas un pārkāpumu novēršanai, jo īpaši: </w:t>
      </w:r>
    </w:p>
    <w:p>
      <w:pPr>
        <w:pStyle w:val="Text1"/>
        <w:pBdr>
          <w:top w:val="single" w:sz="4" w:space="1" w:color="auto"/>
          <w:left w:val="single" w:sz="4" w:space="4" w:color="auto"/>
          <w:bottom w:val="single" w:sz="4" w:space="1" w:color="auto"/>
          <w:right w:val="single" w:sz="4" w:space="4" w:color="auto"/>
        </w:pBdr>
        <w:rPr>
          <w:noProof/>
        </w:rPr>
      </w:pPr>
      <w:r>
        <w:rPr>
          <w:noProof/>
        </w:rPr>
        <w:t>Pamatakta 11. pantā cita starpā paredzēts, ka</w:t>
      </w:r>
      <w:r>
        <w:rPr>
          <w:i/>
          <w:noProof/>
        </w:rPr>
        <w:t xml:space="preserve"> PRIMA </w:t>
      </w:r>
      <w:r>
        <w:rPr>
          <w:noProof/>
        </w:rPr>
        <w:t>ĪS ir jāpiešķir informācija un telpas, kas nepieciešamas Komisijai kontroles, novērtējuma un revīzijas veikšanai attiecībā uz</w:t>
      </w:r>
      <w:r>
        <w:rPr>
          <w:i/>
          <w:noProof/>
        </w:rPr>
        <w:t xml:space="preserve"> PRIMA </w:t>
      </w:r>
      <w:r>
        <w:rPr>
          <w:noProof/>
        </w:rPr>
        <w:t xml:space="preserve">īstenošanu, vai </w:t>
      </w:r>
      <w:r>
        <w:rPr>
          <w:i/>
          <w:noProof/>
        </w:rPr>
        <w:t>OLAF</w:t>
      </w:r>
      <w:r>
        <w:rPr>
          <w:noProof/>
        </w:rPr>
        <w:t xml:space="preserve"> izmeklēšanas vajadzībām.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Pamatakta 4. pants cita starpā paredzēts, ka ES ieguldījums tiek piešķirts ar nosacījumu, ka </w:t>
      </w:r>
      <w:r>
        <w:rPr>
          <w:i/>
          <w:noProof/>
        </w:rPr>
        <w:t>PRIMA</w:t>
      </w:r>
      <w:r>
        <w:rPr>
          <w:noProof/>
        </w:rPr>
        <w:t xml:space="preserve"> ievēro ziņošanas prasības, kas paredzētas 60. panta 5. punktā (Regulā (ES, Euratom) Nr. 966/2012. Saskaņā ar 9. pantu Komisija var izbeigt, samazināt vai apturēt savu ieguldījumu.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 xml:space="preserve">Sarindotas </w:t>
      </w:r>
      <w:r>
        <w:rPr>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w:t>
            </w:r>
            <w:r>
              <w:rPr>
                <w:noProof/>
                <w:sz w:val="22"/>
              </w:rPr>
              <w:br/>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r>
              <w:rPr>
                <w:rFonts w:eastAsiaTheme="minorEastAsia"/>
                <w:noProof/>
                <w:sz w:val="20"/>
              </w:rPr>
              <w:t>1.a izdevumu kategorija. Konkurētspēja izaugsmei un nodarbinātībai</w:t>
            </w:r>
          </w:p>
        </w:tc>
        <w:tc>
          <w:tcPr>
            <w:tcW w:w="1080" w:type="dxa"/>
            <w:vAlign w:val="center"/>
          </w:tcPr>
          <w:p>
            <w:pPr>
              <w:jc w:val="center"/>
              <w:rPr>
                <w:noProof/>
              </w:rPr>
            </w:pPr>
            <w:r>
              <w:rPr>
                <w:noProof/>
                <w:sz w:val="18"/>
              </w:rPr>
              <w:t>Dif./nedif.</w:t>
            </w:r>
            <w:r>
              <w:rPr>
                <w:rStyle w:val="FootnoteReference"/>
                <w:noProof/>
                <w:sz w:val="18"/>
              </w:rPr>
              <w:footnoteReference w:id="14"/>
            </w:r>
          </w:p>
        </w:tc>
        <w:tc>
          <w:tcPr>
            <w:tcW w:w="956" w:type="dxa"/>
            <w:vAlign w:val="center"/>
          </w:tcPr>
          <w:p>
            <w:pPr>
              <w:jc w:val="center"/>
              <w:rPr>
                <w:noProof/>
              </w:rPr>
            </w:pPr>
            <w:r>
              <w:rPr>
                <w:noProof/>
                <w:sz w:val="18"/>
              </w:rPr>
              <w:t>no EBTA valstīm</w:t>
            </w:r>
            <w:r>
              <w:rPr>
                <w:rStyle w:val="FootnoteReference"/>
                <w:noProof/>
                <w:sz w:val="18"/>
              </w:rPr>
              <w:footnoteReference w:id="15"/>
            </w:r>
          </w:p>
          <w:p>
            <w:pPr>
              <w:spacing w:before="0" w:after="0"/>
              <w:jc w:val="center"/>
              <w:rPr>
                <w:b/>
                <w:noProof/>
                <w:sz w:val="18"/>
              </w:rPr>
            </w:pPr>
          </w:p>
        </w:tc>
        <w:tc>
          <w:tcPr>
            <w:tcW w:w="1080" w:type="dxa"/>
            <w:vAlign w:val="center"/>
          </w:tcPr>
          <w:p>
            <w:pPr>
              <w:jc w:val="center"/>
              <w:rPr>
                <w:noProof/>
              </w:rPr>
            </w:pPr>
            <w:r>
              <w:rPr>
                <w:noProof/>
                <w:sz w:val="18"/>
              </w:rPr>
              <w:t>no kandidātvalstīm</w:t>
            </w:r>
            <w:r>
              <w:rPr>
                <w:rStyle w:val="FootnoteReference"/>
                <w:noProof/>
                <w:sz w:val="18"/>
              </w:rPr>
              <w:footnoteReference w:id="16"/>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05.090301 – Nodrošināt pietiekamu apgādi ar nekaitīgu un augstvērtīgu pārtiku un bioloģiskajiem produktiem</w:t>
            </w:r>
          </w:p>
        </w:tc>
        <w:tc>
          <w:tcPr>
            <w:tcW w:w="1080" w:type="dxa"/>
            <w:vAlign w:val="center"/>
          </w:tcPr>
          <w:p>
            <w:pPr>
              <w:jc w:val="center"/>
              <w:rPr>
                <w:noProof/>
                <w:color w:val="0000FF"/>
                <w:sz w:val="20"/>
                <w:szCs w:val="20"/>
              </w:rPr>
            </w:pPr>
            <w:r>
              <w:rPr>
                <w:noProof/>
                <w:sz w:val="20"/>
              </w:rPr>
              <w:t>Dif.</w:t>
            </w:r>
          </w:p>
        </w:tc>
        <w:tc>
          <w:tcPr>
            <w:tcW w:w="956" w:type="dxa"/>
            <w:vAlign w:val="center"/>
          </w:tcPr>
          <w:p>
            <w:pPr>
              <w:jc w:val="center"/>
              <w:rPr>
                <w:noProof/>
                <w:sz w:val="20"/>
                <w:szCs w:val="20"/>
              </w:rPr>
            </w:pPr>
            <w:r>
              <w:rPr>
                <w:noProof/>
                <w:sz w:val="20"/>
              </w:rPr>
              <w:t>JĀ</w:t>
            </w:r>
          </w:p>
        </w:tc>
        <w:tc>
          <w:tcPr>
            <w:tcW w:w="1080" w:type="dxa"/>
            <w:vAlign w:val="center"/>
          </w:tcPr>
          <w:p>
            <w:pPr>
              <w:jc w:val="center"/>
              <w:rPr>
                <w:noProof/>
              </w:rPr>
            </w:pPr>
            <w:r>
              <w:rPr>
                <w:noProof/>
                <w:sz w:val="20"/>
              </w:rPr>
              <w:t>JĀ</w:t>
            </w:r>
          </w:p>
        </w:tc>
        <w:tc>
          <w:tcPr>
            <w:tcW w:w="956" w:type="dxa"/>
            <w:vAlign w:val="center"/>
          </w:tcPr>
          <w:p>
            <w:pPr>
              <w:jc w:val="center"/>
              <w:rPr>
                <w:noProof/>
              </w:rPr>
            </w:pPr>
            <w:r>
              <w:rPr>
                <w:noProof/>
                <w:sz w:val="20"/>
              </w:rPr>
              <w:t>JĀ</w:t>
            </w:r>
          </w:p>
        </w:tc>
        <w:tc>
          <w:tcPr>
            <w:tcW w:w="1448" w:type="dxa"/>
            <w:vAlign w:val="center"/>
          </w:tcPr>
          <w:p>
            <w:pPr>
              <w:jc w:val="center"/>
              <w:rPr>
                <w:noProof/>
              </w:rPr>
            </w:pPr>
            <w:r>
              <w:rPr>
                <w:noProof/>
                <w:sz w:val="20"/>
              </w:rPr>
              <w:t>JĀ</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08.020302 – Pārtikas nodrošinājuma uzlabošana, ilgtspējīgas lauksaimniecības, jūras zinātniskās un tehniskā pētniecības un bioekonomikas attīstība</w:t>
            </w:r>
          </w:p>
        </w:tc>
        <w:tc>
          <w:tcPr>
            <w:tcW w:w="1080" w:type="dxa"/>
            <w:vAlign w:val="center"/>
          </w:tcPr>
          <w:p>
            <w:pPr>
              <w:jc w:val="center"/>
              <w:rPr>
                <w:noProof/>
                <w:sz w:val="22"/>
              </w:rPr>
            </w:pPr>
            <w:r>
              <w:rPr>
                <w:noProof/>
                <w:sz w:val="20"/>
              </w:rPr>
              <w:t>Dif.</w:t>
            </w:r>
          </w:p>
        </w:tc>
        <w:tc>
          <w:tcPr>
            <w:tcW w:w="956" w:type="dxa"/>
            <w:vAlign w:val="center"/>
          </w:tcPr>
          <w:p>
            <w:pPr>
              <w:jc w:val="center"/>
              <w:rPr>
                <w:noProof/>
                <w:sz w:val="22"/>
              </w:rPr>
            </w:pPr>
            <w:r>
              <w:rPr>
                <w:noProof/>
                <w:sz w:val="20"/>
              </w:rPr>
              <w:t>JĀ</w:t>
            </w:r>
          </w:p>
        </w:tc>
        <w:tc>
          <w:tcPr>
            <w:tcW w:w="1080" w:type="dxa"/>
            <w:vAlign w:val="center"/>
          </w:tcPr>
          <w:p>
            <w:pPr>
              <w:jc w:val="center"/>
              <w:rPr>
                <w:noProof/>
                <w:sz w:val="22"/>
              </w:rPr>
            </w:pPr>
            <w:r>
              <w:rPr>
                <w:noProof/>
                <w:sz w:val="20"/>
              </w:rPr>
              <w:t>JĀ</w:t>
            </w:r>
          </w:p>
        </w:tc>
        <w:tc>
          <w:tcPr>
            <w:tcW w:w="956" w:type="dxa"/>
            <w:vAlign w:val="center"/>
          </w:tcPr>
          <w:p>
            <w:pPr>
              <w:jc w:val="center"/>
              <w:rPr>
                <w:noProof/>
                <w:sz w:val="22"/>
              </w:rPr>
            </w:pPr>
            <w:r>
              <w:rPr>
                <w:noProof/>
                <w:sz w:val="20"/>
              </w:rPr>
              <w:t>JĀ</w:t>
            </w:r>
          </w:p>
        </w:tc>
        <w:tc>
          <w:tcPr>
            <w:tcW w:w="1448" w:type="dxa"/>
            <w:vAlign w:val="center"/>
          </w:tcPr>
          <w:p>
            <w:pPr>
              <w:jc w:val="center"/>
              <w:rPr>
                <w:noProof/>
                <w:sz w:val="22"/>
              </w:rPr>
            </w:pPr>
            <w:r>
              <w:rPr>
                <w:noProof/>
                <w:sz w:val="20"/>
              </w:rPr>
              <w:t>JĀ</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08.020305 - Resursefektīvas un pret klimata pārmaiņām noturīgas ekonomikas un ilgtspējīga izejvielu piegādes izveide</w:t>
            </w:r>
          </w:p>
        </w:tc>
        <w:tc>
          <w:tcPr>
            <w:tcW w:w="1080" w:type="dxa"/>
            <w:vAlign w:val="center"/>
          </w:tcPr>
          <w:p>
            <w:pPr>
              <w:jc w:val="center"/>
              <w:rPr>
                <w:noProof/>
                <w:sz w:val="22"/>
              </w:rPr>
            </w:pPr>
            <w:r>
              <w:rPr>
                <w:noProof/>
                <w:sz w:val="20"/>
              </w:rPr>
              <w:t>Dif.</w:t>
            </w:r>
          </w:p>
        </w:tc>
        <w:tc>
          <w:tcPr>
            <w:tcW w:w="956" w:type="dxa"/>
            <w:vAlign w:val="center"/>
          </w:tcPr>
          <w:p>
            <w:pPr>
              <w:jc w:val="center"/>
              <w:rPr>
                <w:noProof/>
                <w:sz w:val="22"/>
              </w:rPr>
            </w:pPr>
            <w:r>
              <w:rPr>
                <w:noProof/>
                <w:sz w:val="20"/>
              </w:rPr>
              <w:t>JĀ</w:t>
            </w:r>
          </w:p>
        </w:tc>
        <w:tc>
          <w:tcPr>
            <w:tcW w:w="1080" w:type="dxa"/>
            <w:vAlign w:val="center"/>
          </w:tcPr>
          <w:p>
            <w:pPr>
              <w:jc w:val="center"/>
              <w:rPr>
                <w:noProof/>
                <w:sz w:val="22"/>
              </w:rPr>
            </w:pPr>
            <w:r>
              <w:rPr>
                <w:noProof/>
                <w:sz w:val="20"/>
              </w:rPr>
              <w:t>JĀ</w:t>
            </w:r>
          </w:p>
        </w:tc>
        <w:tc>
          <w:tcPr>
            <w:tcW w:w="956" w:type="dxa"/>
            <w:vAlign w:val="center"/>
          </w:tcPr>
          <w:p>
            <w:pPr>
              <w:jc w:val="center"/>
              <w:rPr>
                <w:noProof/>
                <w:sz w:val="22"/>
              </w:rPr>
            </w:pPr>
            <w:r>
              <w:rPr>
                <w:noProof/>
                <w:sz w:val="20"/>
              </w:rPr>
              <w:t>JĀ</w:t>
            </w:r>
          </w:p>
        </w:tc>
        <w:tc>
          <w:tcPr>
            <w:tcW w:w="1448" w:type="dxa"/>
            <w:vAlign w:val="center"/>
          </w:tcPr>
          <w:p>
            <w:pPr>
              <w:jc w:val="center"/>
              <w:rPr>
                <w:noProof/>
                <w:sz w:val="22"/>
              </w:rPr>
            </w:pPr>
            <w:r>
              <w:rPr>
                <w:noProof/>
                <w:sz w:val="20"/>
              </w:rPr>
              <w:t>JĀ</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08.020201 – Vadošā loma nanotehnoloģiju, novatorisko materiālu, biotehnoloģijas un novatoriskas ražošanas un apstrādes jomā</w:t>
            </w:r>
          </w:p>
        </w:tc>
        <w:tc>
          <w:tcPr>
            <w:tcW w:w="1080" w:type="dxa"/>
            <w:vAlign w:val="center"/>
          </w:tcPr>
          <w:p>
            <w:pPr>
              <w:jc w:val="center"/>
              <w:rPr>
                <w:noProof/>
                <w:sz w:val="20"/>
                <w:szCs w:val="20"/>
              </w:rPr>
            </w:pPr>
            <w:r>
              <w:rPr>
                <w:noProof/>
                <w:sz w:val="20"/>
              </w:rPr>
              <w:t>Dif.</w:t>
            </w:r>
          </w:p>
        </w:tc>
        <w:tc>
          <w:tcPr>
            <w:tcW w:w="956" w:type="dxa"/>
            <w:vAlign w:val="center"/>
          </w:tcPr>
          <w:p>
            <w:pPr>
              <w:jc w:val="center"/>
              <w:rPr>
                <w:noProof/>
                <w:sz w:val="20"/>
                <w:szCs w:val="20"/>
              </w:rPr>
            </w:pPr>
            <w:r>
              <w:rPr>
                <w:noProof/>
                <w:sz w:val="20"/>
              </w:rPr>
              <w:t>JĀ</w:t>
            </w:r>
          </w:p>
        </w:tc>
        <w:tc>
          <w:tcPr>
            <w:tcW w:w="1080" w:type="dxa"/>
            <w:vAlign w:val="center"/>
          </w:tcPr>
          <w:p>
            <w:pPr>
              <w:jc w:val="center"/>
              <w:rPr>
                <w:noProof/>
                <w:sz w:val="20"/>
                <w:szCs w:val="20"/>
              </w:rPr>
            </w:pPr>
            <w:r>
              <w:rPr>
                <w:noProof/>
                <w:sz w:val="20"/>
              </w:rPr>
              <w:t>JĀ</w:t>
            </w:r>
          </w:p>
        </w:tc>
        <w:tc>
          <w:tcPr>
            <w:tcW w:w="956" w:type="dxa"/>
            <w:vAlign w:val="center"/>
          </w:tcPr>
          <w:p>
            <w:pPr>
              <w:jc w:val="center"/>
              <w:rPr>
                <w:noProof/>
                <w:sz w:val="20"/>
                <w:szCs w:val="20"/>
              </w:rPr>
            </w:pPr>
            <w:r>
              <w:rPr>
                <w:noProof/>
                <w:sz w:val="20"/>
              </w:rPr>
              <w:t>JĀ</w:t>
            </w:r>
          </w:p>
        </w:tc>
        <w:tc>
          <w:tcPr>
            <w:tcW w:w="1448" w:type="dxa"/>
            <w:vAlign w:val="center"/>
          </w:tcPr>
          <w:p>
            <w:pPr>
              <w:jc w:val="center"/>
              <w:rPr>
                <w:noProof/>
                <w:sz w:val="20"/>
                <w:szCs w:val="20"/>
              </w:rPr>
            </w:pPr>
            <w:r>
              <w:rPr>
                <w:noProof/>
                <w:sz w:val="20"/>
              </w:rPr>
              <w:t>JĀ</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Text1"/>
        <w:rPr>
          <w:noProof/>
        </w:rPr>
      </w:pPr>
      <w:r>
        <w:rPr>
          <w:noProof/>
          <w:highlight w:val="lightGray"/>
        </w:rPr>
        <w:t xml:space="preserve">[Šī iedaļa jāaizpilda, izmantojot </w:t>
      </w:r>
      <w:hyperlink r:id="rId13">
        <w:r>
          <w:rPr>
            <w:rStyle w:val="Hyperlink"/>
            <w:b/>
            <w:noProof/>
            <w:highlight w:val="lightGray"/>
          </w:rPr>
          <w:t>administratīva rakstura budžeta datu izklājlapu</w:t>
        </w:r>
      </w:hyperlink>
      <w:r>
        <w:rPr>
          <w:noProof/>
          <w:highlight w:val="lightGray"/>
        </w:rPr>
        <w:t xml:space="preserve"> (otrais dokuments šā finanšu pārskata pielikumā), un jāaugšupielādē </w:t>
      </w:r>
      <w:r>
        <w:rPr>
          <w:i/>
          <w:noProof/>
          <w:highlight w:val="lightGray"/>
        </w:rPr>
        <w:t>CISNET</w:t>
      </w:r>
      <w:r>
        <w:rPr>
          <w:noProof/>
          <w:highlight w:val="lightGray"/>
        </w:rPr>
        <w:t xml:space="preserve"> starpdienestu konsultācijām.]</w:t>
      </w:r>
    </w:p>
    <w:p>
      <w:pPr>
        <w:pStyle w:val="ManualHeading3"/>
        <w:rPr>
          <w:noProof/>
          <w:u w:val="single"/>
        </w:rPr>
      </w:pPr>
      <w:r>
        <w:t>3.2.1.</w:t>
      </w:r>
      <w:r>
        <w:tab/>
      </w:r>
      <w:r>
        <w:rPr>
          <w:noProof/>
        </w:rPr>
        <w:t xml:space="preserve">Kopsavilkums par paredzamo ietekmi uz izdevumiem </w:t>
      </w:r>
    </w:p>
    <w:p>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Daudzgadu finanšu shēmas izdevumu</w:t>
            </w:r>
            <w:r>
              <w:rPr>
                <w:noProof/>
                <w:sz w:val="22"/>
              </w:rPr>
              <w:br/>
            </w:r>
            <w:r>
              <w:rPr>
                <w:b/>
                <w:noProof/>
                <w:sz w:val="22"/>
              </w:rPr>
              <w:t xml:space="preserve">kategorija </w:t>
            </w:r>
          </w:p>
        </w:tc>
        <w:tc>
          <w:tcPr>
            <w:tcW w:w="1080" w:type="dxa"/>
            <w:vAlign w:val="center"/>
          </w:tcPr>
          <w:p>
            <w:pPr>
              <w:spacing w:before="60" w:after="60"/>
              <w:jc w:val="center"/>
              <w:rPr>
                <w:noProof/>
                <w:sz w:val="22"/>
              </w:rPr>
            </w:pPr>
            <w:r>
              <w:rPr>
                <w:noProof/>
                <w:sz w:val="22"/>
              </w:rPr>
              <w:t>Numurs</w:t>
            </w:r>
          </w:p>
        </w:tc>
        <w:tc>
          <w:tcPr>
            <w:tcW w:w="7817" w:type="dxa"/>
            <w:vAlign w:val="center"/>
          </w:tcPr>
          <w:p>
            <w:pPr>
              <w:spacing w:before="60" w:after="60"/>
              <w:jc w:val="left"/>
              <w:rPr>
                <w:noProof/>
                <w:sz w:val="22"/>
              </w:rPr>
            </w:pPr>
            <w:r>
              <w:rPr>
                <w:noProof/>
                <w:sz w:val="22"/>
              </w:rPr>
              <w:t>Izdevumu kategorija 1a — Konkurētspēja izaugsmei un nodarbinātībai</w:t>
            </w:r>
          </w:p>
        </w:tc>
      </w:tr>
    </w:tbl>
    <w:p>
      <w:pPr>
        <w:rPr>
          <w:noProof/>
          <w:sz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075"/>
        <w:gridCol w:w="1134"/>
        <w:gridCol w:w="1777"/>
      </w:tblGrid>
      <w:tr>
        <w:trPr>
          <w:jc w:val="center"/>
        </w:trPr>
        <w:tc>
          <w:tcPr>
            <w:tcW w:w="3960" w:type="dxa"/>
            <w:vAlign w:val="center"/>
          </w:tcPr>
          <w:p>
            <w:pPr>
              <w:jc w:val="center"/>
              <w:rPr>
                <w:noProof/>
              </w:rPr>
            </w:pPr>
            <w:r>
              <w:rPr>
                <w:noProof/>
                <w:sz w:val="22"/>
              </w:rPr>
              <w:t>ĢD: AGRI/H, RTD/F, RTD/I, RTD/D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b/>
                <w:noProof/>
                <w:sz w:val="20"/>
              </w:rPr>
            </w:pPr>
            <w:r>
              <w:rPr>
                <w:noProof/>
                <w:sz w:val="20"/>
              </w:rPr>
              <w:t>Gads</w:t>
            </w:r>
            <w:r>
              <w:rPr>
                <w:noProof/>
                <w:sz w:val="22"/>
              </w:rPr>
              <w:br/>
            </w:r>
            <w:r>
              <w:rPr>
                <w:b/>
                <w:noProof/>
                <w:sz w:val="20"/>
              </w:rPr>
              <w:t>2018</w:t>
            </w:r>
            <w:r>
              <w:rPr>
                <w:rStyle w:val="FootnoteReference"/>
                <w:b/>
                <w:noProof/>
                <w:sz w:val="20"/>
              </w:rPr>
              <w:footnoteReference w:id="17"/>
            </w:r>
          </w:p>
        </w:tc>
        <w:tc>
          <w:tcPr>
            <w:tcW w:w="868" w:type="dxa"/>
            <w:vAlign w:val="center"/>
          </w:tcPr>
          <w:p>
            <w:pPr>
              <w:jc w:val="center"/>
              <w:rPr>
                <w:b/>
                <w:noProof/>
                <w:sz w:val="20"/>
              </w:rPr>
            </w:pPr>
            <w:r>
              <w:rPr>
                <w:noProof/>
                <w:sz w:val="20"/>
              </w:rPr>
              <w:t>Gads</w:t>
            </w:r>
            <w:r>
              <w:rPr>
                <w:noProof/>
                <w:sz w:val="22"/>
              </w:rPr>
              <w:br/>
            </w:r>
            <w:r>
              <w:rPr>
                <w:b/>
                <w:noProof/>
                <w:sz w:val="20"/>
              </w:rPr>
              <w:t>2019</w:t>
            </w:r>
          </w:p>
        </w:tc>
        <w:tc>
          <w:tcPr>
            <w:tcW w:w="1075" w:type="dxa"/>
            <w:vAlign w:val="center"/>
          </w:tcPr>
          <w:p>
            <w:pPr>
              <w:jc w:val="center"/>
              <w:rPr>
                <w:b/>
                <w:noProof/>
                <w:sz w:val="20"/>
              </w:rPr>
            </w:pPr>
            <w:r>
              <w:rPr>
                <w:noProof/>
                <w:sz w:val="20"/>
              </w:rPr>
              <w:t>Gads</w:t>
            </w:r>
            <w:r>
              <w:rPr>
                <w:noProof/>
                <w:sz w:val="22"/>
              </w:rPr>
              <w:br/>
            </w:r>
            <w:r>
              <w:rPr>
                <w:b/>
                <w:noProof/>
                <w:sz w:val="20"/>
              </w:rPr>
              <w:t>2020</w:t>
            </w:r>
          </w:p>
        </w:tc>
        <w:tc>
          <w:tcPr>
            <w:tcW w:w="1134" w:type="dxa"/>
            <w:vAlign w:val="center"/>
          </w:tcPr>
          <w:p>
            <w:pPr>
              <w:jc w:val="center"/>
              <w:rPr>
                <w:b/>
                <w:noProof/>
                <w:sz w:val="20"/>
              </w:rPr>
            </w:pPr>
            <w:r>
              <w:rPr>
                <w:noProof/>
                <w:sz w:val="20"/>
              </w:rPr>
              <w:t>Gads</w:t>
            </w:r>
            <w:r>
              <w:rPr>
                <w:noProof/>
                <w:sz w:val="22"/>
              </w:rPr>
              <w:br/>
            </w:r>
            <w:r>
              <w:rPr>
                <w:b/>
                <w:noProof/>
                <w:sz w:val="20"/>
              </w:rPr>
              <w:t>2021-2029</w:t>
            </w:r>
          </w:p>
        </w:tc>
        <w:tc>
          <w:tcPr>
            <w:tcW w:w="1777" w:type="dxa"/>
            <w:vAlign w:val="center"/>
          </w:tcPr>
          <w:p>
            <w:pPr>
              <w:jc w:val="center"/>
              <w:rPr>
                <w:b/>
                <w:noProof/>
                <w:sz w:val="20"/>
              </w:rPr>
            </w:pPr>
            <w:r>
              <w:rPr>
                <w:b/>
                <w:noProof/>
                <w:sz w:val="20"/>
              </w:rPr>
              <w:t>KOPĀ</w:t>
            </w:r>
          </w:p>
        </w:tc>
      </w:tr>
      <w:tr>
        <w:trPr>
          <w:trHeight w:val="213"/>
          <w:jc w:val="center"/>
        </w:trPr>
        <w:tc>
          <w:tcPr>
            <w:tcW w:w="6054" w:type="dxa"/>
            <w:gridSpan w:val="4"/>
            <w:vAlign w:val="center"/>
          </w:tcPr>
          <w:p>
            <w:pPr>
              <w:spacing w:before="20" w:after="20"/>
              <w:rPr>
                <w:noProof/>
                <w:sz w:val="21"/>
              </w:rPr>
            </w:pPr>
            <w:r>
              <w:rPr>
                <w:noProof/>
                <w:sz w:val="21"/>
              </w:rPr>
              <w:sym w:font="Wingdings" w:char="F09F"/>
            </w:r>
            <w:r>
              <w:rPr>
                <w:noProof/>
                <w:sz w:val="21"/>
              </w:rPr>
              <w:t xml:space="preserve"> Darbības apropriācijas</w:t>
            </w:r>
          </w:p>
        </w:tc>
        <w:tc>
          <w:tcPr>
            <w:tcW w:w="868" w:type="dxa"/>
            <w:vAlign w:val="center"/>
          </w:tcPr>
          <w:p>
            <w:pPr>
              <w:rPr>
                <w:noProof/>
                <w:sz w:val="20"/>
              </w:rPr>
            </w:pPr>
          </w:p>
        </w:tc>
        <w:tc>
          <w:tcPr>
            <w:tcW w:w="868" w:type="dxa"/>
            <w:vAlign w:val="center"/>
          </w:tcPr>
          <w:p>
            <w:pPr>
              <w:rPr>
                <w:noProof/>
                <w:sz w:val="20"/>
              </w:rPr>
            </w:pPr>
          </w:p>
        </w:tc>
        <w:tc>
          <w:tcPr>
            <w:tcW w:w="1075"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3960" w:type="dxa"/>
            <w:vMerge w:val="restart"/>
            <w:vAlign w:val="center"/>
          </w:tcPr>
          <w:p>
            <w:pPr>
              <w:rPr>
                <w:noProof/>
              </w:rPr>
            </w:pPr>
            <w:r>
              <w:rPr>
                <w:noProof/>
                <w:sz w:val="20"/>
              </w:rPr>
              <w:t>08,020302</w:t>
            </w:r>
          </w:p>
        </w:tc>
        <w:tc>
          <w:tcPr>
            <w:tcW w:w="1440" w:type="dxa"/>
            <w:vAlign w:val="center"/>
          </w:tcPr>
          <w:p>
            <w:pPr>
              <w:spacing w:before="20" w:after="20"/>
              <w:jc w:val="left"/>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5 000</w:t>
            </w:r>
          </w:p>
        </w:tc>
        <w:tc>
          <w:tcPr>
            <w:tcW w:w="868" w:type="dxa"/>
            <w:vAlign w:val="center"/>
          </w:tcPr>
          <w:p>
            <w:pPr>
              <w:spacing w:before="20" w:after="20"/>
              <w:jc w:val="right"/>
              <w:rPr>
                <w:noProof/>
                <w:sz w:val="20"/>
              </w:rPr>
            </w:pPr>
            <w:r>
              <w:rPr>
                <w:noProof/>
                <w:sz w:val="20"/>
              </w:rPr>
              <w:t>5 000</w:t>
            </w:r>
          </w:p>
        </w:tc>
        <w:tc>
          <w:tcPr>
            <w:tcW w:w="1075" w:type="dxa"/>
            <w:vAlign w:val="center"/>
          </w:tcPr>
          <w:p>
            <w:pPr>
              <w:spacing w:before="20" w:after="20"/>
              <w:jc w:val="right"/>
              <w:rPr>
                <w:noProof/>
                <w:sz w:val="20"/>
              </w:rPr>
            </w:pPr>
            <w:r>
              <w:rPr>
                <w:noProof/>
                <w:sz w:val="20"/>
              </w:rPr>
              <w:t>40 000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50 000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Maksājumi</w:t>
            </w:r>
          </w:p>
        </w:tc>
        <w:tc>
          <w:tcPr>
            <w:tcW w:w="654" w:type="dxa"/>
            <w:gridSpan w:val="2"/>
            <w:vAlign w:val="center"/>
          </w:tcPr>
          <w:p>
            <w:pPr>
              <w:rPr>
                <w:noProof/>
                <w:sz w:val="22"/>
              </w:rPr>
            </w:pPr>
            <w:r>
              <w:rPr>
                <w:noProof/>
                <w:sz w:val="14"/>
              </w:rPr>
              <w:t>(2)</w:t>
            </w:r>
          </w:p>
        </w:tc>
        <w:tc>
          <w:tcPr>
            <w:tcW w:w="868" w:type="dxa"/>
            <w:vAlign w:val="center"/>
          </w:tcPr>
          <w:p>
            <w:pPr>
              <w:jc w:val="right"/>
              <w:rPr>
                <w:noProof/>
                <w:sz w:val="22"/>
              </w:rPr>
            </w:pPr>
            <w:r>
              <w:rPr>
                <w:noProof/>
                <w:sz w:val="20"/>
              </w:rPr>
              <w:t>1 000</w:t>
            </w:r>
          </w:p>
        </w:tc>
        <w:tc>
          <w:tcPr>
            <w:tcW w:w="868" w:type="dxa"/>
            <w:vAlign w:val="center"/>
          </w:tcPr>
          <w:p>
            <w:pPr>
              <w:jc w:val="right"/>
              <w:rPr>
                <w:noProof/>
                <w:sz w:val="22"/>
              </w:rPr>
            </w:pPr>
            <w:r>
              <w:rPr>
                <w:noProof/>
                <w:sz w:val="20"/>
              </w:rPr>
              <w:t>2 500</w:t>
            </w:r>
          </w:p>
        </w:tc>
        <w:tc>
          <w:tcPr>
            <w:tcW w:w="1075" w:type="dxa"/>
            <w:vAlign w:val="center"/>
          </w:tcPr>
          <w:p>
            <w:pPr>
              <w:jc w:val="right"/>
              <w:rPr>
                <w:noProof/>
                <w:sz w:val="22"/>
              </w:rPr>
            </w:pPr>
            <w:r>
              <w:rPr>
                <w:noProof/>
                <w:sz w:val="20"/>
              </w:rPr>
              <w:t>2 500</w:t>
            </w:r>
          </w:p>
        </w:tc>
        <w:tc>
          <w:tcPr>
            <w:tcW w:w="1134" w:type="dxa"/>
            <w:vAlign w:val="center"/>
          </w:tcPr>
          <w:p>
            <w:pPr>
              <w:jc w:val="right"/>
              <w:rPr>
                <w:noProof/>
                <w:sz w:val="22"/>
              </w:rPr>
            </w:pPr>
            <w:r>
              <w:rPr>
                <w:noProof/>
                <w:sz w:val="20"/>
              </w:rPr>
              <w:t>44 000</w:t>
            </w:r>
          </w:p>
        </w:tc>
        <w:tc>
          <w:tcPr>
            <w:tcW w:w="1777" w:type="dxa"/>
            <w:vAlign w:val="center"/>
          </w:tcPr>
          <w:p>
            <w:pPr>
              <w:jc w:val="right"/>
              <w:rPr>
                <w:b/>
                <w:noProof/>
                <w:sz w:val="22"/>
              </w:rPr>
            </w:pPr>
            <w:r>
              <w:rPr>
                <w:b/>
                <w:noProof/>
                <w:sz w:val="20"/>
              </w:rPr>
              <w:t>50 000</w:t>
            </w:r>
          </w:p>
        </w:tc>
      </w:tr>
      <w:tr>
        <w:trPr>
          <w:jc w:val="center"/>
        </w:trPr>
        <w:tc>
          <w:tcPr>
            <w:tcW w:w="3960" w:type="dxa"/>
            <w:vMerge w:val="restart"/>
            <w:vAlign w:val="center"/>
          </w:tcPr>
          <w:p>
            <w:pPr>
              <w:rPr>
                <w:noProof/>
              </w:rPr>
            </w:pPr>
            <w:r>
              <w:rPr>
                <w:noProof/>
                <w:sz w:val="20"/>
              </w:rPr>
              <w:t>08,020305</w:t>
            </w:r>
          </w:p>
        </w:tc>
        <w:tc>
          <w:tcPr>
            <w:tcW w:w="1440" w:type="dxa"/>
            <w:vAlign w:val="center"/>
          </w:tcPr>
          <w:p>
            <w:pPr>
              <w:spacing w:before="20" w:after="20"/>
              <w:jc w:val="left"/>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7 500</w:t>
            </w:r>
          </w:p>
        </w:tc>
        <w:tc>
          <w:tcPr>
            <w:tcW w:w="868" w:type="dxa"/>
            <w:vAlign w:val="center"/>
          </w:tcPr>
          <w:p>
            <w:pPr>
              <w:spacing w:before="20" w:after="20"/>
              <w:jc w:val="right"/>
              <w:rPr>
                <w:noProof/>
                <w:sz w:val="20"/>
              </w:rPr>
            </w:pPr>
            <w:r>
              <w:rPr>
                <w:noProof/>
                <w:sz w:val="20"/>
              </w:rPr>
              <w:t>7 500</w:t>
            </w:r>
          </w:p>
        </w:tc>
        <w:tc>
          <w:tcPr>
            <w:tcW w:w="1075" w:type="dxa"/>
            <w:vAlign w:val="center"/>
          </w:tcPr>
          <w:p>
            <w:pPr>
              <w:spacing w:before="20" w:after="20"/>
              <w:jc w:val="right"/>
              <w:rPr>
                <w:noProof/>
                <w:sz w:val="20"/>
              </w:rPr>
            </w:pPr>
            <w:r>
              <w:rPr>
                <w:noProof/>
                <w:sz w:val="20"/>
              </w:rPr>
              <w:t>60 000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75 000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Maksājumi</w:t>
            </w:r>
          </w:p>
        </w:tc>
        <w:tc>
          <w:tcPr>
            <w:tcW w:w="654" w:type="dxa"/>
            <w:gridSpan w:val="2"/>
            <w:vAlign w:val="center"/>
          </w:tcPr>
          <w:p>
            <w:pPr>
              <w:rPr>
                <w:noProof/>
                <w:sz w:val="22"/>
              </w:rPr>
            </w:pPr>
            <w:r>
              <w:rPr>
                <w:noProof/>
                <w:sz w:val="14"/>
              </w:rPr>
              <w:t>(2a)</w:t>
            </w:r>
          </w:p>
        </w:tc>
        <w:tc>
          <w:tcPr>
            <w:tcW w:w="868" w:type="dxa"/>
            <w:vAlign w:val="center"/>
          </w:tcPr>
          <w:p>
            <w:pPr>
              <w:jc w:val="right"/>
              <w:rPr>
                <w:noProof/>
                <w:sz w:val="22"/>
              </w:rPr>
            </w:pPr>
            <w:r>
              <w:rPr>
                <w:noProof/>
                <w:sz w:val="20"/>
              </w:rPr>
              <w:t>1 500</w:t>
            </w:r>
          </w:p>
        </w:tc>
        <w:tc>
          <w:tcPr>
            <w:tcW w:w="868" w:type="dxa"/>
            <w:vAlign w:val="center"/>
          </w:tcPr>
          <w:p>
            <w:pPr>
              <w:jc w:val="right"/>
              <w:rPr>
                <w:noProof/>
                <w:sz w:val="22"/>
              </w:rPr>
            </w:pPr>
            <w:r>
              <w:rPr>
                <w:noProof/>
                <w:sz w:val="20"/>
              </w:rPr>
              <w:t>3 750</w:t>
            </w:r>
          </w:p>
        </w:tc>
        <w:tc>
          <w:tcPr>
            <w:tcW w:w="1075" w:type="dxa"/>
            <w:vAlign w:val="center"/>
          </w:tcPr>
          <w:p>
            <w:pPr>
              <w:jc w:val="right"/>
              <w:rPr>
                <w:noProof/>
                <w:sz w:val="22"/>
              </w:rPr>
            </w:pPr>
            <w:r>
              <w:rPr>
                <w:noProof/>
                <w:sz w:val="20"/>
              </w:rPr>
              <w:t>3 750</w:t>
            </w:r>
          </w:p>
        </w:tc>
        <w:tc>
          <w:tcPr>
            <w:tcW w:w="1134" w:type="dxa"/>
            <w:vAlign w:val="center"/>
          </w:tcPr>
          <w:p>
            <w:pPr>
              <w:jc w:val="right"/>
              <w:rPr>
                <w:noProof/>
                <w:sz w:val="22"/>
              </w:rPr>
            </w:pPr>
            <w:r>
              <w:rPr>
                <w:noProof/>
                <w:sz w:val="20"/>
              </w:rPr>
              <w:t>66 000</w:t>
            </w:r>
          </w:p>
        </w:tc>
        <w:tc>
          <w:tcPr>
            <w:tcW w:w="1777" w:type="dxa"/>
            <w:vAlign w:val="center"/>
          </w:tcPr>
          <w:p>
            <w:pPr>
              <w:jc w:val="right"/>
              <w:rPr>
                <w:b/>
                <w:noProof/>
                <w:sz w:val="22"/>
              </w:rPr>
            </w:pPr>
            <w:r>
              <w:rPr>
                <w:b/>
                <w:noProof/>
                <w:sz w:val="20"/>
              </w:rPr>
              <w:t>75 000</w:t>
            </w:r>
          </w:p>
        </w:tc>
      </w:tr>
      <w:tr>
        <w:trPr>
          <w:jc w:val="center"/>
        </w:trPr>
        <w:tc>
          <w:tcPr>
            <w:tcW w:w="3960" w:type="dxa"/>
            <w:vMerge w:val="restart"/>
          </w:tcPr>
          <w:p>
            <w:pPr>
              <w:rPr>
                <w:noProof/>
                <w:sz w:val="22"/>
              </w:rPr>
            </w:pPr>
            <w:r>
              <w:rPr>
                <w:noProof/>
                <w:sz w:val="20"/>
              </w:rPr>
              <w:t>08,020201</w:t>
            </w:r>
          </w:p>
        </w:tc>
        <w:tc>
          <w:tcPr>
            <w:tcW w:w="1440" w:type="dxa"/>
            <w:vAlign w:val="center"/>
          </w:tcPr>
          <w:p>
            <w:pPr>
              <w:jc w:val="left"/>
              <w:rPr>
                <w:noProof/>
                <w:sz w:val="18"/>
              </w:rPr>
            </w:pPr>
            <w:r>
              <w:rPr>
                <w:noProof/>
                <w:sz w:val="18"/>
              </w:rPr>
              <w:t>Saistības</w:t>
            </w:r>
          </w:p>
        </w:tc>
        <w:tc>
          <w:tcPr>
            <w:tcW w:w="654" w:type="dxa"/>
            <w:gridSpan w:val="2"/>
            <w:vAlign w:val="center"/>
          </w:tcPr>
          <w:p>
            <w:pPr>
              <w:rPr>
                <w:noProof/>
                <w:sz w:val="14"/>
              </w:rPr>
            </w:pPr>
            <w:r>
              <w:rPr>
                <w:noProof/>
                <w:sz w:val="14"/>
              </w:rPr>
              <w:t>(1b)</w:t>
            </w:r>
          </w:p>
        </w:tc>
        <w:tc>
          <w:tcPr>
            <w:tcW w:w="868" w:type="dxa"/>
            <w:vAlign w:val="center"/>
          </w:tcPr>
          <w:p>
            <w:pPr>
              <w:jc w:val="right"/>
              <w:rPr>
                <w:noProof/>
                <w:sz w:val="20"/>
              </w:rPr>
            </w:pPr>
            <w:r>
              <w:rPr>
                <w:noProof/>
                <w:sz w:val="20"/>
              </w:rPr>
              <w:t>2 500</w:t>
            </w:r>
          </w:p>
        </w:tc>
        <w:tc>
          <w:tcPr>
            <w:tcW w:w="868" w:type="dxa"/>
            <w:vAlign w:val="center"/>
          </w:tcPr>
          <w:p>
            <w:pPr>
              <w:jc w:val="right"/>
              <w:rPr>
                <w:noProof/>
                <w:sz w:val="20"/>
              </w:rPr>
            </w:pPr>
            <w:r>
              <w:rPr>
                <w:noProof/>
                <w:sz w:val="20"/>
              </w:rPr>
              <w:t>2 500</w:t>
            </w:r>
          </w:p>
        </w:tc>
        <w:tc>
          <w:tcPr>
            <w:tcW w:w="1075" w:type="dxa"/>
            <w:vAlign w:val="center"/>
          </w:tcPr>
          <w:p>
            <w:pPr>
              <w:jc w:val="right"/>
              <w:rPr>
                <w:noProof/>
                <w:sz w:val="20"/>
              </w:rPr>
            </w:pPr>
            <w:r>
              <w:rPr>
                <w:noProof/>
                <w:sz w:val="20"/>
              </w:rPr>
              <w:t>20 000</w:t>
            </w:r>
          </w:p>
        </w:tc>
        <w:tc>
          <w:tcPr>
            <w:tcW w:w="1134" w:type="dxa"/>
            <w:vAlign w:val="center"/>
          </w:tcPr>
          <w:p>
            <w:pPr>
              <w:jc w:val="right"/>
              <w:rPr>
                <w:noProof/>
                <w:sz w:val="20"/>
              </w:rPr>
            </w:pPr>
          </w:p>
        </w:tc>
        <w:tc>
          <w:tcPr>
            <w:tcW w:w="1777" w:type="dxa"/>
            <w:vAlign w:val="center"/>
          </w:tcPr>
          <w:p>
            <w:pPr>
              <w:jc w:val="right"/>
              <w:rPr>
                <w:b/>
                <w:noProof/>
                <w:sz w:val="20"/>
              </w:rPr>
            </w:pPr>
            <w:r>
              <w:rPr>
                <w:b/>
                <w:noProof/>
                <w:sz w:val="20"/>
              </w:rPr>
              <w:t>25 000</w:t>
            </w:r>
          </w:p>
        </w:tc>
      </w:tr>
      <w:tr>
        <w:trPr>
          <w:jc w:val="center"/>
        </w:trPr>
        <w:tc>
          <w:tcPr>
            <w:tcW w:w="3960" w:type="dxa"/>
            <w:vMerge/>
          </w:tcPr>
          <w:p>
            <w:pPr>
              <w:rPr>
                <w:noProof/>
                <w:sz w:val="22"/>
              </w:rPr>
            </w:pPr>
          </w:p>
        </w:tc>
        <w:tc>
          <w:tcPr>
            <w:tcW w:w="1440" w:type="dxa"/>
            <w:vAlign w:val="center"/>
          </w:tcPr>
          <w:p>
            <w:pPr>
              <w:jc w:val="left"/>
              <w:rPr>
                <w:noProof/>
                <w:sz w:val="18"/>
              </w:rPr>
            </w:pPr>
            <w:r>
              <w:rPr>
                <w:noProof/>
                <w:sz w:val="18"/>
              </w:rPr>
              <w:t>Maksājumi</w:t>
            </w:r>
          </w:p>
        </w:tc>
        <w:tc>
          <w:tcPr>
            <w:tcW w:w="654" w:type="dxa"/>
            <w:gridSpan w:val="2"/>
            <w:vAlign w:val="center"/>
          </w:tcPr>
          <w:p>
            <w:pPr>
              <w:rPr>
                <w:noProof/>
                <w:sz w:val="14"/>
              </w:rPr>
            </w:pPr>
            <w:r>
              <w:rPr>
                <w:noProof/>
                <w:sz w:val="14"/>
              </w:rPr>
              <w:t>(2b)</w:t>
            </w:r>
          </w:p>
        </w:tc>
        <w:tc>
          <w:tcPr>
            <w:tcW w:w="868" w:type="dxa"/>
            <w:vAlign w:val="center"/>
          </w:tcPr>
          <w:p>
            <w:pPr>
              <w:jc w:val="right"/>
              <w:rPr>
                <w:noProof/>
                <w:sz w:val="20"/>
              </w:rPr>
            </w:pPr>
            <w:r>
              <w:rPr>
                <w:noProof/>
                <w:sz w:val="20"/>
              </w:rPr>
              <w:t>500</w:t>
            </w:r>
          </w:p>
        </w:tc>
        <w:tc>
          <w:tcPr>
            <w:tcW w:w="868" w:type="dxa"/>
            <w:vAlign w:val="center"/>
          </w:tcPr>
          <w:p>
            <w:pPr>
              <w:jc w:val="right"/>
              <w:rPr>
                <w:noProof/>
                <w:sz w:val="20"/>
              </w:rPr>
            </w:pPr>
            <w:r>
              <w:rPr>
                <w:noProof/>
                <w:sz w:val="20"/>
              </w:rPr>
              <w:t>1 250</w:t>
            </w:r>
          </w:p>
        </w:tc>
        <w:tc>
          <w:tcPr>
            <w:tcW w:w="1075" w:type="dxa"/>
            <w:vAlign w:val="center"/>
          </w:tcPr>
          <w:p>
            <w:pPr>
              <w:jc w:val="right"/>
              <w:rPr>
                <w:noProof/>
                <w:sz w:val="20"/>
              </w:rPr>
            </w:pPr>
            <w:r>
              <w:rPr>
                <w:noProof/>
                <w:sz w:val="20"/>
              </w:rPr>
              <w:t>1 250</w:t>
            </w:r>
          </w:p>
        </w:tc>
        <w:tc>
          <w:tcPr>
            <w:tcW w:w="1134" w:type="dxa"/>
            <w:vAlign w:val="center"/>
          </w:tcPr>
          <w:p>
            <w:pPr>
              <w:jc w:val="right"/>
              <w:rPr>
                <w:noProof/>
                <w:sz w:val="20"/>
              </w:rPr>
            </w:pPr>
            <w:r>
              <w:rPr>
                <w:noProof/>
                <w:sz w:val="20"/>
              </w:rPr>
              <w:t>22 000</w:t>
            </w:r>
          </w:p>
        </w:tc>
        <w:tc>
          <w:tcPr>
            <w:tcW w:w="1777" w:type="dxa"/>
            <w:vAlign w:val="center"/>
          </w:tcPr>
          <w:p>
            <w:pPr>
              <w:jc w:val="right"/>
              <w:rPr>
                <w:b/>
                <w:noProof/>
                <w:sz w:val="20"/>
              </w:rPr>
            </w:pPr>
            <w:r>
              <w:rPr>
                <w:b/>
                <w:noProof/>
                <w:sz w:val="20"/>
              </w:rPr>
              <w:t>25 000</w:t>
            </w:r>
          </w:p>
        </w:tc>
      </w:tr>
      <w:tr>
        <w:trPr>
          <w:jc w:val="center"/>
        </w:trPr>
        <w:tc>
          <w:tcPr>
            <w:tcW w:w="3960" w:type="dxa"/>
            <w:vMerge w:val="restart"/>
          </w:tcPr>
          <w:p>
            <w:pPr>
              <w:jc w:val="center"/>
              <w:rPr>
                <w:noProof/>
                <w:sz w:val="20"/>
              </w:rPr>
            </w:pPr>
            <w:r>
              <w:rPr>
                <w:b/>
                <w:noProof/>
                <w:sz w:val="22"/>
              </w:rPr>
              <w:t>RTD ĢD</w:t>
            </w:r>
            <w:r>
              <w:rPr>
                <w:noProof/>
                <w:sz w:val="22"/>
              </w:rPr>
              <w:br/>
            </w:r>
            <w:r>
              <w:rPr>
                <w:b/>
                <w:noProof/>
                <w:sz w:val="22"/>
              </w:rPr>
              <w:t>apropriācijas KOPĀ</w:t>
            </w:r>
          </w:p>
        </w:tc>
        <w:tc>
          <w:tcPr>
            <w:tcW w:w="1440" w:type="dxa"/>
            <w:vAlign w:val="center"/>
          </w:tcPr>
          <w:p>
            <w:pPr>
              <w:spacing w:before="20" w:after="20"/>
              <w:jc w:val="left"/>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=1+1a+1b</w:t>
            </w:r>
          </w:p>
        </w:tc>
        <w:tc>
          <w:tcPr>
            <w:tcW w:w="868" w:type="dxa"/>
            <w:vAlign w:val="center"/>
          </w:tcPr>
          <w:p>
            <w:pPr>
              <w:spacing w:before="20" w:after="20"/>
              <w:jc w:val="right"/>
              <w:rPr>
                <w:noProof/>
                <w:sz w:val="20"/>
              </w:rPr>
            </w:pPr>
            <w:r>
              <w:rPr>
                <w:noProof/>
                <w:sz w:val="20"/>
              </w:rPr>
              <w:t>15 000</w:t>
            </w:r>
          </w:p>
        </w:tc>
        <w:tc>
          <w:tcPr>
            <w:tcW w:w="868" w:type="dxa"/>
            <w:vAlign w:val="center"/>
          </w:tcPr>
          <w:p>
            <w:pPr>
              <w:spacing w:before="20" w:after="20"/>
              <w:jc w:val="right"/>
              <w:rPr>
                <w:noProof/>
                <w:sz w:val="20"/>
              </w:rPr>
            </w:pPr>
            <w:r>
              <w:rPr>
                <w:noProof/>
                <w:sz w:val="20"/>
              </w:rPr>
              <w:t>15 000</w:t>
            </w:r>
          </w:p>
        </w:tc>
        <w:tc>
          <w:tcPr>
            <w:tcW w:w="1075" w:type="dxa"/>
            <w:vAlign w:val="center"/>
          </w:tcPr>
          <w:p>
            <w:pPr>
              <w:spacing w:before="20" w:after="20"/>
              <w:jc w:val="right"/>
              <w:rPr>
                <w:noProof/>
                <w:sz w:val="20"/>
              </w:rPr>
            </w:pPr>
            <w:r>
              <w:rPr>
                <w:noProof/>
                <w:sz w:val="20"/>
              </w:rPr>
              <w:t>120 000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150 000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Maksājumi</w:t>
            </w:r>
          </w:p>
        </w:tc>
        <w:tc>
          <w:tcPr>
            <w:tcW w:w="654" w:type="dxa"/>
            <w:gridSpan w:val="2"/>
            <w:vAlign w:val="center"/>
          </w:tcPr>
          <w:p>
            <w:pPr>
              <w:rPr>
                <w:noProof/>
                <w:sz w:val="22"/>
              </w:rPr>
            </w:pPr>
            <w:r>
              <w:rPr>
                <w:noProof/>
                <w:sz w:val="14"/>
              </w:rPr>
              <w:t>=2+2a+2b</w:t>
            </w:r>
          </w:p>
        </w:tc>
        <w:tc>
          <w:tcPr>
            <w:tcW w:w="868" w:type="dxa"/>
            <w:vAlign w:val="center"/>
          </w:tcPr>
          <w:p>
            <w:pPr>
              <w:jc w:val="right"/>
              <w:rPr>
                <w:noProof/>
                <w:sz w:val="22"/>
              </w:rPr>
            </w:pPr>
            <w:r>
              <w:rPr>
                <w:noProof/>
                <w:sz w:val="20"/>
              </w:rPr>
              <w:t>3 000</w:t>
            </w:r>
          </w:p>
        </w:tc>
        <w:tc>
          <w:tcPr>
            <w:tcW w:w="868" w:type="dxa"/>
            <w:vAlign w:val="center"/>
          </w:tcPr>
          <w:p>
            <w:pPr>
              <w:jc w:val="right"/>
              <w:rPr>
                <w:noProof/>
                <w:sz w:val="22"/>
              </w:rPr>
            </w:pPr>
            <w:r>
              <w:rPr>
                <w:noProof/>
                <w:sz w:val="20"/>
              </w:rPr>
              <w:t>7 500</w:t>
            </w:r>
          </w:p>
        </w:tc>
        <w:tc>
          <w:tcPr>
            <w:tcW w:w="1075" w:type="dxa"/>
            <w:vAlign w:val="center"/>
          </w:tcPr>
          <w:p>
            <w:pPr>
              <w:jc w:val="right"/>
              <w:rPr>
                <w:noProof/>
                <w:sz w:val="22"/>
              </w:rPr>
            </w:pPr>
            <w:r>
              <w:rPr>
                <w:noProof/>
                <w:sz w:val="20"/>
              </w:rPr>
              <w:t>7 500</w:t>
            </w:r>
          </w:p>
        </w:tc>
        <w:tc>
          <w:tcPr>
            <w:tcW w:w="1134" w:type="dxa"/>
            <w:vAlign w:val="center"/>
          </w:tcPr>
          <w:p>
            <w:pPr>
              <w:jc w:val="right"/>
              <w:rPr>
                <w:noProof/>
                <w:sz w:val="22"/>
              </w:rPr>
            </w:pPr>
            <w:r>
              <w:rPr>
                <w:noProof/>
                <w:sz w:val="20"/>
              </w:rPr>
              <w:t>132 000</w:t>
            </w:r>
          </w:p>
        </w:tc>
        <w:tc>
          <w:tcPr>
            <w:tcW w:w="1777" w:type="dxa"/>
            <w:vAlign w:val="center"/>
          </w:tcPr>
          <w:p>
            <w:pPr>
              <w:jc w:val="right"/>
              <w:rPr>
                <w:b/>
                <w:noProof/>
                <w:sz w:val="22"/>
              </w:rPr>
            </w:pPr>
            <w:r>
              <w:rPr>
                <w:b/>
                <w:noProof/>
                <w:sz w:val="20"/>
              </w:rPr>
              <w:t>150 000</w:t>
            </w:r>
          </w:p>
        </w:tc>
      </w:tr>
    </w:tbl>
    <w:p>
      <w:pPr>
        <w:rPr>
          <w:noProof/>
        </w:rPr>
      </w:pPr>
      <w:r>
        <w:rPr>
          <w:noProof/>
        </w:rPr>
        <w:br w:type="page"/>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319"/>
          <w:jc w:val="center"/>
        </w:trPr>
        <w:tc>
          <w:tcPr>
            <w:tcW w:w="3960" w:type="dxa"/>
            <w:vMerge w:val="restart"/>
            <w:vAlign w:val="center"/>
          </w:tcPr>
          <w:p>
            <w:pPr>
              <w:spacing w:before="60" w:after="60"/>
              <w:rPr>
                <w:noProof/>
              </w:rPr>
            </w:pPr>
            <w:r>
              <w:rPr>
                <w:noProof/>
                <w:sz w:val="20"/>
              </w:rPr>
              <w:t xml:space="preserve">05,090301 </w:t>
            </w:r>
          </w:p>
          <w:p>
            <w:pPr>
              <w:spacing w:before="60" w:after="60"/>
              <w:rPr>
                <w:noProof/>
              </w:rPr>
            </w:pPr>
          </w:p>
        </w:tc>
        <w:tc>
          <w:tcPr>
            <w:tcW w:w="1440" w:type="dxa"/>
            <w:vAlign w:val="center"/>
          </w:tcPr>
          <w:p>
            <w:pPr>
              <w:spacing w:before="40" w:after="40"/>
              <w:jc w:val="left"/>
              <w:rPr>
                <w:noProof/>
                <w:sz w:val="18"/>
              </w:rPr>
            </w:pPr>
            <w:r>
              <w:rPr>
                <w:noProof/>
                <w:sz w:val="18"/>
              </w:rPr>
              <w:t>Saistības</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5 000</w:t>
            </w:r>
          </w:p>
        </w:tc>
        <w:tc>
          <w:tcPr>
            <w:tcW w:w="868" w:type="dxa"/>
            <w:vAlign w:val="center"/>
          </w:tcPr>
          <w:p>
            <w:pPr>
              <w:spacing w:before="40" w:after="40"/>
              <w:jc w:val="right"/>
              <w:rPr>
                <w:b/>
                <w:noProof/>
                <w:sz w:val="20"/>
              </w:rPr>
            </w:pPr>
            <w:r>
              <w:rPr>
                <w:noProof/>
                <w:sz w:val="20"/>
              </w:rPr>
              <w:t>5 000</w:t>
            </w:r>
          </w:p>
        </w:tc>
        <w:tc>
          <w:tcPr>
            <w:tcW w:w="1075" w:type="dxa"/>
            <w:vAlign w:val="center"/>
          </w:tcPr>
          <w:p>
            <w:pPr>
              <w:spacing w:before="40" w:after="40"/>
              <w:jc w:val="right"/>
              <w:rPr>
                <w:b/>
                <w:noProof/>
                <w:sz w:val="20"/>
              </w:rPr>
            </w:pPr>
            <w:r>
              <w:rPr>
                <w:noProof/>
                <w:sz w:val="20"/>
              </w:rPr>
              <w:t>40 000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50 000</w:t>
            </w:r>
          </w:p>
        </w:tc>
      </w:tr>
      <w:tr>
        <w:trPr>
          <w:trHeight w:val="319"/>
          <w:jc w:val="center"/>
        </w:trPr>
        <w:tc>
          <w:tcPr>
            <w:tcW w:w="3960" w:type="dxa"/>
            <w:vMerge/>
            <w:vAlign w:val="center"/>
          </w:tcPr>
          <w:p>
            <w:pPr>
              <w:rPr>
                <w:noProof/>
                <w:sz w:val="22"/>
              </w:rPr>
            </w:pPr>
          </w:p>
        </w:tc>
        <w:tc>
          <w:tcPr>
            <w:tcW w:w="1440" w:type="dxa"/>
            <w:vAlign w:val="center"/>
          </w:tcPr>
          <w:p>
            <w:pPr>
              <w:jc w:val="left"/>
              <w:rPr>
                <w:noProof/>
                <w:sz w:val="18"/>
                <w:szCs w:val="18"/>
              </w:rPr>
            </w:pPr>
            <w:r>
              <w:rPr>
                <w:noProof/>
                <w:sz w:val="18"/>
              </w:rPr>
              <w:t>Maksājumi</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1 000</w:t>
            </w:r>
          </w:p>
        </w:tc>
        <w:tc>
          <w:tcPr>
            <w:tcW w:w="868" w:type="dxa"/>
            <w:vAlign w:val="center"/>
          </w:tcPr>
          <w:p>
            <w:pPr>
              <w:jc w:val="right"/>
              <w:rPr>
                <w:noProof/>
                <w:sz w:val="22"/>
              </w:rPr>
            </w:pPr>
            <w:r>
              <w:rPr>
                <w:noProof/>
                <w:sz w:val="20"/>
              </w:rPr>
              <w:t>2 500</w:t>
            </w:r>
          </w:p>
        </w:tc>
        <w:tc>
          <w:tcPr>
            <w:tcW w:w="1075" w:type="dxa"/>
            <w:vAlign w:val="center"/>
          </w:tcPr>
          <w:p>
            <w:pPr>
              <w:jc w:val="right"/>
              <w:rPr>
                <w:noProof/>
                <w:sz w:val="22"/>
              </w:rPr>
            </w:pPr>
            <w:r>
              <w:rPr>
                <w:noProof/>
                <w:sz w:val="20"/>
              </w:rPr>
              <w:t>2 500</w:t>
            </w:r>
          </w:p>
        </w:tc>
        <w:tc>
          <w:tcPr>
            <w:tcW w:w="1134" w:type="dxa"/>
            <w:vAlign w:val="center"/>
          </w:tcPr>
          <w:p>
            <w:pPr>
              <w:jc w:val="right"/>
              <w:rPr>
                <w:noProof/>
                <w:sz w:val="22"/>
              </w:rPr>
            </w:pPr>
            <w:r>
              <w:rPr>
                <w:noProof/>
                <w:sz w:val="20"/>
              </w:rPr>
              <w:t>44 000</w:t>
            </w:r>
          </w:p>
        </w:tc>
        <w:tc>
          <w:tcPr>
            <w:tcW w:w="1777" w:type="dxa"/>
            <w:vAlign w:val="center"/>
          </w:tcPr>
          <w:p>
            <w:pPr>
              <w:jc w:val="right"/>
              <w:rPr>
                <w:b/>
                <w:noProof/>
                <w:sz w:val="22"/>
              </w:rPr>
            </w:pPr>
            <w:r>
              <w:rPr>
                <w:b/>
                <w:noProof/>
                <w:sz w:val="20"/>
              </w:rPr>
              <w:t>50 000</w:t>
            </w:r>
          </w:p>
        </w:tc>
      </w:tr>
      <w:tr>
        <w:trPr>
          <w:trHeight w:val="319"/>
          <w:jc w:val="center"/>
        </w:trPr>
        <w:tc>
          <w:tcPr>
            <w:tcW w:w="3960" w:type="dxa"/>
            <w:vMerge w:val="restart"/>
          </w:tcPr>
          <w:p>
            <w:pPr>
              <w:spacing w:before="60" w:after="60"/>
              <w:jc w:val="center"/>
              <w:rPr>
                <w:noProof/>
                <w:sz w:val="20"/>
              </w:rPr>
            </w:pPr>
            <w:r>
              <w:rPr>
                <w:b/>
                <w:noProof/>
                <w:sz w:val="22"/>
              </w:rPr>
              <w:t>AGRI ĢD</w:t>
            </w:r>
            <w:r>
              <w:rPr>
                <w:noProof/>
                <w:sz w:val="22"/>
              </w:rPr>
              <w:br/>
            </w:r>
            <w:r>
              <w:rPr>
                <w:b/>
                <w:noProof/>
                <w:sz w:val="22"/>
              </w:rPr>
              <w:t>apropriācijas KOPĀ</w:t>
            </w:r>
          </w:p>
        </w:tc>
        <w:tc>
          <w:tcPr>
            <w:tcW w:w="1440" w:type="dxa"/>
            <w:vAlign w:val="center"/>
          </w:tcPr>
          <w:p>
            <w:pPr>
              <w:spacing w:before="40" w:after="40"/>
              <w:jc w:val="left"/>
              <w:rPr>
                <w:noProof/>
                <w:sz w:val="18"/>
              </w:rPr>
            </w:pPr>
            <w:r>
              <w:rPr>
                <w:noProof/>
                <w:sz w:val="18"/>
              </w:rPr>
              <w:t>Saistības</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5 000</w:t>
            </w:r>
          </w:p>
        </w:tc>
        <w:tc>
          <w:tcPr>
            <w:tcW w:w="868" w:type="dxa"/>
            <w:vAlign w:val="center"/>
          </w:tcPr>
          <w:p>
            <w:pPr>
              <w:spacing w:before="40" w:after="40"/>
              <w:jc w:val="right"/>
              <w:rPr>
                <w:noProof/>
                <w:sz w:val="20"/>
              </w:rPr>
            </w:pPr>
            <w:r>
              <w:rPr>
                <w:noProof/>
                <w:sz w:val="20"/>
              </w:rPr>
              <w:t>5 000</w:t>
            </w:r>
          </w:p>
        </w:tc>
        <w:tc>
          <w:tcPr>
            <w:tcW w:w="1075" w:type="dxa"/>
            <w:vAlign w:val="center"/>
          </w:tcPr>
          <w:p>
            <w:pPr>
              <w:spacing w:before="40" w:after="40"/>
              <w:jc w:val="right"/>
              <w:rPr>
                <w:noProof/>
                <w:sz w:val="20"/>
              </w:rPr>
            </w:pPr>
            <w:r>
              <w:rPr>
                <w:noProof/>
                <w:sz w:val="20"/>
              </w:rPr>
              <w:t>40 000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50 000</w:t>
            </w:r>
          </w:p>
        </w:tc>
      </w:tr>
      <w:tr>
        <w:trPr>
          <w:trHeight w:val="319"/>
          <w:jc w:val="center"/>
        </w:trPr>
        <w:tc>
          <w:tcPr>
            <w:tcW w:w="3960" w:type="dxa"/>
            <w:vMerge/>
          </w:tcPr>
          <w:p>
            <w:pPr>
              <w:rPr>
                <w:noProof/>
                <w:sz w:val="22"/>
              </w:rPr>
            </w:pPr>
          </w:p>
        </w:tc>
        <w:tc>
          <w:tcPr>
            <w:tcW w:w="1440" w:type="dxa"/>
            <w:vAlign w:val="center"/>
          </w:tcPr>
          <w:p>
            <w:pPr>
              <w:jc w:val="left"/>
              <w:rPr>
                <w:noProof/>
                <w:sz w:val="22"/>
              </w:rPr>
            </w:pPr>
            <w:r>
              <w:rPr>
                <w:noProof/>
                <w:sz w:val="18"/>
              </w:rPr>
              <w:t>Maksājumi</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1 000</w:t>
            </w:r>
          </w:p>
        </w:tc>
        <w:tc>
          <w:tcPr>
            <w:tcW w:w="868" w:type="dxa"/>
            <w:vAlign w:val="center"/>
          </w:tcPr>
          <w:p>
            <w:pPr>
              <w:jc w:val="right"/>
              <w:rPr>
                <w:noProof/>
                <w:sz w:val="22"/>
              </w:rPr>
            </w:pPr>
            <w:r>
              <w:rPr>
                <w:noProof/>
                <w:sz w:val="20"/>
              </w:rPr>
              <w:t>2 500</w:t>
            </w:r>
          </w:p>
        </w:tc>
        <w:tc>
          <w:tcPr>
            <w:tcW w:w="1075" w:type="dxa"/>
            <w:vAlign w:val="center"/>
          </w:tcPr>
          <w:p>
            <w:pPr>
              <w:jc w:val="right"/>
              <w:rPr>
                <w:noProof/>
                <w:sz w:val="22"/>
              </w:rPr>
            </w:pPr>
            <w:r>
              <w:rPr>
                <w:noProof/>
                <w:sz w:val="20"/>
              </w:rPr>
              <w:t>2 500</w:t>
            </w:r>
          </w:p>
        </w:tc>
        <w:tc>
          <w:tcPr>
            <w:tcW w:w="1134" w:type="dxa"/>
            <w:vAlign w:val="center"/>
          </w:tcPr>
          <w:p>
            <w:pPr>
              <w:jc w:val="right"/>
              <w:rPr>
                <w:noProof/>
                <w:sz w:val="22"/>
              </w:rPr>
            </w:pPr>
            <w:r>
              <w:rPr>
                <w:noProof/>
                <w:sz w:val="20"/>
              </w:rPr>
              <w:t>44 000</w:t>
            </w:r>
          </w:p>
        </w:tc>
        <w:tc>
          <w:tcPr>
            <w:tcW w:w="1777" w:type="dxa"/>
            <w:vAlign w:val="center"/>
          </w:tcPr>
          <w:p>
            <w:pPr>
              <w:jc w:val="right"/>
              <w:rPr>
                <w:b/>
                <w:noProof/>
                <w:sz w:val="22"/>
              </w:rPr>
            </w:pPr>
            <w:r>
              <w:rPr>
                <w:b/>
                <w:noProof/>
                <w:sz w:val="20"/>
              </w:rPr>
              <w:t>50 000</w:t>
            </w:r>
          </w:p>
        </w:tc>
      </w:tr>
    </w:tbl>
    <w:p>
      <w:pPr>
        <w:rPr>
          <w:noProof/>
        </w:rPr>
      </w:pPr>
      <w:r>
        <w:rPr>
          <w:noProof/>
          <w:sz w:val="22"/>
        </w:rPr>
        <w:br/>
      </w:r>
      <w:r>
        <w:rPr>
          <w:noProof/>
          <w:sz w:val="22"/>
        </w:rPr>
        <w:br/>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697"/>
          <w:jc w:val="center"/>
        </w:trPr>
        <w:tc>
          <w:tcPr>
            <w:tcW w:w="3960" w:type="dxa"/>
            <w:vAlign w:val="center"/>
          </w:tcPr>
          <w:p>
            <w:pPr>
              <w:spacing w:before="20" w:after="20"/>
              <w:jc w:val="center"/>
              <w:rPr>
                <w:noProof/>
                <w:sz w:val="22"/>
              </w:rPr>
            </w:pPr>
          </w:p>
        </w:tc>
        <w:tc>
          <w:tcPr>
            <w:tcW w:w="1440" w:type="dxa"/>
          </w:tcPr>
          <w:p>
            <w:pPr>
              <w:spacing w:beforeLines="20" w:before="48" w:afterLines="20" w:after="48"/>
              <w:rPr>
                <w:noProof/>
                <w:sz w:val="18"/>
              </w:rPr>
            </w:pPr>
          </w:p>
        </w:tc>
        <w:tc>
          <w:tcPr>
            <w:tcW w:w="654" w:type="dxa"/>
          </w:tcPr>
          <w:p>
            <w:pPr>
              <w:spacing w:beforeLines="20" w:before="48" w:afterLines="20" w:after="48"/>
              <w:jc w:val="center"/>
              <w:rPr>
                <w:noProof/>
                <w:sz w:val="14"/>
              </w:rPr>
            </w:pPr>
          </w:p>
        </w:tc>
        <w:tc>
          <w:tcPr>
            <w:tcW w:w="868" w:type="dxa"/>
            <w:vAlign w:val="center"/>
          </w:tcPr>
          <w:p>
            <w:pPr>
              <w:spacing w:before="20" w:after="20"/>
              <w:jc w:val="center"/>
              <w:rPr>
                <w:noProof/>
                <w:sz w:val="20"/>
              </w:rPr>
            </w:pPr>
            <w:r>
              <w:rPr>
                <w:noProof/>
                <w:sz w:val="20"/>
              </w:rPr>
              <w:t>Gads</w:t>
            </w:r>
            <w:r>
              <w:rPr>
                <w:noProof/>
                <w:sz w:val="22"/>
              </w:rPr>
              <w:br/>
            </w:r>
            <w:r>
              <w:rPr>
                <w:b/>
                <w:noProof/>
                <w:sz w:val="20"/>
              </w:rPr>
              <w:t>2018</w:t>
            </w:r>
            <w:r>
              <w:rPr>
                <w:rStyle w:val="FootnoteReference"/>
                <w:b/>
                <w:noProof/>
                <w:sz w:val="20"/>
              </w:rPr>
              <w:footnoteReference w:id="18"/>
            </w:r>
          </w:p>
        </w:tc>
        <w:tc>
          <w:tcPr>
            <w:tcW w:w="868" w:type="dxa"/>
            <w:vAlign w:val="center"/>
          </w:tcPr>
          <w:p>
            <w:pPr>
              <w:spacing w:before="20" w:after="20"/>
              <w:jc w:val="center"/>
              <w:rPr>
                <w:noProof/>
                <w:sz w:val="20"/>
              </w:rPr>
            </w:pPr>
            <w:r>
              <w:rPr>
                <w:noProof/>
                <w:sz w:val="20"/>
              </w:rPr>
              <w:t>Gads</w:t>
            </w:r>
            <w:r>
              <w:rPr>
                <w:noProof/>
                <w:sz w:val="22"/>
              </w:rPr>
              <w:br/>
            </w:r>
            <w:r>
              <w:rPr>
                <w:b/>
                <w:noProof/>
                <w:sz w:val="20"/>
              </w:rPr>
              <w:t>2019</w:t>
            </w:r>
          </w:p>
        </w:tc>
        <w:tc>
          <w:tcPr>
            <w:tcW w:w="1075" w:type="dxa"/>
            <w:vAlign w:val="center"/>
          </w:tcPr>
          <w:p>
            <w:pPr>
              <w:spacing w:before="20" w:after="20"/>
              <w:jc w:val="center"/>
              <w:rPr>
                <w:noProof/>
                <w:sz w:val="20"/>
              </w:rPr>
            </w:pPr>
            <w:r>
              <w:rPr>
                <w:noProof/>
                <w:sz w:val="20"/>
              </w:rPr>
              <w:t>Gads</w:t>
            </w:r>
            <w:r>
              <w:rPr>
                <w:noProof/>
                <w:sz w:val="22"/>
              </w:rPr>
              <w:br/>
            </w:r>
            <w:r>
              <w:rPr>
                <w:b/>
                <w:noProof/>
                <w:sz w:val="20"/>
              </w:rPr>
              <w:t>2020</w:t>
            </w:r>
          </w:p>
        </w:tc>
        <w:tc>
          <w:tcPr>
            <w:tcW w:w="1134" w:type="dxa"/>
            <w:vAlign w:val="center"/>
          </w:tcPr>
          <w:p>
            <w:pPr>
              <w:spacing w:before="20" w:after="20"/>
              <w:jc w:val="center"/>
              <w:rPr>
                <w:noProof/>
                <w:sz w:val="20"/>
              </w:rPr>
            </w:pPr>
            <w:r>
              <w:rPr>
                <w:noProof/>
                <w:sz w:val="20"/>
              </w:rPr>
              <w:t>Gads</w:t>
            </w:r>
            <w:r>
              <w:rPr>
                <w:noProof/>
                <w:sz w:val="22"/>
              </w:rPr>
              <w:br/>
            </w:r>
            <w:r>
              <w:rPr>
                <w:b/>
                <w:noProof/>
                <w:sz w:val="20"/>
              </w:rPr>
              <w:t>2021-2029</w:t>
            </w:r>
          </w:p>
        </w:tc>
        <w:tc>
          <w:tcPr>
            <w:tcW w:w="1777" w:type="dxa"/>
            <w:vAlign w:val="center"/>
          </w:tcPr>
          <w:p>
            <w:pPr>
              <w:spacing w:before="20" w:after="20"/>
              <w:jc w:val="center"/>
              <w:rPr>
                <w:b/>
                <w:noProof/>
                <w:sz w:val="20"/>
              </w:rPr>
            </w:pPr>
            <w:r>
              <w:rPr>
                <w:b/>
                <w:noProof/>
                <w:sz w:val="20"/>
              </w:rPr>
              <w:t>KOPĀ</w:t>
            </w:r>
          </w:p>
        </w:tc>
      </w:tr>
      <w:tr>
        <w:trPr>
          <w:trHeight w:val="277"/>
          <w:jc w:val="center"/>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KOPĀ darbības apropriācijas </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20 000</w:t>
            </w:r>
          </w:p>
        </w:tc>
        <w:tc>
          <w:tcPr>
            <w:tcW w:w="868" w:type="dxa"/>
            <w:vAlign w:val="center"/>
          </w:tcPr>
          <w:p>
            <w:pPr>
              <w:spacing w:before="20" w:after="20"/>
              <w:jc w:val="right"/>
              <w:rPr>
                <w:noProof/>
                <w:sz w:val="20"/>
              </w:rPr>
            </w:pPr>
            <w:r>
              <w:rPr>
                <w:noProof/>
                <w:sz w:val="20"/>
              </w:rPr>
              <w:t>20 000</w:t>
            </w:r>
          </w:p>
        </w:tc>
        <w:tc>
          <w:tcPr>
            <w:tcW w:w="1075" w:type="dxa"/>
            <w:vAlign w:val="center"/>
          </w:tcPr>
          <w:p>
            <w:pPr>
              <w:spacing w:before="20" w:after="20"/>
              <w:jc w:val="right"/>
              <w:rPr>
                <w:noProof/>
                <w:sz w:val="20"/>
              </w:rPr>
            </w:pPr>
            <w:r>
              <w:rPr>
                <w:noProof/>
                <w:sz w:val="20"/>
              </w:rPr>
              <w:t>160 000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200 000</w:t>
            </w:r>
          </w:p>
        </w:tc>
      </w:tr>
      <w:tr>
        <w:trPr>
          <w:jc w:val="center"/>
        </w:trPr>
        <w:tc>
          <w:tcPr>
            <w:tcW w:w="3960" w:type="dxa"/>
            <w:vMerge/>
          </w:tcPr>
          <w:p>
            <w:pPr>
              <w:rPr>
                <w:noProof/>
              </w:rPr>
            </w:pPr>
          </w:p>
        </w:tc>
        <w:tc>
          <w:tcPr>
            <w:tcW w:w="1440" w:type="dxa"/>
            <w:vAlign w:val="center"/>
          </w:tcPr>
          <w:p>
            <w:pPr>
              <w:rPr>
                <w:noProof/>
              </w:rPr>
            </w:pPr>
            <w:r>
              <w:rPr>
                <w:noProof/>
                <w:sz w:val="18"/>
              </w:rPr>
              <w:t>Maksājumi</w:t>
            </w:r>
          </w:p>
        </w:tc>
        <w:tc>
          <w:tcPr>
            <w:tcW w:w="654" w:type="dxa"/>
            <w:vAlign w:val="center"/>
          </w:tcPr>
          <w:p>
            <w:pPr>
              <w:rPr>
                <w:noProof/>
              </w:rPr>
            </w:pPr>
            <w:r>
              <w:rPr>
                <w:noProof/>
                <w:sz w:val="14"/>
              </w:rPr>
              <w:t>(5)</w:t>
            </w:r>
          </w:p>
        </w:tc>
        <w:tc>
          <w:tcPr>
            <w:tcW w:w="868" w:type="dxa"/>
            <w:vAlign w:val="center"/>
          </w:tcPr>
          <w:p>
            <w:pPr>
              <w:jc w:val="right"/>
              <w:rPr>
                <w:noProof/>
              </w:rPr>
            </w:pPr>
            <w:r>
              <w:rPr>
                <w:noProof/>
                <w:sz w:val="20"/>
              </w:rPr>
              <w:t>4 000</w:t>
            </w:r>
          </w:p>
        </w:tc>
        <w:tc>
          <w:tcPr>
            <w:tcW w:w="868" w:type="dxa"/>
            <w:vAlign w:val="center"/>
          </w:tcPr>
          <w:p>
            <w:pPr>
              <w:jc w:val="right"/>
              <w:rPr>
                <w:noProof/>
              </w:rPr>
            </w:pPr>
            <w:r>
              <w:rPr>
                <w:noProof/>
                <w:sz w:val="20"/>
              </w:rPr>
              <w:t>10 000</w:t>
            </w:r>
          </w:p>
        </w:tc>
        <w:tc>
          <w:tcPr>
            <w:tcW w:w="1075" w:type="dxa"/>
            <w:vAlign w:val="center"/>
          </w:tcPr>
          <w:p>
            <w:pPr>
              <w:jc w:val="right"/>
              <w:rPr>
                <w:noProof/>
              </w:rPr>
            </w:pPr>
            <w:r>
              <w:rPr>
                <w:noProof/>
                <w:sz w:val="20"/>
              </w:rPr>
              <w:t>10 000</w:t>
            </w:r>
          </w:p>
        </w:tc>
        <w:tc>
          <w:tcPr>
            <w:tcW w:w="1134" w:type="dxa"/>
            <w:vAlign w:val="center"/>
          </w:tcPr>
          <w:p>
            <w:pPr>
              <w:jc w:val="right"/>
              <w:rPr>
                <w:noProof/>
              </w:rPr>
            </w:pPr>
            <w:r>
              <w:rPr>
                <w:noProof/>
                <w:sz w:val="20"/>
              </w:rPr>
              <w:t>176 000</w:t>
            </w:r>
          </w:p>
        </w:tc>
        <w:tc>
          <w:tcPr>
            <w:tcW w:w="1777" w:type="dxa"/>
            <w:vAlign w:val="center"/>
          </w:tcPr>
          <w:p>
            <w:pPr>
              <w:jc w:val="right"/>
              <w:rPr>
                <w:b/>
                <w:noProof/>
              </w:rPr>
            </w:pPr>
            <w:r>
              <w:rPr>
                <w:b/>
                <w:noProof/>
                <w:sz w:val="20"/>
              </w:rPr>
              <w:t>200 000</w:t>
            </w:r>
          </w:p>
        </w:tc>
      </w:tr>
      <w:tr>
        <w:trPr>
          <w:trHeight w:val="533"/>
          <w:jc w:val="center"/>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KOPĀ — administratīvās apropriācijas, kas tiek finansētas no konkrētu programmu piešķīrumiem (08 01 05)</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szCs w:val="20"/>
              </w:rPr>
            </w:pPr>
            <w:r>
              <w:rPr>
                <w:noProof/>
                <w:sz w:val="20"/>
              </w:rPr>
              <w:t>0,222</w:t>
            </w:r>
          </w:p>
        </w:tc>
        <w:tc>
          <w:tcPr>
            <w:tcW w:w="868" w:type="dxa"/>
            <w:vAlign w:val="center"/>
          </w:tcPr>
          <w:p>
            <w:pPr>
              <w:spacing w:before="20" w:after="20"/>
              <w:jc w:val="right"/>
              <w:rPr>
                <w:b/>
                <w:noProof/>
                <w:sz w:val="20"/>
                <w:szCs w:val="20"/>
              </w:rPr>
            </w:pPr>
            <w:r>
              <w:rPr>
                <w:noProof/>
                <w:sz w:val="20"/>
              </w:rPr>
              <w:t>0,226</w:t>
            </w:r>
          </w:p>
        </w:tc>
        <w:tc>
          <w:tcPr>
            <w:tcW w:w="1075" w:type="dxa"/>
            <w:vAlign w:val="center"/>
          </w:tcPr>
          <w:p>
            <w:pPr>
              <w:spacing w:before="20" w:after="20"/>
              <w:jc w:val="right"/>
              <w:rPr>
                <w:b/>
                <w:noProof/>
                <w:sz w:val="20"/>
                <w:szCs w:val="20"/>
              </w:rPr>
            </w:pPr>
            <w:r>
              <w:rPr>
                <w:noProof/>
                <w:sz w:val="20"/>
              </w:rPr>
              <w:t>0,230</w:t>
            </w:r>
          </w:p>
        </w:tc>
        <w:tc>
          <w:tcPr>
            <w:tcW w:w="1134" w:type="dxa"/>
            <w:vAlign w:val="center"/>
          </w:tcPr>
          <w:p>
            <w:pPr>
              <w:spacing w:before="20" w:after="20"/>
              <w:jc w:val="right"/>
              <w:rPr>
                <w:b/>
                <w:noProof/>
                <w:sz w:val="20"/>
                <w:szCs w:val="20"/>
              </w:rPr>
            </w:pPr>
          </w:p>
        </w:tc>
        <w:tc>
          <w:tcPr>
            <w:tcW w:w="1777" w:type="dxa"/>
            <w:vAlign w:val="center"/>
          </w:tcPr>
          <w:p>
            <w:pPr>
              <w:spacing w:before="20" w:after="20"/>
              <w:jc w:val="right"/>
              <w:rPr>
                <w:b/>
                <w:noProof/>
                <w:sz w:val="20"/>
                <w:szCs w:val="20"/>
              </w:rPr>
            </w:pPr>
            <w:r>
              <w:rPr>
                <w:b/>
                <w:noProof/>
                <w:sz w:val="20"/>
              </w:rPr>
              <w:t>0,678</w:t>
            </w:r>
          </w:p>
        </w:tc>
      </w:tr>
      <w:tr>
        <w:trPr>
          <w:jc w:val="center"/>
        </w:trPr>
        <w:tc>
          <w:tcPr>
            <w:tcW w:w="3960" w:type="dxa"/>
            <w:vMerge w:val="restart"/>
            <w:shd w:val="thinDiagStripe" w:color="C0C0C0" w:fill="auto"/>
            <w:vAlign w:val="center"/>
          </w:tcPr>
          <w:p>
            <w:pPr>
              <w:jc w:val="center"/>
              <w:rPr>
                <w:b/>
                <w:noProof/>
              </w:rPr>
            </w:pPr>
            <w:r>
              <w:rPr>
                <w:noProof/>
              </w:rPr>
              <w:t>KOPĀ — </w:t>
            </w:r>
            <w:r>
              <w:rPr>
                <w:b/>
                <w:noProof/>
                <w:sz w:val="22"/>
              </w:rPr>
              <w:t>Daudzgadu finanšu</w:t>
            </w:r>
            <w:r>
              <w:rPr>
                <w:noProof/>
                <w:sz w:val="22"/>
              </w:rPr>
              <w:br/>
            </w:r>
            <w:r>
              <w:rPr>
                <w:b/>
                <w:noProof/>
                <w:sz w:val="22"/>
              </w:rPr>
              <w:t>shēmas 1a kategorijas</w:t>
            </w:r>
            <w:r>
              <w:rPr>
                <w:noProof/>
                <w:sz w:val="22"/>
              </w:rPr>
              <w:br/>
              <w:t>apropriācijas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20 222</w:t>
            </w:r>
          </w:p>
        </w:tc>
        <w:tc>
          <w:tcPr>
            <w:tcW w:w="868" w:type="dxa"/>
            <w:vAlign w:val="center"/>
          </w:tcPr>
          <w:p>
            <w:pPr>
              <w:spacing w:before="20" w:after="20"/>
              <w:jc w:val="right"/>
              <w:rPr>
                <w:noProof/>
                <w:sz w:val="20"/>
              </w:rPr>
            </w:pPr>
            <w:r>
              <w:rPr>
                <w:noProof/>
                <w:sz w:val="20"/>
              </w:rPr>
              <w:t>20 226</w:t>
            </w:r>
          </w:p>
        </w:tc>
        <w:tc>
          <w:tcPr>
            <w:tcW w:w="1075" w:type="dxa"/>
            <w:vAlign w:val="center"/>
          </w:tcPr>
          <w:p>
            <w:pPr>
              <w:spacing w:before="20" w:after="20"/>
              <w:jc w:val="right"/>
              <w:rPr>
                <w:noProof/>
                <w:sz w:val="20"/>
              </w:rPr>
            </w:pPr>
            <w:r>
              <w:rPr>
                <w:noProof/>
                <w:sz w:val="20"/>
              </w:rPr>
              <w:t>160 230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200 678</w:t>
            </w:r>
          </w:p>
        </w:tc>
      </w:tr>
      <w:tr>
        <w:trPr>
          <w:jc w:val="center"/>
        </w:trPr>
        <w:tc>
          <w:tcPr>
            <w:tcW w:w="3960" w:type="dxa"/>
            <w:vMerge/>
            <w:shd w:val="thinDiagStripe" w:color="C0C0C0" w:fill="auto"/>
          </w:tcPr>
          <w:p>
            <w:pPr>
              <w:rPr>
                <w:noProof/>
              </w:rPr>
            </w:pPr>
          </w:p>
        </w:tc>
        <w:tc>
          <w:tcPr>
            <w:tcW w:w="1440" w:type="dxa"/>
            <w:vAlign w:val="center"/>
          </w:tcPr>
          <w:p>
            <w:pPr>
              <w:rPr>
                <w:noProof/>
              </w:rPr>
            </w:pPr>
            <w:r>
              <w:rPr>
                <w:noProof/>
                <w:sz w:val="18"/>
              </w:rPr>
              <w:t>Maksājumi</w:t>
            </w:r>
          </w:p>
        </w:tc>
        <w:tc>
          <w:tcPr>
            <w:tcW w:w="654" w:type="dxa"/>
            <w:vAlign w:val="center"/>
          </w:tcPr>
          <w:p>
            <w:pPr>
              <w:rPr>
                <w:noProof/>
              </w:rPr>
            </w:pPr>
            <w:r>
              <w:rPr>
                <w:noProof/>
                <w:sz w:val="14"/>
              </w:rPr>
              <w:t>=5+ 6</w:t>
            </w:r>
          </w:p>
        </w:tc>
        <w:tc>
          <w:tcPr>
            <w:tcW w:w="868" w:type="dxa"/>
            <w:vAlign w:val="center"/>
          </w:tcPr>
          <w:p>
            <w:pPr>
              <w:jc w:val="right"/>
              <w:rPr>
                <w:noProof/>
              </w:rPr>
            </w:pPr>
            <w:r>
              <w:rPr>
                <w:noProof/>
                <w:sz w:val="20"/>
              </w:rPr>
              <w:t>4 222</w:t>
            </w:r>
          </w:p>
        </w:tc>
        <w:tc>
          <w:tcPr>
            <w:tcW w:w="868" w:type="dxa"/>
            <w:vAlign w:val="center"/>
          </w:tcPr>
          <w:p>
            <w:pPr>
              <w:jc w:val="right"/>
              <w:rPr>
                <w:noProof/>
              </w:rPr>
            </w:pPr>
            <w:r>
              <w:rPr>
                <w:noProof/>
                <w:sz w:val="20"/>
              </w:rPr>
              <w:t>10 226</w:t>
            </w:r>
          </w:p>
        </w:tc>
        <w:tc>
          <w:tcPr>
            <w:tcW w:w="1075" w:type="dxa"/>
            <w:vAlign w:val="center"/>
          </w:tcPr>
          <w:p>
            <w:pPr>
              <w:jc w:val="right"/>
              <w:rPr>
                <w:noProof/>
              </w:rPr>
            </w:pPr>
            <w:r>
              <w:rPr>
                <w:noProof/>
                <w:sz w:val="20"/>
              </w:rPr>
              <w:t>10 230</w:t>
            </w:r>
          </w:p>
        </w:tc>
        <w:tc>
          <w:tcPr>
            <w:tcW w:w="1134" w:type="dxa"/>
            <w:vAlign w:val="center"/>
          </w:tcPr>
          <w:p>
            <w:pPr>
              <w:jc w:val="right"/>
              <w:rPr>
                <w:noProof/>
              </w:rPr>
            </w:pPr>
            <w:r>
              <w:rPr>
                <w:noProof/>
                <w:sz w:val="20"/>
              </w:rPr>
              <w:t>176 000</w:t>
            </w:r>
          </w:p>
        </w:tc>
        <w:tc>
          <w:tcPr>
            <w:tcW w:w="1777" w:type="dxa"/>
            <w:vAlign w:val="center"/>
          </w:tcPr>
          <w:p>
            <w:pPr>
              <w:jc w:val="right"/>
              <w:rPr>
                <w:b/>
                <w:noProof/>
              </w:rPr>
            </w:pPr>
            <w:r>
              <w:rPr>
                <w:b/>
                <w:noProof/>
                <w:sz w:val="20"/>
              </w:rPr>
              <w:t>200 678</w:t>
            </w:r>
          </w:p>
        </w:tc>
      </w:tr>
    </w:tbl>
    <w:p>
      <w:pPr>
        <w:rPr>
          <w:b/>
          <w:noProof/>
          <w:u w:val="single"/>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Daudzgadu finanšu shēmas izdevumu</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“Administratīvie izdevumi”</w:t>
            </w:r>
          </w:p>
        </w:tc>
      </w:tr>
    </w:tbl>
    <w:p>
      <w:pPr>
        <w:jc w:val="right"/>
        <w:rPr>
          <w:noProof/>
          <w:sz w:val="20"/>
        </w:rPr>
      </w:pPr>
      <w:r>
        <w:rPr>
          <w:noProof/>
          <w:sz w:val="20"/>
        </w:rPr>
        <w:t>EUR miljonos (trīs zīmes aiz komata)</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200"/>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gads</w:t>
            </w:r>
            <w:r>
              <w:rPr>
                <w:noProof/>
                <w:sz w:val="20"/>
              </w:rPr>
              <w:br/>
            </w:r>
            <w:r>
              <w:rPr>
                <w:b/>
                <w:noProof/>
                <w:sz w:val="20"/>
              </w:rPr>
              <w:t>2018</w:t>
            </w:r>
          </w:p>
        </w:tc>
        <w:tc>
          <w:tcPr>
            <w:tcW w:w="868" w:type="dxa"/>
            <w:vAlign w:val="center"/>
          </w:tcPr>
          <w:p>
            <w:pPr>
              <w:rPr>
                <w:noProof/>
                <w:sz w:val="20"/>
              </w:rPr>
            </w:pPr>
            <w:r>
              <w:rPr>
                <w:noProof/>
                <w:sz w:val="20"/>
              </w:rPr>
              <w:t>gads</w:t>
            </w:r>
            <w:r>
              <w:rPr>
                <w:noProof/>
                <w:sz w:val="20"/>
              </w:rPr>
              <w:br/>
            </w:r>
            <w:r>
              <w:rPr>
                <w:b/>
                <w:noProof/>
                <w:sz w:val="20"/>
              </w:rPr>
              <w:t>2019</w:t>
            </w:r>
          </w:p>
        </w:tc>
        <w:tc>
          <w:tcPr>
            <w:tcW w:w="868" w:type="dxa"/>
            <w:vAlign w:val="center"/>
          </w:tcPr>
          <w:p>
            <w:pPr>
              <w:rPr>
                <w:noProof/>
                <w:sz w:val="20"/>
              </w:rPr>
            </w:pPr>
            <w:r>
              <w:rPr>
                <w:noProof/>
                <w:sz w:val="20"/>
              </w:rPr>
              <w:t>gads</w:t>
            </w:r>
            <w:r>
              <w:rPr>
                <w:noProof/>
                <w:sz w:val="20"/>
              </w:rPr>
              <w:br/>
            </w:r>
            <w:r>
              <w:rPr>
                <w:b/>
                <w:noProof/>
                <w:sz w:val="20"/>
              </w:rPr>
              <w:t>2020</w:t>
            </w:r>
          </w:p>
        </w:tc>
        <w:tc>
          <w:tcPr>
            <w:tcW w:w="1200" w:type="dxa"/>
            <w:vAlign w:val="center"/>
          </w:tcPr>
          <w:p>
            <w:pPr>
              <w:rPr>
                <w:noProof/>
                <w:sz w:val="20"/>
              </w:rPr>
            </w:pPr>
            <w:r>
              <w:rPr>
                <w:noProof/>
                <w:sz w:val="20"/>
              </w:rPr>
              <w:t>gads</w:t>
            </w:r>
            <w:r>
              <w:rPr>
                <w:noProof/>
                <w:sz w:val="20"/>
              </w:rPr>
              <w:br/>
            </w:r>
            <w:r>
              <w:rPr>
                <w:b/>
                <w:noProof/>
                <w:sz w:val="20"/>
              </w:rPr>
              <w:t>2021-2029</w:t>
            </w:r>
          </w:p>
        </w:tc>
        <w:tc>
          <w:tcPr>
            <w:tcW w:w="1445" w:type="dxa"/>
            <w:vAlign w:val="center"/>
          </w:tcPr>
          <w:p>
            <w:pPr>
              <w:rPr>
                <w:b/>
                <w:noProof/>
                <w:sz w:val="20"/>
              </w:rPr>
            </w:pPr>
            <w:r>
              <w:rPr>
                <w:b/>
                <w:noProof/>
                <w:sz w:val="20"/>
              </w:rPr>
              <w:t>KOPĀ</w:t>
            </w:r>
          </w:p>
        </w:tc>
      </w:tr>
      <w:tr>
        <w:trPr>
          <w:gridAfter w:val="7"/>
          <w:wAfter w:w="7343" w:type="dxa"/>
          <w:jc w:val="center"/>
        </w:trPr>
        <w:tc>
          <w:tcPr>
            <w:tcW w:w="3960" w:type="dxa"/>
            <w:vAlign w:val="center"/>
          </w:tcPr>
          <w:p>
            <w:pPr>
              <w:rPr>
                <w:noProof/>
                <w:sz w:val="20"/>
              </w:rPr>
            </w:pPr>
            <w:r>
              <w:rPr>
                <w:noProof/>
                <w:sz w:val="20"/>
              </w:rPr>
              <w:t>ĢD: RTD</w:t>
            </w:r>
          </w:p>
        </w:tc>
      </w:tr>
      <w:tr>
        <w:trPr>
          <w:trHeight w:val="313"/>
          <w:jc w:val="center"/>
        </w:trPr>
        <w:tc>
          <w:tcPr>
            <w:tcW w:w="6054" w:type="dxa"/>
            <w:gridSpan w:val="3"/>
            <w:vAlign w:val="center"/>
          </w:tcPr>
          <w:p>
            <w:pPr>
              <w:rPr>
                <w:noProof/>
                <w:sz w:val="20"/>
              </w:rPr>
            </w:pPr>
            <w:r>
              <w:rPr>
                <w:noProof/>
                <w:sz w:val="20"/>
              </w:rPr>
              <w:sym w:font="Wingdings" w:char="F09F"/>
            </w:r>
            <w:r>
              <w:rPr>
                <w:noProof/>
                <w:sz w:val="20"/>
              </w:rPr>
              <w:t xml:space="preserve"> Cilvēkresursi</w:t>
            </w:r>
          </w:p>
        </w:tc>
        <w:tc>
          <w:tcPr>
            <w:tcW w:w="868" w:type="dxa"/>
            <w:vAlign w:val="center"/>
          </w:tcPr>
          <w:p>
            <w:pPr>
              <w:rPr>
                <w:noProof/>
                <w:sz w:val="20"/>
              </w:rPr>
            </w:pPr>
            <w:r>
              <w:rPr>
                <w:noProof/>
                <w:sz w:val="20"/>
              </w:rPr>
              <w:t>0,204</w:t>
            </w:r>
          </w:p>
        </w:tc>
        <w:tc>
          <w:tcPr>
            <w:tcW w:w="868" w:type="dxa"/>
            <w:vAlign w:val="center"/>
          </w:tcPr>
          <w:p>
            <w:pPr>
              <w:rPr>
                <w:noProof/>
                <w:sz w:val="20"/>
              </w:rPr>
            </w:pPr>
            <w:r>
              <w:rPr>
                <w:noProof/>
                <w:sz w:val="20"/>
              </w:rPr>
              <w:t>0,208</w:t>
            </w:r>
          </w:p>
        </w:tc>
        <w:tc>
          <w:tcPr>
            <w:tcW w:w="868" w:type="dxa"/>
            <w:vAlign w:val="center"/>
          </w:tcPr>
          <w:p>
            <w:pPr>
              <w:rPr>
                <w:noProof/>
                <w:sz w:val="20"/>
              </w:rPr>
            </w:pPr>
            <w:r>
              <w:rPr>
                <w:noProof/>
                <w:sz w:val="20"/>
              </w:rPr>
              <w:t>0,212</w:t>
            </w:r>
          </w:p>
        </w:tc>
        <w:tc>
          <w:tcPr>
            <w:tcW w:w="1200" w:type="dxa"/>
            <w:vAlign w:val="center"/>
          </w:tcPr>
          <w:p>
            <w:pPr>
              <w:rPr>
                <w:noProof/>
                <w:sz w:val="20"/>
              </w:rPr>
            </w:pPr>
          </w:p>
        </w:tc>
        <w:tc>
          <w:tcPr>
            <w:tcW w:w="1445" w:type="dxa"/>
            <w:vAlign w:val="center"/>
          </w:tcPr>
          <w:p>
            <w:pPr>
              <w:rPr>
                <w:b/>
                <w:noProof/>
                <w:sz w:val="20"/>
              </w:rPr>
            </w:pPr>
            <w:r>
              <w:rPr>
                <w:b/>
                <w:noProof/>
                <w:sz w:val="20"/>
              </w:rPr>
              <w:t>0,624</w:t>
            </w:r>
          </w:p>
        </w:tc>
      </w:tr>
      <w:tr>
        <w:trPr>
          <w:trHeight w:val="351"/>
          <w:jc w:val="center"/>
        </w:trPr>
        <w:tc>
          <w:tcPr>
            <w:tcW w:w="6054" w:type="dxa"/>
            <w:gridSpan w:val="3"/>
            <w:vAlign w:val="center"/>
          </w:tcPr>
          <w:p>
            <w:pPr>
              <w:rPr>
                <w:noProof/>
                <w:sz w:val="20"/>
              </w:rPr>
            </w:pPr>
            <w:r>
              <w:rPr>
                <w:noProof/>
                <w:sz w:val="20"/>
              </w:rPr>
              <w:sym w:font="Wingdings" w:char="F09F"/>
            </w:r>
            <w:r>
              <w:rPr>
                <w:noProof/>
                <w:sz w:val="20"/>
              </w:rPr>
              <w:t xml:space="preserve"> Pārējie administratīvie izdevumi</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0. 018</w:t>
            </w:r>
          </w:p>
        </w:tc>
        <w:tc>
          <w:tcPr>
            <w:tcW w:w="1200" w:type="dxa"/>
            <w:vAlign w:val="center"/>
          </w:tcPr>
          <w:p>
            <w:pPr>
              <w:rPr>
                <w:b/>
                <w:noProof/>
                <w:sz w:val="20"/>
              </w:rPr>
            </w:pPr>
          </w:p>
        </w:tc>
        <w:tc>
          <w:tcPr>
            <w:tcW w:w="1445" w:type="dxa"/>
            <w:vAlign w:val="center"/>
          </w:tcPr>
          <w:p>
            <w:pPr>
              <w:rPr>
                <w:b/>
                <w:noProof/>
                <w:sz w:val="20"/>
              </w:rPr>
            </w:pPr>
            <w:r>
              <w:rPr>
                <w:b/>
                <w:noProof/>
                <w:sz w:val="20"/>
              </w:rPr>
              <w:t>0,054</w:t>
            </w:r>
          </w:p>
        </w:tc>
      </w:tr>
      <w:tr>
        <w:trPr>
          <w:jc w:val="center"/>
        </w:trPr>
        <w:tc>
          <w:tcPr>
            <w:tcW w:w="3960" w:type="dxa"/>
            <w:vAlign w:val="center"/>
          </w:tcPr>
          <w:p>
            <w:pPr>
              <w:rPr>
                <w:b/>
                <w:noProof/>
                <w:sz w:val="20"/>
              </w:rPr>
            </w:pPr>
            <w:r>
              <w:rPr>
                <w:b/>
                <w:noProof/>
                <w:sz w:val="20"/>
              </w:rPr>
              <w:t>KOPĀ — RTD ĢD</w:t>
            </w:r>
          </w:p>
        </w:tc>
        <w:tc>
          <w:tcPr>
            <w:tcW w:w="2094" w:type="dxa"/>
            <w:gridSpan w:val="2"/>
            <w:vAlign w:val="center"/>
          </w:tcPr>
          <w:p>
            <w:pPr>
              <w:rPr>
                <w:noProof/>
                <w:sz w:val="20"/>
              </w:rPr>
            </w:pPr>
            <w:r>
              <w:rPr>
                <w:noProof/>
                <w:sz w:val="20"/>
              </w:rPr>
              <w:t xml:space="preserve">Apropriācijas </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200"/>
        <w:gridCol w:w="1445"/>
      </w:tblGrid>
      <w:tr>
        <w:trPr>
          <w:jc w:val="center"/>
        </w:trPr>
        <w:tc>
          <w:tcPr>
            <w:tcW w:w="3960" w:type="dxa"/>
            <w:shd w:val="thinDiagStripe" w:color="C0C0C0" w:fill="auto"/>
            <w:vAlign w:val="center"/>
          </w:tcPr>
          <w:p>
            <w:pPr>
              <w:rPr>
                <w:b/>
                <w:noProof/>
                <w:sz w:val="20"/>
              </w:rPr>
            </w:pPr>
            <w:r>
              <w:rPr>
                <w:b/>
                <w:noProof/>
                <w:sz w:val="20"/>
              </w:rPr>
              <w:t>KOPĀ — Daudzgadu finanšu</w:t>
            </w:r>
            <w:r>
              <w:rPr>
                <w:noProof/>
                <w:sz w:val="20"/>
              </w:rPr>
              <w:br/>
            </w:r>
            <w:r>
              <w:rPr>
                <w:b/>
                <w:noProof/>
                <w:sz w:val="20"/>
              </w:rPr>
              <w:t>shēmas 1.A KATEGORIJAS “Administratīvie izdevumi”</w:t>
            </w:r>
            <w:r>
              <w:rPr>
                <w:noProof/>
                <w:sz w:val="20"/>
              </w:rPr>
              <w:br/>
              <w:t>apropriācijas</w:t>
            </w:r>
            <w:r>
              <w:rPr>
                <w:b/>
                <w:noProof/>
                <w:sz w:val="20"/>
              </w:rPr>
              <w:t xml:space="preserve"> </w:t>
            </w:r>
          </w:p>
        </w:tc>
        <w:tc>
          <w:tcPr>
            <w:tcW w:w="2094" w:type="dxa"/>
            <w:vAlign w:val="center"/>
          </w:tcPr>
          <w:p>
            <w:pPr>
              <w:rPr>
                <w:noProof/>
                <w:sz w:val="20"/>
              </w:rPr>
            </w:pPr>
            <w:r>
              <w:rPr>
                <w:noProof/>
                <w:sz w:val="20"/>
              </w:rPr>
              <w:t>(Saistību summa = maksājumu summa)</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r>
        <w:rPr>
          <w:noProof/>
          <w:sz w:val="20"/>
        </w:rPr>
        <w:t xml:space="preserve">                                                                                           EUR miljonos (trīs zīmes aiz komata)</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934"/>
        <w:gridCol w:w="1134"/>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gads</w:t>
            </w:r>
            <w:r>
              <w:rPr>
                <w:noProof/>
                <w:sz w:val="20"/>
              </w:rPr>
              <w:br/>
            </w:r>
            <w:r>
              <w:rPr>
                <w:b/>
                <w:noProof/>
                <w:sz w:val="20"/>
              </w:rPr>
              <w:t>2018</w:t>
            </w:r>
            <w:r>
              <w:rPr>
                <w:rStyle w:val="FootnoteReference"/>
                <w:noProof/>
              </w:rPr>
              <w:footnoteReference w:id="19"/>
            </w:r>
          </w:p>
        </w:tc>
        <w:tc>
          <w:tcPr>
            <w:tcW w:w="868" w:type="dxa"/>
            <w:vAlign w:val="center"/>
          </w:tcPr>
          <w:p>
            <w:pPr>
              <w:rPr>
                <w:noProof/>
                <w:sz w:val="20"/>
              </w:rPr>
            </w:pPr>
            <w:r>
              <w:rPr>
                <w:noProof/>
                <w:sz w:val="20"/>
              </w:rPr>
              <w:t>gads</w:t>
            </w:r>
            <w:r>
              <w:rPr>
                <w:noProof/>
                <w:sz w:val="20"/>
              </w:rPr>
              <w:br/>
            </w:r>
            <w:r>
              <w:rPr>
                <w:b/>
                <w:noProof/>
                <w:sz w:val="20"/>
              </w:rPr>
              <w:t>2019</w:t>
            </w:r>
          </w:p>
        </w:tc>
        <w:tc>
          <w:tcPr>
            <w:tcW w:w="934" w:type="dxa"/>
            <w:vAlign w:val="center"/>
          </w:tcPr>
          <w:p>
            <w:pPr>
              <w:rPr>
                <w:noProof/>
                <w:sz w:val="20"/>
              </w:rPr>
            </w:pPr>
            <w:r>
              <w:rPr>
                <w:noProof/>
                <w:sz w:val="20"/>
              </w:rPr>
              <w:t>gads</w:t>
            </w:r>
            <w:r>
              <w:rPr>
                <w:noProof/>
                <w:sz w:val="20"/>
              </w:rPr>
              <w:br/>
            </w:r>
            <w:r>
              <w:rPr>
                <w:b/>
                <w:noProof/>
                <w:sz w:val="20"/>
              </w:rPr>
              <w:t>2020</w:t>
            </w:r>
          </w:p>
        </w:tc>
        <w:tc>
          <w:tcPr>
            <w:tcW w:w="1134" w:type="dxa"/>
            <w:vAlign w:val="center"/>
          </w:tcPr>
          <w:p>
            <w:pPr>
              <w:rPr>
                <w:noProof/>
                <w:sz w:val="20"/>
              </w:rPr>
            </w:pPr>
            <w:r>
              <w:rPr>
                <w:noProof/>
                <w:sz w:val="20"/>
              </w:rPr>
              <w:t>gads</w:t>
            </w:r>
            <w:r>
              <w:rPr>
                <w:noProof/>
                <w:sz w:val="20"/>
              </w:rPr>
              <w:br/>
            </w:r>
            <w:r>
              <w:rPr>
                <w:b/>
                <w:noProof/>
                <w:sz w:val="20"/>
              </w:rPr>
              <w:t>2021-2029</w:t>
            </w:r>
          </w:p>
        </w:tc>
        <w:tc>
          <w:tcPr>
            <w:tcW w:w="1445" w:type="dxa"/>
            <w:vAlign w:val="center"/>
          </w:tcPr>
          <w:p>
            <w:pPr>
              <w:rPr>
                <w:b/>
                <w:noProof/>
                <w:sz w:val="20"/>
              </w:rPr>
            </w:pPr>
            <w:r>
              <w:rPr>
                <w:b/>
                <w:noProof/>
                <w:sz w:val="20"/>
              </w:rPr>
              <w:t>KOPĀ</w:t>
            </w:r>
          </w:p>
        </w:tc>
      </w:tr>
      <w:tr>
        <w:trPr>
          <w:jc w:val="center"/>
        </w:trPr>
        <w:tc>
          <w:tcPr>
            <w:tcW w:w="3960" w:type="dxa"/>
            <w:vMerge w:val="restart"/>
            <w:shd w:val="clear" w:color="auto" w:fill="C0C0C0"/>
            <w:vAlign w:val="center"/>
          </w:tcPr>
          <w:p>
            <w:pPr>
              <w:rPr>
                <w:b/>
                <w:noProof/>
                <w:sz w:val="20"/>
              </w:rPr>
            </w:pPr>
            <w:r>
              <w:rPr>
                <w:b/>
                <w:noProof/>
                <w:sz w:val="20"/>
              </w:rPr>
              <w:t>KOPĀ — Daudzgadu finanšu shēmas</w:t>
            </w:r>
            <w:r>
              <w:rPr>
                <w:noProof/>
                <w:sz w:val="20"/>
              </w:rPr>
              <w:br/>
            </w:r>
            <w:r>
              <w:rPr>
                <w:b/>
                <w:noProof/>
                <w:sz w:val="20"/>
              </w:rPr>
              <w:t>1. līdz 5. IZDEVUMU KATEGORIJAS</w:t>
            </w:r>
            <w:r>
              <w:rPr>
                <w:noProof/>
                <w:sz w:val="20"/>
              </w:rPr>
              <w:br/>
              <w:t>apropriācijas</w:t>
            </w:r>
            <w:r>
              <w:rPr>
                <w:b/>
                <w:noProof/>
                <w:sz w:val="20"/>
              </w:rPr>
              <w:t xml:space="preserve"> </w:t>
            </w:r>
          </w:p>
        </w:tc>
        <w:tc>
          <w:tcPr>
            <w:tcW w:w="2094" w:type="dxa"/>
            <w:gridSpan w:val="2"/>
            <w:vAlign w:val="center"/>
          </w:tcPr>
          <w:p>
            <w:pPr>
              <w:rPr>
                <w:noProof/>
                <w:sz w:val="20"/>
              </w:rPr>
            </w:pPr>
            <w:r>
              <w:rPr>
                <w:noProof/>
                <w:sz w:val="20"/>
              </w:rPr>
              <w:t>Saistības</w:t>
            </w:r>
          </w:p>
        </w:tc>
        <w:tc>
          <w:tcPr>
            <w:tcW w:w="868" w:type="dxa"/>
            <w:vAlign w:val="center"/>
          </w:tcPr>
          <w:p>
            <w:pPr>
              <w:rPr>
                <w:noProof/>
                <w:sz w:val="20"/>
              </w:rPr>
            </w:pPr>
            <w:r>
              <w:rPr>
                <w:noProof/>
                <w:sz w:val="20"/>
              </w:rPr>
              <w:t>20 222</w:t>
            </w:r>
          </w:p>
        </w:tc>
        <w:tc>
          <w:tcPr>
            <w:tcW w:w="868" w:type="dxa"/>
            <w:vAlign w:val="center"/>
          </w:tcPr>
          <w:p>
            <w:pPr>
              <w:rPr>
                <w:noProof/>
                <w:sz w:val="20"/>
              </w:rPr>
            </w:pPr>
            <w:r>
              <w:rPr>
                <w:noProof/>
                <w:sz w:val="20"/>
              </w:rPr>
              <w:t>20 226</w:t>
            </w:r>
          </w:p>
        </w:tc>
        <w:tc>
          <w:tcPr>
            <w:tcW w:w="934" w:type="dxa"/>
            <w:vAlign w:val="center"/>
          </w:tcPr>
          <w:p>
            <w:pPr>
              <w:rPr>
                <w:noProof/>
                <w:sz w:val="20"/>
              </w:rPr>
            </w:pPr>
            <w:r>
              <w:rPr>
                <w:noProof/>
                <w:sz w:val="20"/>
              </w:rPr>
              <w:t>160 230</w:t>
            </w:r>
          </w:p>
        </w:tc>
        <w:tc>
          <w:tcPr>
            <w:tcW w:w="1134" w:type="dxa"/>
            <w:vAlign w:val="center"/>
          </w:tcPr>
          <w:p>
            <w:pPr>
              <w:rPr>
                <w:noProof/>
                <w:sz w:val="20"/>
              </w:rPr>
            </w:pPr>
          </w:p>
        </w:tc>
        <w:tc>
          <w:tcPr>
            <w:tcW w:w="1445" w:type="dxa"/>
            <w:vAlign w:val="center"/>
          </w:tcPr>
          <w:p>
            <w:pPr>
              <w:rPr>
                <w:b/>
                <w:noProof/>
                <w:sz w:val="20"/>
              </w:rPr>
            </w:pPr>
            <w:r>
              <w:rPr>
                <w:b/>
                <w:noProof/>
                <w:sz w:val="20"/>
              </w:rPr>
              <w:t>200,678</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20"/>
              </w:rPr>
            </w:pPr>
            <w:r>
              <w:rPr>
                <w:noProof/>
                <w:sz w:val="20"/>
              </w:rPr>
              <w:t>Maksājumi</w:t>
            </w:r>
          </w:p>
        </w:tc>
        <w:tc>
          <w:tcPr>
            <w:tcW w:w="868" w:type="dxa"/>
            <w:vAlign w:val="center"/>
          </w:tcPr>
          <w:p>
            <w:pPr>
              <w:rPr>
                <w:noProof/>
                <w:sz w:val="20"/>
              </w:rPr>
            </w:pPr>
            <w:r>
              <w:rPr>
                <w:noProof/>
                <w:sz w:val="20"/>
              </w:rPr>
              <w:t>4 222</w:t>
            </w:r>
          </w:p>
        </w:tc>
        <w:tc>
          <w:tcPr>
            <w:tcW w:w="868" w:type="dxa"/>
            <w:vAlign w:val="center"/>
          </w:tcPr>
          <w:p>
            <w:pPr>
              <w:rPr>
                <w:noProof/>
                <w:sz w:val="20"/>
              </w:rPr>
            </w:pPr>
            <w:r>
              <w:rPr>
                <w:noProof/>
                <w:sz w:val="20"/>
              </w:rPr>
              <w:t>10 226</w:t>
            </w:r>
          </w:p>
        </w:tc>
        <w:tc>
          <w:tcPr>
            <w:tcW w:w="934" w:type="dxa"/>
            <w:vAlign w:val="center"/>
          </w:tcPr>
          <w:p>
            <w:pPr>
              <w:rPr>
                <w:noProof/>
                <w:sz w:val="20"/>
              </w:rPr>
            </w:pPr>
            <w:r>
              <w:rPr>
                <w:noProof/>
                <w:sz w:val="20"/>
              </w:rPr>
              <w:t>10 230</w:t>
            </w:r>
          </w:p>
        </w:tc>
        <w:tc>
          <w:tcPr>
            <w:tcW w:w="1134" w:type="dxa"/>
            <w:vAlign w:val="center"/>
          </w:tcPr>
          <w:p>
            <w:pPr>
              <w:rPr>
                <w:noProof/>
                <w:sz w:val="20"/>
              </w:rPr>
            </w:pPr>
            <w:r>
              <w:rPr>
                <w:noProof/>
                <w:sz w:val="20"/>
              </w:rPr>
              <w:t>176 000</w:t>
            </w:r>
          </w:p>
        </w:tc>
        <w:tc>
          <w:tcPr>
            <w:tcW w:w="1445" w:type="dxa"/>
            <w:vAlign w:val="center"/>
          </w:tcPr>
          <w:p>
            <w:pPr>
              <w:rPr>
                <w:b/>
                <w:noProof/>
                <w:sz w:val="20"/>
              </w:rPr>
            </w:pPr>
            <w:r>
              <w:rPr>
                <w:b/>
                <w:noProof/>
                <w:sz w:val="20"/>
              </w:rPr>
              <w:t>200 678</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Paredzamā ietekme uz darbības apropriācijām </w:t>
      </w:r>
    </w:p>
    <w:p>
      <w:pPr>
        <w:pStyle w:val="ListDash1"/>
        <w:rPr>
          <w:noProof/>
        </w:rPr>
      </w:pPr>
      <w:r>
        <w:rPr>
          <w:noProof/>
        </w:rPr>
        <w:sym w:font="Wingdings" w:char="F0A8"/>
      </w:r>
      <w:r>
        <w:rPr>
          <w:noProof/>
        </w:rPr>
        <w:tab/>
        <w:t xml:space="preserve">Priekšlikums/iniciatīva neparedz izmantot darbības apropriācijas </w:t>
      </w:r>
    </w:p>
    <w:p>
      <w:pPr>
        <w:pStyle w:val="ListDash1"/>
        <w:rPr>
          <w:noProof/>
        </w:rPr>
      </w:pPr>
      <w:r>
        <w:rPr>
          <w:noProof/>
        </w:rPr>
        <w:sym w:font="Wingdings" w:char="F0FD"/>
      </w:r>
      <w:r>
        <w:rPr>
          <w:noProof/>
        </w:rPr>
        <w:tab/>
        <w:t>Priekšlikums/iniciatīva paredz darbības apropriācijas izmantot šādā veidā:</w:t>
      </w:r>
    </w:p>
    <w:p>
      <w:pPr>
        <w:jc w:val="right"/>
        <w:rPr>
          <w:b/>
          <w:noProof/>
          <w:sz w:val="18"/>
        </w:rPr>
      </w:pPr>
      <w:r>
        <w:rPr>
          <w:noProof/>
          <w:sz w:val="20"/>
        </w:rPr>
        <w:t xml:space="preserve">Saistību apropriācijas EUR miljonos (trīs zīmes aiz komata)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134"/>
        <w:gridCol w:w="441"/>
        <w:gridCol w:w="410"/>
        <w:gridCol w:w="850"/>
        <w:gridCol w:w="426"/>
        <w:gridCol w:w="850"/>
        <w:gridCol w:w="425"/>
        <w:gridCol w:w="851"/>
        <w:gridCol w:w="425"/>
        <w:gridCol w:w="851"/>
        <w:gridCol w:w="567"/>
        <w:gridCol w:w="850"/>
        <w:gridCol w:w="425"/>
        <w:gridCol w:w="851"/>
        <w:gridCol w:w="425"/>
        <w:gridCol w:w="851"/>
        <w:gridCol w:w="708"/>
        <w:gridCol w:w="993"/>
        <w:gridCol w:w="906"/>
        <w:gridCol w:w="900"/>
      </w:tblGrid>
      <w:tr>
        <w:trPr>
          <w:gridAfter w:val="2"/>
          <w:wAfter w:w="1806" w:type="dxa"/>
        </w:trPr>
        <w:tc>
          <w:tcPr>
            <w:tcW w:w="1269" w:type="dxa"/>
            <w:vMerge w:val="restart"/>
            <w:vAlign w:val="center"/>
          </w:tcPr>
          <w:p>
            <w:pPr>
              <w:jc w:val="right"/>
              <w:rPr>
                <w:b/>
                <w:noProof/>
                <w:sz w:val="18"/>
              </w:rPr>
            </w:pPr>
            <w:r>
              <w:rPr>
                <w:b/>
                <w:noProof/>
                <w:sz w:val="18"/>
              </w:rPr>
              <w:t xml:space="preserve">Norādīt mērķus un rezultātus </w:t>
            </w:r>
          </w:p>
          <w:p>
            <w:pPr>
              <w:jc w:val="right"/>
              <w:rPr>
                <w:b/>
                <w:noProof/>
                <w:sz w:val="18"/>
              </w:rPr>
            </w:pPr>
          </w:p>
          <w:p>
            <w:pPr>
              <w:jc w:val="right"/>
              <w:rPr>
                <w:b/>
                <w:noProof/>
                <w:sz w:val="18"/>
              </w:rPr>
            </w:pPr>
            <w:r>
              <w:rPr>
                <w:b/>
                <w:noProof/>
                <w:sz w:val="18"/>
              </w:rPr>
              <w:sym w:font="Wingdings" w:char="F0F2"/>
            </w:r>
          </w:p>
        </w:tc>
        <w:tc>
          <w:tcPr>
            <w:tcW w:w="1134" w:type="dxa"/>
            <w:vAlign w:val="center"/>
          </w:tcPr>
          <w:p>
            <w:pPr>
              <w:jc w:val="right"/>
              <w:rPr>
                <w:b/>
                <w:noProof/>
                <w:sz w:val="18"/>
              </w:rPr>
            </w:pPr>
          </w:p>
        </w:tc>
        <w:tc>
          <w:tcPr>
            <w:tcW w:w="441" w:type="dxa"/>
            <w:vAlign w:val="center"/>
          </w:tcPr>
          <w:p>
            <w:pPr>
              <w:jc w:val="right"/>
              <w:rPr>
                <w:b/>
                <w:noProof/>
                <w:sz w:val="18"/>
              </w:rPr>
            </w:pPr>
          </w:p>
        </w:tc>
        <w:tc>
          <w:tcPr>
            <w:tcW w:w="1260" w:type="dxa"/>
            <w:gridSpan w:val="2"/>
            <w:tcBorders>
              <w:left w:val="nil"/>
            </w:tcBorders>
            <w:vAlign w:val="center"/>
          </w:tcPr>
          <w:p>
            <w:pPr>
              <w:jc w:val="right"/>
              <w:rPr>
                <w:b/>
                <w:noProof/>
                <w:sz w:val="18"/>
              </w:rPr>
            </w:pPr>
            <w:r>
              <w:rPr>
                <w:b/>
                <w:noProof/>
                <w:sz w:val="18"/>
              </w:rPr>
              <w:t>gads</w:t>
            </w:r>
            <w:r>
              <w:rPr>
                <w:b/>
                <w:noProof/>
                <w:sz w:val="18"/>
              </w:rPr>
              <w:br/>
              <w:t>2019</w:t>
            </w:r>
          </w:p>
        </w:tc>
        <w:tc>
          <w:tcPr>
            <w:tcW w:w="1276" w:type="dxa"/>
            <w:gridSpan w:val="2"/>
            <w:vAlign w:val="center"/>
          </w:tcPr>
          <w:p>
            <w:pPr>
              <w:jc w:val="right"/>
              <w:rPr>
                <w:b/>
                <w:noProof/>
                <w:sz w:val="18"/>
              </w:rPr>
            </w:pPr>
            <w:r>
              <w:rPr>
                <w:b/>
                <w:noProof/>
                <w:sz w:val="18"/>
              </w:rPr>
              <w:t>gads</w:t>
            </w:r>
            <w:r>
              <w:rPr>
                <w:b/>
                <w:noProof/>
                <w:sz w:val="18"/>
              </w:rPr>
              <w:br/>
              <w:t>2020</w:t>
            </w:r>
          </w:p>
        </w:tc>
        <w:tc>
          <w:tcPr>
            <w:tcW w:w="1276" w:type="dxa"/>
            <w:gridSpan w:val="2"/>
            <w:vAlign w:val="center"/>
          </w:tcPr>
          <w:p>
            <w:pPr>
              <w:jc w:val="right"/>
              <w:rPr>
                <w:b/>
                <w:noProof/>
                <w:sz w:val="18"/>
              </w:rPr>
            </w:pPr>
            <w:r>
              <w:rPr>
                <w:b/>
                <w:noProof/>
                <w:sz w:val="18"/>
              </w:rPr>
              <w:t>gads</w:t>
            </w:r>
            <w:r>
              <w:rPr>
                <w:b/>
                <w:noProof/>
                <w:sz w:val="18"/>
              </w:rPr>
              <w:br/>
              <w:t>2021</w:t>
            </w:r>
          </w:p>
        </w:tc>
        <w:tc>
          <w:tcPr>
            <w:tcW w:w="1276" w:type="dxa"/>
            <w:gridSpan w:val="2"/>
            <w:vAlign w:val="center"/>
          </w:tcPr>
          <w:p>
            <w:pPr>
              <w:jc w:val="right"/>
              <w:rPr>
                <w:b/>
                <w:noProof/>
                <w:sz w:val="18"/>
              </w:rPr>
            </w:pPr>
            <w:r>
              <w:rPr>
                <w:b/>
                <w:noProof/>
                <w:sz w:val="18"/>
              </w:rPr>
              <w:t>gads</w:t>
            </w:r>
            <w:r>
              <w:rPr>
                <w:b/>
                <w:noProof/>
                <w:sz w:val="18"/>
              </w:rPr>
              <w:br/>
              <w:t>2022</w:t>
            </w:r>
          </w:p>
        </w:tc>
        <w:tc>
          <w:tcPr>
            <w:tcW w:w="1417" w:type="dxa"/>
            <w:gridSpan w:val="2"/>
            <w:vAlign w:val="center"/>
          </w:tcPr>
          <w:p>
            <w:pPr>
              <w:jc w:val="right"/>
              <w:rPr>
                <w:b/>
                <w:noProof/>
                <w:sz w:val="18"/>
              </w:rPr>
            </w:pPr>
            <w:r>
              <w:rPr>
                <w:b/>
                <w:noProof/>
                <w:sz w:val="18"/>
              </w:rPr>
              <w:t>gads</w:t>
            </w:r>
            <w:r>
              <w:rPr>
                <w:b/>
                <w:noProof/>
                <w:sz w:val="18"/>
              </w:rPr>
              <w:br/>
              <w:t>2023</w:t>
            </w:r>
          </w:p>
        </w:tc>
        <w:tc>
          <w:tcPr>
            <w:tcW w:w="1276" w:type="dxa"/>
            <w:gridSpan w:val="2"/>
            <w:vAlign w:val="center"/>
          </w:tcPr>
          <w:p>
            <w:pPr>
              <w:jc w:val="right"/>
              <w:rPr>
                <w:b/>
                <w:noProof/>
                <w:sz w:val="18"/>
              </w:rPr>
            </w:pPr>
            <w:r>
              <w:rPr>
                <w:b/>
                <w:noProof/>
                <w:sz w:val="18"/>
              </w:rPr>
              <w:t>gads</w:t>
            </w:r>
            <w:r>
              <w:rPr>
                <w:b/>
                <w:noProof/>
                <w:sz w:val="18"/>
              </w:rPr>
              <w:br/>
              <w:t>2024</w:t>
            </w:r>
          </w:p>
        </w:tc>
        <w:tc>
          <w:tcPr>
            <w:tcW w:w="1276" w:type="dxa"/>
            <w:gridSpan w:val="2"/>
            <w:vAlign w:val="center"/>
          </w:tcPr>
          <w:p>
            <w:pPr>
              <w:jc w:val="right"/>
              <w:rPr>
                <w:b/>
                <w:noProof/>
                <w:sz w:val="18"/>
              </w:rPr>
            </w:pPr>
            <w:r>
              <w:rPr>
                <w:b/>
                <w:noProof/>
                <w:sz w:val="18"/>
              </w:rPr>
              <w:t>gads</w:t>
            </w:r>
            <w:r>
              <w:rPr>
                <w:b/>
                <w:noProof/>
                <w:sz w:val="18"/>
              </w:rPr>
              <w:br/>
              <w:t>2025</w:t>
            </w:r>
          </w:p>
        </w:tc>
        <w:tc>
          <w:tcPr>
            <w:tcW w:w="1701" w:type="dxa"/>
            <w:gridSpan w:val="2"/>
            <w:tcBorders>
              <w:left w:val="nil"/>
              <w:bottom w:val="nil"/>
            </w:tcBorders>
            <w:vAlign w:val="center"/>
          </w:tcPr>
          <w:p>
            <w:pPr>
              <w:jc w:val="right"/>
              <w:rPr>
                <w:b/>
                <w:noProof/>
                <w:sz w:val="18"/>
              </w:rPr>
            </w:pPr>
            <w:r>
              <w:rPr>
                <w:b/>
                <w:noProof/>
                <w:sz w:val="18"/>
              </w:rPr>
              <w:t>KOPĀ</w:t>
            </w:r>
          </w:p>
        </w:tc>
      </w:tr>
      <w:tr>
        <w:trPr>
          <w:gridAfter w:val="2"/>
          <w:wAfter w:w="1806" w:type="dxa"/>
        </w:trPr>
        <w:tc>
          <w:tcPr>
            <w:tcW w:w="1269" w:type="dxa"/>
            <w:vMerge/>
            <w:vAlign w:val="center"/>
          </w:tcPr>
          <w:p>
            <w:pPr>
              <w:jc w:val="right"/>
              <w:rPr>
                <w:b/>
                <w:noProof/>
                <w:sz w:val="18"/>
              </w:rPr>
            </w:pPr>
          </w:p>
        </w:tc>
        <w:tc>
          <w:tcPr>
            <w:tcW w:w="12333" w:type="dxa"/>
            <w:gridSpan w:val="18"/>
            <w:vAlign w:val="center"/>
          </w:tcPr>
          <w:p>
            <w:pPr>
              <w:jc w:val="right"/>
              <w:rPr>
                <w:b/>
                <w:noProof/>
                <w:sz w:val="18"/>
              </w:rPr>
            </w:pPr>
            <w:r>
              <w:rPr>
                <w:b/>
                <w:noProof/>
                <w:sz w:val="18"/>
              </w:rPr>
              <w:t>REZULTĀTI</w:t>
            </w:r>
          </w:p>
        </w:tc>
      </w:tr>
      <w:tr>
        <w:trPr>
          <w:gridAfter w:val="2"/>
          <w:wAfter w:w="1806" w:type="dxa"/>
          <w:cantSplit/>
          <w:trHeight w:val="1134"/>
        </w:trPr>
        <w:tc>
          <w:tcPr>
            <w:tcW w:w="1269" w:type="dxa"/>
            <w:vMerge/>
            <w:vAlign w:val="center"/>
          </w:tcPr>
          <w:p>
            <w:pPr>
              <w:jc w:val="right"/>
              <w:rPr>
                <w:b/>
                <w:noProof/>
                <w:sz w:val="18"/>
              </w:rPr>
            </w:pPr>
          </w:p>
        </w:tc>
        <w:tc>
          <w:tcPr>
            <w:tcW w:w="1134" w:type="dxa"/>
            <w:vAlign w:val="center"/>
          </w:tcPr>
          <w:p>
            <w:pPr>
              <w:jc w:val="right"/>
              <w:rPr>
                <w:b/>
                <w:noProof/>
                <w:sz w:val="18"/>
              </w:rPr>
            </w:pPr>
            <w:r>
              <w:rPr>
                <w:b/>
                <w:noProof/>
                <w:sz w:val="18"/>
              </w:rPr>
              <w:t>Tips</w:t>
            </w:r>
            <w:r>
              <w:rPr>
                <w:rStyle w:val="FootnoteReference"/>
                <w:noProof/>
              </w:rPr>
              <w:footnoteReference w:id="20"/>
            </w:r>
          </w:p>
          <w:p>
            <w:pPr>
              <w:jc w:val="right"/>
              <w:rPr>
                <w:b/>
                <w:noProof/>
                <w:sz w:val="18"/>
              </w:rPr>
            </w:pPr>
          </w:p>
        </w:tc>
        <w:tc>
          <w:tcPr>
            <w:tcW w:w="441" w:type="dxa"/>
            <w:vAlign w:val="center"/>
          </w:tcPr>
          <w:p>
            <w:pPr>
              <w:jc w:val="right"/>
              <w:rPr>
                <w:b/>
                <w:noProof/>
                <w:sz w:val="18"/>
              </w:rPr>
            </w:pPr>
            <w:r>
              <w:rPr>
                <w:b/>
                <w:noProof/>
                <w:sz w:val="18"/>
              </w:rPr>
              <w:t>Rezultāta vidējās izmaksas</w:t>
            </w:r>
          </w:p>
        </w:tc>
        <w:tc>
          <w:tcPr>
            <w:tcW w:w="410" w:type="dxa"/>
            <w:tcBorders>
              <w:left w:val="nil"/>
              <w:right w:val="dashSmallGap" w:sz="4" w:space="0" w:color="auto"/>
            </w:tcBorders>
            <w:shd w:val="pct10" w:color="auto" w:fill="auto"/>
            <w:textDirection w:val="btLr"/>
            <w:vAlign w:val="center"/>
          </w:tcPr>
          <w:p>
            <w:pPr>
              <w:jc w:val="center"/>
              <w:rPr>
                <w:b/>
                <w:noProof/>
                <w:sz w:val="18"/>
              </w:rPr>
            </w:pPr>
            <w:r>
              <w:rPr>
                <w:b/>
                <w:noProof/>
                <w:sz w:val="18"/>
              </w:rPr>
              <w:t>Nē</w:t>
            </w:r>
          </w:p>
        </w:tc>
        <w:tc>
          <w:tcPr>
            <w:tcW w:w="850" w:type="dxa"/>
            <w:tcBorders>
              <w:left w:val="dashSmallGap" w:sz="4" w:space="0" w:color="auto"/>
            </w:tcBorders>
            <w:shd w:val="pct10" w:color="auto" w:fill="auto"/>
            <w:vAlign w:val="center"/>
          </w:tcPr>
          <w:p>
            <w:pPr>
              <w:jc w:val="right"/>
              <w:rPr>
                <w:b/>
                <w:noProof/>
                <w:sz w:val="18"/>
              </w:rPr>
            </w:pPr>
            <w:r>
              <w:rPr>
                <w:b/>
                <w:noProof/>
                <w:sz w:val="18"/>
              </w:rPr>
              <w:t>Izmaksas</w:t>
            </w:r>
          </w:p>
        </w:tc>
        <w:tc>
          <w:tcPr>
            <w:tcW w:w="426" w:type="dxa"/>
            <w:tcBorders>
              <w:right w:val="dashSmallGap" w:sz="4" w:space="0" w:color="auto"/>
            </w:tcBorders>
            <w:shd w:val="pct10" w:color="auto" w:fill="auto"/>
            <w:textDirection w:val="btLr"/>
            <w:vAlign w:val="center"/>
          </w:tcPr>
          <w:p>
            <w:pPr>
              <w:jc w:val="center"/>
              <w:rPr>
                <w:b/>
                <w:noProof/>
                <w:sz w:val="18"/>
              </w:rPr>
            </w:pPr>
            <w:r>
              <w:rPr>
                <w:b/>
                <w:noProof/>
                <w:sz w:val="18"/>
              </w:rPr>
              <w:t>Nē</w:t>
            </w:r>
          </w:p>
        </w:tc>
        <w:tc>
          <w:tcPr>
            <w:tcW w:w="850" w:type="dxa"/>
            <w:tcBorders>
              <w:left w:val="dashSmallGap" w:sz="4" w:space="0" w:color="auto"/>
            </w:tcBorders>
            <w:shd w:val="pct10" w:color="auto" w:fill="auto"/>
            <w:vAlign w:val="center"/>
          </w:tcPr>
          <w:p>
            <w:pPr>
              <w:jc w:val="right"/>
              <w:rPr>
                <w:b/>
                <w:noProof/>
                <w:sz w:val="18"/>
              </w:rPr>
            </w:pPr>
            <w:r>
              <w:rPr>
                <w:b/>
                <w:noProof/>
                <w:sz w:val="18"/>
              </w:rPr>
              <w:t>Izmaksas</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Nē</w:t>
            </w:r>
          </w:p>
        </w:tc>
        <w:tc>
          <w:tcPr>
            <w:tcW w:w="851" w:type="dxa"/>
            <w:tcBorders>
              <w:left w:val="dashSmallGap" w:sz="4" w:space="0" w:color="auto"/>
            </w:tcBorders>
            <w:shd w:val="pct10" w:color="auto" w:fill="auto"/>
            <w:vAlign w:val="center"/>
          </w:tcPr>
          <w:p>
            <w:pPr>
              <w:jc w:val="right"/>
              <w:rPr>
                <w:b/>
                <w:noProof/>
                <w:sz w:val="18"/>
              </w:rPr>
            </w:pPr>
            <w:r>
              <w:rPr>
                <w:b/>
                <w:noProof/>
                <w:sz w:val="18"/>
              </w:rPr>
              <w:t>Izmaksas</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Nē</w:t>
            </w:r>
          </w:p>
        </w:tc>
        <w:tc>
          <w:tcPr>
            <w:tcW w:w="851" w:type="dxa"/>
            <w:tcBorders>
              <w:left w:val="dashSmallGap" w:sz="4" w:space="0" w:color="auto"/>
            </w:tcBorders>
            <w:shd w:val="pct10" w:color="auto" w:fill="auto"/>
            <w:vAlign w:val="center"/>
          </w:tcPr>
          <w:p>
            <w:pPr>
              <w:jc w:val="right"/>
              <w:rPr>
                <w:b/>
                <w:noProof/>
                <w:sz w:val="18"/>
              </w:rPr>
            </w:pPr>
            <w:r>
              <w:rPr>
                <w:b/>
                <w:noProof/>
                <w:sz w:val="18"/>
              </w:rPr>
              <w:t>Izmaksas</w:t>
            </w:r>
          </w:p>
        </w:tc>
        <w:tc>
          <w:tcPr>
            <w:tcW w:w="567" w:type="dxa"/>
            <w:tcBorders>
              <w:right w:val="dashSmallGap" w:sz="4" w:space="0" w:color="auto"/>
            </w:tcBorders>
            <w:shd w:val="pct10" w:color="auto" w:fill="auto"/>
            <w:textDirection w:val="btLr"/>
            <w:vAlign w:val="center"/>
          </w:tcPr>
          <w:p>
            <w:pPr>
              <w:jc w:val="center"/>
              <w:rPr>
                <w:b/>
                <w:noProof/>
                <w:sz w:val="18"/>
              </w:rPr>
            </w:pPr>
            <w:r>
              <w:rPr>
                <w:b/>
                <w:noProof/>
                <w:sz w:val="18"/>
              </w:rPr>
              <w:t>Nē</w:t>
            </w:r>
          </w:p>
        </w:tc>
        <w:tc>
          <w:tcPr>
            <w:tcW w:w="850" w:type="dxa"/>
            <w:tcBorders>
              <w:left w:val="dashSmallGap" w:sz="4" w:space="0" w:color="auto"/>
            </w:tcBorders>
            <w:shd w:val="pct10" w:color="auto" w:fill="auto"/>
            <w:vAlign w:val="center"/>
          </w:tcPr>
          <w:p>
            <w:pPr>
              <w:jc w:val="right"/>
              <w:rPr>
                <w:b/>
                <w:noProof/>
                <w:sz w:val="18"/>
              </w:rPr>
            </w:pPr>
            <w:r>
              <w:rPr>
                <w:b/>
                <w:noProof/>
                <w:sz w:val="18"/>
              </w:rPr>
              <w:t>Izmaksas</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Nē</w:t>
            </w:r>
          </w:p>
        </w:tc>
        <w:tc>
          <w:tcPr>
            <w:tcW w:w="851" w:type="dxa"/>
            <w:tcBorders>
              <w:left w:val="dashSmallGap" w:sz="4" w:space="0" w:color="auto"/>
            </w:tcBorders>
            <w:shd w:val="pct10" w:color="auto" w:fill="auto"/>
            <w:vAlign w:val="center"/>
          </w:tcPr>
          <w:p>
            <w:pPr>
              <w:jc w:val="right"/>
              <w:rPr>
                <w:b/>
                <w:noProof/>
                <w:sz w:val="18"/>
              </w:rPr>
            </w:pPr>
            <w:r>
              <w:rPr>
                <w:b/>
                <w:noProof/>
                <w:sz w:val="18"/>
              </w:rPr>
              <w:t>Izmaksas</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Nē</w:t>
            </w:r>
          </w:p>
        </w:tc>
        <w:tc>
          <w:tcPr>
            <w:tcW w:w="851" w:type="dxa"/>
            <w:tcBorders>
              <w:left w:val="dashSmallGap" w:sz="4" w:space="0" w:color="auto"/>
            </w:tcBorders>
            <w:shd w:val="pct10" w:color="auto" w:fill="auto"/>
            <w:vAlign w:val="center"/>
          </w:tcPr>
          <w:p>
            <w:pPr>
              <w:jc w:val="right"/>
              <w:rPr>
                <w:b/>
                <w:noProof/>
                <w:sz w:val="18"/>
              </w:rPr>
            </w:pPr>
            <w:r>
              <w:rPr>
                <w:b/>
                <w:noProof/>
                <w:sz w:val="18"/>
              </w:rPr>
              <w:t>Izmaksas</w:t>
            </w:r>
          </w:p>
        </w:tc>
        <w:tc>
          <w:tcPr>
            <w:tcW w:w="708" w:type="dxa"/>
            <w:tcBorders>
              <w:right w:val="dashSmallGap" w:sz="4" w:space="0" w:color="auto"/>
            </w:tcBorders>
            <w:shd w:val="pct10" w:color="auto" w:fill="auto"/>
            <w:textDirection w:val="btLr"/>
            <w:vAlign w:val="center"/>
          </w:tcPr>
          <w:p>
            <w:pPr>
              <w:jc w:val="right"/>
              <w:rPr>
                <w:b/>
                <w:noProof/>
                <w:sz w:val="18"/>
              </w:rPr>
            </w:pPr>
            <w:r>
              <w:rPr>
                <w:b/>
                <w:noProof/>
                <w:sz w:val="18"/>
              </w:rPr>
              <w:t>Kopējais rezultātu daudzums</w:t>
            </w:r>
          </w:p>
        </w:tc>
        <w:tc>
          <w:tcPr>
            <w:tcW w:w="993" w:type="dxa"/>
            <w:tcBorders>
              <w:left w:val="dashSmallGap" w:sz="4" w:space="0" w:color="auto"/>
            </w:tcBorders>
            <w:shd w:val="pct10" w:color="auto" w:fill="auto"/>
            <w:vAlign w:val="center"/>
          </w:tcPr>
          <w:p>
            <w:pPr>
              <w:jc w:val="right"/>
              <w:rPr>
                <w:b/>
                <w:noProof/>
                <w:sz w:val="18"/>
              </w:rPr>
            </w:pPr>
            <w:r>
              <w:rPr>
                <w:b/>
                <w:noProof/>
                <w:sz w:val="18"/>
              </w:rPr>
              <w:t>Kopējās izmaksas</w:t>
            </w:r>
          </w:p>
        </w:tc>
      </w:tr>
      <w:tr>
        <w:tc>
          <w:tcPr>
            <w:tcW w:w="2844" w:type="dxa"/>
            <w:gridSpan w:val="3"/>
            <w:vAlign w:val="center"/>
          </w:tcPr>
          <w:p>
            <w:pPr>
              <w:jc w:val="right"/>
              <w:rPr>
                <w:b/>
                <w:noProof/>
                <w:sz w:val="18"/>
              </w:rPr>
            </w:pPr>
            <w:r>
              <w:rPr>
                <w:b/>
                <w:noProof/>
                <w:sz w:val="18"/>
              </w:rPr>
              <w:t>KONKRĒTAIS MĒRĶIS Nr. 1</w:t>
            </w:r>
            <w:r>
              <w:rPr>
                <w:rStyle w:val="FootnoteReference"/>
                <w:noProof/>
              </w:rPr>
              <w:footnoteReference w:id="21"/>
            </w:r>
            <w:r>
              <w:rPr>
                <w:b/>
                <w:noProof/>
                <w:sz w:val="18"/>
              </w:rPr>
              <w:t>…</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797"/>
        </w:trPr>
        <w:tc>
          <w:tcPr>
            <w:tcW w:w="1269" w:type="dxa"/>
          </w:tcPr>
          <w:p>
            <w:pPr>
              <w:jc w:val="right"/>
              <w:rPr>
                <w:b/>
                <w:noProof/>
                <w:sz w:val="18"/>
              </w:rPr>
            </w:pPr>
            <w:r>
              <w:rPr>
                <w:b/>
                <w:noProof/>
                <w:sz w:val="18"/>
              </w:rPr>
              <w:t>- Rezultāts</w:t>
            </w:r>
          </w:p>
        </w:tc>
        <w:tc>
          <w:tcPr>
            <w:tcW w:w="1134" w:type="dxa"/>
          </w:tcPr>
          <w:p>
            <w:pPr>
              <w:jc w:val="left"/>
              <w:rPr>
                <w:b/>
                <w:noProof/>
                <w:sz w:val="18"/>
              </w:rPr>
            </w:pPr>
            <w:r>
              <w:rPr>
                <w:b/>
                <w:noProof/>
                <w:sz w:val="18"/>
              </w:rPr>
              <w:t>Demonstrēšanas/ izmēģinājuma projekti*</w:t>
            </w:r>
          </w:p>
        </w:tc>
        <w:tc>
          <w:tcPr>
            <w:tcW w:w="441" w:type="dxa"/>
          </w:tcPr>
          <w:p>
            <w:pPr>
              <w:jc w:val="right"/>
              <w:rPr>
                <w:b/>
                <w:noProof/>
                <w:sz w:val="18"/>
              </w:rPr>
            </w:pPr>
          </w:p>
        </w:tc>
        <w:tc>
          <w:tcPr>
            <w:tcW w:w="410" w:type="dxa"/>
            <w:tcBorders>
              <w:right w:val="dashSmallGap" w:sz="4" w:space="0" w:color="auto"/>
            </w:tcBorders>
          </w:tcPr>
          <w:p>
            <w:pPr>
              <w:jc w:val="right"/>
              <w:rPr>
                <w:b/>
                <w:noProof/>
                <w:sz w:val="18"/>
              </w:rPr>
            </w:pPr>
            <w:r>
              <w:rPr>
                <w:b/>
                <w:noProof/>
                <w:sz w:val="18"/>
              </w:rPr>
              <w:t>3</w:t>
            </w:r>
          </w:p>
          <w:p>
            <w:pPr>
              <w:jc w:val="right"/>
              <w:rPr>
                <w:b/>
                <w:noProof/>
                <w:sz w:val="18"/>
              </w:rPr>
            </w:pPr>
          </w:p>
        </w:tc>
        <w:tc>
          <w:tcPr>
            <w:tcW w:w="850" w:type="dxa"/>
            <w:tcBorders>
              <w:left w:val="dashSmallGap" w:sz="4" w:space="0" w:color="auto"/>
            </w:tcBorders>
          </w:tcPr>
          <w:p>
            <w:pPr>
              <w:jc w:val="right"/>
              <w:rPr>
                <w:b/>
                <w:noProof/>
                <w:sz w:val="18"/>
              </w:rPr>
            </w:pPr>
            <w:r>
              <w:rPr>
                <w:b/>
                <w:noProof/>
                <w:sz w:val="18"/>
              </w:rPr>
              <w:t>20 000</w:t>
            </w:r>
          </w:p>
        </w:tc>
        <w:tc>
          <w:tcPr>
            <w:tcW w:w="426" w:type="dxa"/>
            <w:tcBorders>
              <w:right w:val="dashSmallGap" w:sz="4" w:space="0" w:color="auto"/>
            </w:tcBorders>
          </w:tcPr>
          <w:p>
            <w:pPr>
              <w:jc w:val="right"/>
              <w:rPr>
                <w:b/>
                <w:noProof/>
                <w:sz w:val="18"/>
              </w:rPr>
            </w:pPr>
            <w:r>
              <w:rPr>
                <w:b/>
                <w:noProof/>
                <w:sz w:val="18"/>
              </w:rPr>
              <w:t>3</w:t>
            </w:r>
          </w:p>
        </w:tc>
        <w:tc>
          <w:tcPr>
            <w:tcW w:w="850" w:type="dxa"/>
            <w:tcBorders>
              <w:left w:val="dashSmallGap" w:sz="4" w:space="0" w:color="auto"/>
            </w:tcBorders>
          </w:tcPr>
          <w:p>
            <w:pPr>
              <w:jc w:val="right"/>
              <w:rPr>
                <w:b/>
                <w:noProof/>
                <w:sz w:val="18"/>
              </w:rPr>
            </w:pPr>
            <w:r>
              <w:rPr>
                <w:b/>
                <w:noProof/>
                <w:sz w:val="18"/>
              </w:rPr>
              <w:t>20 000</w:t>
            </w:r>
          </w:p>
        </w:tc>
        <w:tc>
          <w:tcPr>
            <w:tcW w:w="425" w:type="dxa"/>
            <w:tcBorders>
              <w:right w:val="dashSmallGap" w:sz="4" w:space="0" w:color="auto"/>
            </w:tcBorders>
          </w:tcPr>
          <w:p>
            <w:pPr>
              <w:jc w:val="right"/>
              <w:rPr>
                <w:b/>
                <w:noProof/>
                <w:sz w:val="18"/>
              </w:rPr>
            </w:pPr>
            <w:r>
              <w:rPr>
                <w:b/>
                <w:noProof/>
                <w:sz w:val="18"/>
              </w:rPr>
              <w:t>3</w:t>
            </w:r>
          </w:p>
        </w:tc>
        <w:tc>
          <w:tcPr>
            <w:tcW w:w="851" w:type="dxa"/>
            <w:tcBorders>
              <w:left w:val="dashSmallGap" w:sz="4" w:space="0" w:color="auto"/>
            </w:tcBorders>
          </w:tcPr>
          <w:p>
            <w:pPr>
              <w:jc w:val="right"/>
              <w:rPr>
                <w:b/>
                <w:noProof/>
                <w:sz w:val="18"/>
              </w:rPr>
            </w:pPr>
            <w:r>
              <w:rPr>
                <w:b/>
                <w:noProof/>
                <w:sz w:val="18"/>
              </w:rPr>
              <w:t>20 000</w:t>
            </w:r>
          </w:p>
        </w:tc>
        <w:tc>
          <w:tcPr>
            <w:tcW w:w="425" w:type="dxa"/>
            <w:tcBorders>
              <w:right w:val="dashSmallGap" w:sz="4" w:space="0" w:color="auto"/>
            </w:tcBorders>
          </w:tcPr>
          <w:p>
            <w:pPr>
              <w:jc w:val="right"/>
              <w:rPr>
                <w:b/>
                <w:noProof/>
                <w:sz w:val="18"/>
              </w:rPr>
            </w:pPr>
            <w:r>
              <w:rPr>
                <w:b/>
                <w:noProof/>
                <w:sz w:val="18"/>
              </w:rPr>
              <w:t>4</w:t>
            </w:r>
          </w:p>
        </w:tc>
        <w:tc>
          <w:tcPr>
            <w:tcW w:w="851" w:type="dxa"/>
            <w:tcBorders>
              <w:left w:val="dashSmallGap" w:sz="4" w:space="0" w:color="auto"/>
            </w:tcBorders>
          </w:tcPr>
          <w:p>
            <w:pPr>
              <w:jc w:val="right"/>
              <w:rPr>
                <w:b/>
                <w:noProof/>
                <w:sz w:val="18"/>
              </w:rPr>
            </w:pPr>
            <w:r>
              <w:rPr>
                <w:b/>
                <w:noProof/>
                <w:sz w:val="18"/>
              </w:rPr>
              <w:t>30 000</w:t>
            </w:r>
          </w:p>
        </w:tc>
        <w:tc>
          <w:tcPr>
            <w:tcW w:w="567" w:type="dxa"/>
            <w:tcBorders>
              <w:right w:val="dashSmallGap" w:sz="4" w:space="0" w:color="auto"/>
            </w:tcBorders>
          </w:tcPr>
          <w:p>
            <w:pPr>
              <w:jc w:val="right"/>
              <w:rPr>
                <w:b/>
                <w:noProof/>
                <w:sz w:val="18"/>
              </w:rPr>
            </w:pPr>
            <w:r>
              <w:rPr>
                <w:b/>
                <w:noProof/>
                <w:sz w:val="18"/>
              </w:rPr>
              <w:t>4</w:t>
            </w:r>
          </w:p>
        </w:tc>
        <w:tc>
          <w:tcPr>
            <w:tcW w:w="850" w:type="dxa"/>
            <w:tcBorders>
              <w:left w:val="dashSmallGap" w:sz="4" w:space="0" w:color="auto"/>
            </w:tcBorders>
          </w:tcPr>
          <w:p>
            <w:pPr>
              <w:jc w:val="right"/>
              <w:rPr>
                <w:b/>
                <w:noProof/>
                <w:sz w:val="18"/>
              </w:rPr>
            </w:pPr>
            <w:r>
              <w:rPr>
                <w:b/>
                <w:noProof/>
                <w:sz w:val="18"/>
              </w:rPr>
              <w:t>30 000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40 000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40 000</w:t>
            </w:r>
          </w:p>
        </w:tc>
        <w:tc>
          <w:tcPr>
            <w:tcW w:w="708" w:type="dxa"/>
          </w:tcPr>
          <w:p>
            <w:pPr>
              <w:jc w:val="right"/>
              <w:rPr>
                <w:b/>
                <w:noProof/>
                <w:sz w:val="18"/>
              </w:rPr>
            </w:pPr>
            <w:r>
              <w:rPr>
                <w:b/>
                <w:noProof/>
                <w:sz w:val="18"/>
              </w:rPr>
              <w:t>29</w:t>
            </w:r>
          </w:p>
        </w:tc>
        <w:tc>
          <w:tcPr>
            <w:tcW w:w="993" w:type="dxa"/>
          </w:tcPr>
          <w:p>
            <w:pPr>
              <w:jc w:val="right"/>
              <w:rPr>
                <w:b/>
                <w:noProof/>
                <w:sz w:val="18"/>
              </w:rPr>
            </w:pPr>
            <w:r>
              <w:rPr>
                <w:b/>
                <w:noProof/>
                <w:sz w:val="18"/>
              </w:rPr>
              <w:t>200 000</w:t>
            </w:r>
          </w:p>
        </w:tc>
      </w:tr>
      <w:tr>
        <w:tc>
          <w:tcPr>
            <w:tcW w:w="2844" w:type="dxa"/>
            <w:gridSpan w:val="3"/>
            <w:vAlign w:val="center"/>
          </w:tcPr>
          <w:p>
            <w:pPr>
              <w:jc w:val="right"/>
              <w:rPr>
                <w:b/>
                <w:noProof/>
                <w:sz w:val="18"/>
              </w:rPr>
            </w:pPr>
            <w:r>
              <w:rPr>
                <w:b/>
                <w:noProof/>
                <w:sz w:val="18"/>
              </w:rPr>
              <w:t>KONKRĒTAIS MĒRĶIS Nr. 2</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661"/>
        </w:trPr>
        <w:tc>
          <w:tcPr>
            <w:tcW w:w="1269" w:type="dxa"/>
          </w:tcPr>
          <w:p>
            <w:pPr>
              <w:jc w:val="right"/>
              <w:rPr>
                <w:b/>
                <w:noProof/>
                <w:sz w:val="18"/>
              </w:rPr>
            </w:pPr>
            <w:r>
              <w:rPr>
                <w:b/>
                <w:noProof/>
                <w:sz w:val="18"/>
              </w:rPr>
              <w:t>- Rezultāts</w:t>
            </w:r>
          </w:p>
        </w:tc>
        <w:tc>
          <w:tcPr>
            <w:tcW w:w="1134" w:type="dxa"/>
          </w:tcPr>
          <w:p>
            <w:pPr>
              <w:jc w:val="right"/>
              <w:rPr>
                <w:b/>
                <w:noProof/>
                <w:sz w:val="18"/>
              </w:rPr>
            </w:pPr>
            <w:r>
              <w:rPr>
                <w:b/>
                <w:noProof/>
                <w:sz w:val="18"/>
              </w:rPr>
              <w:t>Pētniecības un izstrādes projekti**</w:t>
            </w:r>
          </w:p>
        </w:tc>
        <w:tc>
          <w:tcPr>
            <w:tcW w:w="441" w:type="dxa"/>
          </w:tcPr>
          <w:p>
            <w:pPr>
              <w:jc w:val="right"/>
              <w:rPr>
                <w:b/>
                <w:noProof/>
                <w:sz w:val="18"/>
              </w:rPr>
            </w:pPr>
          </w:p>
        </w:tc>
        <w:tc>
          <w:tcPr>
            <w:tcW w:w="410"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20 000</w:t>
            </w:r>
          </w:p>
        </w:tc>
        <w:tc>
          <w:tcPr>
            <w:tcW w:w="426"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20 000</w:t>
            </w:r>
          </w:p>
        </w:tc>
        <w:tc>
          <w:tcPr>
            <w:tcW w:w="425" w:type="dxa"/>
            <w:vAlign w:val="center"/>
          </w:tcPr>
          <w:p>
            <w:pPr>
              <w:jc w:val="right"/>
              <w:rPr>
                <w:b/>
                <w:noProof/>
                <w:sz w:val="18"/>
              </w:rPr>
            </w:pPr>
            <w:r>
              <w:rPr>
                <w:b/>
                <w:noProof/>
                <w:sz w:val="18"/>
              </w:rPr>
              <w:t>15</w:t>
            </w:r>
          </w:p>
        </w:tc>
        <w:tc>
          <w:tcPr>
            <w:tcW w:w="851" w:type="dxa"/>
            <w:vAlign w:val="center"/>
          </w:tcPr>
          <w:p>
            <w:pPr>
              <w:jc w:val="right"/>
              <w:rPr>
                <w:b/>
                <w:noProof/>
                <w:sz w:val="18"/>
              </w:rPr>
            </w:pPr>
            <w:r>
              <w:rPr>
                <w:b/>
                <w:noProof/>
                <w:sz w:val="18"/>
              </w:rPr>
              <w:t>20 000</w:t>
            </w:r>
          </w:p>
        </w:tc>
        <w:tc>
          <w:tcPr>
            <w:tcW w:w="425" w:type="dxa"/>
            <w:vAlign w:val="center"/>
          </w:tcPr>
          <w:p>
            <w:pPr>
              <w:jc w:val="right"/>
              <w:rPr>
                <w:b/>
                <w:noProof/>
                <w:sz w:val="18"/>
              </w:rPr>
            </w:pPr>
            <w:r>
              <w:rPr>
                <w:b/>
                <w:noProof/>
                <w:sz w:val="18"/>
              </w:rPr>
              <w:t>20</w:t>
            </w:r>
          </w:p>
        </w:tc>
        <w:tc>
          <w:tcPr>
            <w:tcW w:w="851" w:type="dxa"/>
            <w:vAlign w:val="center"/>
          </w:tcPr>
          <w:p>
            <w:pPr>
              <w:jc w:val="right"/>
              <w:rPr>
                <w:b/>
                <w:noProof/>
                <w:sz w:val="18"/>
              </w:rPr>
            </w:pPr>
            <w:r>
              <w:rPr>
                <w:b/>
                <w:noProof/>
                <w:sz w:val="18"/>
              </w:rPr>
              <w:t>30 000</w:t>
            </w:r>
          </w:p>
        </w:tc>
        <w:tc>
          <w:tcPr>
            <w:tcW w:w="567" w:type="dxa"/>
            <w:vAlign w:val="center"/>
          </w:tcPr>
          <w:p>
            <w:pPr>
              <w:jc w:val="right"/>
              <w:rPr>
                <w:b/>
                <w:noProof/>
                <w:sz w:val="18"/>
              </w:rPr>
            </w:pPr>
            <w:r>
              <w:rPr>
                <w:b/>
                <w:noProof/>
                <w:sz w:val="18"/>
              </w:rPr>
              <w:t>20</w:t>
            </w:r>
          </w:p>
        </w:tc>
        <w:tc>
          <w:tcPr>
            <w:tcW w:w="850" w:type="dxa"/>
            <w:vAlign w:val="center"/>
          </w:tcPr>
          <w:p>
            <w:pPr>
              <w:jc w:val="right"/>
              <w:rPr>
                <w:b/>
                <w:noProof/>
                <w:sz w:val="18"/>
              </w:rPr>
            </w:pPr>
            <w:r>
              <w:rPr>
                <w:b/>
                <w:noProof/>
                <w:sz w:val="18"/>
              </w:rPr>
              <w:t>30 000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40 000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40 000</w:t>
            </w:r>
          </w:p>
        </w:tc>
        <w:tc>
          <w:tcPr>
            <w:tcW w:w="708" w:type="dxa"/>
            <w:vAlign w:val="center"/>
          </w:tcPr>
          <w:p>
            <w:pPr>
              <w:jc w:val="right"/>
              <w:rPr>
                <w:b/>
                <w:noProof/>
                <w:sz w:val="18"/>
              </w:rPr>
            </w:pPr>
            <w:r>
              <w:rPr>
                <w:b/>
                <w:noProof/>
                <w:sz w:val="18"/>
              </w:rPr>
              <w:t>145</w:t>
            </w:r>
          </w:p>
        </w:tc>
        <w:tc>
          <w:tcPr>
            <w:tcW w:w="993" w:type="dxa"/>
            <w:vAlign w:val="center"/>
          </w:tcPr>
          <w:p>
            <w:pPr>
              <w:jc w:val="right"/>
              <w:rPr>
                <w:b/>
                <w:noProof/>
                <w:sz w:val="18"/>
              </w:rPr>
            </w:pPr>
            <w:r>
              <w:rPr>
                <w:b/>
                <w:noProof/>
                <w:sz w:val="18"/>
              </w:rPr>
              <w:t>200 000</w:t>
            </w:r>
          </w:p>
        </w:tc>
      </w:tr>
      <w:tr>
        <w:trPr>
          <w:gridAfter w:val="2"/>
          <w:wAfter w:w="1806" w:type="dxa"/>
        </w:trPr>
        <w:tc>
          <w:tcPr>
            <w:tcW w:w="2844" w:type="dxa"/>
            <w:gridSpan w:val="3"/>
            <w:tcBorders>
              <w:top w:val="single" w:sz="12" w:space="0" w:color="auto"/>
              <w:left w:val="single" w:sz="12" w:space="0" w:color="auto"/>
              <w:bottom w:val="single" w:sz="12" w:space="0" w:color="auto"/>
            </w:tcBorders>
            <w:vAlign w:val="center"/>
          </w:tcPr>
          <w:p>
            <w:pPr>
              <w:jc w:val="right"/>
              <w:rPr>
                <w:b/>
                <w:noProof/>
                <w:sz w:val="18"/>
              </w:rPr>
            </w:pPr>
            <w:r>
              <w:rPr>
                <w:b/>
                <w:noProof/>
                <w:sz w:val="18"/>
              </w:rPr>
              <w:t>KOPĒJĀS IZMAKSAS</w:t>
            </w:r>
          </w:p>
        </w:tc>
        <w:tc>
          <w:tcPr>
            <w:tcW w:w="410"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40 000</w:t>
            </w:r>
          </w:p>
        </w:tc>
        <w:tc>
          <w:tcPr>
            <w:tcW w:w="426"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40 000</w:t>
            </w:r>
          </w:p>
        </w:tc>
        <w:tc>
          <w:tcPr>
            <w:tcW w:w="425" w:type="dxa"/>
            <w:tcBorders>
              <w:top w:val="single" w:sz="12" w:space="0" w:color="auto"/>
              <w:bottom w:val="single" w:sz="12" w:space="0" w:color="auto"/>
            </w:tcBorders>
          </w:tcPr>
          <w:p>
            <w:pPr>
              <w:jc w:val="right"/>
              <w:rPr>
                <w:b/>
                <w:noProof/>
                <w:sz w:val="18"/>
              </w:rPr>
            </w:pPr>
            <w:r>
              <w:rPr>
                <w:b/>
                <w:noProof/>
                <w:sz w:val="18"/>
              </w:rPr>
              <w:t>19</w:t>
            </w:r>
          </w:p>
        </w:tc>
        <w:tc>
          <w:tcPr>
            <w:tcW w:w="851" w:type="dxa"/>
            <w:tcBorders>
              <w:top w:val="single" w:sz="12" w:space="0" w:color="auto"/>
              <w:bottom w:val="single" w:sz="12" w:space="0" w:color="auto"/>
            </w:tcBorders>
          </w:tcPr>
          <w:p>
            <w:pPr>
              <w:jc w:val="right"/>
              <w:rPr>
                <w:b/>
                <w:noProof/>
                <w:sz w:val="18"/>
              </w:rPr>
            </w:pPr>
            <w:r>
              <w:rPr>
                <w:b/>
                <w:noProof/>
                <w:sz w:val="18"/>
              </w:rPr>
              <w:t>55 000</w:t>
            </w:r>
          </w:p>
        </w:tc>
        <w:tc>
          <w:tcPr>
            <w:tcW w:w="425" w:type="dxa"/>
            <w:tcBorders>
              <w:top w:val="single" w:sz="12" w:space="0" w:color="auto"/>
              <w:bottom w:val="single" w:sz="12" w:space="0" w:color="auto"/>
            </w:tcBorders>
          </w:tcPr>
          <w:p>
            <w:pPr>
              <w:jc w:val="right"/>
              <w:rPr>
                <w:b/>
                <w:noProof/>
                <w:sz w:val="18"/>
              </w:rPr>
            </w:pPr>
            <w:r>
              <w:rPr>
                <w:b/>
                <w:noProof/>
                <w:sz w:val="18"/>
              </w:rPr>
              <w:t>24</w:t>
            </w:r>
          </w:p>
        </w:tc>
        <w:tc>
          <w:tcPr>
            <w:tcW w:w="851" w:type="dxa"/>
            <w:tcBorders>
              <w:top w:val="single" w:sz="12" w:space="0" w:color="auto"/>
              <w:bottom w:val="single" w:sz="12" w:space="0" w:color="auto"/>
            </w:tcBorders>
          </w:tcPr>
          <w:p>
            <w:pPr>
              <w:jc w:val="right"/>
              <w:rPr>
                <w:b/>
                <w:noProof/>
                <w:sz w:val="18"/>
              </w:rPr>
            </w:pPr>
            <w:r>
              <w:rPr>
                <w:b/>
                <w:noProof/>
                <w:sz w:val="18"/>
              </w:rPr>
              <w:t>65 000</w:t>
            </w:r>
          </w:p>
        </w:tc>
        <w:tc>
          <w:tcPr>
            <w:tcW w:w="567" w:type="dxa"/>
            <w:tcBorders>
              <w:top w:val="single" w:sz="12" w:space="0" w:color="auto"/>
              <w:bottom w:val="single" w:sz="12" w:space="0" w:color="auto"/>
            </w:tcBorders>
          </w:tcPr>
          <w:p>
            <w:pPr>
              <w:jc w:val="right"/>
              <w:rPr>
                <w:b/>
                <w:noProof/>
                <w:sz w:val="18"/>
              </w:rPr>
            </w:pPr>
            <w:r>
              <w:rPr>
                <w:b/>
                <w:noProof/>
                <w:sz w:val="18"/>
              </w:rPr>
              <w:t>24</w:t>
            </w:r>
          </w:p>
        </w:tc>
        <w:tc>
          <w:tcPr>
            <w:tcW w:w="850" w:type="dxa"/>
            <w:tcBorders>
              <w:top w:val="single" w:sz="12" w:space="0" w:color="auto"/>
              <w:bottom w:val="single" w:sz="12" w:space="0" w:color="auto"/>
            </w:tcBorders>
          </w:tcPr>
          <w:p>
            <w:pPr>
              <w:jc w:val="right"/>
              <w:rPr>
                <w:b/>
                <w:noProof/>
                <w:sz w:val="18"/>
              </w:rPr>
            </w:pPr>
            <w:r>
              <w:rPr>
                <w:b/>
                <w:noProof/>
                <w:sz w:val="18"/>
              </w:rPr>
              <w:t>65 000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67 500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67 500</w:t>
            </w:r>
          </w:p>
        </w:tc>
        <w:tc>
          <w:tcPr>
            <w:tcW w:w="708" w:type="dxa"/>
            <w:tcBorders>
              <w:top w:val="single" w:sz="12" w:space="0" w:color="auto"/>
              <w:bottom w:val="single" w:sz="12" w:space="0" w:color="auto"/>
            </w:tcBorders>
          </w:tcPr>
          <w:p>
            <w:pPr>
              <w:jc w:val="right"/>
              <w:rPr>
                <w:b/>
                <w:noProof/>
                <w:sz w:val="18"/>
              </w:rPr>
            </w:pPr>
            <w:r>
              <w:rPr>
                <w:b/>
                <w:noProof/>
                <w:sz w:val="18"/>
              </w:rPr>
              <w:t>175</w:t>
            </w:r>
          </w:p>
        </w:tc>
        <w:tc>
          <w:tcPr>
            <w:tcW w:w="993" w:type="dxa"/>
            <w:tcBorders>
              <w:top w:val="single" w:sz="12" w:space="0" w:color="auto"/>
              <w:bottom w:val="single" w:sz="12" w:space="0" w:color="auto"/>
              <w:right w:val="single" w:sz="12" w:space="0" w:color="auto"/>
            </w:tcBorders>
          </w:tcPr>
          <w:p>
            <w:pPr>
              <w:jc w:val="right"/>
              <w:rPr>
                <w:b/>
                <w:noProof/>
                <w:sz w:val="18"/>
              </w:rPr>
            </w:pPr>
            <w:r>
              <w:rPr>
                <w:b/>
                <w:noProof/>
                <w:sz w:val="18"/>
              </w:rPr>
              <w:t>400 000</w:t>
            </w:r>
          </w:p>
        </w:tc>
      </w:tr>
    </w:tbl>
    <w:p>
      <w:pPr>
        <w:jc w:val="left"/>
        <w:rPr>
          <w:b/>
          <w:noProof/>
          <w:sz w:val="18"/>
        </w:rPr>
      </w:pPr>
      <w:r>
        <w:rPr>
          <w:b/>
          <w:noProof/>
          <w:sz w:val="18"/>
        </w:rPr>
        <w:t>* ES ieguldījums, kas izmantots 10 demonstrēšanas projektiem ar vidējām izmaksām EUR 10 līdz 15 miljoni un 20 izmēģinājuma projekti ar vidējām izmaksām EUR 2,5 miljoni uz projektu.</w:t>
      </w:r>
    </w:p>
    <w:p>
      <w:pPr>
        <w:jc w:val="left"/>
        <w:rPr>
          <w:noProof/>
        </w:rPr>
        <w:sectPr>
          <w:pgSz w:w="16840" w:h="11907" w:orient="landscape" w:code="9"/>
          <w:pgMar w:top="1134" w:right="1418" w:bottom="567" w:left="1418" w:header="709" w:footer="709" w:gutter="0"/>
          <w:cols w:space="708"/>
          <w:docGrid w:linePitch="360"/>
        </w:sectPr>
      </w:pPr>
      <w:r>
        <w:rPr>
          <w:b/>
          <w:noProof/>
          <w:sz w:val="18"/>
        </w:rPr>
        <w:t>** Projektiem izmantotais iesaistīto valstu ieguldījums ar vidējām izmaksām EUR 1 līdz 1,5 miljoni.</w:t>
      </w: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rPr>
        <w:sym w:font="Wingdings" w:char="F078"/>
      </w:r>
      <w:r>
        <w:rPr>
          <w:noProof/>
        </w:rPr>
        <w:tab/>
        <w:t>Priekšlikums/iniciatīva paredz izmantot administratīvās apropriācijas šādā veidā:</w:t>
      </w:r>
    </w:p>
    <w:p>
      <w:pPr>
        <w:rPr>
          <w:noProof/>
          <w:sz w:val="16"/>
        </w:rPr>
      </w:pPr>
      <w:r>
        <w:rPr>
          <w:noProof/>
          <w:sz w:val="20"/>
        </w:rPr>
        <w:t xml:space="preserve">EUR miljonos (trīs zīmes aiz komata) </w:t>
      </w: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Pr>
          <w:p>
            <w:pPr>
              <w:rPr>
                <w:noProof/>
                <w:sz w:val="16"/>
              </w:rPr>
            </w:pPr>
          </w:p>
        </w:tc>
        <w:tc>
          <w:tcPr>
            <w:tcW w:w="1080" w:type="dxa"/>
            <w:vAlign w:val="center"/>
          </w:tcPr>
          <w:p>
            <w:pPr>
              <w:rPr>
                <w:noProof/>
                <w:sz w:val="16"/>
              </w:rPr>
            </w:pPr>
            <w:r>
              <w:rPr>
                <w:noProof/>
                <w:sz w:val="16"/>
              </w:rPr>
              <w:t>gads</w:t>
            </w:r>
            <w:r>
              <w:rPr>
                <w:noProof/>
                <w:sz w:val="16"/>
              </w:rPr>
              <w:br/>
            </w:r>
            <w:r>
              <w:rPr>
                <w:b/>
                <w:noProof/>
                <w:sz w:val="16"/>
              </w:rPr>
              <w:t xml:space="preserve">2018 </w:t>
            </w:r>
          </w:p>
        </w:tc>
        <w:tc>
          <w:tcPr>
            <w:tcW w:w="1080" w:type="dxa"/>
            <w:vAlign w:val="center"/>
          </w:tcPr>
          <w:p>
            <w:pPr>
              <w:rPr>
                <w:noProof/>
                <w:sz w:val="16"/>
              </w:rPr>
            </w:pPr>
            <w:r>
              <w:rPr>
                <w:noProof/>
                <w:sz w:val="16"/>
              </w:rPr>
              <w:t>gads</w:t>
            </w:r>
            <w:r>
              <w:rPr>
                <w:noProof/>
                <w:sz w:val="16"/>
              </w:rPr>
              <w:br/>
            </w:r>
            <w:r>
              <w:rPr>
                <w:b/>
                <w:noProof/>
                <w:sz w:val="16"/>
              </w:rPr>
              <w:t>2019</w:t>
            </w:r>
          </w:p>
        </w:tc>
        <w:tc>
          <w:tcPr>
            <w:tcW w:w="1080" w:type="dxa"/>
            <w:vAlign w:val="center"/>
          </w:tcPr>
          <w:p>
            <w:pPr>
              <w:rPr>
                <w:noProof/>
                <w:sz w:val="16"/>
              </w:rPr>
            </w:pPr>
            <w:r>
              <w:rPr>
                <w:noProof/>
                <w:sz w:val="16"/>
              </w:rPr>
              <w:t>gads</w:t>
            </w:r>
            <w:r>
              <w:rPr>
                <w:noProof/>
                <w:sz w:val="16"/>
              </w:rPr>
              <w:br/>
            </w:r>
            <w:r>
              <w:rPr>
                <w:b/>
                <w:noProof/>
                <w:sz w:val="16"/>
              </w:rPr>
              <w:t>2020</w:t>
            </w:r>
          </w:p>
        </w:tc>
        <w:tc>
          <w:tcPr>
            <w:tcW w:w="1080" w:type="dxa"/>
            <w:vAlign w:val="center"/>
          </w:tcPr>
          <w:p>
            <w:pPr>
              <w:rPr>
                <w:noProof/>
                <w:sz w:val="16"/>
              </w:rPr>
            </w:pPr>
            <w:r>
              <w:rPr>
                <w:noProof/>
                <w:sz w:val="16"/>
              </w:rPr>
              <w:t>gads</w:t>
            </w:r>
            <w:r>
              <w:rPr>
                <w:noProof/>
                <w:sz w:val="16"/>
              </w:rPr>
              <w:br/>
            </w:r>
            <w:r>
              <w:rPr>
                <w:b/>
                <w:noProof/>
                <w:sz w:val="16"/>
              </w:rPr>
              <w:t>2021-2029</w:t>
            </w:r>
          </w:p>
        </w:tc>
        <w:tc>
          <w:tcPr>
            <w:tcW w:w="1080" w:type="dxa"/>
            <w:vAlign w:val="center"/>
          </w:tcPr>
          <w:p>
            <w:pPr>
              <w:rPr>
                <w:b/>
                <w:noProof/>
                <w:sz w:val="16"/>
              </w:rPr>
            </w:pPr>
            <w:r>
              <w:rPr>
                <w:b/>
                <w:noProof/>
                <w:sz w:val="16"/>
              </w:rPr>
              <w:t>KOPĀ</w:t>
            </w: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b/>
                <w:noProof/>
                <w:sz w:val="16"/>
              </w:rPr>
            </w:pPr>
            <w:r>
              <w:rPr>
                <w:b/>
                <w:noProof/>
                <w:sz w:val="16"/>
              </w:rPr>
              <w:t>Daudzgadu finanšu shēmas</w:t>
            </w:r>
            <w:r>
              <w:rPr>
                <w:noProof/>
                <w:sz w:val="16"/>
              </w:rPr>
              <w:br/>
            </w:r>
            <w:r>
              <w:rPr>
                <w:b/>
                <w:noProof/>
                <w:sz w:val="16"/>
              </w:rPr>
              <w:t>5. IZDEVUMU KATEGORIJA</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Cilvēkresursi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Pārējie administratīvie izdevumi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shd w:val="clear" w:color="auto" w:fill="CCCCCC"/>
            <w:vAlign w:val="center"/>
          </w:tcPr>
          <w:p>
            <w:pPr>
              <w:rPr>
                <w:b/>
                <w:noProof/>
                <w:sz w:val="16"/>
              </w:rPr>
            </w:pPr>
            <w:r>
              <w:rPr>
                <w:b/>
                <w:noProof/>
                <w:sz w:val="16"/>
              </w:rPr>
              <w:t>Daudzgadu finanšu shēmas</w:t>
            </w:r>
            <w:r>
              <w:rPr>
                <w:noProof/>
                <w:sz w:val="16"/>
              </w:rPr>
              <w:br/>
            </w:r>
            <w:r>
              <w:rPr>
                <w:b/>
                <w:noProof/>
                <w:sz w:val="16"/>
              </w:rPr>
              <w:t xml:space="preserve">5. IZDEVUMU KATEGORIJAS STARPSUMMA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noProof/>
                <w:sz w:val="16"/>
              </w:rPr>
            </w:pPr>
            <w:r>
              <w:rPr>
                <w:b/>
                <w:noProof/>
                <w:sz w:val="16"/>
              </w:rPr>
              <w:t>Ārpus daudzgadu finanšu shēmas</w:t>
            </w:r>
            <w:r>
              <w:rPr>
                <w:rStyle w:val="FootnoteReference"/>
                <w:noProof/>
              </w:rPr>
              <w:footnoteReference w:id="22"/>
            </w:r>
            <w:r>
              <w:rPr>
                <w:noProof/>
                <w:sz w:val="16"/>
              </w:rPr>
              <w:br/>
            </w:r>
            <w:r>
              <w:rPr>
                <w:b/>
                <w:noProof/>
                <w:sz w:val="16"/>
              </w:rPr>
              <w:t xml:space="preserve">5. IZDEVUMU KATEGORIJAS </w:t>
            </w:r>
          </w:p>
          <w:p>
            <w:pPr>
              <w:rPr>
                <w:b/>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Cilvēkresursi </w:t>
            </w:r>
          </w:p>
        </w:tc>
        <w:tc>
          <w:tcPr>
            <w:tcW w:w="1080" w:type="dxa"/>
            <w:vAlign w:val="center"/>
          </w:tcPr>
          <w:p>
            <w:pPr>
              <w:rPr>
                <w:noProof/>
                <w:sz w:val="16"/>
              </w:rPr>
            </w:pPr>
            <w:r>
              <w:rPr>
                <w:noProof/>
                <w:sz w:val="16"/>
              </w:rPr>
              <w:t>0,204</w:t>
            </w:r>
          </w:p>
        </w:tc>
        <w:tc>
          <w:tcPr>
            <w:tcW w:w="1080" w:type="dxa"/>
            <w:vAlign w:val="center"/>
          </w:tcPr>
          <w:p>
            <w:pPr>
              <w:rPr>
                <w:noProof/>
                <w:sz w:val="16"/>
              </w:rPr>
            </w:pPr>
            <w:r>
              <w:rPr>
                <w:noProof/>
                <w:sz w:val="16"/>
              </w:rPr>
              <w:t>0,208</w:t>
            </w:r>
          </w:p>
        </w:tc>
        <w:tc>
          <w:tcPr>
            <w:tcW w:w="1080" w:type="dxa"/>
            <w:vAlign w:val="center"/>
          </w:tcPr>
          <w:p>
            <w:pPr>
              <w:rPr>
                <w:noProof/>
                <w:sz w:val="16"/>
              </w:rPr>
            </w:pPr>
            <w:r>
              <w:rPr>
                <w:noProof/>
                <w:sz w:val="16"/>
              </w:rPr>
              <w:t>0,212</w:t>
            </w:r>
          </w:p>
        </w:tc>
        <w:tc>
          <w:tcPr>
            <w:tcW w:w="1080" w:type="dxa"/>
            <w:vAlign w:val="center"/>
          </w:tcPr>
          <w:p>
            <w:pPr>
              <w:rPr>
                <w:noProof/>
                <w:sz w:val="16"/>
              </w:rPr>
            </w:pPr>
          </w:p>
        </w:tc>
        <w:tc>
          <w:tcPr>
            <w:tcW w:w="1080" w:type="dxa"/>
            <w:vAlign w:val="center"/>
          </w:tcPr>
          <w:p>
            <w:pPr>
              <w:rPr>
                <w:b/>
                <w:noProof/>
                <w:sz w:val="16"/>
              </w:rPr>
            </w:pPr>
            <w:r>
              <w:rPr>
                <w:b/>
                <w:noProof/>
                <w:sz w:val="16"/>
              </w:rPr>
              <w:t>0,624</w:t>
            </w:r>
          </w:p>
        </w:tc>
      </w:tr>
      <w:tr>
        <w:trPr>
          <w:trHeight w:val="585"/>
          <w:jc w:val="center"/>
        </w:trPr>
        <w:tc>
          <w:tcPr>
            <w:tcW w:w="1980" w:type="dxa"/>
            <w:vAlign w:val="center"/>
          </w:tcPr>
          <w:p>
            <w:pPr>
              <w:rPr>
                <w:noProof/>
                <w:sz w:val="16"/>
              </w:rPr>
            </w:pPr>
            <w:r>
              <w:rPr>
                <w:noProof/>
                <w:sz w:val="16"/>
              </w:rPr>
              <w:t xml:space="preserve">Citi administratīva </w:t>
            </w:r>
            <w:r>
              <w:rPr>
                <w:noProof/>
                <w:sz w:val="16"/>
              </w:rPr>
              <w:br/>
              <w:t>rakstura izdevumi</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p>
        </w:tc>
        <w:tc>
          <w:tcPr>
            <w:tcW w:w="1080" w:type="dxa"/>
            <w:vAlign w:val="center"/>
          </w:tcPr>
          <w:p>
            <w:pPr>
              <w:rPr>
                <w:b/>
                <w:noProof/>
                <w:sz w:val="16"/>
              </w:rPr>
            </w:pPr>
            <w:r>
              <w:rPr>
                <w:b/>
                <w:noProof/>
                <w:sz w:val="16"/>
              </w:rPr>
              <w:t>0,054</w:t>
            </w:r>
          </w:p>
        </w:tc>
      </w:tr>
      <w:tr>
        <w:trPr>
          <w:trHeight w:val="585"/>
          <w:jc w:val="center"/>
        </w:trPr>
        <w:tc>
          <w:tcPr>
            <w:tcW w:w="1980" w:type="dxa"/>
            <w:shd w:val="clear" w:color="auto" w:fill="CCCCCC"/>
            <w:vAlign w:val="center"/>
          </w:tcPr>
          <w:p>
            <w:pPr>
              <w:rPr>
                <w:b/>
                <w:noProof/>
                <w:sz w:val="16"/>
              </w:rPr>
            </w:pPr>
            <w:r>
              <w:rPr>
                <w:b/>
                <w:noProof/>
                <w:sz w:val="16"/>
              </w:rPr>
              <w:t>Daudzgadu finanšu shēmas</w:t>
            </w:r>
            <w:r>
              <w:rPr>
                <w:noProof/>
                <w:sz w:val="16"/>
              </w:rPr>
              <w:br/>
            </w:r>
            <w:r>
              <w:rPr>
                <w:b/>
                <w:noProof/>
                <w:sz w:val="16"/>
              </w:rPr>
              <w:t>starpsumma ārpus</w:t>
            </w:r>
            <w:r>
              <w:rPr>
                <w:noProof/>
                <w:sz w:val="16"/>
              </w:rPr>
              <w:br/>
            </w:r>
            <w:r>
              <w:rPr>
                <w:b/>
                <w:noProof/>
                <w:sz w:val="16"/>
              </w:rPr>
              <w:t xml:space="preserve">5. IZDEVUMU KATEGORIJAS </w:t>
            </w:r>
          </w:p>
        </w:tc>
        <w:tc>
          <w:tcPr>
            <w:tcW w:w="1080" w:type="dxa"/>
            <w:vAlign w:val="center"/>
          </w:tcPr>
          <w:p>
            <w:pPr>
              <w:rPr>
                <w:noProof/>
                <w:sz w:val="16"/>
              </w:rPr>
            </w:pPr>
            <w:r>
              <w:rPr>
                <w:noProof/>
                <w:sz w:val="16"/>
              </w:rPr>
              <w:t>0,222</w:t>
            </w:r>
          </w:p>
        </w:tc>
        <w:tc>
          <w:tcPr>
            <w:tcW w:w="1080" w:type="dxa"/>
            <w:vAlign w:val="center"/>
          </w:tcPr>
          <w:p>
            <w:pPr>
              <w:rPr>
                <w:noProof/>
                <w:sz w:val="16"/>
              </w:rPr>
            </w:pPr>
            <w:r>
              <w:rPr>
                <w:noProof/>
                <w:sz w:val="16"/>
              </w:rPr>
              <w:t>0,226</w:t>
            </w:r>
          </w:p>
        </w:tc>
        <w:tc>
          <w:tcPr>
            <w:tcW w:w="1080" w:type="dxa"/>
            <w:vAlign w:val="center"/>
          </w:tcPr>
          <w:p>
            <w:pPr>
              <w:rPr>
                <w:noProof/>
                <w:sz w:val="16"/>
              </w:rPr>
            </w:pPr>
            <w:r>
              <w:rPr>
                <w:noProof/>
                <w:sz w:val="16"/>
              </w:rPr>
              <w:t>0,230</w:t>
            </w:r>
          </w:p>
        </w:tc>
        <w:tc>
          <w:tcPr>
            <w:tcW w:w="1080" w:type="dxa"/>
            <w:vAlign w:val="center"/>
          </w:tcPr>
          <w:p>
            <w:pPr>
              <w:rPr>
                <w:noProof/>
                <w:sz w:val="16"/>
              </w:rPr>
            </w:pPr>
          </w:p>
        </w:tc>
        <w:tc>
          <w:tcPr>
            <w:tcW w:w="1080" w:type="dxa"/>
            <w:vAlign w:val="center"/>
          </w:tcPr>
          <w:p>
            <w:pPr>
              <w:rPr>
                <w:b/>
                <w:noProof/>
                <w:sz w:val="16"/>
              </w:rPr>
            </w:pPr>
            <w:r>
              <w:rPr>
                <w:b/>
                <w:noProof/>
                <w:sz w:val="16"/>
              </w:rPr>
              <w:t>0,678</w:t>
            </w:r>
          </w:p>
        </w:tc>
      </w:tr>
    </w:tbl>
    <w:p>
      <w:pPr>
        <w:rPr>
          <w:noProof/>
          <w:sz w:val="16"/>
        </w:rPr>
      </w:pPr>
    </w:p>
    <w:tbl>
      <w:tblPr>
        <w:tblW w:w="7380" w:type="dxa"/>
        <w:jc w:val="center"/>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rPr>
                <w:noProof/>
                <w:sz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0,222</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0,226</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0,230</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rPr>
                <w:b/>
                <w:noProof/>
                <w:sz w:val="16"/>
              </w:rPr>
            </w:pPr>
            <w:r>
              <w:rPr>
                <w:b/>
                <w:noProof/>
                <w:sz w:val="16"/>
              </w:rPr>
              <w:t>0,678</w:t>
            </w:r>
          </w:p>
        </w:tc>
      </w:tr>
    </w:tbl>
    <w:p>
      <w:pPr>
        <w:jc w:val="left"/>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pStyle w:val="ManualHeading4"/>
        <w:rPr>
          <w:bCs/>
          <w:noProof/>
          <w:szCs w:val="24"/>
        </w:rPr>
      </w:pPr>
      <w:r>
        <w:t>3.2.3.2.</w:t>
      </w:r>
      <w:r>
        <w:tab/>
      </w:r>
      <w:r>
        <w:rPr>
          <w:noProof/>
        </w:rPr>
        <w:t>Paredzamās vajadzības pēc cilvēkresursiem</w:t>
      </w:r>
    </w:p>
    <w:p>
      <w:pPr>
        <w:pStyle w:val="ListDash1"/>
        <w:rPr>
          <w:noProof/>
        </w:rPr>
      </w:pPr>
      <w:r>
        <w:rPr>
          <w:noProof/>
        </w:rPr>
        <w:sym w:font="Wingdings" w:char="F0A8"/>
      </w:r>
      <w:r>
        <w:rPr>
          <w:noProof/>
        </w:rPr>
        <w:tab/>
        <w:t xml:space="preserve">Priekšlikums/iniciatīva neparedz cilvēkresursu izmantošanu </w:t>
      </w:r>
    </w:p>
    <w:p>
      <w:pPr>
        <w:pStyle w:val="ListDash1"/>
        <w:rPr>
          <w:noProof/>
        </w:rPr>
      </w:pPr>
      <w:r>
        <w:rPr>
          <w:noProof/>
        </w:rPr>
        <w:sym w:font="Wingdings" w:char="F0A8"/>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p>
      <w:pPr>
        <w:pStyle w:val="Text1"/>
        <w:rPr>
          <w:i/>
          <w:noProof/>
          <w:sz w:val="16"/>
        </w:rPr>
      </w:pPr>
    </w:p>
    <w:tbl>
      <w:tblPr>
        <w:tblW w:w="318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9"/>
        <w:gridCol w:w="1684"/>
        <w:gridCol w:w="2876"/>
        <w:gridCol w:w="1116"/>
        <w:gridCol w:w="1116"/>
        <w:gridCol w:w="1116"/>
      </w:tblGrid>
      <w:tr>
        <w:trPr>
          <w:trHeight w:val="289"/>
        </w:trPr>
        <w:tc>
          <w:tcPr>
            <w:tcW w:w="2809" w:type="pct"/>
            <w:gridSpan w:val="3"/>
          </w:tcPr>
          <w:p>
            <w:pPr>
              <w:pStyle w:val="Text1"/>
              <w:numPr>
                <w:ilvl w:val="0"/>
                <w:numId w:val="24"/>
              </w:numPr>
              <w:rPr>
                <w:i/>
                <w:noProof/>
                <w:sz w:val="16"/>
              </w:rPr>
            </w:pPr>
          </w:p>
        </w:tc>
        <w:tc>
          <w:tcPr>
            <w:tcW w:w="698" w:type="pct"/>
            <w:vAlign w:val="center"/>
          </w:tcPr>
          <w:p>
            <w:pPr>
              <w:pStyle w:val="Text1"/>
              <w:rPr>
                <w:noProof/>
                <w:sz w:val="16"/>
              </w:rPr>
            </w:pPr>
            <w:r>
              <w:rPr>
                <w:noProof/>
                <w:sz w:val="16"/>
              </w:rPr>
              <w:t>gads</w:t>
            </w:r>
          </w:p>
          <w:p>
            <w:pPr>
              <w:pStyle w:val="Text1"/>
              <w:rPr>
                <w:b/>
                <w:noProof/>
                <w:sz w:val="16"/>
              </w:rPr>
            </w:pPr>
            <w:r>
              <w:rPr>
                <w:b/>
                <w:noProof/>
                <w:sz w:val="16"/>
              </w:rPr>
              <w:t>2018</w:t>
            </w:r>
          </w:p>
        </w:tc>
        <w:tc>
          <w:tcPr>
            <w:tcW w:w="706" w:type="pct"/>
          </w:tcPr>
          <w:p>
            <w:pPr>
              <w:pStyle w:val="Text1"/>
              <w:rPr>
                <w:noProof/>
                <w:sz w:val="16"/>
              </w:rPr>
            </w:pPr>
            <w:r>
              <w:rPr>
                <w:noProof/>
                <w:sz w:val="16"/>
              </w:rPr>
              <w:t>gads</w:t>
            </w:r>
          </w:p>
          <w:p>
            <w:pPr>
              <w:pStyle w:val="Text1"/>
              <w:rPr>
                <w:noProof/>
                <w:sz w:val="16"/>
              </w:rPr>
            </w:pPr>
            <w:r>
              <w:rPr>
                <w:b/>
                <w:noProof/>
                <w:sz w:val="16"/>
              </w:rPr>
              <w:t>2019</w:t>
            </w:r>
          </w:p>
        </w:tc>
        <w:tc>
          <w:tcPr>
            <w:tcW w:w="706" w:type="pct"/>
          </w:tcPr>
          <w:p>
            <w:pPr>
              <w:pStyle w:val="Text1"/>
              <w:rPr>
                <w:noProof/>
                <w:sz w:val="16"/>
              </w:rPr>
            </w:pPr>
            <w:r>
              <w:rPr>
                <w:noProof/>
                <w:sz w:val="16"/>
              </w:rPr>
              <w:t>gads</w:t>
            </w:r>
          </w:p>
          <w:p>
            <w:pPr>
              <w:pStyle w:val="Text1"/>
              <w:rPr>
                <w:noProof/>
                <w:sz w:val="16"/>
              </w:rPr>
            </w:pPr>
            <w:r>
              <w:rPr>
                <w:b/>
                <w:noProof/>
                <w:sz w:val="16"/>
              </w:rPr>
              <w:t>2020</w:t>
            </w:r>
          </w:p>
        </w:tc>
      </w:tr>
      <w:tr>
        <w:trPr>
          <w:trHeight w:val="248"/>
        </w:trPr>
        <w:tc>
          <w:tcPr>
            <w:tcW w:w="627" w:type="pct"/>
          </w:tcPr>
          <w:p>
            <w:pPr>
              <w:pStyle w:val="Text1"/>
              <w:numPr>
                <w:ilvl w:val="0"/>
                <w:numId w:val="24"/>
              </w:numPr>
              <w:rPr>
                <w:b/>
                <w:noProof/>
                <w:sz w:val="16"/>
              </w:rPr>
            </w:pPr>
          </w:p>
        </w:tc>
        <w:tc>
          <w:tcPr>
            <w:tcW w:w="4373" w:type="pct"/>
            <w:gridSpan w:val="5"/>
          </w:tcPr>
          <w:p>
            <w:pPr>
              <w:pStyle w:val="Text1"/>
              <w:numPr>
                <w:ilvl w:val="0"/>
                <w:numId w:val="24"/>
              </w:numPr>
              <w:rPr>
                <w:noProof/>
                <w:sz w:val="16"/>
              </w:rPr>
            </w:pPr>
            <w:r>
              <w:rPr>
                <w:b/>
                <w:noProof/>
                <w:sz w:val="16"/>
              </w:rPr>
              <w:sym w:font="Wingdings" w:char="F09F"/>
            </w:r>
            <w:r>
              <w:rPr>
                <w:b/>
                <w:noProof/>
                <w:sz w:val="16"/>
              </w:rPr>
              <w:t xml:space="preserve"> Štatu sarakstā ietvertās amata vietas (ierēdņi un pagaidu darbinieki)</w:t>
            </w:r>
          </w:p>
        </w:tc>
      </w:tr>
      <w:tr>
        <w:trPr>
          <w:trHeight w:val="289"/>
        </w:trPr>
        <w:tc>
          <w:tcPr>
            <w:tcW w:w="2809" w:type="pct"/>
            <w:gridSpan w:val="3"/>
          </w:tcPr>
          <w:p>
            <w:pPr>
              <w:pStyle w:val="Text1"/>
              <w:numPr>
                <w:ilvl w:val="0"/>
                <w:numId w:val="24"/>
              </w:numPr>
              <w:rPr>
                <w:noProof/>
                <w:sz w:val="16"/>
              </w:rPr>
            </w:pPr>
            <w:r>
              <w:rPr>
                <w:noProof/>
                <w:sz w:val="16"/>
              </w:rPr>
              <w:t>08 01 01 01 (Galvenā mītne un Komisijas pārstāvniecības)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4"/>
              </w:numPr>
              <w:rPr>
                <w:noProof/>
                <w:sz w:val="16"/>
              </w:rPr>
            </w:pPr>
            <w:r>
              <w:rPr>
                <w:noProof/>
                <w:sz w:val="16"/>
              </w:rPr>
              <w:t>08 01 01 02 (Delegācijas)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4"/>
              </w:numPr>
              <w:rPr>
                <w:noProof/>
                <w:sz w:val="16"/>
              </w:rPr>
            </w:pPr>
            <w:r>
              <w:rPr>
                <w:noProof/>
                <w:sz w:val="16"/>
              </w:rPr>
              <w:t>08 01 05 01 (Netiešā pētniecība)</w:t>
            </w: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24"/>
              </w:numPr>
              <w:rPr>
                <w:noProof/>
                <w:sz w:val="16"/>
              </w:rPr>
            </w:pPr>
            <w:r>
              <w:rPr>
                <w:noProof/>
                <w:sz w:val="16"/>
              </w:rPr>
              <w:t>10 01 05 01 (Tiešā pētniecība)</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48"/>
        </w:trPr>
        <w:tc>
          <w:tcPr>
            <w:tcW w:w="627" w:type="pct"/>
          </w:tcPr>
          <w:p>
            <w:pPr>
              <w:pStyle w:val="Text1"/>
              <w:numPr>
                <w:ilvl w:val="0"/>
                <w:numId w:val="24"/>
              </w:numPr>
              <w:rPr>
                <w:b/>
                <w:noProof/>
                <w:sz w:val="16"/>
              </w:rPr>
            </w:pPr>
          </w:p>
        </w:tc>
        <w:tc>
          <w:tcPr>
            <w:tcW w:w="4373" w:type="pct"/>
            <w:gridSpan w:val="5"/>
          </w:tcPr>
          <w:p>
            <w:pPr>
              <w:pStyle w:val="Text1"/>
              <w:numPr>
                <w:ilvl w:val="0"/>
                <w:numId w:val="24"/>
              </w:numPr>
              <w:rPr>
                <w:b/>
                <w:noProof/>
                <w:sz w:val="16"/>
              </w:rPr>
            </w:pPr>
            <w:r>
              <w:rPr>
                <w:b/>
                <w:noProof/>
                <w:sz w:val="16"/>
              </w:rPr>
              <w:sym w:font="Wingdings" w:char="F09F"/>
            </w:r>
            <w:r>
              <w:rPr>
                <w:b/>
                <w:noProof/>
                <w:sz w:val="16"/>
              </w:rPr>
              <w:t xml:space="preserve"> Ārštata darbinieki (izsakot ar pilnas slodzes ekvivalentu — FTE)</w:t>
            </w:r>
            <w:r>
              <w:rPr>
                <w:rStyle w:val="FootnoteReference"/>
                <w:noProof/>
              </w:rPr>
              <w:footnoteReference w:id="23"/>
            </w:r>
          </w:p>
          <w:p>
            <w:pPr>
              <w:pStyle w:val="Text1"/>
              <w:numPr>
                <w:ilvl w:val="0"/>
                <w:numId w:val="24"/>
              </w:numPr>
              <w:rPr>
                <w:noProof/>
                <w:sz w:val="16"/>
              </w:rPr>
            </w:pPr>
          </w:p>
        </w:tc>
      </w:tr>
      <w:tr>
        <w:trPr>
          <w:trHeight w:val="289"/>
        </w:trPr>
        <w:tc>
          <w:tcPr>
            <w:tcW w:w="2809" w:type="pct"/>
            <w:gridSpan w:val="3"/>
          </w:tcPr>
          <w:p>
            <w:pPr>
              <w:pStyle w:val="Text1"/>
              <w:numPr>
                <w:ilvl w:val="0"/>
                <w:numId w:val="24"/>
              </w:numPr>
              <w:rPr>
                <w:noProof/>
                <w:sz w:val="16"/>
              </w:rPr>
            </w:pPr>
            <w:r>
              <w:rPr>
                <w:noProof/>
                <w:sz w:val="16"/>
              </w:rPr>
              <w:t>XX 01 02 01 (CA, INT, SNE, ko finansē no vispārīgajām apropriācijām)</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4"/>
              </w:numPr>
              <w:rPr>
                <w:noProof/>
                <w:sz w:val="16"/>
              </w:rPr>
            </w:pPr>
            <w:r>
              <w:rPr>
                <w:noProof/>
                <w:sz w:val="16"/>
              </w:rPr>
              <w:t>XX 01 02 02 (CA, INT, JED, LA un SNE delegācijās)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val="restart"/>
          </w:tcPr>
          <w:p>
            <w:pPr>
              <w:pStyle w:val="Text1"/>
              <w:numPr>
                <w:ilvl w:val="0"/>
                <w:numId w:val="24"/>
              </w:numPr>
              <w:rPr>
                <w:b/>
                <w:noProof/>
                <w:sz w:val="16"/>
              </w:rPr>
            </w:pPr>
            <w:r>
              <w:rPr>
                <w:b/>
                <w:noProof/>
                <w:sz w:val="16"/>
              </w:rPr>
              <w:t>XX</w:t>
            </w:r>
            <w:r>
              <w:rPr>
                <w:noProof/>
                <w:sz w:val="16"/>
              </w:rPr>
              <w:t xml:space="preserve"> 01 04 </w:t>
            </w:r>
            <w:r>
              <w:rPr>
                <w:b/>
                <w:noProof/>
                <w:sz w:val="16"/>
              </w:rPr>
              <w:t>gg</w:t>
            </w:r>
            <w:r>
              <w:rPr>
                <w:rStyle w:val="FootnoteReference"/>
                <w:noProof/>
              </w:rPr>
              <w:footnoteReference w:id="24"/>
            </w:r>
          </w:p>
          <w:p>
            <w:pPr>
              <w:pStyle w:val="Text1"/>
              <w:numPr>
                <w:ilvl w:val="0"/>
                <w:numId w:val="24"/>
              </w:numPr>
              <w:rPr>
                <w:b/>
                <w:noProof/>
                <w:sz w:val="16"/>
              </w:rPr>
            </w:pPr>
          </w:p>
        </w:tc>
        <w:tc>
          <w:tcPr>
            <w:tcW w:w="1410" w:type="pct"/>
          </w:tcPr>
          <w:p>
            <w:pPr>
              <w:pStyle w:val="Text1"/>
              <w:numPr>
                <w:ilvl w:val="0"/>
                <w:numId w:val="24"/>
              </w:numPr>
              <w:rPr>
                <w:b/>
                <w:noProof/>
                <w:sz w:val="16"/>
              </w:rPr>
            </w:pPr>
            <w:r>
              <w:rPr>
                <w:noProof/>
                <w:sz w:val="16"/>
              </w:rPr>
              <w:t>- galvenajos birojos</w:t>
            </w:r>
          </w:p>
          <w:p>
            <w:pPr>
              <w:pStyle w:val="Text1"/>
              <w:numPr>
                <w:ilvl w:val="0"/>
                <w:numId w:val="24"/>
              </w:numPr>
              <w:rPr>
                <w:b/>
                <w:noProof/>
                <w:sz w:val="16"/>
              </w:rPr>
            </w:pPr>
          </w:p>
        </w:tc>
        <w:tc>
          <w:tcPr>
            <w:tcW w:w="698" w:type="pct"/>
          </w:tcPr>
          <w:p>
            <w:pPr>
              <w:pStyle w:val="Text1"/>
              <w:numPr>
                <w:ilvl w:val="0"/>
                <w:numId w:val="24"/>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tcPr>
          <w:p>
            <w:pPr>
              <w:pStyle w:val="Text1"/>
              <w:numPr>
                <w:ilvl w:val="0"/>
                <w:numId w:val="24"/>
              </w:numPr>
              <w:rPr>
                <w:b/>
                <w:noProof/>
                <w:sz w:val="16"/>
              </w:rPr>
            </w:pPr>
          </w:p>
        </w:tc>
        <w:tc>
          <w:tcPr>
            <w:tcW w:w="1410" w:type="pct"/>
          </w:tcPr>
          <w:p>
            <w:pPr>
              <w:pStyle w:val="Text1"/>
              <w:numPr>
                <w:ilvl w:val="0"/>
                <w:numId w:val="24"/>
              </w:numPr>
              <w:rPr>
                <w:noProof/>
                <w:sz w:val="16"/>
              </w:rPr>
            </w:pPr>
            <w:r>
              <w:rPr>
                <w:noProof/>
                <w:sz w:val="16"/>
              </w:rPr>
              <w:t xml:space="preserve">- delegācijās </w:t>
            </w:r>
          </w:p>
        </w:tc>
        <w:tc>
          <w:tcPr>
            <w:tcW w:w="698" w:type="pct"/>
          </w:tcPr>
          <w:p>
            <w:pPr>
              <w:pStyle w:val="Text1"/>
              <w:numPr>
                <w:ilvl w:val="0"/>
                <w:numId w:val="24"/>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4"/>
              </w:numPr>
              <w:rPr>
                <w:noProof/>
                <w:sz w:val="16"/>
              </w:rPr>
            </w:pPr>
            <w:r>
              <w:rPr>
                <w:b/>
                <w:noProof/>
                <w:sz w:val="16"/>
              </w:rPr>
              <w:t>08</w:t>
            </w:r>
            <w:r>
              <w:rPr>
                <w:noProof/>
                <w:sz w:val="16"/>
              </w:rPr>
              <w:t xml:space="preserve"> 01 05 02 (CA, SNE, INT —netiešā pētniecība)</w:t>
            </w:r>
          </w:p>
          <w:p>
            <w:pPr>
              <w:pStyle w:val="Text1"/>
              <w:numPr>
                <w:ilvl w:val="0"/>
                <w:numId w:val="24"/>
              </w:numPr>
              <w:rPr>
                <w:noProof/>
                <w:sz w:val="16"/>
              </w:rPr>
            </w:pP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24"/>
              </w:numPr>
              <w:rPr>
                <w:noProof/>
                <w:sz w:val="16"/>
              </w:rPr>
            </w:pPr>
            <w:r>
              <w:rPr>
                <w:noProof/>
                <w:sz w:val="16"/>
              </w:rPr>
              <w:t>10 01 05 02 (CA, SNE, INT – tiešā pētniecība)</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4"/>
              </w:numPr>
              <w:rPr>
                <w:noProof/>
                <w:sz w:val="16"/>
              </w:rPr>
            </w:pPr>
            <w:r>
              <w:rPr>
                <w:noProof/>
                <w:sz w:val="16"/>
              </w:rPr>
              <w:t>Citas budžeta pozīcijas (precizēt)</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24"/>
              </w:numPr>
              <w:rPr>
                <w:noProof/>
                <w:sz w:val="16"/>
              </w:rPr>
            </w:pPr>
            <w:r>
              <w:rPr>
                <w:b/>
                <w:noProof/>
                <w:sz w:val="16"/>
              </w:rPr>
              <w:t>KOPĀ</w:t>
            </w:r>
          </w:p>
        </w:tc>
        <w:tc>
          <w:tcPr>
            <w:tcW w:w="698"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r>
    </w:tbl>
    <w:p>
      <w:pPr>
        <w:pStyle w:val="Text1"/>
        <w:rPr>
          <w:noProof/>
          <w:sz w:val="16"/>
        </w:rPr>
      </w:pPr>
      <w:r>
        <w:rPr>
          <w:b/>
          <w:noProof/>
          <w:sz w:val="16"/>
        </w:rPr>
        <w:t>XX</w:t>
      </w:r>
      <w:r>
        <w:rPr>
          <w:noProof/>
          <w:sz w:val="16"/>
        </w:rPr>
        <w:t xml:space="preserve"> ir attiecīgā 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pStyle w:val="Text2"/>
              <w:spacing w:before="40" w:after="0"/>
              <w:ind w:left="0"/>
              <w:jc w:val="left"/>
              <w:rPr>
                <w:noProof/>
                <w:sz w:val="20"/>
                <w:szCs w:val="20"/>
                <w:u w:val="single"/>
              </w:rPr>
            </w:pPr>
            <w:r>
              <w:rPr>
                <w:noProof/>
                <w:sz w:val="20"/>
                <w:u w:val="single"/>
              </w:rPr>
              <w:t>Ierēdņi un līgumdarbinieki</w:t>
            </w:r>
          </w:p>
          <w:p>
            <w:pPr>
              <w:pStyle w:val="Text2"/>
              <w:spacing w:before="40" w:after="0"/>
              <w:ind w:left="0"/>
              <w:jc w:val="left"/>
              <w:rPr>
                <w:bCs/>
                <w:iCs/>
                <w:noProof/>
                <w:sz w:val="20"/>
                <w:szCs w:val="20"/>
              </w:rPr>
            </w:pPr>
            <w:r>
              <w:rPr>
                <w:noProof/>
                <w:sz w:val="20"/>
              </w:rPr>
              <w:t>Cilvēkresursi 8.2.1. sadaļā ir aprēķināti, ņemot vērā vidējās izmaksas 134 000</w:t>
            </w:r>
            <w:r>
              <w:rPr>
                <w:i/>
                <w:noProof/>
                <w:sz w:val="20"/>
              </w:rPr>
              <w:t xml:space="preserve"> euro </w:t>
            </w:r>
            <w:r>
              <w:rPr>
                <w:noProof/>
                <w:sz w:val="20"/>
              </w:rPr>
              <w:t>apmērā par vienu ierēdni un 70 000 </w:t>
            </w:r>
            <w:r>
              <w:rPr>
                <w:i/>
                <w:noProof/>
                <w:sz w:val="20"/>
              </w:rPr>
              <w:t>euro</w:t>
            </w:r>
            <w:r>
              <w:rPr>
                <w:noProof/>
                <w:sz w:val="20"/>
              </w:rPr>
              <w:t xml:space="preserve"> apmērā par vienu līgumdarbinieku, kuras tiek palielinātas par 2 % gadā. </w:t>
            </w:r>
          </w:p>
          <w:p>
            <w:pPr>
              <w:pStyle w:val="Text1"/>
              <w:jc w:val="left"/>
              <w:rPr>
                <w:noProof/>
                <w:sz w:val="20"/>
                <w:szCs w:val="20"/>
              </w:rPr>
            </w:pPr>
            <w:r>
              <w:rPr>
                <w:noProof/>
                <w:sz w:val="20"/>
              </w:rPr>
              <w:t>No darbības izrietošie galvenie uzdevumi būs šādi:</w:t>
            </w:r>
          </w:p>
          <w:p>
            <w:pPr>
              <w:pStyle w:val="Text1"/>
              <w:jc w:val="left"/>
              <w:rPr>
                <w:noProof/>
                <w:sz w:val="20"/>
                <w:szCs w:val="20"/>
              </w:rPr>
            </w:pPr>
            <w:r>
              <w:rPr>
                <w:noProof/>
                <w:sz w:val="20"/>
              </w:rPr>
              <w:t xml:space="preserve">kā dalībniekam piedalīties </w:t>
            </w:r>
            <w:r>
              <w:rPr>
                <w:i/>
                <w:noProof/>
                <w:sz w:val="20"/>
              </w:rPr>
              <w:t>PRIMA</w:t>
            </w:r>
            <w:r>
              <w:rPr>
                <w:noProof/>
                <w:sz w:val="20"/>
              </w:rPr>
              <w:t xml:space="preserve"> komitejas sanāksmēs </w:t>
            </w:r>
            <w:r>
              <w:rPr>
                <w:i/>
                <w:noProof/>
                <w:sz w:val="20"/>
              </w:rPr>
              <w:t>PRIMA</w:t>
            </w:r>
            <w:r>
              <w:rPr>
                <w:noProof/>
                <w:sz w:val="20"/>
              </w:rPr>
              <w:t xml:space="preserve"> Pētniecības padomes sanāksmēs, +/- divas dienas ilgas 3-4 sanāksmes gadā; </w:t>
            </w:r>
          </w:p>
          <w:p>
            <w:pPr>
              <w:pStyle w:val="Text1"/>
              <w:jc w:val="left"/>
              <w:rPr>
                <w:noProof/>
                <w:sz w:val="20"/>
                <w:szCs w:val="20"/>
              </w:rPr>
            </w:pPr>
            <w:r>
              <w:rPr>
                <w:noProof/>
                <w:sz w:val="20"/>
              </w:rPr>
              <w:t>novērotājs</w:t>
            </w:r>
            <w:r>
              <w:rPr>
                <w:i/>
                <w:noProof/>
                <w:sz w:val="20"/>
              </w:rPr>
              <w:t xml:space="preserve"> PRIMA </w:t>
            </w:r>
            <w:r>
              <w:rPr>
                <w:noProof/>
                <w:sz w:val="20"/>
              </w:rPr>
              <w:t xml:space="preserve">priekšlikumu novērtējumos, 2–3 dienas gadā; </w:t>
            </w:r>
          </w:p>
          <w:p>
            <w:pPr>
              <w:pStyle w:val="Text1"/>
              <w:jc w:val="left"/>
              <w:rPr>
                <w:noProof/>
                <w:sz w:val="20"/>
                <w:szCs w:val="20"/>
              </w:rPr>
            </w:pPr>
            <w:r>
              <w:rPr>
                <w:noProof/>
                <w:sz w:val="20"/>
              </w:rPr>
              <w:t>piedalīšanās darbsemināros un rezultātu izplatīšanas pasākumos, 2-3 reizes gadā</w:t>
            </w:r>
            <w:r>
              <w:rPr>
                <w:noProof/>
              </w:rPr>
              <w:t>;</w:t>
            </w:r>
          </w:p>
          <w:p>
            <w:pPr>
              <w:pStyle w:val="Text1"/>
              <w:jc w:val="left"/>
              <w:rPr>
                <w:noProof/>
                <w:sz w:val="20"/>
                <w:szCs w:val="20"/>
              </w:rPr>
            </w:pPr>
            <w:r>
              <w:rPr>
                <w:noProof/>
                <w:sz w:val="20"/>
              </w:rPr>
              <w:t xml:space="preserve">sarunas par nolīgumu ar </w:t>
            </w:r>
            <w:r>
              <w:rPr>
                <w:i/>
                <w:noProof/>
                <w:sz w:val="20"/>
              </w:rPr>
              <w:t xml:space="preserve">PRIMA </w:t>
            </w:r>
            <w:r>
              <w:rPr>
                <w:noProof/>
                <w:sz w:val="20"/>
              </w:rPr>
              <w:t>ĪS un tā sagatavošana;</w:t>
            </w:r>
          </w:p>
          <w:p>
            <w:pPr>
              <w:pStyle w:val="Text1"/>
              <w:jc w:val="left"/>
              <w:rPr>
                <w:noProof/>
                <w:sz w:val="20"/>
                <w:szCs w:val="20"/>
              </w:rPr>
            </w:pPr>
            <w:r>
              <w:rPr>
                <w:noProof/>
                <w:sz w:val="20"/>
              </w:rPr>
              <w:t>ikgadēja finansēšanas lēmuma un attiecīgo maksājumu sagatavošana;</w:t>
            </w:r>
          </w:p>
          <w:p>
            <w:pPr>
              <w:pStyle w:val="Text1"/>
              <w:jc w:val="left"/>
              <w:rPr>
                <w:noProof/>
                <w:sz w:val="20"/>
                <w:szCs w:val="20"/>
              </w:rPr>
            </w:pPr>
            <w:r>
              <w:rPr>
                <w:noProof/>
                <w:sz w:val="20"/>
              </w:rPr>
              <w:t>gada darba plāna apstiprināšana;</w:t>
            </w:r>
          </w:p>
          <w:p>
            <w:pPr>
              <w:pStyle w:val="Text1"/>
              <w:jc w:val="left"/>
              <w:rPr>
                <w:noProof/>
                <w:sz w:val="20"/>
                <w:szCs w:val="20"/>
              </w:rPr>
            </w:pPr>
            <w:r>
              <w:rPr>
                <w:noProof/>
                <w:sz w:val="20"/>
              </w:rPr>
              <w:t>īstenošanas uzraudzība, pamatojoties uz ikgadējiem ziņojumiem un vidējā termiņa un galīgo novērtējumu saskaņošana;</w:t>
            </w:r>
          </w:p>
          <w:p>
            <w:pPr>
              <w:rPr>
                <w:noProof/>
                <w:sz w:val="20"/>
              </w:rPr>
            </w:pPr>
            <w:r>
              <w:rPr>
                <w:i/>
                <w:noProof/>
                <w:sz w:val="20"/>
              </w:rPr>
              <w:t>PRIMA</w:t>
            </w:r>
            <w:r>
              <w:rPr>
                <w:noProof/>
                <w:sz w:val="20"/>
              </w:rPr>
              <w:t xml:space="preserve"> īstenošanas finanšu un juridiskā revīzija;</w:t>
            </w: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Saderība ar kārtējo daudzgadu finanšu shēmu </w:t>
      </w:r>
    </w:p>
    <w:p>
      <w:pPr>
        <w:pStyle w:val="ListDash1"/>
        <w:rPr>
          <w:noProof/>
        </w:rPr>
      </w:pPr>
      <w:r>
        <w:rPr>
          <w:noProof/>
        </w:rPr>
        <w:sym w:font="Wingdings" w:char="F078"/>
      </w:r>
      <w:r>
        <w:rPr>
          <w:noProof/>
        </w:rPr>
        <w:tab/>
        <w:t>Priekšlikums/iniciatīva atbilst kārtējai daudzgadu finanšu shēmai</w:t>
      </w:r>
    </w:p>
    <w:p>
      <w:pPr>
        <w:pStyle w:val="ListDash1"/>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Trešo personu iemaksas </w:t>
      </w:r>
    </w:p>
    <w:p>
      <w:pPr>
        <w:pStyle w:val="ListDash1"/>
        <w:rPr>
          <w:noProof/>
        </w:rPr>
      </w:pPr>
      <w:r>
        <w:rPr>
          <w:noProof/>
        </w:rPr>
        <w:t xml:space="preserve">Priekšlikums/iniciatīva neparedz trešo personu līdzfinansējumu </w:t>
      </w:r>
    </w:p>
    <w:p>
      <w:pPr>
        <w:pStyle w:val="ListDash1"/>
        <w:rPr>
          <w:noProof/>
        </w:rPr>
      </w:pPr>
      <w:r>
        <w:rPr>
          <w:noProof/>
        </w:rPr>
        <w:sym w:font="Wingdings" w:char="F078"/>
      </w:r>
      <w:r>
        <w:rPr>
          <w:noProof/>
        </w:rPr>
        <w:t xml:space="preserve"> Priekšlikums/iniciatīva paredz šādu līdzfinansējumu:</w:t>
      </w:r>
    </w:p>
    <w:p>
      <w:pPr>
        <w:jc w:val="right"/>
        <w:rPr>
          <w:noProof/>
          <w:sz w:val="20"/>
        </w:rPr>
      </w:pPr>
      <w:r>
        <w:rPr>
          <w:noProof/>
          <w:sz w:val="20"/>
        </w:rPr>
        <w:t>Apropriācijas EUR miljonos (trīs zīmes aiz komata)</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noProof/>
                <w:sz w:val="20"/>
              </w:rPr>
            </w:pPr>
          </w:p>
        </w:tc>
        <w:tc>
          <w:tcPr>
            <w:tcW w:w="964" w:type="dxa"/>
            <w:vAlign w:val="center"/>
          </w:tcPr>
          <w:p>
            <w:pPr>
              <w:jc w:val="center"/>
              <w:rPr>
                <w:noProof/>
                <w:sz w:val="20"/>
              </w:rPr>
            </w:pPr>
            <w:r>
              <w:rPr>
                <w:noProof/>
                <w:sz w:val="20"/>
              </w:rPr>
              <w:t>Gads</w:t>
            </w:r>
            <w:r>
              <w:rPr>
                <w:noProof/>
                <w:sz w:val="22"/>
              </w:rPr>
              <w:br/>
            </w:r>
            <w:r>
              <w:rPr>
                <w:b/>
                <w:noProof/>
                <w:sz w:val="20"/>
              </w:rPr>
              <w:t>2018</w:t>
            </w:r>
          </w:p>
        </w:tc>
        <w:tc>
          <w:tcPr>
            <w:tcW w:w="964" w:type="dxa"/>
            <w:vAlign w:val="center"/>
          </w:tcPr>
          <w:p>
            <w:pPr>
              <w:jc w:val="center"/>
              <w:rPr>
                <w:noProof/>
                <w:sz w:val="20"/>
              </w:rPr>
            </w:pPr>
            <w:r>
              <w:rPr>
                <w:noProof/>
                <w:sz w:val="20"/>
              </w:rPr>
              <w:t>Gads</w:t>
            </w:r>
            <w:r>
              <w:rPr>
                <w:noProof/>
                <w:sz w:val="22"/>
              </w:rPr>
              <w:br/>
            </w:r>
            <w:r>
              <w:rPr>
                <w:b/>
                <w:noProof/>
                <w:sz w:val="20"/>
              </w:rPr>
              <w:t>2019</w:t>
            </w:r>
          </w:p>
        </w:tc>
        <w:tc>
          <w:tcPr>
            <w:tcW w:w="964" w:type="dxa"/>
            <w:vAlign w:val="center"/>
          </w:tcPr>
          <w:p>
            <w:pPr>
              <w:jc w:val="center"/>
              <w:rPr>
                <w:noProof/>
                <w:sz w:val="20"/>
              </w:rPr>
            </w:pPr>
            <w:r>
              <w:rPr>
                <w:noProof/>
                <w:sz w:val="20"/>
              </w:rPr>
              <w:t>Gads</w:t>
            </w:r>
            <w:r>
              <w:rPr>
                <w:noProof/>
                <w:sz w:val="22"/>
              </w:rPr>
              <w:br/>
            </w:r>
            <w:r>
              <w:rPr>
                <w:b/>
                <w:noProof/>
                <w:sz w:val="20"/>
              </w:rPr>
              <w:t>2020</w:t>
            </w:r>
          </w:p>
        </w:tc>
        <w:tc>
          <w:tcPr>
            <w:tcW w:w="964" w:type="dxa"/>
            <w:vAlign w:val="center"/>
          </w:tcPr>
          <w:p>
            <w:pPr>
              <w:spacing w:before="60" w:after="60"/>
              <w:jc w:val="center"/>
              <w:rPr>
                <w:noProof/>
                <w:sz w:val="20"/>
              </w:rPr>
            </w:pPr>
            <w:r>
              <w:rPr>
                <w:noProof/>
                <w:sz w:val="20"/>
              </w:rPr>
              <w:t>Gads</w:t>
            </w:r>
            <w:r>
              <w:rPr>
                <w:noProof/>
                <w:sz w:val="22"/>
              </w:rPr>
              <w:br/>
            </w:r>
            <w:r>
              <w:rPr>
                <w:b/>
                <w:noProof/>
                <w:sz w:val="20"/>
              </w:rPr>
              <w:t>2021</w:t>
            </w:r>
          </w:p>
        </w:tc>
        <w:tc>
          <w:tcPr>
            <w:tcW w:w="2892" w:type="dxa"/>
            <w:gridSpan w:val="3"/>
            <w:vAlign w:val="center"/>
          </w:tcPr>
          <w:p>
            <w:pPr>
              <w:spacing w:before="60" w:after="60"/>
              <w:jc w:val="center"/>
              <w:rPr>
                <w:noProof/>
                <w:sz w:val="20"/>
              </w:rPr>
            </w:pPr>
            <w:r>
              <w:rPr>
                <w:noProof/>
                <w:sz w:val="20"/>
              </w:rPr>
              <w:t>Gads</w:t>
            </w:r>
            <w:r>
              <w:rPr>
                <w:noProof/>
                <w:sz w:val="22"/>
              </w:rPr>
              <w:br/>
            </w:r>
            <w:r>
              <w:rPr>
                <w:b/>
                <w:noProof/>
                <w:sz w:val="20"/>
              </w:rPr>
              <w:t>2022</w:t>
            </w:r>
          </w:p>
        </w:tc>
        <w:tc>
          <w:tcPr>
            <w:tcW w:w="1158" w:type="dxa"/>
            <w:vAlign w:val="center"/>
          </w:tcPr>
          <w:p>
            <w:pPr>
              <w:spacing w:before="60" w:after="60"/>
              <w:jc w:val="center"/>
              <w:rPr>
                <w:noProof/>
                <w:sz w:val="20"/>
              </w:rPr>
            </w:pPr>
            <w:r>
              <w:rPr>
                <w:noProof/>
                <w:sz w:val="20"/>
              </w:rPr>
              <w:t>Gads</w:t>
            </w:r>
            <w:r>
              <w:rPr>
                <w:noProof/>
                <w:sz w:val="22"/>
              </w:rPr>
              <w:br/>
            </w:r>
            <w:r>
              <w:rPr>
                <w:b/>
                <w:noProof/>
                <w:sz w:val="20"/>
              </w:rPr>
              <w:t>2023</w:t>
            </w:r>
          </w:p>
        </w:tc>
      </w:tr>
      <w:tr>
        <w:trPr>
          <w:cantSplit/>
          <w:jc w:val="center"/>
        </w:trPr>
        <w:tc>
          <w:tcPr>
            <w:tcW w:w="2340" w:type="dxa"/>
          </w:tcPr>
          <w:p>
            <w:pPr>
              <w:rPr>
                <w:noProof/>
              </w:rPr>
            </w:pPr>
            <w:r>
              <w:rPr>
                <w:i/>
                <w:noProof/>
                <w:sz w:val="20"/>
              </w:rPr>
              <w:t>PRIMA</w:t>
            </w:r>
            <w:r>
              <w:rPr>
                <w:noProof/>
                <w:sz w:val="20"/>
              </w:rPr>
              <w:t xml:space="preserve"> iesaistīto valstu saistības</w:t>
            </w:r>
          </w:p>
        </w:tc>
        <w:tc>
          <w:tcPr>
            <w:tcW w:w="964" w:type="dxa"/>
            <w:vAlign w:val="center"/>
          </w:tcPr>
          <w:p>
            <w:pPr>
              <w:spacing w:before="60" w:after="60"/>
              <w:jc w:val="center"/>
              <w:rPr>
                <w:noProof/>
                <w:sz w:val="20"/>
              </w:rPr>
            </w:pPr>
            <w:r>
              <w:rPr>
                <w:noProof/>
                <w:sz w:val="20"/>
              </w:rPr>
              <w:t>20 000</w:t>
            </w:r>
          </w:p>
        </w:tc>
        <w:tc>
          <w:tcPr>
            <w:tcW w:w="964" w:type="dxa"/>
            <w:vAlign w:val="center"/>
          </w:tcPr>
          <w:p>
            <w:pPr>
              <w:spacing w:before="60" w:after="60"/>
              <w:jc w:val="center"/>
              <w:rPr>
                <w:noProof/>
                <w:sz w:val="20"/>
              </w:rPr>
            </w:pPr>
            <w:r>
              <w:rPr>
                <w:noProof/>
                <w:sz w:val="20"/>
              </w:rPr>
              <w:t>20 000</w:t>
            </w:r>
          </w:p>
        </w:tc>
        <w:tc>
          <w:tcPr>
            <w:tcW w:w="964" w:type="dxa"/>
            <w:vAlign w:val="center"/>
          </w:tcPr>
          <w:p>
            <w:pPr>
              <w:spacing w:before="60" w:after="60"/>
              <w:jc w:val="center"/>
              <w:rPr>
                <w:noProof/>
                <w:sz w:val="20"/>
              </w:rPr>
            </w:pPr>
            <w:r>
              <w:rPr>
                <w:noProof/>
                <w:sz w:val="20"/>
              </w:rPr>
              <w:t>20 000</w:t>
            </w:r>
          </w:p>
        </w:tc>
        <w:tc>
          <w:tcPr>
            <w:tcW w:w="964" w:type="dxa"/>
            <w:vAlign w:val="center"/>
          </w:tcPr>
          <w:p>
            <w:pPr>
              <w:spacing w:before="60" w:after="60"/>
              <w:jc w:val="center"/>
              <w:rPr>
                <w:noProof/>
                <w:sz w:val="20"/>
              </w:rPr>
            </w:pPr>
            <w:r>
              <w:rPr>
                <w:noProof/>
                <w:sz w:val="20"/>
              </w:rPr>
              <w:t>30 000</w:t>
            </w:r>
          </w:p>
        </w:tc>
        <w:tc>
          <w:tcPr>
            <w:tcW w:w="964" w:type="dxa"/>
            <w:vAlign w:val="center"/>
          </w:tcPr>
          <w:p>
            <w:pPr>
              <w:spacing w:before="60" w:after="60"/>
              <w:jc w:val="center"/>
              <w:rPr>
                <w:noProof/>
                <w:sz w:val="20"/>
              </w:rPr>
            </w:pPr>
            <w:r>
              <w:rPr>
                <w:noProof/>
                <w:sz w:val="20"/>
              </w:rPr>
              <w:t>30 000</w:t>
            </w:r>
          </w:p>
        </w:tc>
        <w:tc>
          <w:tcPr>
            <w:tcW w:w="964" w:type="dxa"/>
            <w:vAlign w:val="center"/>
          </w:tcPr>
          <w:p>
            <w:pPr>
              <w:spacing w:before="60" w:after="60"/>
              <w:jc w:val="center"/>
              <w:rPr>
                <w:noProof/>
                <w:sz w:val="20"/>
              </w:rPr>
            </w:pPr>
            <w:r>
              <w:rPr>
                <w:noProof/>
                <w:sz w:val="20"/>
              </w:rPr>
              <w:t>40 000</w:t>
            </w:r>
          </w:p>
        </w:tc>
        <w:tc>
          <w:tcPr>
            <w:tcW w:w="964" w:type="dxa"/>
            <w:vAlign w:val="center"/>
          </w:tcPr>
          <w:p>
            <w:pPr>
              <w:spacing w:before="60" w:after="60"/>
              <w:jc w:val="center"/>
              <w:rPr>
                <w:noProof/>
                <w:sz w:val="20"/>
              </w:rPr>
            </w:pPr>
            <w:r>
              <w:rPr>
                <w:noProof/>
                <w:sz w:val="20"/>
              </w:rPr>
              <w:t>40 000</w:t>
            </w:r>
          </w:p>
        </w:tc>
        <w:tc>
          <w:tcPr>
            <w:tcW w:w="1158" w:type="dxa"/>
            <w:vAlign w:val="center"/>
          </w:tcPr>
          <w:p>
            <w:pPr>
              <w:spacing w:before="60" w:after="60"/>
              <w:jc w:val="center"/>
              <w:rPr>
                <w:noProof/>
                <w:sz w:val="20"/>
              </w:rPr>
            </w:pPr>
            <w:r>
              <w:rPr>
                <w:noProof/>
                <w:sz w:val="20"/>
              </w:rPr>
              <w:t>200 000</w:t>
            </w:r>
          </w:p>
        </w:tc>
      </w:tr>
      <w:tr>
        <w:trPr>
          <w:cantSplit/>
          <w:jc w:val="center"/>
        </w:trPr>
        <w:tc>
          <w:tcPr>
            <w:tcW w:w="2340" w:type="dxa"/>
          </w:tcPr>
          <w:p>
            <w:pPr>
              <w:spacing w:before="60" w:after="60"/>
              <w:jc w:val="left"/>
              <w:rPr>
                <w:noProof/>
                <w:sz w:val="20"/>
              </w:rPr>
            </w:pPr>
            <w:r>
              <w:rPr>
                <w:noProof/>
                <w:sz w:val="20"/>
              </w:rPr>
              <w:t xml:space="preserve">KOPĀ līdzfinansētās apropriācijas </w:t>
            </w:r>
          </w:p>
        </w:tc>
        <w:tc>
          <w:tcPr>
            <w:tcW w:w="964" w:type="dxa"/>
            <w:vAlign w:val="center"/>
          </w:tcPr>
          <w:p>
            <w:pPr>
              <w:spacing w:before="60" w:after="60"/>
              <w:jc w:val="center"/>
              <w:rPr>
                <w:noProof/>
                <w:sz w:val="20"/>
              </w:rPr>
            </w:pPr>
            <w:r>
              <w:rPr>
                <w:noProof/>
                <w:sz w:val="20"/>
              </w:rPr>
              <w:t>20 000</w:t>
            </w:r>
          </w:p>
        </w:tc>
        <w:tc>
          <w:tcPr>
            <w:tcW w:w="964" w:type="dxa"/>
            <w:vAlign w:val="center"/>
          </w:tcPr>
          <w:p>
            <w:pPr>
              <w:spacing w:before="60" w:after="60"/>
              <w:jc w:val="center"/>
              <w:rPr>
                <w:noProof/>
                <w:sz w:val="20"/>
              </w:rPr>
            </w:pPr>
            <w:r>
              <w:rPr>
                <w:noProof/>
                <w:sz w:val="20"/>
              </w:rPr>
              <w:t>20 000</w:t>
            </w:r>
          </w:p>
        </w:tc>
        <w:tc>
          <w:tcPr>
            <w:tcW w:w="964" w:type="dxa"/>
            <w:vAlign w:val="center"/>
          </w:tcPr>
          <w:p>
            <w:pPr>
              <w:spacing w:before="60" w:after="60"/>
              <w:jc w:val="center"/>
              <w:rPr>
                <w:noProof/>
                <w:sz w:val="20"/>
              </w:rPr>
            </w:pPr>
            <w:r>
              <w:rPr>
                <w:noProof/>
                <w:sz w:val="20"/>
              </w:rPr>
              <w:t>20 000</w:t>
            </w:r>
          </w:p>
        </w:tc>
        <w:tc>
          <w:tcPr>
            <w:tcW w:w="964" w:type="dxa"/>
            <w:vAlign w:val="center"/>
          </w:tcPr>
          <w:p>
            <w:pPr>
              <w:spacing w:before="60" w:after="60"/>
              <w:jc w:val="center"/>
              <w:rPr>
                <w:noProof/>
                <w:sz w:val="20"/>
              </w:rPr>
            </w:pPr>
            <w:r>
              <w:rPr>
                <w:noProof/>
                <w:sz w:val="20"/>
              </w:rPr>
              <w:t>30 000</w:t>
            </w:r>
          </w:p>
        </w:tc>
        <w:tc>
          <w:tcPr>
            <w:tcW w:w="964" w:type="dxa"/>
            <w:vAlign w:val="center"/>
          </w:tcPr>
          <w:p>
            <w:pPr>
              <w:spacing w:before="60" w:after="60"/>
              <w:jc w:val="center"/>
              <w:rPr>
                <w:noProof/>
                <w:sz w:val="20"/>
              </w:rPr>
            </w:pPr>
            <w:r>
              <w:rPr>
                <w:noProof/>
                <w:sz w:val="20"/>
              </w:rPr>
              <w:t>30 000</w:t>
            </w:r>
          </w:p>
        </w:tc>
        <w:tc>
          <w:tcPr>
            <w:tcW w:w="964" w:type="dxa"/>
            <w:vAlign w:val="center"/>
          </w:tcPr>
          <w:p>
            <w:pPr>
              <w:spacing w:before="60" w:after="60"/>
              <w:jc w:val="center"/>
              <w:rPr>
                <w:noProof/>
                <w:sz w:val="20"/>
              </w:rPr>
            </w:pPr>
            <w:r>
              <w:rPr>
                <w:noProof/>
                <w:sz w:val="20"/>
              </w:rPr>
              <w:t>40 000</w:t>
            </w:r>
          </w:p>
        </w:tc>
        <w:tc>
          <w:tcPr>
            <w:tcW w:w="964" w:type="dxa"/>
            <w:vAlign w:val="center"/>
          </w:tcPr>
          <w:p>
            <w:pPr>
              <w:spacing w:before="60" w:after="60"/>
              <w:jc w:val="center"/>
              <w:rPr>
                <w:noProof/>
                <w:sz w:val="20"/>
              </w:rPr>
            </w:pPr>
            <w:r>
              <w:rPr>
                <w:noProof/>
                <w:sz w:val="20"/>
              </w:rPr>
              <w:t>40 000</w:t>
            </w:r>
          </w:p>
        </w:tc>
        <w:tc>
          <w:tcPr>
            <w:tcW w:w="1158" w:type="dxa"/>
            <w:vAlign w:val="center"/>
          </w:tcPr>
          <w:p>
            <w:pPr>
              <w:spacing w:before="60" w:after="60"/>
              <w:jc w:val="center"/>
              <w:rPr>
                <w:noProof/>
                <w:sz w:val="20"/>
              </w:rPr>
            </w:pPr>
            <w:r>
              <w:rPr>
                <w:noProof/>
                <w:sz w:val="20"/>
              </w:rPr>
              <w:t>200 000</w:t>
            </w:r>
          </w:p>
        </w:tc>
      </w:tr>
    </w:tbl>
    <w:p>
      <w:pPr>
        <w:rPr>
          <w:noProof/>
        </w:rPr>
      </w:pPr>
      <w:r>
        <w:rPr>
          <w:noProof/>
        </w:rPr>
        <w:br/>
      </w:r>
    </w:p>
    <w:p>
      <w:pPr>
        <w:pStyle w:val="ManualHeading2"/>
        <w:rPr>
          <w:bCs/>
          <w:noProof/>
          <w:szCs w:val="24"/>
        </w:rPr>
      </w:pPr>
      <w:r>
        <w:rPr>
          <w:noProof/>
        </w:rPr>
        <w:br w:type="page"/>
      </w:r>
      <w:r>
        <w:t>3.3.</w:t>
      </w:r>
      <w:r>
        <w:tab/>
      </w:r>
      <w:r>
        <w:rPr>
          <w:noProof/>
        </w:rPr>
        <w:t xml:space="preserve">Paredzamā ietekme uz ieņēmumiem </w:t>
      </w:r>
    </w:p>
    <w:p>
      <w:pPr>
        <w:pStyle w:val="ListDash1"/>
        <w:rPr>
          <w:noProof/>
        </w:rPr>
      </w:pPr>
      <w:r>
        <w:rPr>
          <w:noProof/>
        </w:rPr>
        <w:sym w:font="Wingdings" w:char="F078"/>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sym w:font="Wingdings" w:char="F0A8"/>
      </w:r>
      <w:r>
        <w:rPr>
          <w:noProof/>
        </w:rPr>
        <w:tab/>
        <w:t xml:space="preserve">dažādus ieņēmumus </w:t>
      </w:r>
    </w:p>
    <w:p>
      <w:pPr>
        <w:jc w:val="right"/>
        <w:rPr>
          <w:i/>
          <w:noProof/>
          <w:sz w:val="20"/>
        </w:rPr>
      </w:pPr>
      <w:r>
        <w:rPr>
          <w:noProof/>
        </w:rPr>
        <w:t>EUR miljonos (trīs zīmes aiz komata)</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25"/>
            </w:r>
          </w:p>
        </w:tc>
      </w:tr>
      <w:tr>
        <w:trPr>
          <w:trHeight w:val="388"/>
          <w:jc w:val="center"/>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Gads</w:t>
            </w:r>
            <w:r>
              <w:rPr>
                <w:noProof/>
                <w:sz w:val="22"/>
              </w:rPr>
              <w:br/>
            </w:r>
            <w:r>
              <w:rPr>
                <w:b/>
                <w:noProof/>
                <w:sz w:val="18"/>
              </w:rPr>
              <w:t>N</w:t>
            </w:r>
          </w:p>
        </w:tc>
        <w:tc>
          <w:tcPr>
            <w:tcW w:w="900" w:type="dxa"/>
            <w:vAlign w:val="center"/>
          </w:tcPr>
          <w:p>
            <w:pPr>
              <w:jc w:val="center"/>
              <w:rPr>
                <w:noProof/>
                <w:sz w:val="18"/>
              </w:rPr>
            </w:pPr>
            <w:r>
              <w:rPr>
                <w:noProof/>
                <w:sz w:val="18"/>
              </w:rPr>
              <w:t>Gads</w:t>
            </w:r>
            <w:r>
              <w:rPr>
                <w:noProof/>
                <w:sz w:val="22"/>
              </w:rPr>
              <w:br/>
            </w:r>
            <w:r>
              <w:rPr>
                <w:b/>
                <w:noProof/>
                <w:sz w:val="18"/>
              </w:rPr>
              <w:t>N+1</w:t>
            </w:r>
          </w:p>
        </w:tc>
        <w:tc>
          <w:tcPr>
            <w:tcW w:w="900" w:type="dxa"/>
            <w:vAlign w:val="center"/>
          </w:tcPr>
          <w:p>
            <w:pPr>
              <w:jc w:val="center"/>
              <w:rPr>
                <w:noProof/>
                <w:sz w:val="18"/>
              </w:rPr>
            </w:pPr>
            <w:r>
              <w:rPr>
                <w:noProof/>
                <w:sz w:val="18"/>
              </w:rPr>
              <w:t>Gads</w:t>
            </w:r>
            <w:r>
              <w:rPr>
                <w:noProof/>
                <w:sz w:val="22"/>
              </w:rPr>
              <w:br/>
            </w:r>
            <w:r>
              <w:rPr>
                <w:b/>
                <w:noProof/>
                <w:sz w:val="18"/>
              </w:rPr>
              <w:t>N+2</w:t>
            </w:r>
          </w:p>
        </w:tc>
        <w:tc>
          <w:tcPr>
            <w:tcW w:w="1080" w:type="dxa"/>
            <w:vAlign w:val="center"/>
          </w:tcPr>
          <w:p>
            <w:pPr>
              <w:jc w:val="center"/>
              <w:rPr>
                <w:noProof/>
                <w:sz w:val="18"/>
              </w:rPr>
            </w:pPr>
            <w:r>
              <w:rPr>
                <w:noProof/>
                <w:sz w:val="18"/>
              </w:rPr>
              <w:t>Gads</w:t>
            </w:r>
            <w:r>
              <w:rPr>
                <w:noProof/>
                <w:sz w:val="22"/>
              </w:rPr>
              <w:br/>
            </w:r>
            <w:r>
              <w:rPr>
                <w:b/>
                <w:noProof/>
                <w:sz w:val="18"/>
              </w:rPr>
              <w:t>N+3</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jc w:val="center"/>
        </w:trPr>
        <w:tc>
          <w:tcPr>
            <w:tcW w:w="2144" w:type="dxa"/>
            <w:vAlign w:val="center"/>
          </w:tcPr>
          <w:p>
            <w:pPr>
              <w:spacing w:before="40" w:after="40"/>
              <w:rPr>
                <w:noProof/>
                <w:sz w:val="18"/>
              </w:rPr>
            </w:pPr>
            <w:r>
              <w:rPr>
                <w:noProof/>
                <w:sz w:val="18"/>
              </w:rPr>
              <w:t>Pants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Norādīt, ar kādu metodi aprēķināta ietekme uz ieņēmumiem.</w:t>
      </w:r>
    </w:p>
    <w:sectPr>
      <w:pgSz w:w="12240" w:h="15840" w:code="1"/>
      <w:pgMar w:top="902" w:right="1134" w:bottom="1247" w:left="902"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i/>
        </w:rPr>
        <w:t>PRIMA</w:t>
      </w:r>
      <w:r>
        <w:t xml:space="preserve"> Kopīgā programma ietver 19 valstis:</w:t>
      </w:r>
    </w:p>
    <w:p>
      <w:pPr>
        <w:pStyle w:val="FootnoteText"/>
      </w:pPr>
      <w:r>
        <w:tab/>
        <w:t>- 11 dalībvalstis: Horvātiju, Kipru, Čehijas Republiku, Franciju, Grieķiju, Itāliju, Luksemburgu, Maltu, Portugāli, Slovēniju un Spāniju;</w:t>
      </w:r>
    </w:p>
    <w:p>
      <w:pPr>
        <w:pStyle w:val="FootnoteText"/>
      </w:pPr>
      <w:r>
        <w:tab/>
        <w:t>- 8 trešās valstis: Alžīriju, Ēģipti, Izraēlu, Jordāniju, Lībiju, Maroku, Tunisiju un Turciju.</w:t>
      </w:r>
    </w:p>
    <w:p>
      <w:pPr>
        <w:pStyle w:val="FootnoteText"/>
      </w:pPr>
      <w:r>
        <w:tab/>
        <w:t xml:space="preserve">No minētajām valstīm 14 valstis (Kipra, Čehijas Republika, Ēģipte, Francija, Grieķija, Izraēla, Itālija, Lībija Luksemburga, Malta, Maroka, Portugāle, Spānija un Tunisija) vienojās par </w:t>
      </w:r>
      <w:r>
        <w:rPr>
          <w:i/>
        </w:rPr>
        <w:t>PRIMA</w:t>
      </w:r>
      <w:r>
        <w:t xml:space="preserve"> iniciatīvas kopīgu uzsākšanu.</w:t>
      </w:r>
    </w:p>
  </w:footnote>
  <w:footnote w:id="2">
    <w:p>
      <w:pPr>
        <w:pStyle w:val="Default"/>
      </w:pPr>
      <w:r>
        <w:rPr>
          <w:rStyle w:val="FootnoteReference"/>
        </w:rPr>
        <w:footnoteRef/>
      </w:r>
      <w:r>
        <w:tab/>
      </w:r>
      <w:r>
        <w:rPr>
          <w:sz w:val="20"/>
        </w:rPr>
        <w:t>Eiropas Komisijas Lēmums</w:t>
      </w:r>
      <w:r>
        <w:rPr>
          <w:color w:val="auto"/>
          <w:sz w:val="20"/>
        </w:rPr>
        <w:t xml:space="preserve"> C(2016)4614, 2016. gada 25. jūlijs</w:t>
      </w:r>
    </w:p>
  </w:footnote>
  <w:footnote w:id="3">
    <w:p>
      <w:pPr>
        <w:pStyle w:val="FootnoteText"/>
      </w:pPr>
      <w:r>
        <w:rPr>
          <w:rStyle w:val="FootnoteReference"/>
        </w:rPr>
        <w:footnoteRef/>
      </w:r>
      <w:r>
        <w:tab/>
        <w:t>OV C ... [ESK atzinums]</w:t>
      </w:r>
    </w:p>
  </w:footnote>
  <w:footnote w:id="4">
    <w:p>
      <w:pPr>
        <w:pStyle w:val="FootnoteText"/>
      </w:pPr>
      <w:r>
        <w:rPr>
          <w:rStyle w:val="FootnoteReference"/>
        </w:rPr>
        <w:footnoteRef/>
      </w:r>
      <w:r>
        <w:tab/>
        <w:t>Eiropas Parlamenta un Padomes 2013. gada 11. decembra Regula (ES) Nr. 1291/2013, ar ko izveido pētniecības un inovācijas pamatprogrammu “Apvārsnis 2020” (2014.–2020. gads) un atceļ Lēmumu Nr. 1982/2006/EK (OV L 347, 20.12.2013., 104. lpp.).</w:t>
      </w:r>
    </w:p>
  </w:footnote>
  <w:footnote w:id="5">
    <w:p>
      <w:pPr>
        <w:pStyle w:val="FootnoteText"/>
      </w:pPr>
      <w:r>
        <w:rPr>
          <w:rStyle w:val="FootnoteReference"/>
        </w:rPr>
        <w:footnoteRef/>
      </w:r>
      <w:r>
        <w:tab/>
        <w:t>Eiropas Parlamenta un Padomes 2012. gada 25. oktobra Regula (ES, Euratom) Nr. 966/2012 par finanšu noteikumiem, ko piemēro Savienības vispārējam budžetam, un par Padomes Regulas (EK, Euratom) Nr. 1605/2002 atcelšanu (OV L 298, 26.10.2012., 1. lpp.).</w:t>
      </w:r>
    </w:p>
  </w:footnote>
  <w:footnote w:id="6">
    <w:p>
      <w:pPr>
        <w:pStyle w:val="FootnoteText"/>
      </w:pPr>
      <w:r>
        <w:rPr>
          <w:rStyle w:val="FootnoteReference"/>
        </w:rPr>
        <w:footnoteRef/>
      </w:r>
      <w:r>
        <w:tab/>
        <w:t>Komisijas 2012. gada 29. oktobra Deleģētā regula (ES) Nr. 1268/2012 par Regulas (ES, Euratom) Nr. 966/2012 piemērošanas noteikumiem (OV L 362, 31.12.2012., 1. lpp.).</w:t>
      </w:r>
    </w:p>
  </w:footnote>
  <w:footnote w:id="7">
    <w:p>
      <w:pPr>
        <w:pStyle w:val="FootnoteText"/>
      </w:pPr>
      <w:r>
        <w:rPr>
          <w:rStyle w:val="FootnoteReference"/>
        </w:rPr>
        <w:footnoteRef/>
      </w:r>
      <w:r>
        <w:tab/>
        <w:t>Eiropas Parlamenta un Padomes 2013. gada 11. decembra Regula (ES) Nr. 1290/2013, ar ko nosaka pētniecības un inovācijas pamatprogrammas “Apvārsnis 2020” (2014.–2020. gads) dalības un rezultātu izplatīšanas noteikumus un atceļ Regulu (EK) Nr. 1906/2006 (OV L 347, 20.12.2013., 81. lpp.).</w:t>
      </w:r>
    </w:p>
  </w:footnote>
  <w:footnote w:id="8">
    <w:p>
      <w:pPr>
        <w:pStyle w:val="FootnoteText"/>
      </w:pPr>
      <w:r>
        <w:rPr>
          <w:rStyle w:val="FootnoteReference"/>
        </w:rPr>
        <w:footnoteRef/>
      </w:r>
      <w:r>
        <w:tab/>
        <w:t>Padomes 2013. gada 3. decembra Lēmums 2013/743/ES, ar ko izveido īpašo programmu, ar kuru īsteno pētniecības un inovācijas pamatprogrammu “Apvārsnis 2020” (2014.–2020. gads), un atceļ Lēmumus 2006/971/EK, 2006/972/EK, 2006/973/EK, 2006/974/EK un 2006/975/EK (OV L 347, 20.12.2013, 965. lpp.).</w:t>
      </w:r>
    </w:p>
  </w:footnote>
  <w:footnote w:id="9">
    <w:p>
      <w:pPr>
        <w:pStyle w:val="FootnoteText"/>
      </w:pPr>
      <w:r>
        <w:rPr>
          <w:rStyle w:val="FootnoteReference"/>
        </w:rPr>
        <w:footnoteRef/>
      </w:r>
      <w:r>
        <w:tab/>
        <w:t>Padomes 1996. gada 11. novembra Regula (Euratom, EK) Nr. 2185/96 par pārbaudēm un apskatēm uz vietas, ko Komisija veic, lai aizsargātu Eiropas Kopienu finanšu intereses pret krāpšanu un citām nelikumībām (OV L 292, 15.11.1996., 2. lpp.).</w:t>
      </w:r>
    </w:p>
  </w:footnote>
  <w:footnote w:id="10">
    <w:p>
      <w:pPr>
        <w:pStyle w:val="FootnoteText"/>
      </w:pPr>
      <w:r>
        <w:rPr>
          <w:rStyle w:val="FootnoteReference"/>
        </w:rPr>
        <w:footnoteRef/>
      </w:r>
      <w:r>
        <w:tab/>
        <w:t>Eiropas Parlamenta un Padomes 2013. gada 11. septembra Regula (ES, Euratom) Nr. 883/2013 par izmeklēšanu, ko veic Eiropas Birojs krāpšanas apkarošanai (OLAF), un ar ko atceļ Eiropas Parlamenta un Padomes Regulu (EK) Nr. 1073/1999 un Padomes Regulu (Euratom) Nr. 1074/1999 (OV L 248, 18.9.2003., 1. lpp.).</w:t>
      </w:r>
    </w:p>
  </w:footnote>
  <w:footnote w:id="11">
    <w:p>
      <w:pPr>
        <w:pStyle w:val="FootnoteText"/>
        <w:rPr>
          <w:szCs w:val="24"/>
        </w:rPr>
      </w:pPr>
      <w:r>
        <w:rPr>
          <w:rStyle w:val="FootnoteReference"/>
        </w:rPr>
        <w:footnoteRef/>
      </w:r>
      <w:r>
        <w:tab/>
        <w:t>ABM: budžeta līdzekļu vadība pa darbības jomām; ABB: budžeta līdzekļu sadale pa darbības jomām.</w:t>
      </w:r>
    </w:p>
  </w:footnote>
  <w:footnote w:id="12">
    <w:p>
      <w:pPr>
        <w:pStyle w:val="FootnoteText"/>
        <w:rPr>
          <w:szCs w:val="24"/>
        </w:rPr>
      </w:pPr>
      <w:r>
        <w:rPr>
          <w:rStyle w:val="FootnoteReference"/>
        </w:rPr>
        <w:footnoteRef/>
      </w:r>
      <w:r>
        <w:tab/>
        <w:t>Kā paredzēts Finanšu regulas 54. panta 2. punkta a) vai b) apakšpunktā.</w:t>
      </w:r>
    </w:p>
  </w:footnote>
  <w:footnote w:id="13">
    <w:p>
      <w:pPr>
        <w:pStyle w:val="FootnoteText"/>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1">
        <w:r>
          <w:rPr>
            <w:rStyle w:val="Hyperlink"/>
            <w:sz w:val="18"/>
          </w:rPr>
          <w:t>http://www.cc.cec/budg/man/budgmanag/budgmanag_en.html</w:t>
        </w:r>
      </w:hyperlink>
      <w:r>
        <w:rPr>
          <w:rStyle w:val="Hyperlink"/>
          <w:sz w:val="18"/>
        </w:rPr>
        <w:t>.</w:t>
      </w:r>
    </w:p>
  </w:footnote>
  <w:footnote w:id="14">
    <w:p>
      <w:pPr>
        <w:pStyle w:val="FootnoteText"/>
        <w:rPr>
          <w:szCs w:val="24"/>
        </w:rPr>
      </w:pPr>
      <w:r>
        <w:rPr>
          <w:rStyle w:val="FootnoteReference"/>
        </w:rPr>
        <w:footnoteRef/>
      </w:r>
      <w:r>
        <w:tab/>
        <w:t>Dif. = Diferenciētās apropriācijas / Nedif. = Nediferencētās apropriācijas.</w:t>
      </w:r>
    </w:p>
  </w:footnote>
  <w:footnote w:id="15">
    <w:p>
      <w:pPr>
        <w:pStyle w:val="FootnoteText"/>
        <w:rPr>
          <w:szCs w:val="24"/>
        </w:rPr>
      </w:pPr>
      <w:r>
        <w:rPr>
          <w:rStyle w:val="FootnoteReference"/>
        </w:rPr>
        <w:footnoteRef/>
      </w:r>
      <w:r>
        <w:tab/>
        <w:t>EBTA: Eiropas Brīvās tirdzniecības asociācija. .</w:t>
      </w:r>
    </w:p>
  </w:footnote>
  <w:footnote w:id="16">
    <w:p>
      <w:pPr>
        <w:pStyle w:val="FootnoteText"/>
        <w:rPr>
          <w:szCs w:val="24"/>
        </w:rPr>
      </w:pPr>
      <w:r>
        <w:rPr>
          <w:rStyle w:val="FootnoteReference"/>
        </w:rPr>
        <w:footnoteRef/>
      </w:r>
      <w:r>
        <w:tab/>
        <w:t>Kandidātvalstis un attiecīgā gadījumā potenciālās kandidātvalstis no Rietumbalkāniem.</w:t>
      </w:r>
    </w:p>
  </w:footnote>
  <w:footnote w:id="17">
    <w:p>
      <w:pPr>
        <w:pStyle w:val="FootnoteText"/>
        <w:rPr>
          <w:szCs w:val="24"/>
        </w:rPr>
      </w:pPr>
      <w:r>
        <w:rPr>
          <w:rStyle w:val="FootnoteReference"/>
        </w:rPr>
        <w:footnoteRef/>
      </w:r>
      <w:r>
        <w:tab/>
        <w:t>N gads ir gads, kurā priekšlikumu/iniciatīvu sāk īstenot.</w:t>
      </w:r>
    </w:p>
  </w:footnote>
  <w:footnote w:id="18">
    <w:p>
      <w:pPr>
        <w:pStyle w:val="FootnoteText"/>
        <w:rPr>
          <w:szCs w:val="24"/>
        </w:rPr>
      </w:pPr>
      <w:r>
        <w:rPr>
          <w:rStyle w:val="FootnoteReference"/>
        </w:rPr>
        <w:footnoteRef/>
      </w:r>
      <w:r>
        <w:tab/>
        <w:t>N gads ir gads, kurā priekšlikumu/iniciatīvu sāk īstenot.</w:t>
      </w:r>
    </w:p>
  </w:footnote>
  <w:footnote w:id="19">
    <w:p>
      <w:pPr>
        <w:pStyle w:val="FootnoteText"/>
        <w:rPr>
          <w:szCs w:val="24"/>
        </w:rPr>
      </w:pPr>
      <w:r>
        <w:rPr>
          <w:rStyle w:val="FootnoteReference"/>
        </w:rPr>
        <w:footnoteRef/>
      </w:r>
      <w:r>
        <w:tab/>
        <w:t>N gads ir gads, kurā priekšlikumu/iniciatīvu sāk īstenot.</w:t>
      </w:r>
    </w:p>
  </w:footnote>
  <w:footnote w:id="20">
    <w:p>
      <w:pPr>
        <w:pStyle w:val="FootnoteText"/>
        <w:rPr>
          <w:szCs w:val="24"/>
        </w:rPr>
      </w:pPr>
      <w:r>
        <w:rPr>
          <w:rStyle w:val="FootnoteReference"/>
        </w:rPr>
        <w:footnoteRef/>
      </w:r>
      <w:r>
        <w:tab/>
        <w:t>Izvade ir izstrādājumi, kas jāpiegādā, un pakalpojumi, kas jāsniedz (piem., finansēto studentu apmaiņu skaits, uzbūvēto ceļu km skaits, u.c.).</w:t>
      </w:r>
    </w:p>
  </w:footnote>
  <w:footnote w:id="21">
    <w:p>
      <w:pPr>
        <w:pStyle w:val="FootnoteText"/>
        <w:rPr>
          <w:szCs w:val="24"/>
        </w:rPr>
      </w:pPr>
      <w:r>
        <w:rPr>
          <w:rStyle w:val="FootnoteReference"/>
        </w:rPr>
        <w:footnoteRef/>
      </w:r>
      <w:r>
        <w:tab/>
        <w:t xml:space="preserve">Kā izklāstīts 1.4.2. punktā “Konkrētais(-ie) mērķis(-i)…” </w:t>
      </w:r>
    </w:p>
  </w:footnote>
  <w:footnote w:id="22">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23">
    <w:p>
      <w:pPr>
        <w:pStyle w:val="FootnoteText"/>
      </w:pPr>
      <w:r>
        <w:rPr>
          <w:rStyle w:val="FootnoteReference"/>
        </w:rPr>
        <w:footnoteRef/>
      </w:r>
      <w:r>
        <w:tab/>
        <w:t>CA — līgumdarbinieki; LA — vietējie darbinieki, SNE — valstu norīkotie eksperti, INT — pagaidu darbinieki (“</w:t>
      </w:r>
      <w:r>
        <w:rPr>
          <w:i/>
        </w:rPr>
        <w:t>Intérimaire</w:t>
      </w:r>
      <w:r>
        <w:t>”), JED — jaunākie eksperti delegācijās (“</w:t>
      </w:r>
      <w:r>
        <w:rPr>
          <w:i/>
        </w:rPr>
        <w:t>Jeune</w:t>
      </w:r>
      <w:r>
        <w:t xml:space="preserve"> </w:t>
      </w:r>
      <w:r>
        <w:rPr>
          <w:i/>
        </w:rPr>
        <w:t>Expert en Délégation</w:t>
      </w:r>
      <w:r>
        <w:t>”).</w:t>
      </w:r>
    </w:p>
  </w:footnote>
  <w:footnote w:id="24">
    <w:p>
      <w:pPr>
        <w:pStyle w:val="FootnoteText"/>
      </w:pPr>
      <w:r>
        <w:rPr>
          <w:rStyle w:val="FootnoteReference"/>
        </w:rPr>
        <w:footnoteRef/>
      </w:r>
      <w:r>
        <w:tab/>
        <w:t>Ārštata darbiniekiem paredzēto maksimālo summu finansē no darbības apropriācijām (kādreizējām „BA” pozīcijām).</w:t>
      </w:r>
    </w:p>
  </w:footnote>
  <w:footnote w:id="25">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44A08"/>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197871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074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EC99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11E6C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51F2025E"/>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5"/>
  </w:num>
  <w:num w:numId="4">
    <w:abstractNumId w:val="14"/>
  </w:num>
  <w:num w:numId="5">
    <w:abstractNumId w:val="13"/>
  </w:num>
  <w:num w:numId="6">
    <w:abstractNumId w:val="22"/>
  </w:num>
  <w:num w:numId="7">
    <w:abstractNumId w:val="19"/>
  </w:num>
  <w:num w:numId="8">
    <w:abstractNumId w:val="23"/>
  </w:num>
  <w:num w:numId="9">
    <w:abstractNumId w:val="4"/>
  </w:num>
  <w:num w:numId="10">
    <w:abstractNumId w:val="3"/>
  </w:num>
  <w:num w:numId="11">
    <w:abstractNumId w:val="2"/>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num>
  <w:num w:numId="30">
    <w:abstractNumId w:val="12"/>
    <w:lvlOverride w:ilvl="0">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0"/>
  </w:num>
  <w:num w:numId="38">
    <w:abstractNumId w:val="21"/>
  </w:num>
  <w:num w:numId="39">
    <w:abstractNumId w:val="9"/>
  </w:num>
  <w:num w:numId="40">
    <w:abstractNumId w:val="11"/>
  </w:num>
  <w:num w:numId="41">
    <w:abstractNumId w:val="7"/>
  </w:num>
  <w:num w:numId="42">
    <w:abstractNumId w:val="20"/>
  </w:num>
  <w:num w:numId="43">
    <w:abstractNumId w:val="6"/>
  </w:num>
  <w:num w:numId="44">
    <w:abstractNumId w:val="12"/>
  </w:num>
  <w:num w:numId="45">
    <w:abstractNumId w:val="16"/>
  </w:num>
  <w:num w:numId="46">
    <w:abstractNumId w:val="17"/>
  </w:num>
  <w:num w:numId="47">
    <w:abstractNumId w:val="8"/>
  </w:num>
  <w:num w:numId="48">
    <w:abstractNumId w:val="15"/>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1 18:01: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6"/>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9"/>
    <w:docVar w:name="DQCStatus" w:val="Green"/>
    <w:docVar w:name="DQCVersion" w:val="3"/>
    <w:docVar w:name="DQCWithWarnings" w:val="0"/>
    <w:docVar w:name="LW_CONFIDENCE" w:val=" "/>
    <w:docVar w:name="LW_CONST_RESTREINT_UE" w:val="RESTREINT UE"/>
    <w:docVar w:name="LW_CORRIGENDUM" w:val="&lt;UNUSED&gt;"/>
    <w:docVar w:name="LW_COVERPAGE_GUID" w:val="EB2456E4D29F45A3B057D97642E78166"/>
    <w:docVar w:name="LW_CROSSREFERENCE" w:val="{SWD(2016) 331 final}_x000b_{SWD(2016) 332 final}"/>
    <w:docVar w:name="LW_DocType" w:val="COM"/>
    <w:docVar w:name="LW_EMISSION" w:val="18.10.2016"/>
    <w:docVar w:name="LW_EMISSION_ISODATE" w:val="2016-10-18"/>
    <w:docVar w:name="LW_EMISSION_LOCATION" w:val="BRX"/>
    <w:docVar w:name="LW_EMISSION_PREFIX" w:val="Briselē, "/>
    <w:docVar w:name="LW_EMISSION_SUFFIX" w:val="."/>
    <w:docVar w:name="LW_ID_DOCMODEL" w:val="SJ-026"/>
    <w:docVar w:name="LW_ID_DOCSIGNATURE" w:val="SJ-026"/>
    <w:docVar w:name="LW_ID_DOCSTRUCTURE" w:val="COM/PL/ORG"/>
    <w:docVar w:name="LW_ID_DOCTYPE" w:val="SJ-026"/>
    <w:docVar w:name="LW_ID_STATUT" w:val="SJ-026"/>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25"/>
    <w:docVar w:name="LW_REF.II.NEW.CP_YEAR" w:val="2016"/>
    <w:docVar w:name="LW_REF.INST.NEW" w:val="COM"/>
    <w:docVar w:name="LW_REF.INST.NEW_ADOPTED" w:val="final"/>
    <w:docVar w:name="LW_REF.INST.NEW_TEXT" w:val="(2016) 662"/>
    <w:docVar w:name="LW_REF.INTERNE" w:val="&lt;UNUSED&gt;"/>
    <w:docVar w:name="LW_SOUS.TITRE.OBJ.CP" w:val="&lt;UNUSED&gt;"/>
    <w:docVar w:name="LW_STATUT.CP" w:val="Priek\u353?likums"/>
    <w:docVar w:name="LW_SUPERTITRE" w:val="&lt;UNUSED&gt;"/>
    <w:docVar w:name="LW_TITRE.OBJ.CP" w:val="par Savien\u299?bas dal\u299?bu _x000b_partner\u299?b\u257? p\u275?tniec\u299?bas un inov\u257?cijas jom\u257? Vidusj\u363?ras re\u291?ion\u257? (PRIMA), _x000b_ko kop\u299?gi \u299?steno vair\u257?kas dal\u299?bvalstis"/>
    <w:docVar w:name="LW_TITRE.OBJ_CONTENT_FMTD" w:val="par Savien\u299?bas dal\u299?bu _x000b_partner\u299?b\u257? p\u275?tniec\u299?bas un inov\u257?cijas jom\u257? Vidusj\u363?ras re\u291?ion\u257? (&lt;FMT:italic&gt;PRIMA&lt;/FMT&gt;), _x000b_ko kop\u299?gi \u299?steno vair\u257?kas dal\u299?bvalstis"/>
    <w:docVar w:name="LW_TITRE.OBJ_USEMAINTEXTFORCP" w:val="1"/>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lv-LV" w:eastAsia="lv-LV"/>
    </w:rPr>
  </w:style>
  <w:style w:type="character" w:styleId="CommentReference">
    <w:name w:val="annotation reference"/>
    <w:rPr>
      <w:rFonts w:cs="Times New Roman"/>
      <w:sz w:val="16"/>
      <w:szCs w:val="16"/>
      <w:lang w:val="lv-LV" w:eastAsia="lv-LV"/>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lv-LV" w:eastAsia="lv-LV"/>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0">
    <w:name w:val="N ormal"/>
    <w:basedOn w:val="Point1lette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lv-LV" w:eastAsia="lv-LV"/>
    </w:rPr>
  </w:style>
  <w:style w:type="character" w:styleId="CommentReference">
    <w:name w:val="annotation reference"/>
    <w:rPr>
      <w:rFonts w:cs="Times New Roman"/>
      <w:sz w:val="16"/>
      <w:szCs w:val="16"/>
      <w:lang w:val="lv-LV" w:eastAsia="lv-LV"/>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lv-LV" w:eastAsia="lv-LV"/>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0">
    <w:name w:val="N ormal"/>
    <w:basedOn w:val="Point1lette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0ED9-D02A-4CCC-91B0-9A816B43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46</Pages>
  <Words>11571</Words>
  <Characters>78343</Characters>
  <Application>Microsoft Office Word</Application>
  <DocSecurity>0</DocSecurity>
  <Lines>2061</Lines>
  <Paragraphs>1045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2016-09-15T09:06:00Z</cp:lastPrinted>
  <dcterms:created xsi:type="dcterms:W3CDTF">2016-10-21T13:23:00Z</dcterms:created>
  <dcterms:modified xsi:type="dcterms:W3CDTF">2016-10-21T16:01:00Z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