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DE4E4146BEE4242B1FE313DA6F0B729" style="width:450.75pt;height:393.75pt">
            <v:imagedata r:id="rId8" o:title=""/>
          </v:shape>
        </w:pict>
      </w:r>
    </w:p>
    <w:p>
      <w:pPr>
        <w:rPr>
          <w:noProof/>
        </w:rPr>
        <w:sectPr>
          <w:footerReference w:type="default" r:id="rId9"/>
          <w:pgSz w:w="11907" w:h="16840" w:code="9"/>
          <w:pgMar w:top="1134" w:right="1418" w:bottom="1134" w:left="1418"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Bdr>
          <w:top w:val="nil"/>
          <w:left w:val="nil"/>
          <w:bottom w:val="nil"/>
          <w:right w:val="nil"/>
          <w:between w:val="nil"/>
          <w:bar w:val="nil"/>
        </w:pBdr>
        <w:spacing w:before="0" w:after="240"/>
        <w:rPr>
          <w:noProof/>
        </w:rPr>
      </w:pPr>
      <w:r>
        <w:rPr>
          <w:noProof/>
        </w:rPr>
        <w:t>În condițiile în care 180 de milioane de persoane sunt considerate că nu au acces la apă suficientă, zona mediteraneană este caracterizată, în general, de niveluri înalte de stres hidric. Acesta este motivul pentru care gestionarea sustenabilă a sistemelor de alimentare cu apă și de aprovizionare cu alimente în zonă este atât de importantă.</w:t>
      </w:r>
    </w:p>
    <w:p>
      <w:pPr>
        <w:pBdr>
          <w:top w:val="nil"/>
          <w:left w:val="nil"/>
          <w:bottom w:val="nil"/>
          <w:right w:val="nil"/>
          <w:between w:val="nil"/>
          <w:bar w:val="nil"/>
        </w:pBdr>
        <w:spacing w:before="0" w:after="240"/>
        <w:rPr>
          <w:noProof/>
        </w:rPr>
      </w:pPr>
      <w:r>
        <w:rPr>
          <w:noProof/>
        </w:rPr>
        <w:t>Schimbările climatice cauzează din ce în ce mai multe deficite de apă grave în zonă, având un impact major asupra agriculturii. Cea mai mare parte a apei disponibile este utilizată pentru irigare. Aceasta înseamnă că astfel de deficite au ca rezultat producții agricole neregulate și în scădere, exercitând o presiune suplimentară asupra resurselor naturale și asupra capacității de a furniza apă curată și alimente accesibile ca preț locuitorilor din regiune.</w:t>
      </w:r>
    </w:p>
    <w:p>
      <w:pPr>
        <w:pBdr>
          <w:top w:val="nil"/>
          <w:left w:val="nil"/>
          <w:bottom w:val="nil"/>
          <w:right w:val="nil"/>
          <w:between w:val="nil"/>
          <w:bar w:val="nil"/>
        </w:pBdr>
        <w:spacing w:before="0" w:after="240"/>
        <w:rPr>
          <w:noProof/>
        </w:rPr>
      </w:pPr>
      <w:r>
        <w:rPr>
          <w:noProof/>
        </w:rPr>
        <w:t>La rândul său, acest lucru are un efect negativ asupra alimentației, sănătății, mijloacelor de subzistență, nivelului de trai și nivelului de bunăstare. Stresul social și economic se numără printre cauzele principale ale instabilității. De asemenea, el contribuie la migrație, atât internă, determinând numeroase familii de fermieri să se mute în orașe, cât externă, determinând o parte a populației să migreze, în special în Europa.</w:t>
      </w:r>
    </w:p>
    <w:p>
      <w:pPr>
        <w:pBdr>
          <w:top w:val="nil"/>
          <w:left w:val="nil"/>
          <w:bottom w:val="nil"/>
          <w:right w:val="nil"/>
          <w:between w:val="nil"/>
          <w:bar w:val="nil"/>
        </w:pBdr>
        <w:spacing w:before="0" w:after="240"/>
        <w:rPr>
          <w:noProof/>
        </w:rPr>
      </w:pPr>
      <w:r>
        <w:rPr>
          <w:noProof/>
        </w:rPr>
        <w:t xml:space="preserve">Gestionarea nesustenabilă a sistemelor de alimentare cu apă și de aprovizionare cu alimente în zona mediteraneană este consecința unei serii de factori, printre care instabilitatea politică, schimbările climatice și populația aflată într-un proces de creștere rapidă. Unul dintre principalele motive care stau la baza acestei situații este absența unui set de soluții inovatoare comune, adaptate realităților din regiune și ușor de transferat în cadrul acesteia. Astfel de soluții lipsesc deoarece nivelul general al investițiilor în cercetare și inovare (C&amp;I) în zona mediteraneană este disproporţionat în raport cu amploarea provocărilor regionale. În plus, nivelul investiților diferă foarte mult de la o țară la alta. Finanțarea nu este orientată spre soluționarea problemei apei și a alimentelor, iar părțile interesate relevante – de exemplu, sectorul privat – nu dețin întotdeauna capacități de C&amp;I suficient de solide. În plus, eforturile de colaborare în domeniul C&amp;I dintre statele membre ale Uniunii și țările din sudul și estul Mediteranei sunt prea fragmentate (fiind reprezentate, în principal, de acorduri bilaterale) pentru a avea un impact semnificativ. </w:t>
      </w:r>
    </w:p>
    <w:p>
      <w:pPr>
        <w:pBdr>
          <w:top w:val="nil"/>
          <w:left w:val="nil"/>
          <w:bottom w:val="nil"/>
          <w:right w:val="nil"/>
          <w:between w:val="nil"/>
          <w:bar w:val="nil"/>
        </w:pBdr>
        <w:spacing w:before="0" w:after="240"/>
        <w:rPr>
          <w:noProof/>
        </w:rPr>
      </w:pPr>
      <w:r>
        <w:rPr>
          <w:noProof/>
        </w:rPr>
        <w:t>În acest context și în ceea ce privește migrația, inițiativa de program comun PRIMA, condusă de statele participante din Uniune și de țările din sudul Mediteranei</w:t>
      </w:r>
      <w:r>
        <w:rPr>
          <w:rStyle w:val="FootnoteReference"/>
          <w:noProof/>
        </w:rPr>
        <w:footnoteReference w:id="1"/>
      </w:r>
      <w:r>
        <w:rPr>
          <w:noProof/>
        </w:rPr>
        <w:t>, este deosebit de importantă și de relevantă. Inițiativa urmează abordarea noului Parteneriat privind migrația pentru o colaborare financiară amplificată cu statele membre și cu alți parteneri. Ea descrie modul în care politica în materie de cercetare poate conduce la o coordonare eficace prin mobilizarea bugetelor naționale și reunirea țărilor mediteraneene în vederea soluționării problemelor comune pe termen lung.</w:t>
      </w:r>
    </w:p>
    <w:p>
      <w:pPr>
        <w:pBdr>
          <w:top w:val="nil"/>
          <w:left w:val="nil"/>
          <w:bottom w:val="nil"/>
          <w:right w:val="nil"/>
          <w:between w:val="nil"/>
          <w:bar w:val="nil"/>
        </w:pBdr>
        <w:spacing w:before="0" w:after="240"/>
        <w:rPr>
          <w:noProof/>
        </w:rPr>
      </w:pPr>
      <w:r>
        <w:rPr>
          <w:noProof/>
        </w:rPr>
        <w:t xml:space="preserve">Obiectivul strategic al programului este de a dezvolta soluții inovatoare comune pentru sistemele de alimentare cu apă și de aprovizionare cu alimente de care regiunea mediteraneană are nevoie urgent. Realizarea acestui obiectiv strategic va face sistemele de alimentare cu apă și de aprovizionare cu alimente mai eficiente, mai rentabile și mai sustenabile. În acest mod, C&amp;I ar putea contribui la soluționarea problemelor mai ample legate de alimentație, de sănătate și de bunăstare socială și, în cele din urmă, ar putea contribui la atenuarea tendințelor de migrație în masă. Prin urmare, politicile în materie de C&amp;I pot fi valorificate la maximum pentru a soluționa provocările legate de migrație, în conformitate cu </w:t>
      </w:r>
      <w:r>
        <w:rPr>
          <w:i/>
          <w:noProof/>
        </w:rPr>
        <w:t>Comunicarea Comisiei privind stabilirea unui nou cadru de parteneriat cu țările terțe bazat pe Agenda europeană privind migrația</w:t>
      </w:r>
      <w:r>
        <w:rPr>
          <w:noProof/>
        </w:rPr>
        <w:t xml:space="preserve"> [COM(2016) 385]. </w:t>
      </w:r>
    </w:p>
    <w:p>
      <w:pPr>
        <w:pStyle w:val="ManualHeading2"/>
        <w:rPr>
          <w:rFonts w:eastAsia="Arial Unicode MS"/>
          <w:noProof/>
          <w:color w:val="000000"/>
          <w:u w:color="000000"/>
          <w:bdr w:val="nil"/>
        </w:rPr>
      </w:pPr>
      <w:r>
        <w:rPr>
          <w:noProof/>
          <w:color w:val="000000"/>
          <w:u w:color="000000"/>
          <w:bdr w:val="nil"/>
        </w:rPr>
        <w:t>•</w:t>
      </w:r>
      <w:r>
        <w:rPr>
          <w:noProof/>
        </w:rPr>
        <w:tab/>
        <w:t>Context instituțional</w:t>
      </w:r>
    </w:p>
    <w:p>
      <w:pPr>
        <w:pBdr>
          <w:top w:val="nil"/>
          <w:left w:val="nil"/>
          <w:bottom w:val="nil"/>
          <w:right w:val="nil"/>
          <w:between w:val="nil"/>
          <w:bar w:val="nil"/>
        </w:pBdr>
        <w:spacing w:before="0" w:after="240"/>
        <w:rPr>
          <w:noProof/>
        </w:rPr>
      </w:pPr>
      <w:r>
        <w:rPr>
          <w:noProof/>
        </w:rPr>
        <w:t>Procesul care a condus la programul comun PRIMA a început prin Conferința euro-mediteraneană privind știința, tehnologia și inovarea, organizată la Barcelona în 2012. Scopul este de a consolida cooperarea euro-mediteraneană în domeniul C&amp;I ca parte a obiectivelor mai ample ale politicii externe a Uniunii cu privire la vecinătatea sudică.</w:t>
      </w:r>
    </w:p>
    <w:p>
      <w:pPr>
        <w:pBdr>
          <w:top w:val="nil"/>
          <w:left w:val="nil"/>
          <w:bottom w:val="nil"/>
          <w:right w:val="nil"/>
          <w:between w:val="nil"/>
          <w:bar w:val="nil"/>
        </w:pBdr>
        <w:spacing w:before="0" w:after="240"/>
        <w:rPr>
          <w:noProof/>
        </w:rPr>
      </w:pPr>
      <w:r>
        <w:rPr>
          <w:noProof/>
        </w:rPr>
        <w:t xml:space="preserve">Mai multe președinții ale Consiliului au subliniat necesitatea de a institui un parteneriat regional pentru a aborda provocările comune majore, inclusiv disponibilitatea și gestionarea apelor, inovarea și coordonarea instituțională. Ideea care stă la baza unui parteneriat regional este colaborarea bazată pe responsabilități comune, interes reciproc și beneficii comune într-un cadru structurat, de lungă durată. </w:t>
      </w:r>
    </w:p>
    <w:p>
      <w:pPr>
        <w:pBdr>
          <w:top w:val="nil"/>
          <w:left w:val="nil"/>
          <w:bottom w:val="nil"/>
          <w:right w:val="nil"/>
          <w:between w:val="nil"/>
          <w:bar w:val="nil"/>
        </w:pBdr>
        <w:spacing w:before="0" w:after="240"/>
        <w:rPr>
          <w:noProof/>
        </w:rPr>
      </w:pPr>
      <w:r>
        <w:rPr>
          <w:noProof/>
        </w:rPr>
        <w:t>Consiliul Competitivitate din 5 decembrie 2014 a invitat Comisia să evalueze dacă participarea Uniunii la programul comun PRIMA, în temeiul articolului 185 din Tratatul privind funcționarea Uniunii Europene (TFUE), ar fi justificată de sfera obiectivelor și de volumul resurselor necesare. În concluziile sale, Consiliul a aprobat, în special, ca programul să se concentreze pe dezvoltarea și punerea în aplicare a unor soluții inovatoare și integrate pentru gestionarea sustenabilă a sistemelor de alimentare cu apă și de aprovizionare cu alimente în zona mediteraneană. Consiliul a considerat că aceasta constituie o prioritate pentru îmbunătățirea sănătății, a bunăstării și a condițiilor socio-culturale ale populațiilor din zona mediteraneană și pentru stimularea creșterii economice.</w:t>
      </w:r>
    </w:p>
    <w:p>
      <w:pPr>
        <w:pBdr>
          <w:top w:val="nil"/>
          <w:left w:val="nil"/>
          <w:bottom w:val="nil"/>
          <w:right w:val="nil"/>
          <w:between w:val="nil"/>
          <w:bar w:val="nil"/>
        </w:pBdr>
        <w:spacing w:before="0" w:after="240"/>
        <w:rPr>
          <w:noProof/>
        </w:rPr>
      </w:pPr>
      <w:r>
        <w:rPr>
          <w:noProof/>
        </w:rPr>
        <w:t>Prin urmare, în decembrie 2014, statele membre și țările terțe din zona mediteraneană au prezentat Comisiei o propunere de participare la programul comun PRIMA.</w:t>
      </w:r>
    </w:p>
    <w:p>
      <w:pPr>
        <w:pBdr>
          <w:top w:val="nil"/>
          <w:left w:val="nil"/>
          <w:bottom w:val="nil"/>
          <w:right w:val="nil"/>
          <w:between w:val="nil"/>
          <w:bar w:val="nil"/>
        </w:pBdr>
        <w:spacing w:before="0" w:after="240"/>
        <w:rPr>
          <w:rFonts w:eastAsia="Arial Unicode MS"/>
          <w:noProof/>
        </w:rPr>
      </w:pPr>
      <w:r>
        <w:rPr>
          <w:noProof/>
        </w:rPr>
        <w:t>Pe baza concluziilor Consiliului Competitivitate și după transmiterea oficială a propunerii, comisarul pentru cercetare, știință și inovare, Carlos Moedas, a solicitat serviciilor Comisiei să realizeze o evaluare a impactului opțiunilor de politică disponibile, inclusiv o inițiativă având ca temei juridic articolul 185 din TFUE.</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w:t>
      </w:r>
    </w:p>
    <w:p>
      <w:pPr>
        <w:pBdr>
          <w:top w:val="nil"/>
          <w:left w:val="nil"/>
          <w:bottom w:val="nil"/>
          <w:right w:val="nil"/>
          <w:between w:val="nil"/>
          <w:bar w:val="nil"/>
        </w:pBdr>
        <w:spacing w:before="0" w:after="240"/>
        <w:rPr>
          <w:noProof/>
        </w:rPr>
      </w:pPr>
      <w:r>
        <w:rPr>
          <w:noProof/>
        </w:rPr>
        <w:t>Programul comun PRIMA se încadrează într-un context instituțional care, la cel mai înalt nivel politic, a subliniat necesitatea de a consolida cooperarea Uniunii cu țările sud-mediteraneene în domeniile-cheie reprezentate de resursele de apă și de sistemele alimentare, precum și în domeniile conexe.</w:t>
      </w:r>
    </w:p>
    <w:p>
      <w:pPr>
        <w:pBdr>
          <w:top w:val="nil"/>
          <w:left w:val="nil"/>
          <w:bottom w:val="nil"/>
          <w:right w:val="nil"/>
          <w:between w:val="nil"/>
          <w:bar w:val="nil"/>
        </w:pBdr>
        <w:spacing w:before="0" w:after="240"/>
        <w:rPr>
          <w:noProof/>
        </w:rPr>
      </w:pPr>
      <w:r>
        <w:rPr>
          <w:noProof/>
        </w:rPr>
        <w:t>PRIMA ancorează principalele provocări regionale din domeniul C&amp;I în obiective socio-economice și geopolitice mai ample. Scopul său este să completeze acțiunile instituționale relevante recente care vizează alte politici ale Uniunii în afara politicii în materie de C&amp;I. Acestea sunt enumerate mai jos.</w:t>
      </w:r>
    </w:p>
    <w:p>
      <w:pPr>
        <w:pStyle w:val="ListParagraph"/>
        <w:tabs>
          <w:tab w:val="left" w:pos="851"/>
        </w:tabs>
        <w:ind w:left="426"/>
        <w:rPr>
          <w:noProof/>
        </w:rPr>
      </w:pPr>
      <w:r>
        <w:rPr>
          <w:noProof/>
        </w:rPr>
        <w:t>a)</w:t>
      </w:r>
      <w:r>
        <w:rPr>
          <w:noProof/>
        </w:rPr>
        <w:tab/>
        <w:t>Diplomația în domeniul apei (Concluziile Consiliului Afaceri Externe din 22 iulie 2013)</w:t>
      </w:r>
    </w:p>
    <w:p>
      <w:pPr>
        <w:pBdr>
          <w:top w:val="nil"/>
          <w:left w:val="nil"/>
          <w:bottom w:val="nil"/>
          <w:right w:val="nil"/>
          <w:between w:val="nil"/>
          <w:bar w:val="nil"/>
        </w:pBdr>
        <w:spacing w:before="0" w:after="240"/>
        <w:rPr>
          <w:noProof/>
        </w:rPr>
      </w:pPr>
      <w:r>
        <w:rPr>
          <w:noProof/>
        </w:rPr>
        <w:t>Efectele schimbărilor climatice și ale evoluțiilor demografice și economice, coroborate cu accentul plasat pe calitatea, disponibilitatea și gestionarea apelor, reprezintă provocări de securitate majore care ar putea genera tensiuni și conflicte privind accesul la apă. În acest context, Uniunea joacă un rol important în susținerea diplomației în domeniul apei în întreaga lume și în ceea ce privește apele transfrontaliere din Europa – inclusiv prin promovarea unor inițiative în domeniul apei împreună cu țările din vecinătatea UE și cu alte țări identificate în exercițiul de evaluare a securității în domeniul apei la nivelul UE.</w:t>
      </w:r>
    </w:p>
    <w:p>
      <w:pPr>
        <w:pStyle w:val="ListParagraph"/>
        <w:tabs>
          <w:tab w:val="left" w:pos="851"/>
        </w:tabs>
        <w:ind w:left="851" w:hanging="425"/>
        <w:rPr>
          <w:noProof/>
        </w:rPr>
      </w:pPr>
      <w:r>
        <w:rPr>
          <w:noProof/>
        </w:rPr>
        <w:t>b)</w:t>
      </w:r>
      <w:r>
        <w:rPr>
          <w:noProof/>
        </w:rPr>
        <w:tab/>
        <w:t>Revizuirea politicii europene de vecinătate (PEV) (Concluziile Consiliului Afaceri Externe din 14 decembrie 2015)</w:t>
      </w:r>
    </w:p>
    <w:p>
      <w:pPr>
        <w:pBdr>
          <w:top w:val="nil"/>
          <w:left w:val="nil"/>
          <w:bottom w:val="nil"/>
          <w:right w:val="nil"/>
          <w:between w:val="nil"/>
          <w:bar w:val="nil"/>
        </w:pBdr>
        <w:spacing w:before="0" w:after="240"/>
        <w:rPr>
          <w:noProof/>
        </w:rPr>
      </w:pPr>
      <w:r>
        <w:rPr>
          <w:noProof/>
        </w:rPr>
        <w:t xml:space="preserve">Consiliul a salutat revizuirea PEV ca o prioritate politică principală pentru Uniune în următorii ani. Aceasta include rolul crucial al C&amp;I în dezvoltarea socioeconomică a vecinilor UE și sprijină țările din vecinătate să își modernizeze și să își diversifice economiile, prin facilitarea participării acestora la inițiativele UE. </w:t>
      </w:r>
    </w:p>
    <w:p>
      <w:pPr>
        <w:pStyle w:val="ListParagraph"/>
        <w:tabs>
          <w:tab w:val="left" w:pos="851"/>
        </w:tabs>
        <w:ind w:left="851" w:hanging="425"/>
        <w:rPr>
          <w:noProof/>
        </w:rPr>
      </w:pPr>
      <w:r>
        <w:rPr>
          <w:noProof/>
        </w:rPr>
        <w:t>c)</w:t>
      </w:r>
      <w:r>
        <w:rPr>
          <w:noProof/>
        </w:rPr>
        <w:tab/>
        <w:t>Obiective de dezvoltare durabilă (Concluziile Consiliului Afaceri Externe din 26 mai 2015)</w:t>
      </w:r>
    </w:p>
    <w:p>
      <w:pPr>
        <w:pBdr>
          <w:top w:val="nil"/>
          <w:left w:val="nil"/>
          <w:bottom w:val="nil"/>
          <w:right w:val="nil"/>
          <w:between w:val="nil"/>
          <w:bar w:val="nil"/>
        </w:pBdr>
        <w:spacing w:before="0" w:after="240"/>
        <w:rPr>
          <w:noProof/>
        </w:rPr>
      </w:pPr>
      <w:r>
        <w:rPr>
          <w:noProof/>
        </w:rPr>
        <w:t>Se face referire la angajamentul din cadrul programului Orizont 2020 care vizează sprijinirea dezvoltării durabile atât în cadrul Uniunii, cât și cu partenerii internaționali, precum și la necesitatea de a promova știința, tehnologia și inovarea ca parte a abordării globale pentru perioada de după 2015 pentru eradicarea sărăciei și promovarea dezvoltării durabile.</w:t>
      </w:r>
    </w:p>
    <w:p>
      <w:pPr>
        <w:pStyle w:val="ListParagraph"/>
        <w:tabs>
          <w:tab w:val="left" w:pos="851"/>
        </w:tabs>
        <w:ind w:left="851" w:hanging="425"/>
        <w:rPr>
          <w:noProof/>
        </w:rPr>
      </w:pPr>
      <w:r>
        <w:rPr>
          <w:noProof/>
        </w:rPr>
        <w:t>d)</w:t>
      </w:r>
      <w:r>
        <w:rPr>
          <w:noProof/>
        </w:rPr>
        <w:tab/>
        <w:t>Migrație (Concluziile Consiliului Afaceri Externe din 12 octombrie 2015 și, respectiv, 17-18 martie 2016)</w:t>
      </w:r>
    </w:p>
    <w:p>
      <w:pPr>
        <w:pBdr>
          <w:top w:val="nil"/>
          <w:left w:val="nil"/>
          <w:bottom w:val="nil"/>
          <w:right w:val="nil"/>
          <w:between w:val="nil"/>
          <w:bar w:val="nil"/>
        </w:pBdr>
        <w:spacing w:before="0" w:after="240"/>
        <w:rPr>
          <w:noProof/>
        </w:rPr>
      </w:pPr>
      <w:r>
        <w:rPr>
          <w:noProof/>
        </w:rPr>
        <w:t>Aceste Concluzii ale Consiliului recunosc faptul că actuala criză a migrației din cadrul și din afara zonei de vecinătate a UE este agravată de sărăcie, de dezvoltarea socioeconomică insuficientă și de încălcările drepturilor omului și fac apel la o politică externă solidă a UE în domeniul migrației și azilului. De asemenea, Consiliul și-a reînnoit angajamentul de a mobiliza toate instrumentele și politicile pentru a aborda cauzele profunde ale fluxurilor de migrație, în principal condițiile socioeconomice precare și schimbările climatice.</w:t>
      </w:r>
    </w:p>
    <w:p>
      <w:pPr>
        <w:pStyle w:val="ListParagraph"/>
        <w:tabs>
          <w:tab w:val="left" w:pos="851"/>
        </w:tabs>
        <w:ind w:left="851" w:hanging="425"/>
        <w:rPr>
          <w:noProof/>
        </w:rPr>
      </w:pPr>
      <w:r>
        <w:rPr>
          <w:noProof/>
        </w:rPr>
        <w:t>e)</w:t>
      </w:r>
      <w:r>
        <w:rPr>
          <w:noProof/>
        </w:rPr>
        <w:tab/>
        <w:t>Diplomația europeană în domeniul climei în urma COP21 (Concluziile Consiliului Afaceri Externe din 15 februarie 2016)</w:t>
      </w:r>
    </w:p>
    <w:p>
      <w:pPr>
        <w:pBdr>
          <w:top w:val="nil"/>
          <w:left w:val="nil"/>
          <w:bottom w:val="nil"/>
          <w:right w:val="nil"/>
          <w:between w:val="nil"/>
          <w:bar w:val="nil"/>
        </w:pBdr>
        <w:spacing w:before="0" w:after="240"/>
        <w:rPr>
          <w:rFonts w:eastAsia="Arial Unicode MS"/>
          <w:noProof/>
        </w:rPr>
      </w:pPr>
      <w:r>
        <w:rPr>
          <w:noProof/>
        </w:rPr>
        <w:t>În contextul general al diplomației în domeniul climei, Consiliul face trimitere la elaborarea unui plan de acțiune cu privire la diplomația UE în domeniul climei, inclusiv eforturile pentru abordarea legăturii dintre schimbările climatice, resursele naturale (inclusiv apa), prosperitate, stabilitate și migrație.</w:t>
      </w:r>
    </w:p>
    <w:p>
      <w:pPr>
        <w:pStyle w:val="ManualHeading2"/>
        <w:rPr>
          <w:rFonts w:eastAsia="Arial Unicode MS"/>
          <w:noProof/>
        </w:rPr>
      </w:pPr>
      <w:r>
        <w:rPr>
          <w:noProof/>
          <w:color w:val="000000"/>
          <w:u w:color="000000"/>
          <w:bdr w:val="nil"/>
        </w:rPr>
        <w:t>•</w:t>
      </w:r>
      <w:r>
        <w:rPr>
          <w:noProof/>
        </w:rPr>
        <w:tab/>
        <w:t>Coerența cu alte politici ale Uniunii</w:t>
      </w:r>
    </w:p>
    <w:p>
      <w:pPr>
        <w:pBdr>
          <w:top w:val="nil"/>
          <w:left w:val="nil"/>
          <w:bottom w:val="nil"/>
          <w:right w:val="nil"/>
          <w:between w:val="nil"/>
          <w:bar w:val="nil"/>
        </w:pBdr>
        <w:spacing w:before="0" w:after="240"/>
        <w:rPr>
          <w:noProof/>
        </w:rPr>
      </w:pPr>
      <w:r>
        <w:rPr>
          <w:noProof/>
        </w:rPr>
        <w:t xml:space="preserve">Obiectivele sunt în conformitate cu definiția problemei și acoperă provocările legate de cercetare și inovare, asigurând interacțiunea cu politicile europene, mediteraneene și globale. În particular, PRIMA este în concordanță cu recenta </w:t>
      </w:r>
      <w:r>
        <w:rPr>
          <w:i/>
          <w:noProof/>
        </w:rPr>
        <w:t>Comunicare a Comisiei privind stabilirea unui nou cadru de parteneriat cu țările terțe bazat pe Agenda europeană privind migrația</w:t>
      </w:r>
      <w:r>
        <w:rPr>
          <w:noProof/>
        </w:rPr>
        <w:t xml:space="preserve">, [COM(2016) 385]. El se concentrează pe eliminarea cauzelor profunde ale migrației și ale strămutării forțate prin „toate politicile UE, inclusiv cele privind educația, cercetarea, schimbările climatice, energia, mediul, agricultura”. De asemenea, el susține noi modele de cooperare pentru dezvoltare care implică sectorul privat, mecanisme de finanțare inovatoare și investiții în IMM-uri și infrastructuri sustenabile. </w:t>
      </w:r>
    </w:p>
    <w:p>
      <w:pPr>
        <w:pBdr>
          <w:top w:val="nil"/>
          <w:left w:val="nil"/>
          <w:bottom w:val="nil"/>
          <w:right w:val="nil"/>
          <w:between w:val="nil"/>
          <w:bar w:val="nil"/>
        </w:pBdr>
        <w:spacing w:before="0" w:after="240"/>
        <w:rPr>
          <w:noProof/>
        </w:rPr>
      </w:pPr>
      <w:r>
        <w:rPr>
          <w:noProof/>
        </w:rPr>
        <w:t>Programul Orizont 2020 a identificat deja „combaterea schimbărilor climatice, mediul, utilizarea eficientă a resurselor și materiile prime” și „securitatea alimentară, agricultura și silvicultura durabile, cercetarea marină, maritimă și privind apele interioare, precum și bioeconomia” ca fiind două dintre provocările societale prioritare care trebuie abordate prin sprijinirea investițiilor în C&amp;I. De asemenea, el recunoaște că activitățile de C&amp;I care vizează abordarea acestor provocări ar trebui efectuate la nivelul UE și dincolo de granițele acesteia, având în vedere caracterul transnațional și global al climei și al mediului, amploarea și complexitatea acestora și aspectul internațional al lanțurilor de aprovizionare agricole și alimentare.</w:t>
      </w:r>
    </w:p>
    <w:p>
      <w:pPr>
        <w:pBdr>
          <w:top w:val="nil"/>
          <w:left w:val="nil"/>
          <w:bottom w:val="nil"/>
          <w:right w:val="nil"/>
          <w:between w:val="nil"/>
          <w:bar w:val="nil"/>
        </w:pBdr>
        <w:spacing w:before="0" w:after="240"/>
        <w:rPr>
          <w:noProof/>
        </w:rPr>
      </w:pPr>
      <w:r>
        <w:rPr>
          <w:noProof/>
        </w:rPr>
        <w:t>Obiectivele privind C&amp;I legate de sistemele de alimentare cu apă și de aprovizionare cu alimente în zona mediteraneană par să fie coerente cu următoarele inițiative și relevante pentru acestea:</w:t>
      </w:r>
    </w:p>
    <w:p>
      <w:pPr>
        <w:pBdr>
          <w:top w:val="nil"/>
          <w:left w:val="nil"/>
          <w:bottom w:val="nil"/>
          <w:right w:val="nil"/>
          <w:between w:val="nil"/>
          <w:bar w:val="nil"/>
        </w:pBdr>
        <w:tabs>
          <w:tab w:val="left" w:pos="284"/>
        </w:tabs>
        <w:spacing w:before="0" w:after="240"/>
        <w:rPr>
          <w:noProof/>
        </w:rPr>
      </w:pPr>
      <w:r>
        <w:rPr>
          <w:noProof/>
        </w:rPr>
        <w:t>•</w:t>
      </w:r>
      <w:r>
        <w:rPr>
          <w:noProof/>
        </w:rPr>
        <w:tab/>
        <w:t>Agenda de dezvoltare pentru perioada de după 2015 și obiectivele de dezvoltare durabilă;</w:t>
      </w:r>
    </w:p>
    <w:p>
      <w:pPr>
        <w:pBdr>
          <w:top w:val="nil"/>
          <w:left w:val="nil"/>
          <w:bottom w:val="nil"/>
          <w:right w:val="nil"/>
          <w:between w:val="nil"/>
          <w:bar w:val="nil"/>
        </w:pBdr>
        <w:tabs>
          <w:tab w:val="left" w:pos="284"/>
        </w:tabs>
        <w:spacing w:before="0" w:after="240"/>
        <w:ind w:left="284" w:hanging="284"/>
        <w:rPr>
          <w:noProof/>
        </w:rPr>
      </w:pPr>
      <w:r>
        <w:rPr>
          <w:noProof/>
        </w:rPr>
        <w:t>•</w:t>
      </w:r>
      <w:r>
        <w:rPr>
          <w:noProof/>
        </w:rPr>
        <w:tab/>
        <w:t xml:space="preserve">Procesul de la Barcelona lansat în noiembrie 1995 la inițiativa miniștrilor de externe euro-mediteraneeni și comunicarea aferentă </w:t>
      </w:r>
      <w:r>
        <w:rPr>
          <w:i/>
          <w:noProof/>
        </w:rPr>
        <w:t>Procesului de la Barcelona</w:t>
      </w:r>
      <w:r>
        <w:rPr>
          <w:noProof/>
        </w:rPr>
        <w:t>:</w:t>
      </w:r>
      <w:r>
        <w:rPr>
          <w:i/>
          <w:noProof/>
        </w:rPr>
        <w:t xml:space="preserve"> Uniunea pentru Mediterana</w:t>
      </w:r>
      <w:r>
        <w:rPr>
          <w:noProof/>
        </w:rPr>
        <w:t xml:space="preserve"> [COM(2008) 319], care a instituit un parteneriat multilateral, axat pe proiecte regionale și transnaționale;</w:t>
      </w:r>
    </w:p>
    <w:p>
      <w:pPr>
        <w:pBdr>
          <w:top w:val="nil"/>
          <w:left w:val="nil"/>
          <w:bottom w:val="nil"/>
          <w:right w:val="nil"/>
          <w:between w:val="nil"/>
          <w:bar w:val="nil"/>
        </w:pBdr>
        <w:tabs>
          <w:tab w:val="left" w:pos="284"/>
        </w:tabs>
        <w:spacing w:before="0" w:after="240"/>
        <w:ind w:left="284" w:hanging="284"/>
        <w:rPr>
          <w:rFonts w:eastAsia="Arial Unicode MS"/>
          <w:noProof/>
        </w:rPr>
      </w:pPr>
      <w:r>
        <w:rPr>
          <w:noProof/>
        </w:rPr>
        <w:t>•</w:t>
      </w:r>
      <w:r>
        <w:rPr>
          <w:noProof/>
        </w:rPr>
        <w:tab/>
        <w:t xml:space="preserve">Comunicarea </w:t>
      </w:r>
      <w:r>
        <w:rPr>
          <w:i/>
          <w:noProof/>
        </w:rPr>
        <w:t xml:space="preserve">Consolidarea și concentrarea cooperării internaționale a UE în domeniul cercetării și al inovării: </w:t>
      </w:r>
      <w:r>
        <w:rPr>
          <w:noProof/>
        </w:rPr>
        <w:t>o abordare strategică [COM(2012) 497], care plasează accentul pe promovarea integrării vecinătății în Spațiul european de cercetare (SEC) sau a alinierii la acesta.</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Temeiul juridic</w:t>
      </w:r>
    </w:p>
    <w:p>
      <w:pPr>
        <w:pBdr>
          <w:top w:val="nil"/>
          <w:left w:val="nil"/>
          <w:bottom w:val="nil"/>
          <w:right w:val="nil"/>
          <w:between w:val="nil"/>
          <w:bar w:val="nil"/>
        </w:pBdr>
        <w:spacing w:before="0" w:after="240"/>
        <w:rPr>
          <w:rFonts w:eastAsia="Arial Unicode MS"/>
          <w:noProof/>
        </w:rPr>
      </w:pPr>
      <w:r>
        <w:rPr>
          <w:noProof/>
        </w:rPr>
        <w:t>Propunerea privind programul comun PRIMA se întemeiază pe articolul 185 din TFUE. Acest instrument permite UE să prevadă, la punerea în aplicare a programului-cadru multianual, participarea la programe de cercetare și dezvoltare derulate de mai multe state membre, în acord cu statele membre în cauză, inclusiv participarea la structurile create pentru realizarea acestor programe.</w:t>
      </w:r>
    </w:p>
    <w:p>
      <w:pPr>
        <w:pStyle w:val="ManualHeading2"/>
        <w:rPr>
          <w:rFonts w:eastAsia="Arial Unicode MS"/>
          <w:noProof/>
          <w:u w:color="000000"/>
          <w:bdr w:val="nil"/>
        </w:rPr>
      </w:pPr>
      <w:r>
        <w:rPr>
          <w:noProof/>
        </w:rPr>
        <w:t>•</w:t>
      </w:r>
      <w:r>
        <w:rPr>
          <w:noProof/>
        </w:rPr>
        <w:tab/>
        <w:t xml:space="preserve">Subsidiaritatea (în cazul competențelor neexclusive) </w:t>
      </w:r>
    </w:p>
    <w:p>
      <w:pPr>
        <w:pBdr>
          <w:top w:val="nil"/>
          <w:left w:val="nil"/>
          <w:bottom w:val="nil"/>
          <w:right w:val="nil"/>
          <w:between w:val="nil"/>
          <w:bar w:val="nil"/>
        </w:pBdr>
        <w:spacing w:before="0" w:after="240"/>
        <w:rPr>
          <w:noProof/>
        </w:rPr>
      </w:pPr>
      <w:r>
        <w:rPr>
          <w:noProof/>
        </w:rPr>
        <w:t>PRIMA este un program comun care se bazează pe și cuprinde programele naționale derulate și activitățile desfășurate de statele membre participante și țările asociate, cu sprijinul și participarea UE.</w:t>
      </w:r>
    </w:p>
    <w:p>
      <w:pPr>
        <w:pBdr>
          <w:top w:val="nil"/>
          <w:left w:val="nil"/>
          <w:bottom w:val="nil"/>
          <w:right w:val="nil"/>
          <w:between w:val="nil"/>
          <w:bar w:val="nil"/>
        </w:pBdr>
        <w:spacing w:before="0" w:after="240"/>
        <w:rPr>
          <w:noProof/>
        </w:rPr>
      </w:pPr>
      <w:r>
        <w:rPr>
          <w:noProof/>
        </w:rPr>
        <w:t>Propunerea Comisiei privind programul Orizont 2020 prevede participarea UE la PRIMA în temeiul articolului 185 din TFUE. El este instrumentul adecvat pentru ca UE să sprijine inițiativa, întrucât permite atât coordonarea programelor naționale de cercetare, cât și participarea UE la programul comun.</w:t>
      </w:r>
    </w:p>
    <w:p>
      <w:pPr>
        <w:pBdr>
          <w:top w:val="nil"/>
          <w:left w:val="nil"/>
          <w:bottom w:val="nil"/>
          <w:right w:val="nil"/>
          <w:between w:val="nil"/>
          <w:bar w:val="nil"/>
        </w:pBdr>
        <w:spacing w:before="0" w:after="240"/>
        <w:rPr>
          <w:noProof/>
        </w:rPr>
      </w:pPr>
      <w:r>
        <w:rPr>
          <w:noProof/>
        </w:rPr>
        <w:t>Programele naționale, bilaterale și transnaționale care au fost utilizate până în prezent pentru a îmbunătăți C&amp;I în domeniul sistemelor de alimentare cu apă și de aprovizionare cu alimente s-au dovedit insuficiente pentru a soluționa problemele transfrontaliere și a atrage noi investiții publice și private.</w:t>
      </w:r>
    </w:p>
    <w:p>
      <w:pPr>
        <w:pBdr>
          <w:top w:val="nil"/>
          <w:left w:val="nil"/>
          <w:bottom w:val="nil"/>
          <w:right w:val="nil"/>
          <w:between w:val="nil"/>
          <w:bar w:val="nil"/>
        </w:pBdr>
        <w:spacing w:before="0" w:after="240"/>
        <w:rPr>
          <w:noProof/>
        </w:rPr>
      </w:pPr>
      <w:r>
        <w:rPr>
          <w:noProof/>
        </w:rPr>
        <w:t>În plus, provocările legate de sistemele de alimentare cu apă și de aprovizionare cu alimente din zona mediteraneană sunt complexe, interconectate, transnaționale și multisectoriale. Ele necesită cercetare transdisciplinară și soluții integrate care includ inovarea. Alți factori, cum ar fi comportamentul social al comunităților rurale, constrângerile economice sau stabilitatea cadrului juridic și instituțional, pot, de asemenea, să conducă la adoptarea celor mai adecvate măsuri. O singură țară ar putea cu greu să facă față unei astfel de complexități.</w:t>
      </w:r>
    </w:p>
    <w:p>
      <w:pPr>
        <w:pBdr>
          <w:top w:val="nil"/>
          <w:left w:val="nil"/>
          <w:bottom w:val="nil"/>
          <w:right w:val="nil"/>
          <w:between w:val="nil"/>
          <w:bar w:val="nil"/>
        </w:pBdr>
        <w:spacing w:before="0" w:after="240"/>
        <w:rPr>
          <w:noProof/>
        </w:rPr>
      </w:pPr>
      <w:r>
        <w:rPr>
          <w:noProof/>
        </w:rPr>
        <w:t>Experiența inițiativelor similare în temeiul articolului 185 arată că acțiunea la nivelul Uniunii poate genera un program bine coordonat și integrat prin:</w:t>
      </w:r>
    </w:p>
    <w:p>
      <w:pPr>
        <w:pStyle w:val="ListParagraph"/>
        <w:tabs>
          <w:tab w:val="left" w:pos="851"/>
        </w:tabs>
        <w:ind w:left="851" w:hanging="425"/>
        <w:rPr>
          <w:noProof/>
        </w:rPr>
      </w:pPr>
      <w:r>
        <w:rPr>
          <w:noProof/>
        </w:rPr>
        <w:t>a)</w:t>
      </w:r>
      <w:r>
        <w:rPr>
          <w:noProof/>
        </w:rPr>
        <w:tab/>
        <w:t>obținerea amplorii și a domeniului de aplicare care sunt necesare și realizarea unei mase critice de resurse;</w:t>
      </w:r>
    </w:p>
    <w:p>
      <w:pPr>
        <w:pStyle w:val="ListParagraph"/>
        <w:tabs>
          <w:tab w:val="left" w:pos="851"/>
        </w:tabs>
        <w:ind w:left="851" w:hanging="425"/>
        <w:rPr>
          <w:noProof/>
        </w:rPr>
      </w:pPr>
      <w:r>
        <w:rPr>
          <w:noProof/>
        </w:rPr>
        <w:t>b)</w:t>
      </w:r>
      <w:r>
        <w:rPr>
          <w:noProof/>
        </w:rPr>
        <w:tab/>
        <w:t>stimularea efectelor de pârghie, producerea impacturilor și generarea de implicații pentru politicile externe ale UE și pentru migrație;</w:t>
      </w:r>
    </w:p>
    <w:p>
      <w:pPr>
        <w:pStyle w:val="ListParagraph"/>
        <w:tabs>
          <w:tab w:val="left" w:pos="851"/>
        </w:tabs>
        <w:ind w:left="851" w:hanging="425"/>
        <w:rPr>
          <w:noProof/>
        </w:rPr>
      </w:pPr>
      <w:r>
        <w:rPr>
          <w:noProof/>
        </w:rPr>
        <w:t>c)</w:t>
      </w:r>
      <w:r>
        <w:rPr>
          <w:noProof/>
        </w:rPr>
        <w:tab/>
        <w:t>contribuția la cooperarea globală și la vecinătatea sudică a Europei.</w:t>
      </w:r>
    </w:p>
    <w:p>
      <w:pPr>
        <w:pStyle w:val="ManualHeading2"/>
        <w:rPr>
          <w:rFonts w:eastAsia="Arial Unicode MS"/>
          <w:noProof/>
          <w:u w:color="000000"/>
          <w:bdr w:val="nil"/>
        </w:rPr>
      </w:pPr>
      <w:r>
        <w:rPr>
          <w:noProof/>
        </w:rPr>
        <w:t>•</w:t>
      </w:r>
      <w:r>
        <w:rPr>
          <w:noProof/>
        </w:rPr>
        <w:tab/>
        <w:t>Proporționalitatea</w:t>
      </w:r>
    </w:p>
    <w:p>
      <w:pPr>
        <w:pBdr>
          <w:top w:val="nil"/>
          <w:left w:val="nil"/>
          <w:bottom w:val="nil"/>
          <w:right w:val="nil"/>
          <w:between w:val="nil"/>
          <w:bar w:val="nil"/>
        </w:pBdr>
        <w:spacing w:before="0" w:after="240"/>
        <w:rPr>
          <w:noProof/>
        </w:rPr>
      </w:pPr>
      <w:r>
        <w:rPr>
          <w:noProof/>
        </w:rPr>
        <w:t>Propunerea nu depășește ceea ce este necesar pentru îndeplinirea obiectivelor sale. Participarea Uniunii la programul PRIMA se va realiza în limitele de competență prevăzute în temeiul TFUE și nu va face decât să faciliteze și să sprijine, inclusiv financiar, îndeplinirea obiectivelor PRIMA de către statele participante. Statele participante vor trebui să colaboreze pentru o mai bună coordonare, aliniere și integrare a programelor sau activităților naționale relevante și, în cele din urmă, să elaboreze o agendă strategică comună de cercetare pe termen lung.</w:t>
      </w:r>
    </w:p>
    <w:p>
      <w:pPr>
        <w:pBdr>
          <w:top w:val="nil"/>
          <w:left w:val="nil"/>
          <w:bottom w:val="nil"/>
          <w:right w:val="nil"/>
          <w:between w:val="nil"/>
          <w:bar w:val="nil"/>
        </w:pBdr>
        <w:spacing w:before="0" w:after="240"/>
        <w:rPr>
          <w:rFonts w:eastAsia="Arial Unicode MS"/>
          <w:i/>
          <w:noProof/>
        </w:rPr>
      </w:pPr>
      <w:r>
        <w:rPr>
          <w:noProof/>
        </w:rPr>
        <w:t>Vă rugăm să consultați, de asemenea, raportul de evaluare a impactului, secțiunea 6.5.</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noProof/>
        </w:rPr>
      </w:pPr>
      <w:r>
        <w:rPr>
          <w:noProof/>
        </w:rPr>
        <w:t>Concluziile activităților de consultare cu părțile interesate, precum și analiza și compararea opțiunilor în cadrul evaluării impactului au arătat că articolul 185 din TFUE constituie mijlocul cel mai adecvat pentru atingerea obiectivelor PRIMA. Articolul 185 din TFUE este, de asemenea, opțiunea statelor participante.</w:t>
      </w:r>
    </w:p>
    <w:p>
      <w:pPr>
        <w:pBdr>
          <w:top w:val="nil"/>
          <w:left w:val="nil"/>
          <w:bottom w:val="nil"/>
          <w:right w:val="nil"/>
          <w:between w:val="nil"/>
          <w:bar w:val="nil"/>
        </w:pBdr>
        <w:spacing w:before="0" w:after="240"/>
        <w:rPr>
          <w:noProof/>
        </w:rPr>
      </w:pPr>
      <w:r>
        <w:rPr>
          <w:noProof/>
        </w:rPr>
        <w:t>O inițiativă în temeiul articolului 185 din TFUE constituie cel mai eficient și eficace mijloc de intervenție pentru atingerea obiectivelor strategice și specifice ale programului PRIMA. O inițiativă în temeiul articolului 185 din TFUE are cele mai mari șanse să determine cel mai puternic efect de pârghie general în raport cu alte instrumente, într-o manieră stabilă, integrată și pe termen lung.</w:t>
      </w:r>
    </w:p>
    <w:p>
      <w:pPr>
        <w:pBdr>
          <w:top w:val="nil"/>
          <w:left w:val="nil"/>
          <w:bottom w:val="nil"/>
          <w:right w:val="nil"/>
          <w:between w:val="nil"/>
          <w:bar w:val="nil"/>
        </w:pBdr>
        <w:spacing w:before="0" w:after="240"/>
        <w:rPr>
          <w:noProof/>
        </w:rPr>
      </w:pPr>
      <w:r>
        <w:rPr>
          <w:noProof/>
        </w:rPr>
        <w:t>O inițiativă în temeiul articolului 185 din TFUE ar facilita și mai mult dezvoltarea unei relații în condiții de egalitate cu țările vecine. Uniunea și țările în cauză vor stabili împreună prioritățile lor reciproce, intrând într-o nouă fază de cooperare, în conformitate cu prioritățile politicii europene de vecinătate.</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rPr>
        <w:t>•</w:t>
      </w:r>
      <w:r>
        <w:rPr>
          <w:noProof/>
        </w:rPr>
        <w:tab/>
        <w:t>Consultările cu părțile interesate</w:t>
      </w:r>
    </w:p>
    <w:p>
      <w:pPr>
        <w:pBdr>
          <w:top w:val="nil"/>
          <w:left w:val="nil"/>
          <w:bottom w:val="nil"/>
          <w:right w:val="nil"/>
          <w:between w:val="nil"/>
          <w:bar w:val="nil"/>
        </w:pBdr>
        <w:spacing w:before="0" w:after="240"/>
        <w:rPr>
          <w:noProof/>
        </w:rPr>
      </w:pPr>
      <w:r>
        <w:rPr>
          <w:noProof/>
        </w:rPr>
        <w:t>Au fost organizate două activități de consultare în cadrul evaluării impactului PRIMA:</w:t>
      </w:r>
    </w:p>
    <w:p>
      <w:pPr>
        <w:pBdr>
          <w:top w:val="nil"/>
          <w:left w:val="nil"/>
          <w:bottom w:val="nil"/>
          <w:right w:val="nil"/>
          <w:between w:val="nil"/>
          <w:bar w:val="nil"/>
        </w:pBdr>
        <w:tabs>
          <w:tab w:val="left" w:pos="284"/>
        </w:tabs>
        <w:spacing w:before="0"/>
        <w:ind w:left="284"/>
        <w:rPr>
          <w:noProof/>
        </w:rPr>
      </w:pPr>
      <w:r>
        <w:rPr>
          <w:noProof/>
        </w:rPr>
        <w:t>•</w:t>
      </w:r>
      <w:r>
        <w:rPr>
          <w:noProof/>
        </w:rPr>
        <w:tab/>
        <w:t>o consultare publică online cu durată de 12 săptămâni, în perioada 1 februarie – 24 aprilie 2016;</w:t>
      </w:r>
    </w:p>
    <w:p>
      <w:pPr>
        <w:pBdr>
          <w:top w:val="nil"/>
          <w:left w:val="nil"/>
          <w:bottom w:val="nil"/>
          <w:right w:val="nil"/>
          <w:between w:val="nil"/>
          <w:bar w:val="nil"/>
        </w:pBdr>
        <w:tabs>
          <w:tab w:val="left" w:pos="284"/>
        </w:tabs>
        <w:spacing w:before="0" w:after="240"/>
        <w:ind w:left="284"/>
        <w:rPr>
          <w:noProof/>
        </w:rPr>
      </w:pPr>
      <w:r>
        <w:rPr>
          <w:noProof/>
        </w:rPr>
        <w:t>•</w:t>
      </w:r>
      <w:r>
        <w:rPr>
          <w:noProof/>
        </w:rPr>
        <w:tab/>
        <w:t xml:space="preserve">un eveniment al părților interesate, organizat în Malta, la 17 martie în 2016. </w:t>
      </w:r>
    </w:p>
    <w:p>
      <w:pPr>
        <w:pBdr>
          <w:top w:val="nil"/>
          <w:left w:val="nil"/>
          <w:bottom w:val="nil"/>
          <w:right w:val="nil"/>
          <w:between w:val="nil"/>
          <w:bar w:val="nil"/>
        </w:pBdr>
        <w:spacing w:before="0" w:after="240"/>
        <w:rPr>
          <w:noProof/>
        </w:rPr>
      </w:pPr>
      <w:r>
        <w:rPr>
          <w:noProof/>
        </w:rPr>
        <w:t>Diferite părți interesate din cercetare, mediul academic, industrie și societatea civilă din Europa și din țările sud-mediteraneene și-au exprimat punctele de vedere. În elaborarea propunerii s-a ținut seama pe deplin de numeroasele contribuții și date primite.</w:t>
      </w:r>
    </w:p>
    <w:p>
      <w:pPr>
        <w:pBdr>
          <w:top w:val="nil"/>
          <w:left w:val="nil"/>
          <w:bottom w:val="nil"/>
          <w:right w:val="nil"/>
          <w:between w:val="nil"/>
          <w:bar w:val="nil"/>
        </w:pBdr>
        <w:spacing w:before="0" w:after="240"/>
        <w:rPr>
          <w:rFonts w:eastAsia="Arial Unicode MS"/>
          <w:noProof/>
        </w:rPr>
      </w:pPr>
      <w:r>
        <w:rPr>
          <w:noProof/>
        </w:rPr>
        <w:t>Majoritatea părților interesate consultate au fost în favoarea unei opțiuni în temeiul articolului 185.</w:t>
      </w:r>
    </w:p>
    <w:p>
      <w:pPr>
        <w:pStyle w:val="ManualHeading2"/>
        <w:rPr>
          <w:rFonts w:eastAsia="Arial Unicode MS"/>
          <w:noProof/>
          <w:u w:color="000000"/>
          <w:bdr w:val="nil"/>
        </w:rPr>
      </w:pPr>
      <w:r>
        <w:rPr>
          <w:noProof/>
        </w:rPr>
        <w:t>•</w:t>
      </w:r>
      <w:r>
        <w:rPr>
          <w:noProof/>
        </w:rPr>
        <w:tab/>
        <w:t>Obținerea și utilizarea expertizei</w:t>
      </w:r>
    </w:p>
    <w:p>
      <w:pPr>
        <w:pBdr>
          <w:top w:val="nil"/>
          <w:left w:val="nil"/>
          <w:bottom w:val="nil"/>
          <w:right w:val="nil"/>
          <w:between w:val="nil"/>
          <w:bar w:val="nil"/>
        </w:pBdr>
        <w:spacing w:before="0" w:after="240"/>
        <w:rPr>
          <w:rFonts w:eastAsia="Arial Unicode MS"/>
          <w:noProof/>
        </w:rPr>
      </w:pPr>
      <w:r>
        <w:rPr>
          <w:noProof/>
        </w:rPr>
        <w:t>A fost creat un grup de experți externi (Grupul de experți PRIMA) din statele membre mediteraneene și non-mediteraneene și din țările terțe, pentru a sprijini evaluarea impactului. Constatările grupului au fost comparate cu constatările din alte surse (de exemplu, o analiză a literaturii de specialitate efectuată de serviciile Comisiei, rezultatele consultării publice online) și au fost luate în considerare în evaluarea impactului.</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noProof/>
        </w:rPr>
      </w:pPr>
      <w:r>
        <w:rPr>
          <w:noProof/>
        </w:rPr>
        <w:t>În cadrul procesului de evaluare a impactului au fost identificate mai multe opțiuni de politică posibile care diferă în ceea ce privește domeniul de aplicare, acoperirea geografică și tipul de instrument utilizat. Toate opțiunile au fost verificate cu ajutorul instrumentului #14 din setul de instrumente pentru o mai bună legiferare. Pe această bază, au fost reținute următoarele opțiuni de politică.</w:t>
      </w:r>
    </w:p>
    <w:p>
      <w:pPr>
        <w:pStyle w:val="ListBullet1"/>
        <w:tabs>
          <w:tab w:val="clear" w:pos="1134"/>
          <w:tab w:val="num" w:pos="1276"/>
        </w:tabs>
        <w:ind w:left="709"/>
        <w:rPr>
          <w:noProof/>
        </w:rPr>
      </w:pPr>
      <w:r>
        <w:rPr>
          <w:noProof/>
        </w:rPr>
        <w:t xml:space="preserve">Opțiunea 0: Nicio schimbare de politică – scenariu de bază – Orizont 2020 va continua să acorde sprijin pentru aspecte legate de apă și de alimente în general, în mod </w:t>
      </w:r>
      <w:r>
        <w:rPr>
          <w:i/>
          <w:noProof/>
        </w:rPr>
        <w:t>ad hoc</w:t>
      </w:r>
      <w:r>
        <w:rPr>
          <w:noProof/>
        </w:rPr>
        <w:t>. Este puțin probabil să fie lansate inițiative dedicate vizând integrarea sistemelor de C&amp;I mediteraneene. În general, acțiunile individuale ar dura trei-patru ani, având un impact limitat.</w:t>
      </w:r>
    </w:p>
    <w:p>
      <w:pPr>
        <w:pStyle w:val="ListBullet1"/>
        <w:tabs>
          <w:tab w:val="clear" w:pos="1134"/>
          <w:tab w:val="num" w:pos="1276"/>
        </w:tabs>
        <w:ind w:left="709"/>
        <w:rPr>
          <w:noProof/>
        </w:rPr>
      </w:pPr>
      <w:r>
        <w:rPr>
          <w:noProof/>
        </w:rPr>
        <w:t>Opțiunea 1: Acțiune de cofinanțare ERA-NET – Activitatea de bază din cadrul programului Orizont 2020 constă în punerea în aplicare a unei singure cereri de propuneri comune cofinanțate pentru fiecare acțiune, având ca rezultat finanțarea proiectelor de cercetare și/sau inovare transnaționale. În general, acțiunile individuale ar dura cinci ani. Această opțiune ar consta într-o serie de acțiuni de cofinanțare ERA-NET, limitate la restul programului Orizont 2020. Ea nu ar permite abordarea semnificativă a dimensiunii inovării întrucât programele naționale care ar colabora și care și-ar coordona activitățile se concentrează, în principal, pe activitățile de cercetare ale organizațiilor publice de cercetare. Nu este de așteptat ca opțiunea 1 să integreze programele naționale de finanțare într-o agendă strategică comună de cercetare.</w:t>
      </w:r>
    </w:p>
    <w:p>
      <w:pPr>
        <w:pStyle w:val="ListBullet1"/>
        <w:tabs>
          <w:tab w:val="clear" w:pos="1134"/>
          <w:tab w:val="num" w:pos="1276"/>
        </w:tabs>
        <w:ind w:left="709"/>
        <w:rPr>
          <w:noProof/>
        </w:rPr>
      </w:pPr>
      <w:r>
        <w:rPr>
          <w:noProof/>
        </w:rPr>
        <w:t>Opțiunea 2: Programul comun PRIMA derulat în temeiul articolului 185 din TFUE – Aceasta permite Uniunii să prevadă participarea sa la programe de cercetare și dezvoltare derulate de mai multe state membre, inclusiv participarea sa la structurile create pentru punerea în aplicare a programelor respective. Articolul 26 din Regulamentul privind programul-cadru Orizont 2020 precizează condițiile și criteriile pentru identificarea și propunerea unei inițiative în temeiul articolului 185 din TFUE.</w:t>
      </w:r>
    </w:p>
    <w:p>
      <w:pPr>
        <w:pBdr>
          <w:top w:val="nil"/>
          <w:left w:val="nil"/>
          <w:bottom w:val="nil"/>
          <w:right w:val="nil"/>
          <w:between w:val="nil"/>
          <w:bar w:val="nil"/>
        </w:pBdr>
        <w:spacing w:before="0" w:after="240"/>
        <w:rPr>
          <w:noProof/>
        </w:rPr>
      </w:pPr>
      <w:r>
        <w:rPr>
          <w:noProof/>
        </w:rPr>
        <w:t>Printre alte criterii, Comisia poate propune inițiative în temeiul articolului 185 numai atunci când este necesară o structură dedicată de implementare și în cazul în care există un nivel înalt de angajament din partea țărilor participante pentru o integrare mai accentuată la nivel științific, administrativ și financiar. Această opțiune implică întocmirea unei agende strategice de cercetare cuprinzătoare și punerea sa în aplicare deplină prin mai multe cereri de propuneri transnaționale realizate de mai multe state participante și puse în aplicare printr-o structură dedicată de implementare [denumită în continuare „organism de finanțare DIS (</w:t>
      </w:r>
      <w:r>
        <w:rPr>
          <w:i/>
          <w:noProof/>
        </w:rPr>
        <w:t>dedicated implementation structure</w:t>
      </w:r>
      <w:r>
        <w:rPr>
          <w:noProof/>
        </w:rPr>
        <w:t xml:space="preserve">)”]. În general, aceasta implică un angajament pe termen lung (zece ani). Uniunea ar oferi sprijin financiar egal cu investițiile naționale. Această opțiune este cea mai bună pentru realizarea obiectivelor specifice și generale și pentru punerea în aplicare a mai multor programe pilot și activități demonstrative în domenii de importanță strategică legate de sistemele de alimentare cu apă și de aprovizionare cu alimente. Ea ține seama pe deplin de toate lecțiile învățate – în ceea ce privește gestionarea contribuției financiare a Uniunii, realizarea impacturilor etc. – din punerea în aplicare a inițiativelor în temeiul articolului 185 anterioare și în curs de desfășurare. De asemenea, ea este concepută pentru a asigura o bună gestiune financiară și pentru a proteja interesele financiare ale Uniunii, prin controale </w:t>
      </w:r>
      <w:r>
        <w:rPr>
          <w:i/>
          <w:noProof/>
        </w:rPr>
        <w:t>ex ante</w:t>
      </w:r>
      <w:r>
        <w:rPr>
          <w:noProof/>
        </w:rPr>
        <w:t xml:space="preserve"> adecvate, raportare financiară și verificare </w:t>
      </w:r>
      <w:r>
        <w:rPr>
          <w:i/>
          <w:noProof/>
        </w:rPr>
        <w:t>ex post</w:t>
      </w:r>
      <w:r>
        <w:rPr>
          <w:noProof/>
        </w:rPr>
        <w:t>.</w:t>
      </w:r>
    </w:p>
    <w:p>
      <w:pPr>
        <w:pBdr>
          <w:top w:val="nil"/>
          <w:left w:val="nil"/>
          <w:bottom w:val="nil"/>
          <w:right w:val="nil"/>
          <w:between w:val="nil"/>
          <w:bar w:val="nil"/>
        </w:pBdr>
        <w:spacing w:before="0" w:after="240"/>
        <w:rPr>
          <w:noProof/>
        </w:rPr>
      </w:pPr>
      <w:r>
        <w:rPr>
          <w:noProof/>
        </w:rPr>
        <w:t>Luând în considerare impacturile lor probabile, opțiunile în cauză au fost comparate între ele utilizând scenariul de bază ca punct de referință și aplicând următoarele criterii:</w:t>
      </w:r>
    </w:p>
    <w:p>
      <w:pPr>
        <w:pStyle w:val="ListBullet1"/>
        <w:tabs>
          <w:tab w:val="clear" w:pos="1134"/>
          <w:tab w:val="num" w:pos="1276"/>
        </w:tabs>
        <w:ind w:left="709"/>
        <w:rPr>
          <w:noProof/>
        </w:rPr>
      </w:pPr>
      <w:r>
        <w:rPr>
          <w:noProof/>
        </w:rPr>
        <w:t>eficacitate: opțiunile propuse ar trebui să îmbunătățească cadrul de C&amp;I din zona mediteraneană în domeniul sistemelor de alimentare cu apă și de aprovizionare cu alimente;</w:t>
      </w:r>
    </w:p>
    <w:p>
      <w:pPr>
        <w:pStyle w:val="ListBullet1"/>
        <w:tabs>
          <w:tab w:val="clear" w:pos="1134"/>
          <w:tab w:val="num" w:pos="1276"/>
        </w:tabs>
        <w:ind w:left="709"/>
        <w:rPr>
          <w:noProof/>
        </w:rPr>
      </w:pPr>
      <w:r>
        <w:rPr>
          <w:noProof/>
        </w:rPr>
        <w:t>eficiență: opțiunile propuse ar trebui să realizeze impacturile preconizate cu cel mai bun raport cost/beneficiu;</w:t>
      </w:r>
    </w:p>
    <w:p>
      <w:pPr>
        <w:pStyle w:val="ListBullet1"/>
        <w:tabs>
          <w:tab w:val="clear" w:pos="1134"/>
          <w:tab w:val="num" w:pos="1276"/>
        </w:tabs>
        <w:ind w:left="709"/>
        <w:rPr>
          <w:noProof/>
        </w:rPr>
      </w:pPr>
      <w:r>
        <w:rPr>
          <w:noProof/>
        </w:rPr>
        <w:t>coerența cu alte politici: opțiunile propuse ar trebui să fie coerente cu alte politici și programe UE și naționale de C&amp;I și cu politicile internaționale de coordonare și cooperare.</w:t>
      </w:r>
    </w:p>
    <w:p>
      <w:pPr>
        <w:pBdr>
          <w:top w:val="nil"/>
          <w:left w:val="nil"/>
          <w:bottom w:val="nil"/>
          <w:right w:val="nil"/>
          <w:between w:val="nil"/>
          <w:bar w:val="nil"/>
        </w:pBdr>
        <w:spacing w:before="0" w:after="240"/>
        <w:rPr>
          <w:noProof/>
        </w:rPr>
      </w:pPr>
      <w:r>
        <w:rPr>
          <w:noProof/>
        </w:rPr>
        <w:t>Inițiativele în temeiul articolului 185 din TFUE anterioare și în curs de desfășurare arată că o astfel de inițiativă ar putea avea un efect de pârghie puternic asupra fondurilor publice naționale într-o manieră stabilă, pe termen lung și integrată, contribuind la:</w:t>
      </w:r>
    </w:p>
    <w:p>
      <w:pPr>
        <w:pStyle w:val="ListBullet1"/>
        <w:tabs>
          <w:tab w:val="clear" w:pos="1134"/>
          <w:tab w:val="num" w:pos="1276"/>
        </w:tabs>
        <w:ind w:left="709"/>
        <w:rPr>
          <w:noProof/>
        </w:rPr>
      </w:pPr>
      <w:r>
        <w:rPr>
          <w:noProof/>
        </w:rPr>
        <w:t>obținerea efectului de structurare dorit a politicilor și programelor naționale de C&amp;I și integrarea acestora;</w:t>
      </w:r>
    </w:p>
    <w:p>
      <w:pPr>
        <w:pStyle w:val="ListBullet1"/>
        <w:tabs>
          <w:tab w:val="clear" w:pos="1134"/>
          <w:tab w:val="num" w:pos="1276"/>
        </w:tabs>
        <w:ind w:left="709"/>
        <w:rPr>
          <w:noProof/>
        </w:rPr>
      </w:pPr>
      <w:r>
        <w:rPr>
          <w:noProof/>
        </w:rPr>
        <w:t xml:space="preserve">facilitarea întocmirii unor agende strategice comune de cercetare stabile, pe termen lung, cu o amploare și cu domenii de aplicare adecvate; </w:t>
      </w:r>
    </w:p>
    <w:p>
      <w:pPr>
        <w:pStyle w:val="ListBullet1"/>
        <w:tabs>
          <w:tab w:val="clear" w:pos="1134"/>
          <w:tab w:val="num" w:pos="1276"/>
        </w:tabs>
        <w:ind w:left="709"/>
        <w:rPr>
          <w:noProof/>
        </w:rPr>
      </w:pPr>
      <w:r>
        <w:rPr>
          <w:noProof/>
        </w:rPr>
        <w:t xml:space="preserve">sprijinirea alinierii programelor naționale de C&amp;I; </w:t>
      </w:r>
    </w:p>
    <w:p>
      <w:pPr>
        <w:pStyle w:val="ListBullet1"/>
        <w:tabs>
          <w:tab w:val="clear" w:pos="1134"/>
          <w:tab w:val="num" w:pos="1276"/>
        </w:tabs>
        <w:ind w:left="709"/>
        <w:rPr>
          <w:noProof/>
        </w:rPr>
      </w:pPr>
      <w:r>
        <w:rPr>
          <w:noProof/>
        </w:rPr>
        <w:t>facilitarea implicării țărilor partenere în condiții de egalitate;</w:t>
      </w:r>
    </w:p>
    <w:p>
      <w:pPr>
        <w:pStyle w:val="ListBullet1"/>
        <w:tabs>
          <w:tab w:val="clear" w:pos="1134"/>
          <w:tab w:val="num" w:pos="1276"/>
        </w:tabs>
        <w:ind w:left="709"/>
        <w:rPr>
          <w:noProof/>
        </w:rPr>
      </w:pPr>
      <w:r>
        <w:rPr>
          <w:noProof/>
        </w:rPr>
        <w:t>facilitarea implicării structurale a diferitelor tipuri de părți interesate, atât publice, cât și private, reunind și valorificând cunoștințele și resursele financiare respective ale acestora;</w:t>
      </w:r>
    </w:p>
    <w:p>
      <w:pPr>
        <w:pStyle w:val="ListBullet1"/>
        <w:tabs>
          <w:tab w:val="clear" w:pos="1134"/>
          <w:tab w:val="num" w:pos="1276"/>
        </w:tabs>
        <w:ind w:left="709"/>
        <w:rPr>
          <w:noProof/>
        </w:rPr>
      </w:pPr>
      <w:r>
        <w:rPr>
          <w:noProof/>
        </w:rPr>
        <w:t>consolidarea capacităților de C&amp;I în mod durabil.</w:t>
      </w:r>
    </w:p>
    <w:p>
      <w:pPr>
        <w:pBdr>
          <w:top w:val="nil"/>
          <w:left w:val="nil"/>
          <w:bottom w:val="nil"/>
          <w:right w:val="nil"/>
          <w:between w:val="nil"/>
          <w:bar w:val="nil"/>
        </w:pBdr>
        <w:tabs>
          <w:tab w:val="left" w:pos="284"/>
        </w:tabs>
        <w:spacing w:before="0"/>
        <w:rPr>
          <w:rFonts w:eastAsia="Arial Unicode MS"/>
          <w:noProof/>
        </w:rPr>
      </w:pPr>
    </w:p>
    <w:p>
      <w:pPr>
        <w:pStyle w:val="ManualHeading2"/>
        <w:rPr>
          <w:rFonts w:eastAsia="Arial Unicode MS"/>
          <w:noProof/>
          <w:u w:color="000000"/>
          <w:bdr w:val="nil"/>
        </w:rPr>
      </w:pPr>
      <w:r>
        <w:rPr>
          <w:noProof/>
        </w:rPr>
        <w:t>•</w:t>
      </w:r>
      <w:r>
        <w:rPr>
          <w:noProof/>
        </w:rPr>
        <w:tab/>
        <w:t>Drepturile fundamentale</w:t>
      </w:r>
    </w:p>
    <w:p>
      <w:pPr>
        <w:pBdr>
          <w:top w:val="nil"/>
          <w:left w:val="nil"/>
          <w:bottom w:val="nil"/>
          <w:right w:val="nil"/>
          <w:between w:val="nil"/>
          <w:bar w:val="nil"/>
        </w:pBdr>
        <w:spacing w:before="0" w:after="240"/>
        <w:rPr>
          <w:rFonts w:eastAsia="Arial Unicode MS"/>
          <w:noProof/>
        </w:rPr>
      </w:pPr>
      <w:r>
        <w:rPr>
          <w:noProof/>
        </w:rPr>
        <w:t>Inițiativa este în conformitate cu articolul 37 privind protecția mediului din Carta drepturilor fundamentale a Uniunii Europene: „Politicile Uniunii trebuie să prevadă un nivel ridicat de protecție a mediului și de îmbunătățire a calității acestuia, care să fie asigurat în conformitate cu principiul dezvoltării durabile”.</w:t>
      </w:r>
    </w:p>
    <w:p>
      <w:pPr>
        <w:pStyle w:val="ManualHeading1"/>
        <w:rPr>
          <w:noProof/>
        </w:rPr>
      </w:pPr>
      <w:r>
        <w:rPr>
          <w:noProof/>
        </w:rPr>
        <w:t>4.</w:t>
      </w:r>
      <w:r>
        <w:rPr>
          <w:noProof/>
        </w:rPr>
        <w:tab/>
        <w:t>IMPLICAȚII BUGETARE</w:t>
      </w:r>
    </w:p>
    <w:p>
      <w:pPr>
        <w:autoSpaceDE w:val="0"/>
        <w:autoSpaceDN w:val="0"/>
        <w:rPr>
          <w:noProof/>
        </w:rPr>
      </w:pPr>
      <w:r>
        <w:rPr>
          <w:noProof/>
        </w:rPr>
        <w:t>Fișa financiară legislativă care însoțește prezenta decizie prezintă implicațiile bugetare orientative. Contribuția UE este de până la 200 de milioane EUR, incluzând contribuția AELS. Pachetul financiar este în prețuri curente. Contribuția UE va fi realizată ca parte a punerii în aplicare a Programului-cadru pentru cercetare și inovare – Orizont 2020.</w:t>
      </w:r>
    </w:p>
    <w:p>
      <w:pPr>
        <w:pStyle w:val="Bullet0"/>
        <w:numPr>
          <w:ilvl w:val="0"/>
          <w:numId w:val="29"/>
        </w:numPr>
        <w:rPr>
          <w:noProof/>
        </w:rPr>
      </w:pPr>
      <w:r>
        <w:rPr>
          <w:noProof/>
        </w:rPr>
        <w:t>Din partea DG Agricultură și Dezvoltare Rurală:</w:t>
      </w:r>
    </w:p>
    <w:p>
      <w:pPr>
        <w:pStyle w:val="Tiret1"/>
        <w:numPr>
          <w:ilvl w:val="0"/>
          <w:numId w:val="34"/>
        </w:numPr>
        <w:rPr>
          <w:noProof/>
        </w:rPr>
      </w:pPr>
      <w:r>
        <w:rPr>
          <w:noProof/>
        </w:rPr>
        <w:t>Provocarea societală 2 „Cercetare și inovare legate de agricultură – asigurarea unor cantități suficiente de alimente sigure și de înaltă calitate”.</w:t>
      </w:r>
    </w:p>
    <w:p>
      <w:pPr>
        <w:pStyle w:val="Bullet0"/>
        <w:rPr>
          <w:noProof/>
        </w:rPr>
      </w:pPr>
      <w:r>
        <w:rPr>
          <w:noProof/>
        </w:rPr>
        <w:t>Din partea DG C&amp;I:</w:t>
      </w:r>
    </w:p>
    <w:p>
      <w:pPr>
        <w:pStyle w:val="Tiret1"/>
        <w:spacing w:after="0"/>
        <w:ind w:left="1418"/>
        <w:rPr>
          <w:noProof/>
        </w:rPr>
      </w:pPr>
      <w:r>
        <w:rPr>
          <w:noProof/>
        </w:rPr>
        <w:t xml:space="preserve">Provocarea societală 2 „Securitate alimentară, agricultură și silvicultură durabile, cercetarea marină, maritimă și privind apele interioare și bioeconomia”; </w:t>
      </w:r>
    </w:p>
    <w:p>
      <w:pPr>
        <w:pStyle w:val="Tiret1"/>
        <w:spacing w:before="0" w:after="0"/>
        <w:ind w:left="1418"/>
        <w:rPr>
          <w:noProof/>
        </w:rPr>
      </w:pPr>
      <w:r>
        <w:rPr>
          <w:noProof/>
        </w:rPr>
        <w:t>Provocarea societală 5 „Combaterea schimbărilor climatice, mediu, utilizarea eficientă a resurselor și materii prime”;</w:t>
      </w:r>
    </w:p>
    <w:p>
      <w:pPr>
        <w:pStyle w:val="Tiret1"/>
        <w:spacing w:before="0"/>
        <w:ind w:left="1418"/>
        <w:rPr>
          <w:noProof/>
        </w:rPr>
      </w:pPr>
      <w:r>
        <w:rPr>
          <w:noProof/>
        </w:rPr>
        <w:t xml:space="preserve">Poziția de lider în sectorul industrial. </w:t>
      </w:r>
    </w:p>
    <w:p>
      <w:pPr>
        <w:pBdr>
          <w:top w:val="nil"/>
          <w:left w:val="nil"/>
          <w:bottom w:val="nil"/>
          <w:right w:val="nil"/>
          <w:between w:val="nil"/>
          <w:bar w:val="nil"/>
        </w:pBdr>
        <w:spacing w:before="0" w:after="240"/>
        <w:rPr>
          <w:noProof/>
        </w:rPr>
      </w:pPr>
      <w:r>
        <w:rPr>
          <w:noProof/>
        </w:rPr>
        <w:t>Valoarea maximă a contribuției UE la cheltuielile administrative este de până la 5 %. Aceasta corespunde unei sume de 10 milioane EUR.</w:t>
      </w:r>
    </w:p>
    <w:p>
      <w:pPr>
        <w:pBdr>
          <w:top w:val="nil"/>
          <w:left w:val="nil"/>
          <w:bottom w:val="nil"/>
          <w:right w:val="nil"/>
          <w:between w:val="nil"/>
          <w:bar w:val="nil"/>
        </w:pBdr>
        <w:spacing w:before="0" w:after="240"/>
        <w:rPr>
          <w:noProof/>
          <w:szCs w:val="24"/>
        </w:rPr>
      </w:pPr>
      <w:r>
        <w:rPr>
          <w:noProof/>
        </w:rPr>
        <w:t>Contribuția UE va fi gestionată de structura de implementare a PRIMA, PRIMA-IS (</w:t>
      </w:r>
      <w:r>
        <w:rPr>
          <w:i/>
          <w:noProof/>
        </w:rPr>
        <w:t>PRIMA Implementation Structure</w:t>
      </w:r>
      <w:r>
        <w:rPr>
          <w:noProof/>
        </w:rPr>
        <w:t xml:space="preserve">) (gestionarea indirectă a fondurilor UE). Înaintea delegării gestiunii și a transferului de fonduri, PRIMA-IS va face obiectul unei evaluări </w:t>
      </w:r>
      <w:r>
        <w:rPr>
          <w:i/>
          <w:noProof/>
        </w:rPr>
        <w:t>ex ante</w:t>
      </w:r>
      <w:r>
        <w:rPr>
          <w:noProof/>
        </w:rPr>
        <w:t xml:space="preserve">, în conformitate cu cerințele prevăzute la articolul 61 din Regulamentul financiar, pentru a evalua capacitatea ei de a pune în aplicare programul, inclusiv capacitatea de a primi, a aloca și a monitoriza contribuția financiară a UE în cadrul gestiunii indirecte a bugetului UE. </w:t>
      </w:r>
    </w:p>
    <w:p>
      <w:pPr>
        <w:autoSpaceDE w:val="0"/>
        <w:autoSpaceDN w:val="0"/>
        <w:adjustRightInd w:val="0"/>
        <w:spacing w:before="0" w:after="0"/>
        <w:rPr>
          <w:noProof/>
          <w:szCs w:val="24"/>
        </w:rPr>
      </w:pPr>
      <w:r>
        <w:rPr>
          <w:noProof/>
        </w:rPr>
        <w:t>Dispozițiile deciziei și ale acordului de delegare care urmează să fie încheiat între Comisie și structura dedicată de implementare trebuie să asigure protejarea intereselor financiare ale UE. Riscul de nerecuperare este acoperit de garanțiile financiare pe care statele participante vor trebui să le furnizeze în timp util și cel târziu înainte de semnarea acordului de delegare.</w:t>
      </w:r>
    </w:p>
    <w:p>
      <w:pPr>
        <w:autoSpaceDE w:val="0"/>
        <w:autoSpaceDN w:val="0"/>
        <w:adjustRightInd w:val="0"/>
        <w:spacing w:before="0" w:after="0"/>
        <w:rPr>
          <w:noProof/>
        </w:rPr>
      </w:pPr>
    </w:p>
    <w:p>
      <w:pPr>
        <w:autoSpaceDE w:val="0"/>
        <w:autoSpaceDN w:val="0"/>
        <w:adjustRightInd w:val="0"/>
        <w:spacing w:before="0" w:after="0"/>
        <w:rPr>
          <w:noProof/>
          <w:szCs w:val="24"/>
        </w:rPr>
      </w:pPr>
      <w:r>
        <w:rPr>
          <w:noProof/>
        </w:rPr>
        <w:t>Statele participante și UE se angajează în prealabil să contribuie la PRIMA. Angajamentul UE în valoare de 200 de milioane EUR din actualul cadru financiar multianual va fi utilizat, în principal, pentru finanțarea acțiunilor indirecte care decurg din cererile de propuneri lansate de PRIMA-IS. El va acoperi o serie de șapte planuri anuale de activitate (2018-2024), iar ultimul angajament al Comisiei, care va fi utilizat pentru finanțarea proiectelor care decurg din cererile de propuneri din perioada 2020-2024, va fi asumat în 2020. În planul anual de activitate, statele participante își vor descrie activitățile finanțate din programele naționale și bugetele alocate activităților respective. Statele participante au fost informate cu privire la necesitatea de a contribui substanțial încă din primii ani ai implementării programului pentru a fi în concordanță cu contribuția solidă realizată de la bun început din bugetul Uniunii.</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Contribuția UE la fiecare plan anual de activitate nu va depăși angajamentul statelor participante la acesta. Acest lucru asigură existența unui echilibru, contribuțiile din finanțarea UE și din partea statelor participante fiind cel mult egale. Acest lucru permite un mecanism de reducere a angajamentului UE în cazul în care statele participante nu reușesc să se angajeze conform așteptărilor.</w:t>
      </w:r>
    </w:p>
    <w:p>
      <w:pPr>
        <w:autoSpaceDE w:val="0"/>
        <w:autoSpaceDN w:val="0"/>
        <w:adjustRightInd w:val="0"/>
        <w:spacing w:before="0" w:after="0"/>
        <w:rPr>
          <w:noProof/>
          <w:szCs w:val="24"/>
        </w:rPr>
      </w:pPr>
    </w:p>
    <w:p>
      <w:pPr>
        <w:pBdr>
          <w:top w:val="nil"/>
          <w:left w:val="nil"/>
          <w:bottom w:val="nil"/>
          <w:right w:val="nil"/>
          <w:between w:val="nil"/>
          <w:bar w:val="nil"/>
        </w:pBdr>
        <w:spacing w:before="0" w:after="240"/>
        <w:rPr>
          <w:rFonts w:eastAsia="Arial Unicode MS"/>
          <w:noProof/>
        </w:rPr>
      </w:pPr>
      <w:r>
        <w:rPr>
          <w:noProof/>
        </w:rPr>
        <w:t>De asemenea, evaluarea de către Comisie a angajamentelor asumate de statele participante în cadrul primelor două planuri anuale de activitate a fost prevăzută în propunerea legislativă ca o condiție de acordare a contribuției financiare a UE. În urma acestei evaluări, contribuția maximă a UE poate fi revizuită în concordanță cu garanțiile aplicabile privind încetarea, reducerea sau suspendarea contribuției financiare a UE, care prevăd că, „</w:t>
      </w:r>
      <w:r>
        <w:rPr>
          <w:i/>
          <w:noProof/>
        </w:rPr>
        <w:t>[î]n cazul în care statele participante nu contribuie ori contribuie parțial sau cu întârziere la finanțarea PRIMA, Comisia poate înceta, reduce în mod proporțional sau suspenda contribuția financiară a Uniunii, luând în considerare cuantumul fondurilor alocate de către statele participante pentru punerea în aplicare a PRIMA</w:t>
      </w:r>
      <w:r>
        <w:rPr>
          <w:noProof/>
        </w:rPr>
        <w:t>”.</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Planurile anuale de activitate, mecanismele de monitorizare, evaluare și raportare</w:t>
      </w:r>
    </w:p>
    <w:p>
      <w:pPr>
        <w:pBdr>
          <w:top w:val="nil"/>
          <w:left w:val="nil"/>
          <w:bottom w:val="nil"/>
          <w:right w:val="nil"/>
          <w:between w:val="nil"/>
          <w:bar w:val="nil"/>
        </w:pBdr>
        <w:spacing w:before="0" w:after="240"/>
        <w:rPr>
          <w:noProof/>
        </w:rPr>
      </w:pPr>
      <w:r>
        <w:rPr>
          <w:noProof/>
        </w:rPr>
        <w:t xml:space="preserve">Planurile anuale de activitate (PAA) ale PRIMA vor asigura coerența și coordonarea între toate activitățile și orientarea acestora spre realizarea obiectivelor operaționale, specifice și generale ale PRIMA. PAA, care este supus aprobării de către Comisie, va include: </w:t>
      </w:r>
    </w:p>
    <w:p>
      <w:pPr>
        <w:pBdr>
          <w:top w:val="nil"/>
          <w:left w:val="nil"/>
          <w:bottom w:val="nil"/>
          <w:right w:val="nil"/>
          <w:between w:val="nil"/>
          <w:bar w:val="nil"/>
        </w:pBdr>
        <w:spacing w:before="0" w:after="240"/>
        <w:rPr>
          <w:noProof/>
        </w:rPr>
      </w:pPr>
      <w:r>
        <w:rPr>
          <w:noProof/>
        </w:rPr>
        <w:t>- cereri de propuneri transnaționale care urmează să fie finanțate de PRIMA-IS cu contribuția UE, în conformitate cu normele de participare la programul Orizont 2020;</w:t>
      </w:r>
    </w:p>
    <w:p>
      <w:pPr>
        <w:pBdr>
          <w:top w:val="nil"/>
          <w:left w:val="nil"/>
          <w:bottom w:val="nil"/>
          <w:right w:val="nil"/>
          <w:between w:val="nil"/>
          <w:bar w:val="nil"/>
        </w:pBdr>
        <w:spacing w:before="0" w:after="240"/>
        <w:rPr>
          <w:noProof/>
        </w:rPr>
      </w:pPr>
      <w:r>
        <w:rPr>
          <w:noProof/>
        </w:rPr>
        <w:t xml:space="preserve">- activitățile finanțate numai de către statele participante și acceptate pentru cofinanțare corespunzătoare din contribuția Uniunii, în anumite condiții. În particular, aceste activități vor fi incluse în PAA după evaluarea externă pozitivă prin evaluare internațională </w:t>
      </w:r>
      <w:r>
        <w:rPr>
          <w:i/>
          <w:noProof/>
        </w:rPr>
        <w:t>inter pares</w:t>
      </w:r>
      <w:r>
        <w:rPr>
          <w:noProof/>
        </w:rPr>
        <w:t xml:space="preserve"> în ceea ce privește obiectivele programului comun PRIMA. Ele vor fi puse în aplicare în conformitate cu principiile comune, care urmează să fie convenite de statele participante și de Comisie. Aceste activități vor include cereri de propuneri în cadrul programelor pentru proiecte transnaționale ale statelor participante, organizate de PRIMA-IS (inclusiv evaluarea propunerilor). Activitățile ar trebui să vizeze tot mai mult și nivelurile înalte de maturitate tehnologică, astfel cum sunt definite în anexele generale al Programelor de lucru aferente programului-cadru Orizont 2020</w:t>
      </w:r>
      <w:r>
        <w:rPr>
          <w:rStyle w:val="FootnoteReference"/>
          <w:noProof/>
        </w:rPr>
        <w:footnoteReference w:id="2"/>
      </w:r>
      <w:r>
        <w:rPr>
          <w:noProof/>
        </w:rPr>
        <w:t>.</w:t>
      </w:r>
    </w:p>
    <w:p>
      <w:pPr>
        <w:pBdr>
          <w:top w:val="nil"/>
          <w:left w:val="nil"/>
          <w:bottom w:val="nil"/>
          <w:right w:val="nil"/>
          <w:between w:val="nil"/>
          <w:bar w:val="nil"/>
        </w:pBdr>
        <w:spacing w:before="0" w:after="240"/>
        <w:rPr>
          <w:noProof/>
          <w:szCs w:val="24"/>
        </w:rPr>
      </w:pPr>
      <w:r>
        <w:rPr>
          <w:noProof/>
        </w:rPr>
        <w:t>Raportarea anuală a PRIMA-IS va acoperi ambele componente. Acest lucru permite monitorizarea atentă de către serviciile Comisiei și facilitează luarea de măsuri corective, dacă este necesar, în special prin reducerea angajamentelor asumate de UE la planurile anuale de activitate individuale în cazul în care punerea în aplicare a activităților de către statele participante nu menține nivelul necesar de angajament pentru a corespunde nivelului de angajament al UE.</w:t>
      </w:r>
    </w:p>
    <w:p>
      <w:pPr>
        <w:pBdr>
          <w:top w:val="nil"/>
          <w:left w:val="nil"/>
          <w:bottom w:val="nil"/>
          <w:right w:val="nil"/>
          <w:between w:val="nil"/>
          <w:bar w:val="nil"/>
        </w:pBdr>
        <w:spacing w:before="0" w:after="240"/>
        <w:rPr>
          <w:noProof/>
        </w:rPr>
      </w:pPr>
      <w:r>
        <w:rPr>
          <w:noProof/>
        </w:rPr>
        <w:t>Direcția Generală Cercetare și Inovare a adoptat măsuri de supraveghere standard pentru inițiativele în temeiul articolului 185 din TFUE. Aceste măsuri se vor aplica, de asemenea, programului comun PRIMA. Eficacitatea acestora ar trebui să fie evaluată atât la nivel de program (cu axare pe stabilirea faptului dacă au fost realizate obiectivele generale), cât și la nivel național (cu axare pe obiectivele fiecărei țări în parte).</w:t>
      </w:r>
    </w:p>
    <w:p>
      <w:pPr>
        <w:pBdr>
          <w:top w:val="nil"/>
          <w:left w:val="nil"/>
          <w:bottom w:val="nil"/>
          <w:right w:val="nil"/>
          <w:between w:val="nil"/>
          <w:bar w:val="nil"/>
        </w:pBdr>
        <w:spacing w:before="0" w:after="240"/>
        <w:rPr>
          <w:noProof/>
        </w:rPr>
      </w:pPr>
      <w:r>
        <w:rPr>
          <w:noProof/>
        </w:rPr>
        <w:t>Responsabilitățile serviciilor Comisiei și cele ale PRIMA-IS și ale statelor participante în ceea ce privește mecanismele de monitorizare și de audit sunt diferențiate în mod clar în actul de bază. Ele vor fi detaliate în continuare în acordul de delegare dintre Comisie și PRIMA-IS.</w:t>
      </w:r>
    </w:p>
    <w:p>
      <w:pPr>
        <w:pBdr>
          <w:top w:val="nil"/>
          <w:left w:val="nil"/>
          <w:bottom w:val="nil"/>
          <w:right w:val="nil"/>
          <w:between w:val="nil"/>
          <w:bar w:val="nil"/>
        </w:pBdr>
        <w:spacing w:before="0" w:after="240"/>
        <w:rPr>
          <w:noProof/>
        </w:rPr>
      </w:pPr>
      <w:r>
        <w:rPr>
          <w:noProof/>
        </w:rPr>
        <w:t>Sunt prevăzute o evaluare intermediară și o evaluare finală independentă.</w:t>
      </w:r>
    </w:p>
    <w:p>
      <w:pPr>
        <w:pBdr>
          <w:top w:val="nil"/>
          <w:left w:val="nil"/>
          <w:bottom w:val="nil"/>
          <w:right w:val="nil"/>
          <w:between w:val="nil"/>
          <w:bar w:val="nil"/>
        </w:pBdr>
        <w:spacing w:before="0" w:after="240"/>
        <w:rPr>
          <w:rFonts w:eastAsia="Arial Unicode MS"/>
          <w:noProof/>
        </w:rPr>
      </w:pPr>
      <w:r>
        <w:rPr>
          <w:noProof/>
        </w:rPr>
        <w:t>De asemenea, Comisia se va asigura că toate acțiunile întreprinse și sprijinite ca parte a inițiativei respectă Carta drepturilor fundamentale a Uniunii Europene.</w:t>
      </w:r>
    </w:p>
    <w:p>
      <w:pPr>
        <w:pStyle w:val="ManualHeading2"/>
        <w:rPr>
          <w:rFonts w:eastAsia="Arial Unicode MS"/>
          <w:noProof/>
          <w:u w:color="000000"/>
          <w:bdr w:val="nil"/>
        </w:rPr>
      </w:pPr>
      <w:r>
        <w:rPr>
          <w:noProof/>
        </w:rPr>
        <w:t>•</w:t>
      </w:r>
      <w:r>
        <w:rPr>
          <w:noProof/>
        </w:rPr>
        <w:tab/>
        <w:t>Derogări de la normele de participare la programul Orizont 2020</w:t>
      </w:r>
    </w:p>
    <w:p>
      <w:pPr>
        <w:pBdr>
          <w:top w:val="nil"/>
          <w:left w:val="nil"/>
          <w:bottom w:val="nil"/>
          <w:right w:val="nil"/>
          <w:between w:val="nil"/>
          <w:bar w:val="nil"/>
        </w:pBdr>
        <w:spacing w:before="0" w:after="240"/>
        <w:rPr>
          <w:noProof/>
        </w:rPr>
      </w:pPr>
      <w:r>
        <w:rPr>
          <w:noProof/>
        </w:rPr>
        <w:t>Abordarea aleasă pentru opțiunea de derulare a PRIMA în temeiul articolului 185 necesită doar derogări limitate de la normele de participare la programul Orizont 2020. Pentru a asigura o participare de bază echilibrată la acțiuni indirecte într-o configurație nord-sud, prin derogare de la articolul 9 alineatul (1) litera (b) din Regulamentul (UE) nr. 1290/2013, numărul minim de participanți ar trebui să fie de trei entități juridice stabilite în trei state participante diferite, dintre care una este stabilită într-un stat membru sau într-o țară asociată programului Orizont 2020, iar una într-o țară terță asociată sau nu programului Orizont 2020. Derogarea de la articolul 9 alineatul (3) din Regulamentul (UE) nr. 1290/2013 este necesară pentru a se asigura că respectivele condiții minime de eligibilitate pentru participarea la acțiuni indirecte care prevăd o condiție minimă de participare a unei entități juridice nu sunt discriminatorii pentru entitățile stabilite în țări terțe care participă la PRIMA ca state participante. Ea s-ar aplica doar în cazul excepțional în care cererile de propuneri din planul de lucru anual includ acțiuni cu un singur beneficiar și ar fi supuse aprobării de către Comisie. Derogările de la articolul 12 din Regulamentul (UE) nr. 1290/2013 sunt necesare pentru a extinde cooperarea cu alte entități juridice în afara țărilor terțe și a organizațiilor internaționale, prin intermediul cererilor de propuneri comune lansate de structura de implementare a PRIMA.</w:t>
      </w:r>
    </w:p>
    <w:p>
      <w:pPr>
        <w:pStyle w:val="Statut"/>
        <w:rPr>
          <w:noProof/>
        </w:rPr>
        <w:sectPr>
          <w:footerReference w:type="default" r:id="rId10"/>
          <w:footerReference w:type="first" r:id="rId11"/>
          <w:pgSz w:w="11907" w:h="16839"/>
          <w:pgMar w:top="1134" w:right="1417" w:bottom="1134" w:left="1417" w:header="709" w:footer="709" w:gutter="0"/>
          <w:pgNumType w:start="2"/>
          <w:cols w:space="708"/>
          <w:docGrid w:linePitch="360"/>
        </w:sectPr>
      </w:pPr>
    </w:p>
    <w:p>
      <w:pPr>
        <w:pStyle w:val="Rfrenceinterinstitutionnelle"/>
        <w:rPr>
          <w:noProof/>
        </w:rPr>
      </w:pPr>
      <w:r>
        <w:rPr>
          <w:noProof/>
        </w:rPr>
        <w:t>2016/0325 (COD)</w:t>
      </w:r>
    </w:p>
    <w:p>
      <w:pPr>
        <w:pStyle w:val="Statut"/>
        <w:rPr>
          <w:noProof/>
        </w:rPr>
      </w:pPr>
      <w:r>
        <w:rPr>
          <w:noProof/>
        </w:rPr>
        <w:t>Propunere de</w:t>
      </w:r>
    </w:p>
    <w:p>
      <w:pPr>
        <w:pStyle w:val="Typedudocument"/>
        <w:rPr>
          <w:noProof/>
        </w:rPr>
      </w:pPr>
      <w:r>
        <w:rPr>
          <w:noProof/>
        </w:rPr>
        <w:t>DECIZIE A PARLAMENTULUI EUROPEAN ŞI A CONSILIULUI</w:t>
      </w:r>
    </w:p>
    <w:p>
      <w:pPr>
        <w:pStyle w:val="Titreobjet"/>
        <w:rPr>
          <w:noProof/>
        </w:rPr>
      </w:pPr>
      <w:r>
        <w:rPr>
          <w:noProof/>
        </w:rPr>
        <w:t xml:space="preserve">privind participarea Uniunii </w:t>
      </w:r>
      <w:r>
        <w:rPr>
          <w:noProof/>
        </w:rPr>
        <w:br/>
        <w:t xml:space="preserve">la Parteneriatul în domeniul cercetării și inovării în zona mediteraneană (PRIMA) </w:t>
      </w:r>
      <w:r>
        <w:rPr>
          <w:noProof/>
        </w:rPr>
        <w:br/>
        <w:t>derulat în comun de mai multe state membre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185 și articolul 188 al doilea paragraf,</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3"/>
      </w:r>
      <w:r>
        <w:rPr>
          <w:noProof/>
        </w:rPr>
        <w:t xml:space="preserve">, </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În comunicarea sa din 3 martie 2010 intitulată „Europa 2020 – O strategie europeană pentru o creștere inteligentă, durabilă și favorabilă incluziunii”, Comisia a subliniat necesitatea dezvoltării unor condiții favorabile investițiilor în domeniul cunoașterii și inovării pentru a realiza o creștere inteligentă, durabilă și favorabilă incluziunii în cadrul Uniunii. Atât Parlamentul European, cât și Consiliul au aprobat această strategie.</w:t>
      </w:r>
    </w:p>
    <w:p>
      <w:pPr>
        <w:pStyle w:val="ManualConsidrant"/>
        <w:rPr>
          <w:noProof/>
        </w:rPr>
      </w:pPr>
      <w:r>
        <w:t>(2)</w:t>
      </w:r>
      <w:r>
        <w:tab/>
      </w:r>
      <w:r>
        <w:rPr>
          <w:noProof/>
        </w:rPr>
        <w:t>Regulamentul (UE) nr. 1291/2013 al Parlamentului European și al Consiliului</w:t>
      </w:r>
      <w:r>
        <w:rPr>
          <w:rStyle w:val="FootnoteReference"/>
          <w:noProof/>
        </w:rPr>
        <w:footnoteReference w:id="4"/>
      </w:r>
      <w:r>
        <w:rPr>
          <w:noProof/>
        </w:rPr>
        <w:t xml:space="preserve"> a instituit Programul-cadru pentru cercetare și inovare (2014-2020) – Orizont 2020 („Orizont 2020”). Orizont 2020 are ca obiectiv creșterea impactului asupra cercetării și inovării prin contribuirea la consolidarea parteneriatelor public-public, inclusiv prin participarea Uniunii la programele desfășurate de mai multe state membre. </w:t>
      </w:r>
    </w:p>
    <w:p>
      <w:pPr>
        <w:pStyle w:val="ManualConsidrant"/>
        <w:rPr>
          <w:noProof/>
        </w:rPr>
      </w:pPr>
      <w:r>
        <w:t>(3)</w:t>
      </w:r>
      <w:r>
        <w:tab/>
      </w:r>
      <w:r>
        <w:rPr>
          <w:noProof/>
        </w:rPr>
        <w:t>Parteneriatele public-public ar trebui să urmărească dezvoltarea unor sinergii mai strânse, creșterea coordonării și evitarea suprapunerilor inutile cu programele de cercetare ale Uniunii, internaționale, naționale și regionale și ar trebui să respecte pe deplin principiile generale ale Orizont 2020, mai ales cele referitoare la deschidere și la transparență.</w:t>
      </w:r>
    </w:p>
    <w:p>
      <w:pPr>
        <w:pStyle w:val="ManualConsidrant"/>
        <w:rPr>
          <w:noProof/>
        </w:rPr>
      </w:pPr>
      <w:r>
        <w:t>(4)</w:t>
      </w:r>
      <w:r>
        <w:tab/>
      </w:r>
      <w:r>
        <w:rPr>
          <w:noProof/>
        </w:rPr>
        <w:t>Regulamentul (UE) nr. 1291/2013 a identificat „combaterea schimbărilor climatice, mediul, utilizarea eficientă a resurselor și materiile prime” și „securitatea alimentară, agricultura și silvicultura durabile, cercetarea marină, maritimă și privind apele interioare, precum și bioeconomia” ca fiind două dintre provocările societale prioritare care trebuie abordate prin sprijinirea investițiilor în cercetare și inovare. În plus, Regulamentul (UE) nr. 1291/2013 recunoaște că activitățile de cercetare și inovare care vizează abordarea acestor provocări ar trebui întreprinse la nivelul UE și dincolo de granițele sale, având în vedere caracterul transnațional și global al climei și mediului, amploarea și complexitatea acestora și dimensiunea internațională a lanțurilor de aprovizionare agricole și alimentare.</w:t>
      </w:r>
    </w:p>
    <w:p>
      <w:pPr>
        <w:pStyle w:val="ManualConsidrant"/>
        <w:rPr>
          <w:noProof/>
        </w:rPr>
      </w:pPr>
      <w:r>
        <w:t>(5)</w:t>
      </w:r>
      <w:r>
        <w:tab/>
      </w:r>
      <w:r>
        <w:rPr>
          <w:noProof/>
        </w:rPr>
        <w:t xml:space="preserve">Regulamentul (UE) nr. 1291/2013 recunoaște faptul că este necesară cooperarea internațională cu țările terțe pentru a face față în mod eficace provocărilor comune. Cooperarea internațională în domeniul cercetării și inovării este un aspect-cheie al angajamentelor globale ale Uniunii și trebuie să joace un rol important în parteneriatul Uniunii cu țările din vecinătate. Cooperarea urmează abordarea adoptată în politica europeană de vecinătate de a diferenția nivelul de cooperare cu fiecare țară din vecinătate pe baza angajamentului ei față de Uniune. </w:t>
      </w:r>
    </w:p>
    <w:p>
      <w:pPr>
        <w:pStyle w:val="ManualConsidrant"/>
        <w:rPr>
          <w:noProof/>
        </w:rPr>
      </w:pPr>
      <w:r>
        <w:t>(6)</w:t>
      </w:r>
      <w:r>
        <w:tab/>
      </w:r>
      <w:r>
        <w:rPr>
          <w:noProof/>
        </w:rPr>
        <w:t xml:space="preserve">În comunicarea sa din 7 iunie 2016 privind stabilirea unui nou cadru de parteneriat cu țările terțe bazat pe Agenda europeană privind migrația, Comisia a subliniat necesitatea de a utiliza toate politicile, inclusiv la cele privind cercetarea și inovarea, pentru a aborda cauzele profunde ale migrației printr-un nou model de cooperare care implică investitori privați, mobilizarea resurselor bugetare limitate și concentrarea asupra IMM-urilor și asupra infrastructurii sustenabile. </w:t>
      </w:r>
    </w:p>
    <w:p>
      <w:pPr>
        <w:pStyle w:val="ManualConsidrant"/>
        <w:rPr>
          <w:noProof/>
        </w:rPr>
      </w:pPr>
      <w:r>
        <w:t>(7)</w:t>
      </w:r>
      <w:r>
        <w:tab/>
      </w:r>
      <w:r>
        <w:rPr>
          <w:noProof/>
        </w:rPr>
        <w:t>La 23 decembrie 2014, un grup de 19 țări din zona mediteraneană a prezentat Comisiei o propunere de inițiativă de program comun privind un „Parteneriat în domeniul cercetării și inovării în zona mediteraneană” (PRIMA). Între aceste țări, 14 țări au convenit să deruleze în comun inițiativa PRIMA prin angajarea de contribuții financiare: Cipru, Republica Cehă, Franța, Grecia, Italia, Luxemburg, Malta, Portugalia și Spania, state membre ale Uniunii; Israel și Tunisia, țări terțe asociate la Orizont 2020; Egipt, Liban și Maroc, țări terțe care nu sunt asociate la Orizont 2020.</w:t>
      </w:r>
    </w:p>
    <w:p>
      <w:pPr>
        <w:pStyle w:val="ManualConsidrant"/>
        <w:rPr>
          <w:noProof/>
        </w:rPr>
      </w:pPr>
      <w:r>
        <w:t>(8)</w:t>
      </w:r>
      <w:r>
        <w:tab/>
      </w:r>
      <w:r>
        <w:rPr>
          <w:noProof/>
        </w:rPr>
        <w:t>PRIMA vizează punerea în aplicare a unui program comun pentru dezvoltarea și adoptarea unor soluții inovatoare și integrate pentru îmbunătățirea eficienței, a siguranței, a securității și a sustenabilității producției alimentare și a alimentării cu apă în zona mediteraneană. PRIMA ar trebui să contribuie la realizarea obiectivelor de dezvoltare durabilă recent convenite și la viitoarea Strategie de dezvoltare durabilă a Uniunii Europene.</w:t>
      </w:r>
    </w:p>
    <w:p>
      <w:pPr>
        <w:pStyle w:val="ManualConsidrant"/>
        <w:rPr>
          <w:noProof/>
        </w:rPr>
      </w:pPr>
      <w:r>
        <w:t>(9)</w:t>
      </w:r>
      <w:r>
        <w:tab/>
      </w:r>
      <w:r>
        <w:rPr>
          <w:noProof/>
        </w:rPr>
        <w:t>Pentru a asigura participarea la PRIMA a țărilor terțe care nu sunt asociate la Orizont 2020, și anume Egipt, Liban și Maroc, ar trebui realizate acorduri internaționale între Uniune și respectivele țări terțe pentru a extinde asupra lor regimul juridic instituit prin prezenta decizie.</w:t>
      </w:r>
    </w:p>
    <w:p>
      <w:pPr>
        <w:pStyle w:val="ManualConsidrant"/>
        <w:rPr>
          <w:noProof/>
        </w:rPr>
      </w:pPr>
      <w:r>
        <w:t>(10)</w:t>
      </w:r>
      <w:r>
        <w:tab/>
      </w:r>
      <w:r>
        <w:rPr>
          <w:noProof/>
        </w:rPr>
        <w:t>În conformitate cu obiectivele programului Orizont 2020, orice alt stat membru și orice altă țară terță asociate la Orizont 2020 ar trebui să aibă dreptul de a participa la PRIMA în cazul în care se angajează să contribuie la finanțarea PRIMA.</w:t>
      </w:r>
    </w:p>
    <w:p>
      <w:pPr>
        <w:pStyle w:val="ManualConsidrant"/>
        <w:rPr>
          <w:noProof/>
        </w:rPr>
      </w:pPr>
      <w:r>
        <w:t>(11)</w:t>
      </w:r>
      <w:r>
        <w:tab/>
      </w:r>
      <w:r>
        <w:rPr>
          <w:noProof/>
        </w:rPr>
        <w:t>În vederea realizării obiectivelor PRIMA, participarea oricărei alte țări terțe care nu este asociată la Orizont 2020, în special a țărilor sud-mediteraneene, ar trebui să fie posibilă dacă țara terță se angajează să contribuie la finanțarea PRIMA și dacă PRIMA-IS aprobă participarea acesteia. De asemenea, participarea sa ar trebuie prevăzută în acordul internațional relevant încheiat între respectiva țară terță și Uniune.</w:t>
      </w:r>
    </w:p>
    <w:p>
      <w:pPr>
        <w:pStyle w:val="ManualConsidrant"/>
        <w:rPr>
          <w:noProof/>
        </w:rPr>
      </w:pPr>
      <w:r>
        <w:t>(12)</w:t>
      </w:r>
      <w:r>
        <w:tab/>
      </w:r>
      <w:r>
        <w:rPr>
          <w:noProof/>
        </w:rPr>
        <w:t xml:space="preserve">Pentru a asigura punerea în aplicare în comun a PRIMA ar trebui instituită o structură de implementare (PRIMA-IS). PRIMA-IS ar trebui să fie beneficiarul contribuției financiare a Uniunii și ar trebui să asigure punerea în aplicare eficientă a PRIMA. </w:t>
      </w:r>
    </w:p>
    <w:p>
      <w:pPr>
        <w:pStyle w:val="ManualConsidrant"/>
        <w:rPr>
          <w:noProof/>
          <w:color w:val="000000"/>
        </w:rPr>
      </w:pPr>
      <w:r>
        <w:t>(13)</w:t>
      </w:r>
      <w:r>
        <w:tab/>
      </w:r>
      <w:r>
        <w:rPr>
          <w:noProof/>
        </w:rPr>
        <w:t>Contribuția financiară a Uniunii ar trebui acordată sub rezerva angajamentelor oficiale din partea statelor participante de a contribui la finanțarea PRIMA și a respectării acestor angajamente în conformitate cu termenii prezentei decizii. Este necesar să se asigure statelor participante flexibilitate pentru a contribui financiar în mod opțional la PRIMA-IS, în vederea finanțării acțiunilor indirecte, atingându-se astfel un grad înalt de integrare financiară. De asemenea, statele participante ar trebui să contribuie financiar sau în natură la activitățile puse în aplicare fără contribuție din partea Uniunii.</w:t>
      </w:r>
      <w:r>
        <w:rPr>
          <w:noProof/>
          <w:color w:val="000000"/>
        </w:rPr>
        <w:t xml:space="preserve"> Perioada în cursul căreia statele participante trebuie să furnizeze contribuția lor ar trebui să fie clar definită.</w:t>
      </w:r>
    </w:p>
    <w:p>
      <w:pPr>
        <w:pStyle w:val="ManualConsidrant"/>
        <w:rPr>
          <w:noProof/>
        </w:rPr>
      </w:pPr>
      <w:r>
        <w:t>(14)</w:t>
      </w:r>
      <w:r>
        <w:tab/>
      </w:r>
      <w:r>
        <w:rPr>
          <w:noProof/>
        </w:rPr>
        <w:t>Ar trebui instituit un plafon pentru contribuția Uniunii la PRIMA cu fonduri din cadrul programului Orizont 2020. În limita plafonului respectiv, contribuția Uniunii ar trebui să fie egală cu contribuția statelor participante la PRIMA pentru a obține un efect de pârghie puternic și pentru a asigura o integrare mai puternică a programelor statelor participante. Ar trebui să fie posibilă utilizarea unei părți limitate din contribuția Uniunii pentru a acoperi cheltuielile administrative ale PRIMA-IS.</w:t>
      </w:r>
    </w:p>
    <w:p>
      <w:pPr>
        <w:pStyle w:val="ManualConsidrant"/>
        <w:rPr>
          <w:noProof/>
        </w:rPr>
      </w:pPr>
      <w:r>
        <w:t>(15)</w:t>
      </w:r>
      <w:r>
        <w:tab/>
      </w:r>
      <w:r>
        <w:rPr>
          <w:noProof/>
        </w:rPr>
        <w:t>Pentru a evita prelungirea punerii în aplicare a PRIMA, ar trebui stabilit un termen pentru lansarea ultimelor activități, inclusiv a ultimelor cereri de propuneri.</w:t>
      </w:r>
    </w:p>
    <w:p>
      <w:pPr>
        <w:pStyle w:val="ManualConsidrant"/>
        <w:rPr>
          <w:noProof/>
        </w:rPr>
      </w:pPr>
      <w:r>
        <w:t>(16)</w:t>
      </w:r>
      <w:r>
        <w:tab/>
      </w:r>
      <w:r>
        <w:rPr>
          <w:noProof/>
        </w:rPr>
        <w:t>Activitățile PRIMA ar trebui să fie în concordanță cu obiectivele și prioritățile în materie de cercetare și inovare prevăzute în Orizont 2020 și cu principiile și condițiile generale prevăzute la articolul 26 din Regulamentul (UE) nr. 1291/2013. PRIMA ar trebui să țină cont de definițiile OCDE ale nivelului de maturitate tehnologică în clasificarea cercetărilor tehnologice, a dezvoltării produselor și a activităților demonstrative.</w:t>
      </w:r>
    </w:p>
    <w:p>
      <w:pPr>
        <w:pStyle w:val="ManualConsidrant"/>
        <w:rPr>
          <w:noProof/>
          <w:color w:val="002060"/>
        </w:rPr>
      </w:pPr>
      <w:r>
        <w:t>(17)</w:t>
      </w:r>
      <w:r>
        <w:tab/>
      </w:r>
      <w:r>
        <w:rPr>
          <w:noProof/>
        </w:rPr>
        <w:t xml:space="preserve">În vederea realizării obiectivelor PRIMA, ar trebui ca sprijinul financiar să fie oferit de PRIMA-IS în principal sub formă de granturi pentru participanții la acțiunile finanțate de PRIMA-IS. Aceste acțiuni ar trebui să fie selectate în urma unor cereri de propuneri deschise și competitive, gestionate de PRIMA-IS </w:t>
      </w:r>
    </w:p>
    <w:p>
      <w:pPr>
        <w:pStyle w:val="ManualConsidrant"/>
        <w:rPr>
          <w:noProof/>
        </w:rPr>
      </w:pPr>
      <w:r>
        <w:t>(18)</w:t>
      </w:r>
      <w:r>
        <w:tab/>
      </w:r>
      <w:r>
        <w:rPr>
          <w:noProof/>
        </w:rPr>
        <w:t>Cererile de propuneri gestionate de PRIMA-IS ar trebui publicate, de asemenea, pe portalul unic dedicat participanților, precum și prin intermediul altor mijloace electronice de diseminare prevăzute pentru Orizont 2020 și gestionate de Comisie.</w:t>
      </w:r>
    </w:p>
    <w:p>
      <w:pPr>
        <w:pStyle w:val="ManualConsidrant"/>
        <w:rPr>
          <w:noProof/>
        </w:rPr>
      </w:pPr>
      <w:r>
        <w:t>(19)</w:t>
      </w:r>
      <w:r>
        <w:tab/>
      </w:r>
      <w:r>
        <w:rPr>
          <w:noProof/>
        </w:rPr>
        <w:t>Contribuția financiară a Uniunii ar trebui să fie gestionată în conformitate cu principiul bunei gestiuni financiare și cu normele relevante privind gestiunea indirectă prevăzute în Regulamentul (UE, Euratom) nr. 966/2012 al Parlamentului European și al Consiliului</w:t>
      </w:r>
      <w:r>
        <w:rPr>
          <w:rStyle w:val="FootnoteReference"/>
          <w:noProof/>
        </w:rPr>
        <w:footnoteReference w:id="5"/>
      </w:r>
      <w:r>
        <w:rPr>
          <w:noProof/>
        </w:rPr>
        <w:t xml:space="preserve"> și în Regulamentul delegat (UE) nr. 1268/2012 al Comisiei</w:t>
      </w:r>
      <w:r>
        <w:rPr>
          <w:rStyle w:val="FootnoteReference"/>
          <w:noProof/>
        </w:rPr>
        <w:footnoteReference w:id="6"/>
      </w:r>
      <w:r>
        <w:rPr>
          <w:noProof/>
        </w:rPr>
        <w:t>.</w:t>
      </w:r>
    </w:p>
    <w:p>
      <w:pPr>
        <w:pStyle w:val="ManualConsidrant"/>
        <w:rPr>
          <w:noProof/>
        </w:rPr>
      </w:pPr>
      <w:r>
        <w:t>(20)</w:t>
      </w:r>
      <w:r>
        <w:tab/>
      </w:r>
      <w:r>
        <w:rPr>
          <w:noProof/>
        </w:rPr>
        <w:t>Pentru a proteja interesele financiare ale Uniunii, Comisia ar trebui să aibă dreptul de a reduce, a suspenda sau a înceta contribuția financiară a Uniunii în cazul în care PRIMA este pus în aplicare în mod necorespunzător, parțial sau cu întârziere, sau în cazul în care statele participante nu contribuie ori contribuie parțial sau cu întârziere la finanțarea PRIMA.</w:t>
      </w:r>
    </w:p>
    <w:p>
      <w:pPr>
        <w:pStyle w:val="ManualConsidrant"/>
        <w:rPr>
          <w:noProof/>
        </w:rPr>
      </w:pPr>
      <w:r>
        <w:t>(21)</w:t>
      </w:r>
      <w:r>
        <w:tab/>
      </w:r>
      <w:r>
        <w:rPr>
          <w:noProof/>
        </w:rPr>
        <w:t>Participarea la acțiuni indirecte finanțate de PRIMA-IS se face în baza Regulamentului (UE) nr. 1290/2013 al Parlamentului European și al Consiliului</w:t>
      </w:r>
      <w:r>
        <w:rPr>
          <w:rStyle w:val="FootnoteReference"/>
          <w:noProof/>
        </w:rPr>
        <w:footnoteReference w:id="7"/>
      </w:r>
      <w:r>
        <w:rPr>
          <w:noProof/>
        </w:rPr>
        <w:t>. Cu toate acestea, având în vedere necesitățile operaționale specifice ale PRIMA, este necesar să se prevadă derogări în conformitate cu articolul 1 alineatul (3) din regulamentul respectiv.</w:t>
      </w:r>
    </w:p>
    <w:p>
      <w:pPr>
        <w:pStyle w:val="ManualConsidrant"/>
        <w:rPr>
          <w:noProof/>
        </w:rPr>
      </w:pPr>
      <w:r>
        <w:t>(22)</w:t>
      </w:r>
      <w:r>
        <w:tab/>
      </w:r>
      <w:r>
        <w:rPr>
          <w:noProof/>
        </w:rPr>
        <w:t>Sunt necesare derogări de la articolul 9 alineatul (1) litera (b) și de la articolul 9 alineatul (3) din Regulamentul (UE) nr. 1290/2013 pentru a ține cont de particularitățile care rezultă din zona geografică acoperită de PRIMA, prin ajustarea suplimentară a condițiilor minime de eligibilitate pentru participarea la acțiuni indirecte.</w:t>
      </w:r>
      <w:r>
        <w:rPr>
          <w:noProof/>
          <w:color w:val="000000"/>
        </w:rPr>
        <w:t xml:space="preserve"> </w:t>
      </w:r>
      <w:r>
        <w:rPr>
          <w:noProof/>
        </w:rPr>
        <w:t>Pentru a asigura o participare de bază echilibrată la acțiunile indirecte în cadrul unei configurații nord-sud, prin derogare de la articolul 9 alineatul (1) litera (b) din Regulamentul (UE) nr. 1290/2013, numărul minim de participanți ar trebui să fie de trei entități juridice stabilite în trei state participante diferite, dintre care una este stabilită într-un stat membru sau o țară asociată la Orizont 2020, iar una într-o țară terță asociată sau nu la Orizont 2020.</w:t>
      </w:r>
      <w:r>
        <w:rPr>
          <w:noProof/>
          <w:color w:val="000000"/>
        </w:rPr>
        <w:t xml:space="preserve"> Derogarea de la articolul 9 alineatul (3) din Regulamentul (UE) nr. 1290/2013 este necesară</w:t>
      </w:r>
      <w:r>
        <w:rPr>
          <w:noProof/>
        </w:rPr>
        <w:t xml:space="preserve"> pentru </w:t>
      </w:r>
      <w:r>
        <w:rPr>
          <w:noProof/>
          <w:color w:val="000000"/>
        </w:rPr>
        <w:t xml:space="preserve">a asigura că respectivele condiții minime de eligibilitate pentru participarea la acțiuni indirecte nu sunt discriminatorii pentru entitățile stabilite în țări terțe care participă la PRIMA ca state participante. Pentru a se asigura condiții de finanțare fără caracter discriminator pentru entitățile stabilite în țările terțe care participă la PRIMA ca state participante ar trebui să se prevadă că entitățile juridice stabilite în statele participante sunt eligibile pentru finanțare pe lângă entitățile menționate la articolul 10 alineatul (1) din Regulamentul (UE) nr. 1290/2013. </w:t>
      </w:r>
      <w:r>
        <w:rPr>
          <w:noProof/>
        </w:rPr>
        <w:t>Derogările de la articolul 12 din Regulamentul (UE) nr. 1290/2013 sunt necesare pentru a permite extinderea cooperării prin intermediul cererilor de propuneri comune lansate de PRIMA-IS cu alte entități juridice în afara țărilor terțe și a organizațiilor internaționale.</w:t>
      </w:r>
    </w:p>
    <w:p>
      <w:pPr>
        <w:pStyle w:val="ManualConsidrant"/>
        <w:rPr>
          <w:noProof/>
        </w:rPr>
      </w:pPr>
      <w:r>
        <w:t>(23)</w:t>
      </w:r>
      <w:r>
        <w:tab/>
      </w:r>
      <w:r>
        <w:rPr>
          <w:noProof/>
        </w:rPr>
        <w:t>În scopul simplificării, sarcina administrativă ar trebui redusă pentru toate părțile. Ar trebui să se evite auditurile duble, precum și documentele și rapoartele excesive. Atunci când se efectuează audituri, ar trebui să se țină seama de particularitățile programelor naționale, după caz.</w:t>
      </w:r>
    </w:p>
    <w:p>
      <w:pPr>
        <w:pStyle w:val="ManualConsidrant"/>
        <w:rPr>
          <w:noProof/>
        </w:rPr>
      </w:pPr>
      <w:r>
        <w:t>(24)</w:t>
      </w:r>
      <w:r>
        <w:tab/>
      </w:r>
      <w:r>
        <w:rPr>
          <w:noProof/>
        </w:rPr>
        <w:t xml:space="preserve">Auditurile beneficiarilor fondurilor Uniunii acordate în conformitate cu prezenta decizie ar trebui să garanteze o reducere a sarcinii administrative, în conformitate cu Regulamentul (UE) nr. 1291/2013. </w:t>
      </w:r>
    </w:p>
    <w:p>
      <w:pPr>
        <w:pStyle w:val="ManualConsidrant"/>
        <w:rPr>
          <w:noProof/>
        </w:rPr>
      </w:pPr>
      <w:r>
        <w:t>(25)</w:t>
      </w:r>
      <w:r>
        <w:tab/>
      </w:r>
      <w:r>
        <w:rPr>
          <w:noProof/>
        </w:rPr>
        <w:t>Interesele financiare ale Uniunii ar trebui să fie protejate prin măsuri proporționale pe tot parcursul ciclului de cheltuieli, inclusiv prin prevenirea, depistarea și investigarea neregulilor, prin recuperarea fondurilor pierdute, plătite în mod necuvenit sau incorect utilizate și, dacă este cazul, prin sancțiuni administrative în conformitate cu Regulamentul (UE, Euratom) nr. 966/2012.</w:t>
      </w:r>
    </w:p>
    <w:p>
      <w:pPr>
        <w:pStyle w:val="ManualConsidrant"/>
        <w:rPr>
          <w:noProof/>
        </w:rPr>
      </w:pPr>
      <w:r>
        <w:t>(26)</w:t>
      </w:r>
      <w:r>
        <w:tab/>
      </w:r>
      <w:r>
        <w:rPr>
          <w:noProof/>
        </w:rPr>
        <w:t xml:space="preserve">Comisia ar trebui să realizeze o evaluare intermediară care să vizeze, în special, calitatea și eficiența programului PRIMA și progresele înregistrate în vederea atingerii obiectivelor stabilite, precum și o evaluare finală, și ar trebui să pregătească rapoarte cu privire la respectivele evaluări. </w:t>
      </w:r>
    </w:p>
    <w:p>
      <w:pPr>
        <w:pStyle w:val="ManualConsidrant"/>
        <w:rPr>
          <w:noProof/>
        </w:rPr>
      </w:pPr>
      <w:r>
        <w:t>(27)</w:t>
      </w:r>
      <w:r>
        <w:tab/>
      </w:r>
      <w:r>
        <w:rPr>
          <w:noProof/>
        </w:rPr>
        <w:t>La cererea Comisiei, PRIMA-IS și statele participante ar trebui să transmită orice informații pe care Comisia trebuie să le includă în rapoartele privind evaluarea PRIMA.</w:t>
      </w:r>
    </w:p>
    <w:p>
      <w:pPr>
        <w:pStyle w:val="ManualConsidrant"/>
        <w:rPr>
          <w:noProof/>
        </w:rPr>
      </w:pPr>
      <w:r>
        <w:t>(28)</w:t>
      </w:r>
      <w:r>
        <w:tab/>
      </w:r>
      <w:r>
        <w:rPr>
          <w:noProof/>
        </w:rPr>
        <w:t>Obiectivul prezentei deciziei este de a consolida integrarea și alinierea sistemelor și activităților de cercetare și inovare din țările mediteraneene în domeniul sistemelor de alimentare cu apă și de aprovizionare cu alimente. Amploarea cercetării și inovării necesare pentru a face față provocărilor din zona mediteraneană este imensă, având în vedere caracterul sistemic al principalelor blocaje. Domeniul de aplicare a cercetării și inovării în materie este complex, multidisciplinar și necesită o abordare transfrontalieră, care implică mai mulți actori. O abordare bazată pe colaborarea cu un număr mare de state participante poate contribui la creșterea amplorii și a domeniului de aplicare necesare, prin punerea în comun a resurselor financiare și intelectuale. Prin urmare, întrucât obiectivul poate fi realizat mai bine la nivelul Uniunii prin integrarea eforturilor naționale în cadrul unei abordări coerente la nivelul Uniunii, prin reunirea programelor naționale de cercetare compartimentate, prin susținerea elaborării unor strategii comune transfrontaliere în materie de cercetare și de finanțare și prin atingerea masei critice de actori și investiții necesare, Uniunea poate adopta măsuri în conformitate cu principiul subsidiarității astfel cum este definit la articolul 5 din Tratatul privind Uniunea Europeană. În conformitate cu principiul proporționalității, astfel cum este definit la articolul respectiv, prezenta decizie nu depășește ceea ce este necesar în vederea atingerii acestor obiective.</w:t>
      </w:r>
    </w:p>
    <w:p>
      <w:pPr>
        <w:pStyle w:val="ManualConsidrant"/>
        <w:rPr>
          <w:noProof/>
        </w:rPr>
      </w:pPr>
      <w:r>
        <w:t>(29)</w:t>
      </w:r>
      <w:r>
        <w:tab/>
      </w:r>
      <w:r>
        <w:rPr>
          <w:noProof/>
        </w:rPr>
        <w:t>Prin urmare, Uniunea ar trebui să participe la PRIMA,</w:t>
      </w:r>
    </w:p>
    <w:p>
      <w:pPr>
        <w:pStyle w:val="Formuledadoption"/>
        <w:rPr>
          <w:noProof/>
        </w:rPr>
      </w:pPr>
      <w:r>
        <w:rPr>
          <w:noProof/>
        </w:rPr>
        <w:t>ADOPTĂ PREZENTA DECIZIE:</w:t>
      </w:r>
    </w:p>
    <w:p>
      <w:pPr>
        <w:pStyle w:val="Titrearticle"/>
        <w:ind w:left="720"/>
        <w:rPr>
          <w:noProof/>
        </w:rPr>
      </w:pPr>
      <w:r>
        <w:rPr>
          <w:noProof/>
        </w:rPr>
        <w:t>Articolul 1</w:t>
      </w:r>
      <w:r>
        <w:rPr>
          <w:noProof/>
        </w:rPr>
        <w:br/>
        <w:t xml:space="preserve">Participarea la PRIMA </w:t>
      </w:r>
    </w:p>
    <w:p>
      <w:pPr>
        <w:pStyle w:val="ManualNumPar1"/>
        <w:rPr>
          <w:noProof/>
        </w:rPr>
      </w:pPr>
      <w:r>
        <w:t>1.</w:t>
      </w:r>
      <w:r>
        <w:tab/>
      </w:r>
      <w:r>
        <w:rPr>
          <w:noProof/>
        </w:rPr>
        <w:t>Uniunea participă la Parteneriatul în domeniul cercetării și inovării în zona mediteraneană („PRIMA”) derulat în comun de [Cipru, Republica Cehă, Franța, Grecia, Israel, Italia, Luxemburg, Malta, Portugalia, Spania și Tunisia] („state participante”), în conformitate cu condițiile prevăzute în prezenta decizie.</w:t>
      </w:r>
    </w:p>
    <w:p>
      <w:pPr>
        <w:pStyle w:val="ManualNumPar1"/>
        <w:rPr>
          <w:noProof/>
        </w:rPr>
      </w:pPr>
      <w:r>
        <w:t>2.</w:t>
      </w:r>
      <w:r>
        <w:tab/>
      </w:r>
      <w:r>
        <w:rPr>
          <w:noProof/>
        </w:rPr>
        <w:t>Egipt, Liban și Maroc devin state participante sub rezerva încheierii de acorduri internaționale cu Uniunea, care stabilesc termenii și condițiile de participare a acestora la PRIMA.</w:t>
      </w:r>
    </w:p>
    <w:p>
      <w:pPr>
        <w:pStyle w:val="ManualNumPar1"/>
        <w:rPr>
          <w:noProof/>
        </w:rPr>
      </w:pPr>
      <w:r>
        <w:t>3.</w:t>
      </w:r>
      <w:r>
        <w:tab/>
      </w:r>
      <w:r>
        <w:rPr>
          <w:noProof/>
        </w:rPr>
        <w:t>Orice alt stat membru și orice altă țară asociată programului Orizont 2020 în afara celor menționate la alineatul (1) pot participa la PRIMA dacă îndeplinesc condiția prevăzută la articolul 4 alineatul (1) litera (c) din prezenta decizie. Dacă îndeplinesc condiția respectivă, ele sunt considerate state participante în sensul prezentei decizii.</w:t>
      </w:r>
    </w:p>
    <w:p>
      <w:pPr>
        <w:pStyle w:val="ManualNumPar1"/>
        <w:rPr>
          <w:noProof/>
        </w:rPr>
      </w:pPr>
      <w:r>
        <w:t>4.</w:t>
      </w:r>
      <w:r>
        <w:tab/>
      </w:r>
      <w:r>
        <w:rPr>
          <w:noProof/>
        </w:rPr>
        <w:t>Orice altă țară terță care nu este asociată la programul Orizont 2020 în afara celor menționate la alineatul (2) poate participa la PRIMA, dacă:</w:t>
      </w:r>
    </w:p>
    <w:p>
      <w:pPr>
        <w:pStyle w:val="ListNumberLevel2"/>
        <w:ind w:hanging="566"/>
        <w:rPr>
          <w:noProof/>
        </w:rPr>
      </w:pPr>
      <w:r>
        <w:rPr>
          <w:noProof/>
        </w:rPr>
        <w:t>îndeplinește cerința prevăzută la articolul 4 alineatul (1) litera (c) din prezenta decizie;</w:t>
      </w:r>
    </w:p>
    <w:p>
      <w:pPr>
        <w:pStyle w:val="ListNumberLevel2"/>
        <w:ind w:hanging="566"/>
        <w:rPr>
          <w:noProof/>
        </w:rPr>
      </w:pPr>
      <w:r>
        <w:rPr>
          <w:noProof/>
        </w:rPr>
        <w:t xml:space="preserve">PRIMA-IS aprobă participarea ei la PRIMA după examinarea relevanței participării sale pentru realizarea obiectivelor PRIMA și </w:t>
      </w:r>
    </w:p>
    <w:p>
      <w:pPr>
        <w:pStyle w:val="ListNumberLevel2"/>
        <w:ind w:hanging="566"/>
        <w:rPr>
          <w:noProof/>
        </w:rPr>
      </w:pPr>
      <w:r>
        <w:rPr>
          <w:noProof/>
        </w:rPr>
        <w:t>încheie un acord internațional cu Uniunea, care stabilește termenii și condițiile participării sale la PRIMA.</w:t>
      </w:r>
    </w:p>
    <w:p>
      <w:pPr>
        <w:ind w:left="851"/>
        <w:rPr>
          <w:noProof/>
        </w:rPr>
      </w:pPr>
      <w:r>
        <w:rPr>
          <w:noProof/>
        </w:rPr>
        <w:t>Dacă țara respectivă îndeplinește cerințele prevăzute la primul paragraf, ea este considerată stat participant în sensul prezentei decizii.</w:t>
      </w:r>
    </w:p>
    <w:p>
      <w:pPr>
        <w:pStyle w:val="Titrearticle"/>
        <w:rPr>
          <w:noProof/>
        </w:rPr>
      </w:pPr>
      <w:r>
        <w:rPr>
          <w:noProof/>
        </w:rPr>
        <w:t>Articolul 2</w:t>
      </w:r>
      <w:r>
        <w:rPr>
          <w:noProof/>
        </w:rPr>
        <w:br/>
        <w:t xml:space="preserve">Obiectivele PRIMA </w:t>
      </w:r>
    </w:p>
    <w:p>
      <w:pPr>
        <w:pStyle w:val="ManualNumPar1"/>
        <w:rPr>
          <w:noProof/>
        </w:rPr>
      </w:pPr>
      <w:r>
        <w:t>1.</w:t>
      </w:r>
      <w:r>
        <w:tab/>
      </w:r>
      <w:r>
        <w:rPr>
          <w:noProof/>
        </w:rPr>
        <w:t>Obiectivul general al PRIMA este de a dezvolta soluții inovatoare comune, experimentate și demonstrate pe deplin, pentru sistemele de alimentare cu apă și de aprovizionare cu alimente în zona mediteraneană, pentru a le face mai rezistente la schimbările climatice, mai eficiente, mai rentabile și mai sustenabile, precum și de a contribui la soluționarea în amonte a problemelor legate de alimentație, sănătate, bunăstare și migrație.</w:t>
      </w:r>
    </w:p>
    <w:p>
      <w:pPr>
        <w:pStyle w:val="ManualNumPar1"/>
        <w:rPr>
          <w:noProof/>
        </w:rPr>
      </w:pPr>
      <w:r>
        <w:t>2.</w:t>
      </w:r>
      <w:r>
        <w:tab/>
      </w:r>
      <w:r>
        <w:rPr>
          <w:noProof/>
        </w:rPr>
        <w:t>Pentru a contribui la obiectivul general, PRIMA îndeplinește următoarele obiective specifice:</w:t>
      </w:r>
    </w:p>
    <w:p>
      <w:pPr>
        <w:pStyle w:val="ManualNumPar1"/>
        <w:ind w:left="1418" w:hanging="709"/>
        <w:rPr>
          <w:noProof/>
        </w:rPr>
      </w:pPr>
      <w:r>
        <w:rPr>
          <w:noProof/>
        </w:rPr>
        <w:t>(i)</w:t>
      </w:r>
      <w:r>
        <w:rPr>
          <w:noProof/>
        </w:rPr>
        <w:tab/>
        <w:t>formularea unei agende strategice comune, stabile și pe termen lung, în domeniul sistemelor de alimentare cu apă și de aprovizionare cu alimente;</w:t>
      </w:r>
    </w:p>
    <w:p>
      <w:pPr>
        <w:pStyle w:val="ManualNumPar1"/>
        <w:ind w:left="1418" w:hanging="709"/>
        <w:rPr>
          <w:noProof/>
        </w:rPr>
      </w:pPr>
      <w:r>
        <w:rPr>
          <w:noProof/>
        </w:rPr>
        <w:t>(ii)</w:t>
      </w:r>
      <w:r>
        <w:rPr>
          <w:noProof/>
        </w:rPr>
        <w:tab/>
        <w:t>orientarea tuturor programelor naționale de C&amp;I spre punerea în aplicare a agendei strategice;</w:t>
      </w:r>
    </w:p>
    <w:p>
      <w:pPr>
        <w:pStyle w:val="ManualNumPar1"/>
        <w:ind w:left="1418" w:hanging="709"/>
        <w:rPr>
          <w:noProof/>
        </w:rPr>
      </w:pPr>
      <w:r>
        <w:rPr>
          <w:noProof/>
        </w:rPr>
        <w:t>(iii)</w:t>
      </w:r>
      <w:r>
        <w:rPr>
          <w:noProof/>
        </w:rPr>
        <w:tab/>
        <w:t>implicarea structurală a tuturor actorilor relevanți din sectorul public și privat în punerea în aplicare a agendei strategice, prin punerea în comun a cunoștințelor și a resurselor financiare pentru a se atinge masa critică necesară;</w:t>
      </w:r>
    </w:p>
    <w:p>
      <w:pPr>
        <w:pStyle w:val="ManualNumPar1"/>
        <w:ind w:left="1418" w:hanging="709"/>
        <w:rPr>
          <w:noProof/>
        </w:rPr>
      </w:pPr>
      <w:r>
        <w:rPr>
          <w:noProof/>
        </w:rPr>
        <w:t>(iv)</w:t>
      </w:r>
      <w:r>
        <w:rPr>
          <w:noProof/>
        </w:rPr>
        <w:tab/>
        <w:t>consolidarea capacităților de finanțare și de punere în aplicare ale tuturor actorilor implicați.</w:t>
      </w:r>
    </w:p>
    <w:p>
      <w:pPr>
        <w:pStyle w:val="Titrearticle"/>
        <w:rPr>
          <w:noProof/>
        </w:rPr>
      </w:pPr>
      <w:r>
        <w:rPr>
          <w:noProof/>
        </w:rPr>
        <w:t>Articolul 3</w:t>
      </w:r>
      <w:r>
        <w:rPr>
          <w:noProof/>
        </w:rPr>
        <w:br/>
        <w:t>Contribuția financiară a Uniunii la PRIMA</w:t>
      </w:r>
    </w:p>
    <w:p>
      <w:pPr>
        <w:pStyle w:val="ManualNumPar1"/>
        <w:rPr>
          <w:noProof/>
        </w:rPr>
      </w:pPr>
      <w:r>
        <w:t>1.</w:t>
      </w:r>
      <w:r>
        <w:tab/>
      </w:r>
      <w:r>
        <w:rPr>
          <w:noProof/>
        </w:rPr>
        <w:t xml:space="preserve">Contribuția financiară maximă a Uniunii la PRIMA, inclusiv creditele AELS, este de 200 000 000 EUR, urmând a fi egală cu contribuțiile statelor participante. </w:t>
      </w:r>
    </w:p>
    <w:p>
      <w:pPr>
        <w:pStyle w:val="ManualNumPar1"/>
        <w:rPr>
          <w:noProof/>
        </w:rPr>
      </w:pPr>
      <w:r>
        <w:t>2.</w:t>
      </w:r>
      <w:r>
        <w:tab/>
      </w:r>
      <w:r>
        <w:rPr>
          <w:noProof/>
        </w:rPr>
        <w:t>Contribuția financiară a Uniunii se plătește din creditele bugetului general al Uniunii alocate părților relevante ale programului specific de punere în aplicare a programului-cadru Orizont 2020, instituit prin Decizia 2013/743/UE a Consiliului</w:t>
      </w:r>
      <w:r>
        <w:rPr>
          <w:rStyle w:val="FootnoteReference"/>
          <w:noProof/>
        </w:rPr>
        <w:footnoteReference w:id="8"/>
      </w:r>
      <w:r>
        <w:rPr>
          <w:noProof/>
        </w:rPr>
        <w:t>, în special din partea II „Poziția de lider în sectorul industrial” și din partea III „Provocări societale”, în conformitate cu articolul 58 alineatul (1) litera (c) punctul (vi) și cu articolele 60 și 61 din Regulamentul (UE, Euratom) nr. 966/2012.</w:t>
      </w:r>
    </w:p>
    <w:p>
      <w:pPr>
        <w:pStyle w:val="ManualNumPar1"/>
        <w:rPr>
          <w:noProof/>
        </w:rPr>
      </w:pPr>
      <w:r>
        <w:t>3.</w:t>
      </w:r>
      <w:r>
        <w:tab/>
      </w:r>
      <w:r>
        <w:rPr>
          <w:noProof/>
        </w:rPr>
        <w:t>Contribuția financiară a Uniunii este utilizată de către structura de implementare a PRIMA („PRIMA-IS”):</w:t>
      </w:r>
    </w:p>
    <w:p>
      <w:pPr>
        <w:pStyle w:val="Point0letter"/>
        <w:numPr>
          <w:ilvl w:val="1"/>
          <w:numId w:val="33"/>
        </w:numPr>
        <w:tabs>
          <w:tab w:val="clear" w:pos="850"/>
          <w:tab w:val="num" w:pos="1276"/>
        </w:tabs>
        <w:ind w:hanging="141"/>
        <w:rPr>
          <w:noProof/>
        </w:rPr>
      </w:pPr>
      <w:r>
        <w:rPr>
          <w:noProof/>
        </w:rPr>
        <w:t xml:space="preserve">pentru finanțarea activităților menționate la articolul 6 alineatul (1) litera (a); </w:t>
      </w:r>
    </w:p>
    <w:p>
      <w:pPr>
        <w:pStyle w:val="Point0letter"/>
        <w:tabs>
          <w:tab w:val="clear" w:pos="850"/>
          <w:tab w:val="num" w:pos="1276"/>
        </w:tabs>
        <w:ind w:left="1276" w:hanging="567"/>
        <w:rPr>
          <w:noProof/>
        </w:rPr>
      </w:pPr>
      <w:r>
        <w:rPr>
          <w:noProof/>
        </w:rPr>
        <w:t>pentru acoperirea cheltuielilor administrative ale PRIMA-IS, până la 5 % din contribuția financiară a Uniunii.</w:t>
      </w:r>
    </w:p>
    <w:p>
      <w:pPr>
        <w:pStyle w:val="Titrearticle"/>
        <w:rPr>
          <w:noProof/>
        </w:rPr>
      </w:pPr>
      <w:r>
        <w:rPr>
          <w:noProof/>
        </w:rPr>
        <w:t>Articolul 4</w:t>
      </w:r>
      <w:r>
        <w:rPr>
          <w:noProof/>
        </w:rPr>
        <w:br/>
        <w:t>Condiții privind contribuția financiară a Uniunii la PRIMA</w:t>
      </w:r>
    </w:p>
    <w:p>
      <w:pPr>
        <w:pStyle w:val="ManualNumPar1"/>
        <w:rPr>
          <w:noProof/>
        </w:rPr>
      </w:pPr>
      <w:r>
        <w:t>1.</w:t>
      </w:r>
      <w:r>
        <w:tab/>
      </w:r>
      <w:r>
        <w:rPr>
          <w:noProof/>
        </w:rPr>
        <w:t>Contribuția financiară a Uniunii este condiționată de următoarele aspecte:</w:t>
      </w:r>
    </w:p>
    <w:p>
      <w:pPr>
        <w:pStyle w:val="Point1letter"/>
        <w:numPr>
          <w:ilvl w:val="3"/>
          <w:numId w:val="11"/>
        </w:numPr>
        <w:rPr>
          <w:noProof/>
        </w:rPr>
      </w:pPr>
      <w:r>
        <w:rPr>
          <w:noProof/>
        </w:rPr>
        <w:t>demonstrarea de către statele participante a faptului că PRIMA este instituit în conformitate cu condițiile prevăzute în prezenta decizie;</w:t>
      </w:r>
    </w:p>
    <w:p>
      <w:pPr>
        <w:pStyle w:val="Point1letter"/>
        <w:numPr>
          <w:ilvl w:val="3"/>
          <w:numId w:val="11"/>
        </w:numPr>
        <w:rPr>
          <w:noProof/>
        </w:rPr>
      </w:pPr>
      <w:r>
        <w:rPr>
          <w:noProof/>
        </w:rPr>
        <w:t xml:space="preserve">desemnarea de către statele participante sau de către organizațiile desemnate de statele participante a unei entități cu personalitate juridică, </w:t>
      </w:r>
      <w:r>
        <w:rPr>
          <w:noProof/>
          <w:color w:val="000000"/>
        </w:rPr>
        <w:t>astfel cum se prevede la articolul 58 alineatul (1) litera (c) punctul (vi) din Regulamentul (UE, Euratom) nr. 966/2012</w:t>
      </w:r>
      <w:r>
        <w:rPr>
          <w:noProof/>
        </w:rPr>
        <w:t>, ca PRIMA-IS. PRIMA-IS este responsabilă de punerea în aplicare eficientă a PRIMA, de primirea, alocarea și monitorizarea contribuției financiare a Uniunii, precum și a contribuției statelor participante, dacă este cazul, și de asigurarea faptului că sunt întreprinse toate acțiunile necesare pentru realizarea obiectivelor PRIMA;</w:t>
      </w:r>
    </w:p>
    <w:p>
      <w:pPr>
        <w:pStyle w:val="Point1letter"/>
        <w:numPr>
          <w:ilvl w:val="3"/>
          <w:numId w:val="11"/>
        </w:numPr>
        <w:rPr>
          <w:noProof/>
        </w:rPr>
      </w:pPr>
      <w:r>
        <w:rPr>
          <w:noProof/>
        </w:rPr>
        <w:t xml:space="preserve">angajamentul fiecărui stat participant de a contribui la finanțarea PRIMA; </w:t>
      </w:r>
    </w:p>
    <w:p>
      <w:pPr>
        <w:pStyle w:val="Point1letter"/>
        <w:numPr>
          <w:ilvl w:val="3"/>
          <w:numId w:val="11"/>
        </w:numPr>
        <w:rPr>
          <w:noProof/>
        </w:rPr>
      </w:pPr>
      <w:r>
        <w:rPr>
          <w:noProof/>
        </w:rPr>
        <w:t>demonstrarea de către PRIMA-IS a capacității sale de a pune în aplicare PRIMA, inclusiv de a primi, a aloca și a monitoriza contribuția financiară a Uniunii în cadrul gestiunii indirecte a bugetului Uniunii în conformitate cu articolele 58, 60 și 61 din Regulamentul (UE, Euratom) nr. 966/2012;</w:t>
      </w:r>
    </w:p>
    <w:p>
      <w:pPr>
        <w:pStyle w:val="Point1letter"/>
        <w:numPr>
          <w:ilvl w:val="3"/>
          <w:numId w:val="11"/>
        </w:numPr>
        <w:rPr>
          <w:noProof/>
        </w:rPr>
      </w:pPr>
      <w:r>
        <w:rPr>
          <w:noProof/>
        </w:rPr>
        <w:t>instituirea unui model de guvernanță pentru PRIMA în conformitate cu articolul 12;</w:t>
      </w:r>
    </w:p>
    <w:p>
      <w:pPr>
        <w:pStyle w:val="Point1letter"/>
        <w:numPr>
          <w:ilvl w:val="3"/>
          <w:numId w:val="11"/>
        </w:numPr>
        <w:rPr>
          <w:noProof/>
        </w:rPr>
      </w:pPr>
      <w:r>
        <w:rPr>
          <w:noProof/>
        </w:rPr>
        <w:t>adoptarea de către PRIMA-IS, după obținerea aprobării din partea Comisiei, a principiilor comune menționate la articolul 6 alineatul (6).</w:t>
      </w:r>
    </w:p>
    <w:p>
      <w:pPr>
        <w:pStyle w:val="ManualNumPar1"/>
        <w:rPr>
          <w:noProof/>
        </w:rPr>
      </w:pPr>
      <w:r>
        <w:t>2.</w:t>
      </w:r>
      <w:r>
        <w:tab/>
      </w:r>
      <w:r>
        <w:rPr>
          <w:noProof/>
        </w:rPr>
        <w:t xml:space="preserve">Pe perioada punerii în aplicare a PRIMA, contribuția financiară a Uniunii este condiționată, de asemenea, de următoarele aspecte: </w:t>
      </w:r>
    </w:p>
    <w:p>
      <w:pPr>
        <w:pStyle w:val="Point1letter"/>
        <w:numPr>
          <w:ilvl w:val="3"/>
          <w:numId w:val="24"/>
        </w:numPr>
        <w:rPr>
          <w:noProof/>
        </w:rPr>
      </w:pPr>
      <w:r>
        <w:rPr>
          <w:noProof/>
        </w:rPr>
        <w:t>punerea în aplicare de către PRIMA-IS a obiectivelor prevăzute la articolul 2 și a activităților menționate la articolul 6;</w:t>
      </w:r>
    </w:p>
    <w:p>
      <w:pPr>
        <w:pStyle w:val="Point1letter"/>
        <w:numPr>
          <w:ilvl w:val="3"/>
          <w:numId w:val="11"/>
        </w:numPr>
        <w:rPr>
          <w:noProof/>
        </w:rPr>
      </w:pPr>
      <w:r>
        <w:rPr>
          <w:noProof/>
        </w:rPr>
        <w:t>menținerea unui model de guvernanță adecvat și eficient, în conformitate cu articolul 12;</w:t>
      </w:r>
    </w:p>
    <w:p>
      <w:pPr>
        <w:pStyle w:val="Point1letter"/>
        <w:numPr>
          <w:ilvl w:val="3"/>
          <w:numId w:val="11"/>
        </w:numPr>
        <w:rPr>
          <w:noProof/>
        </w:rPr>
      </w:pPr>
      <w:r>
        <w:rPr>
          <w:noProof/>
        </w:rPr>
        <w:t>respectarea de către PRIMA-IS a cerințelor de raportare prevăzute la articolul 60 alineatul (5) din Regulamentul (UE, Euratom) nr. 966/2012;</w:t>
      </w:r>
    </w:p>
    <w:p>
      <w:pPr>
        <w:pStyle w:val="Point1letter"/>
        <w:numPr>
          <w:ilvl w:val="3"/>
          <w:numId w:val="11"/>
        </w:numPr>
        <w:rPr>
          <w:noProof/>
        </w:rPr>
      </w:pPr>
      <w:r>
        <w:rPr>
          <w:noProof/>
        </w:rPr>
        <w:t xml:space="preserve">îndeplinirea de către statele participante a angajamentelor prevăzute la alineatul (1) litera (c). </w:t>
      </w:r>
    </w:p>
    <w:p>
      <w:pPr>
        <w:pStyle w:val="ManualNumPar1"/>
        <w:rPr>
          <w:noProof/>
        </w:rPr>
      </w:pPr>
      <w:r>
        <w:t>3.</w:t>
      </w:r>
      <w:r>
        <w:tab/>
      </w:r>
      <w:r>
        <w:rPr>
          <w:noProof/>
        </w:rPr>
        <w:t>Comisia evaluează îndeplinirea angajamentelor asumate de statele participante, în special pe baza primelor două planuri anuale de activitate ale PRIMA. Ca urmare a acestei evaluări, contribuția maximă a Uniunii menționată la articolul 3 alineatul (1) este revizuită în conformitate cu articolul 9.</w:t>
      </w:r>
    </w:p>
    <w:p>
      <w:pPr>
        <w:pStyle w:val="Titrearticle"/>
        <w:rPr>
          <w:noProof/>
        </w:rPr>
      </w:pPr>
      <w:r>
        <w:rPr>
          <w:noProof/>
        </w:rPr>
        <w:t>Articolul 5</w:t>
      </w:r>
      <w:r>
        <w:rPr>
          <w:noProof/>
        </w:rPr>
        <w:br/>
        <w:t>Contribuții din partea statelor participante la PRIMA</w:t>
      </w:r>
    </w:p>
    <w:p>
      <w:pPr>
        <w:pStyle w:val="ManualNumPar1"/>
        <w:rPr>
          <w:noProof/>
        </w:rPr>
      </w:pPr>
      <w:r>
        <w:rPr>
          <w:noProof/>
        </w:rPr>
        <w:t>1.</w:t>
      </w:r>
      <w:r>
        <w:rPr>
          <w:noProof/>
        </w:rPr>
        <w:tab/>
        <w:t xml:space="preserve">Statele participante acordă sau iau măsuri de acordare de către organismele lor naționale de finanțare a unor contribuții în natură sau financiare de cel puțin 200 000 000 EUR în perioada cuprinsă între data intrării în vigoare a prezentei decizii și 31 decembrie 2028. </w:t>
      </w:r>
    </w:p>
    <w:p>
      <w:pPr>
        <w:pStyle w:val="ManualNumPar1"/>
        <w:rPr>
          <w:noProof/>
        </w:rPr>
      </w:pPr>
      <w:r>
        <w:rPr>
          <w:noProof/>
        </w:rPr>
        <w:t>2.</w:t>
      </w:r>
      <w:r>
        <w:rPr>
          <w:noProof/>
        </w:rPr>
        <w:tab/>
        <w:t>Contribuțiile din partea statelor participante sau a organismelor lor naționale de finanțare cuprind următoarele:</w:t>
      </w:r>
    </w:p>
    <w:p>
      <w:pPr>
        <w:pStyle w:val="Point0letter"/>
        <w:numPr>
          <w:ilvl w:val="1"/>
          <w:numId w:val="22"/>
        </w:numPr>
        <w:tabs>
          <w:tab w:val="clear" w:pos="850"/>
          <w:tab w:val="left" w:pos="1418"/>
        </w:tabs>
        <w:ind w:left="1418" w:hanging="567"/>
        <w:rPr>
          <w:noProof/>
        </w:rPr>
      </w:pPr>
      <w:r>
        <w:rPr>
          <w:noProof/>
        </w:rPr>
        <w:t xml:space="preserve">dacă este cazul, contribuții financiare la PRIMA-IS în vederea finanțării acțiunilor indirecte menționate la articolul 6 alineatul (1) litera (a); </w:t>
      </w:r>
    </w:p>
    <w:p>
      <w:pPr>
        <w:pStyle w:val="Point0letter"/>
        <w:numPr>
          <w:ilvl w:val="1"/>
          <w:numId w:val="22"/>
        </w:numPr>
        <w:tabs>
          <w:tab w:val="clear" w:pos="850"/>
          <w:tab w:val="left" w:pos="1418"/>
        </w:tabs>
        <w:ind w:left="1418" w:hanging="567"/>
        <w:rPr>
          <w:noProof/>
        </w:rPr>
      </w:pPr>
      <w:r>
        <w:rPr>
          <w:noProof/>
        </w:rPr>
        <w:t xml:space="preserve">contribuții financiare sau în natură la activitățile de punere în aplicare </w:t>
      </w:r>
      <w:r>
        <w:rPr>
          <w:noProof/>
          <w:color w:val="000000"/>
        </w:rPr>
        <w:t>prevăzute la articolul 6 alineatul (1) litera (b)</w:t>
      </w:r>
      <w:r>
        <w:rPr>
          <w:noProof/>
        </w:rPr>
        <w:t>; și</w:t>
      </w:r>
    </w:p>
    <w:p>
      <w:pPr>
        <w:pStyle w:val="Point0letter"/>
        <w:numPr>
          <w:ilvl w:val="1"/>
          <w:numId w:val="22"/>
        </w:numPr>
        <w:tabs>
          <w:tab w:val="clear" w:pos="850"/>
          <w:tab w:val="left" w:pos="1418"/>
        </w:tabs>
        <w:ind w:left="1418" w:hanging="567"/>
        <w:rPr>
          <w:noProof/>
        </w:rPr>
      </w:pPr>
      <w:r>
        <w:rPr>
          <w:noProof/>
        </w:rPr>
        <w:t>contribuții financiare la bugetul administrativ al PRIMA-IS care nu sunt acoperite de contribuția Uniunii prevăzută la articolul 3 alineatul (3) litera (b).</w:t>
      </w:r>
    </w:p>
    <w:p>
      <w:pPr>
        <w:pStyle w:val="ManualNumPar1"/>
        <w:rPr>
          <w:noProof/>
        </w:rPr>
      </w:pPr>
      <w:r>
        <w:rPr>
          <w:noProof/>
        </w:rPr>
        <w:t>3.</w:t>
      </w:r>
      <w:r>
        <w:rPr>
          <w:noProof/>
        </w:rPr>
        <w:tab/>
        <w:t>Contribuțiile în natură menționate la alineatul (2) litera (b) din prezentul articol cuprind costurile suportate de către statele participante prin intermediul organismelor lor naționale de finanțare în cadrul activităților de punere în aplicare menționate la articolul 6 alineatul (1) litera (b), cu excepția contribuției financiare directe sau indirecte a Uniunii la costurile respective.</w:t>
      </w:r>
    </w:p>
    <w:p>
      <w:pPr>
        <w:pStyle w:val="ManualNumPar1"/>
        <w:rPr>
          <w:noProof/>
        </w:rPr>
      </w:pPr>
      <w:r>
        <w:rPr>
          <w:noProof/>
        </w:rPr>
        <w:t>4.</w:t>
      </w:r>
      <w:r>
        <w:rPr>
          <w:noProof/>
        </w:rPr>
        <w:tab/>
        <w:t>În vederea evaluării contribuțiilor în natură menționate la alineatul (2) litera (b), costurile sunt stabilite în conformitate cu practicile contabile uzuale ale statelor participante sau ale organismelor naționale de finanțare în cauză, cu standardele contabile aplicabile în statul participant în care sunt stabilite organismele naționale de finanțare în cauză și cu standardele contabile internaționale/standardele internaționale de raportare financiară aplicabile. Costurile sunt certificate de un auditor independent desemnat de către statele participante sau de către organismele naționale de finanțare în cauză. PRIMA-IS poate să verifice metoda de evaluare în cazul în care în urma certificării respective apar incertitudini. În cazul în care incertitudinile persistă, ea poate fi auditată de PRIMA-IS.</w:t>
      </w:r>
    </w:p>
    <w:p>
      <w:pPr>
        <w:pStyle w:val="ManualNumPar1"/>
        <w:rPr>
          <w:noProof/>
        </w:rPr>
      </w:pPr>
      <w:r>
        <w:rPr>
          <w:noProof/>
        </w:rPr>
        <w:t>5.</w:t>
      </w:r>
      <w:r>
        <w:rPr>
          <w:noProof/>
        </w:rPr>
        <w:tab/>
        <w:t>Contribuțiile menționate la alineatul (2) literele (a) și (b) care sunt considerate contribuții din partea statelor participante sunt realizate după intrarea în vigoare a prezentei decizii pentru activitățile incluse în primul plan anual de activitate al PRIMA, precum și după adoptarea planurilor anuale de activitate ulterioare de către PRIMA-IS.</w:t>
      </w:r>
    </w:p>
    <w:p>
      <w:pPr>
        <w:pStyle w:val="Titrearticle"/>
        <w:rPr>
          <w:noProof/>
        </w:rPr>
      </w:pPr>
      <w:r>
        <w:rPr>
          <w:noProof/>
        </w:rPr>
        <w:t>Articolul 6</w:t>
      </w:r>
      <w:r>
        <w:rPr>
          <w:noProof/>
        </w:rPr>
        <w:br/>
        <w:t xml:space="preserve">Activități și punerea în aplicare a PRIMA </w:t>
      </w:r>
    </w:p>
    <w:p>
      <w:pPr>
        <w:pStyle w:val="ManualNumPar1"/>
        <w:rPr>
          <w:noProof/>
        </w:rPr>
      </w:pPr>
      <w:r>
        <w:t>1.</w:t>
      </w:r>
      <w:r>
        <w:tab/>
      </w:r>
      <w:r>
        <w:rPr>
          <w:noProof/>
        </w:rPr>
        <w:t>PRIMA sprijină următoarele activități:</w:t>
      </w:r>
    </w:p>
    <w:p>
      <w:pPr>
        <w:pStyle w:val="Text1"/>
        <w:rPr>
          <w:noProof/>
        </w:rPr>
      </w:pPr>
      <w:r>
        <w:rPr>
          <w:noProof/>
        </w:rPr>
        <w:t>(a) acțiuni indirecte în sensul Regulamentelor (UE) nr. 1290/2013 și (UE) nr. 1291/2013, finanțate de PRIMA-IS în conformitate cu articolul 7, în principal sub formă de granturi în urma unor cereri de propuneri transnaționale deschise și competitive organizate de PRIMA-IS, inclusiv:</w:t>
      </w:r>
    </w:p>
    <w:p>
      <w:pPr>
        <w:pStyle w:val="Text1"/>
        <w:ind w:left="1440"/>
        <w:rPr>
          <w:noProof/>
        </w:rPr>
      </w:pPr>
      <w:r>
        <w:rPr>
          <w:noProof/>
        </w:rPr>
        <w:t>(i) acțiuni de cercetare și inovare, precum și acțiuni de inovare, inclusiv activități demonstrative, instalații pilot, testare, activități precomerciale de implementare, care vizează, în special, nivelurile mai înalte de maturitate tehnologică;</w:t>
      </w:r>
    </w:p>
    <w:p>
      <w:pPr>
        <w:pStyle w:val="Text1"/>
        <w:ind w:left="1440"/>
        <w:rPr>
          <w:noProof/>
        </w:rPr>
      </w:pPr>
      <w:r>
        <w:rPr>
          <w:noProof/>
        </w:rPr>
        <w:t>(ii) acțiuni de coordonare și de sprijin axate pe diseminare și comunicare, pentru a promova PRIMA și a maximiza impacturile acesteia;</w:t>
      </w:r>
    </w:p>
    <w:p>
      <w:pPr>
        <w:pStyle w:val="Text1"/>
        <w:rPr>
          <w:noProof/>
        </w:rPr>
      </w:pPr>
      <w:r>
        <w:rPr>
          <w:noProof/>
        </w:rPr>
        <w:t>(b) activități finanțate de statele participante prin intermediul organismelor lor naționale de finanțare fără contribuție din partea Uniunii, vizând tot mai mult și nivelurile mai înalte de maturitate tehnologică și constând în:</w:t>
      </w:r>
    </w:p>
    <w:p>
      <w:pPr>
        <w:pStyle w:val="Text1"/>
        <w:ind w:left="1440"/>
        <w:rPr>
          <w:noProof/>
        </w:rPr>
      </w:pPr>
      <w:r>
        <w:rPr>
          <w:noProof/>
        </w:rPr>
        <w:t>(i) activități selectate în urma unor cereri de propuneri transnaționale deschise și competitive organizate de PRIMA-IS, gestionate de organismele naționale de finanțare în cadrul programelor naționale ale statelor participante, care acordă sprijin financiar, în principal, sub formă de granturi;</w:t>
      </w:r>
    </w:p>
    <w:p>
      <w:pPr>
        <w:pStyle w:val="Text1"/>
        <w:ind w:left="1440"/>
        <w:rPr>
          <w:noProof/>
        </w:rPr>
      </w:pPr>
      <w:r>
        <w:rPr>
          <w:noProof/>
        </w:rPr>
        <w:t>(ii) activități în cadrul programelor naționale ale statelor participante.</w:t>
      </w:r>
    </w:p>
    <w:p>
      <w:pPr>
        <w:pStyle w:val="ManualNumPar1"/>
        <w:rPr>
          <w:noProof/>
        </w:rPr>
      </w:pPr>
      <w:r>
        <w:t>2.</w:t>
      </w:r>
      <w:r>
        <w:tab/>
      </w:r>
      <w:r>
        <w:rPr>
          <w:noProof/>
        </w:rPr>
        <w:t>PRIMA este pus în aplicare pe baza planurilor anuale de activitate, care urmează să fie adoptate de PRIMA-IS, după obținerea aprobării din partea Comisiei, până la sfârșitul anului anterior. În mod excepțional, planul anual de activitate al PRIMA pentru 2018 poate fi adoptat până la 31 martie 2018. PRIMA-IS pune la dispoziția publicului planul anual de activitate.</w:t>
      </w:r>
    </w:p>
    <w:p>
      <w:pPr>
        <w:pStyle w:val="ManualNumPar1"/>
        <w:rPr>
          <w:noProof/>
        </w:rPr>
      </w:pPr>
      <w:r>
        <w:t>3.</w:t>
      </w:r>
      <w:r>
        <w:tab/>
      </w:r>
      <w:r>
        <w:rPr>
          <w:noProof/>
        </w:rPr>
        <w:t>Activitățile pot fi finanțate în cadrul PRIMA numai în cazul în care acestea sunt prevăzute în planul anual de activitate al PRIMA. Planul anual de activitate al PRIMA face distincție între activitățile menționate la alineatul (1) litera (a), activitățile menționate la alineatul (1) litera (b) și cheltuielile administrative ale PRIMA-IS. El prevede estimările ale cheltuielilor corespunzătoare, precum și alocarea bugetară pentru activitățile finanțate cu contribuția Uniunii și pentru activitățile finanțate de către statele participante prin intermediul organismelor lor naționale de finanțare fără contribuție din partea Uniunii. De asemenea, planul anual de activitate al PRIMA include valoarea estimată a contribuțiilor în natură ale statelor participante, menționate la articolul 5 alineatul (2) litera (b).</w:t>
      </w:r>
    </w:p>
    <w:p>
      <w:pPr>
        <w:pStyle w:val="ManualNumPar1"/>
        <w:rPr>
          <w:noProof/>
        </w:rPr>
      </w:pPr>
      <w:r>
        <w:t>4.</w:t>
      </w:r>
      <w:r>
        <w:tab/>
      </w:r>
      <w:r>
        <w:rPr>
          <w:noProof/>
        </w:rPr>
        <w:t xml:space="preserve">Ultimele activități care urmează să fie finanțate, inclusiv ultimele cereri de propuneri emise în cadrul planurilor anuale de activitate relevante ale PRIMA, sunt lansate până la 31 decembrie 2024. În cazuri justificate corespunzător, ele pot fi lansate până la 31 decembrie 2025. </w:t>
      </w:r>
    </w:p>
    <w:p>
      <w:pPr>
        <w:pStyle w:val="ManualNumPar1"/>
        <w:rPr>
          <w:noProof/>
        </w:rPr>
      </w:pPr>
      <w:r>
        <w:t>5.</w:t>
      </w:r>
      <w:r>
        <w:tab/>
      </w:r>
      <w:r>
        <w:rPr>
          <w:noProof/>
        </w:rPr>
        <w:t xml:space="preserve">Activitățile care urmează să fie finanțate de către statele participante prin intermediul organismelor lor naționale de finanțare fără contribuție din partea Uniunii pot fi incluse în planul anual de activitate al PRIMA numai în urma unui rezultat pozitiv al unei evaluări externe independente internaționale </w:t>
      </w:r>
      <w:r>
        <w:rPr>
          <w:i/>
          <w:noProof/>
        </w:rPr>
        <w:t>inter pares</w:t>
      </w:r>
      <w:r>
        <w:rPr>
          <w:noProof/>
        </w:rPr>
        <w:t xml:space="preserve"> în raport cu obiectivele PRIMA, astfel cum este organizată de PRIMA-IS.</w:t>
      </w:r>
    </w:p>
    <w:p>
      <w:pPr>
        <w:pStyle w:val="ManualNumPar1"/>
        <w:rPr>
          <w:noProof/>
        </w:rPr>
      </w:pPr>
      <w:r>
        <w:t>6.</w:t>
      </w:r>
      <w:r>
        <w:tab/>
      </w:r>
      <w:r>
        <w:rPr>
          <w:noProof/>
        </w:rPr>
        <w:t xml:space="preserve">Activitățile incluse în planul anual de activitate al PRIMA care sunt finanțate de către statele participante prin intermediul organismelor lor naționale de finanțare fără contribuție din partea Uniunii sunt puse în aplicare în conformitate cu principiile comune care urmează să fie adoptate de PRIMA-IS, după obținerea aprobării din partea Comisiei. Principiile comune țin seama de principiile prezentate în prezenta decizie, în titlul VI din Regulamentul (UE, Euratom) nr. 966/2012 și în Regulamentul (UE) nr. 1290/2013, în special principiile referitoare la egalitatea de tratament, la transparență, la revizuirea </w:t>
      </w:r>
      <w:r>
        <w:rPr>
          <w:i/>
          <w:noProof/>
        </w:rPr>
        <w:t>inter pares</w:t>
      </w:r>
      <w:r>
        <w:rPr>
          <w:noProof/>
        </w:rPr>
        <w:t xml:space="preserve"> independentă și la selectare. De asemenea, după obținerea aprobării din partea Comisiei, PRIMA-IS adoptă cerințele de raportare ale statelor participante la PRIMA-IS, inclusiv în ceea ce privește indicatorii inserați în fiecare dintre respectivele activități.</w:t>
      </w:r>
    </w:p>
    <w:p>
      <w:pPr>
        <w:pStyle w:val="ManualNumPar1"/>
        <w:rPr>
          <w:noProof/>
        </w:rPr>
      </w:pPr>
      <w:r>
        <w:t>7.</w:t>
      </w:r>
      <w:r>
        <w:tab/>
      </w:r>
      <w:r>
        <w:rPr>
          <w:noProof/>
        </w:rPr>
        <w:t xml:space="preserve">Pe lângă principiile comune menționate la punctul 6, activitățile menționate la alineatul (1) litera (b) punctul (i) respectă următoarele condiții: </w:t>
      </w:r>
    </w:p>
    <w:p>
      <w:pPr>
        <w:pStyle w:val="Text1"/>
        <w:ind w:left="1276" w:hanging="426"/>
        <w:rPr>
          <w:noProof/>
        </w:rPr>
      </w:pPr>
      <w:r>
        <w:rPr>
          <w:noProof/>
        </w:rPr>
        <w:t>(a)</w:t>
      </w:r>
      <w:r>
        <w:rPr>
          <w:noProof/>
        </w:rPr>
        <w:tab/>
        <w:t>Propunerile vizează proiecte transnaționale, cu participarea minimă a cel puțin trei entități juridice independente stabilite în trei state participante diferite, dintre care:</w:t>
      </w:r>
    </w:p>
    <w:p>
      <w:pPr>
        <w:pStyle w:val="Text1"/>
        <w:ind w:left="1843" w:hanging="425"/>
        <w:rPr>
          <w:noProof/>
        </w:rPr>
      </w:pPr>
      <w:r>
        <w:rPr>
          <w:noProof/>
        </w:rPr>
        <w:t>(i)</w:t>
      </w:r>
      <w:r>
        <w:rPr>
          <w:noProof/>
        </w:rPr>
        <w:tab/>
        <w:t>una stabilită într-un stat membru sau o țară asociată la Orizont 2020 și</w:t>
      </w:r>
    </w:p>
    <w:p>
      <w:pPr>
        <w:pStyle w:val="Text1"/>
        <w:ind w:left="1843" w:hanging="425"/>
        <w:rPr>
          <w:noProof/>
        </w:rPr>
      </w:pPr>
      <w:r>
        <w:rPr>
          <w:noProof/>
        </w:rPr>
        <w:t>(ii)</w:t>
      </w:r>
      <w:r>
        <w:rPr>
          <w:noProof/>
        </w:rPr>
        <w:tab/>
        <w:t>una stabilită într-o țară terță considerată stat participant în conformitate cu prezenta decizie până la termenul de prezentare a propunerilor în cadrul cererilor de propuneri relevante.</w:t>
      </w:r>
    </w:p>
    <w:p>
      <w:pPr>
        <w:pStyle w:val="Text1"/>
        <w:ind w:left="1276" w:hanging="426"/>
        <w:rPr>
          <w:noProof/>
        </w:rPr>
      </w:pPr>
      <w:r>
        <w:rPr>
          <w:noProof/>
        </w:rPr>
        <w:t>(b)</w:t>
      </w:r>
      <w:r>
        <w:rPr>
          <w:noProof/>
        </w:rPr>
        <w:tab/>
        <w:t xml:space="preserve">Propunerile sunt selectate în urma unor cereri de propuneri transnaționale și printr-o procedură în două etape. Etapa 1 constă într-o analiză la nivel național sau transnațional a propunerilor prezentate de către entitățile juridice eligibile pentru finanțare în cadrul programelor naționale relevante. Etapa 2 constă într-o singură evaluare internațională </w:t>
      </w:r>
      <w:r>
        <w:rPr>
          <w:i/>
          <w:noProof/>
        </w:rPr>
        <w:t>inter pares</w:t>
      </w:r>
      <w:r>
        <w:rPr>
          <w:noProof/>
        </w:rPr>
        <w:t xml:space="preserve"> independentă, organizată de PRIMA-IS. În etapa 2, propunerile sunt evaluate cu ajutorul a cel puțin trei experți independenți, pe baza următoarelor criterii de atribuire: excelență, impact, calitate și eficiență a punerii în aplicare.</w:t>
      </w:r>
    </w:p>
    <w:p>
      <w:pPr>
        <w:pStyle w:val="Text1"/>
        <w:ind w:left="1276" w:hanging="426"/>
        <w:rPr>
          <w:noProof/>
        </w:rPr>
      </w:pPr>
      <w:r>
        <w:rPr>
          <w:noProof/>
        </w:rPr>
        <w:t>(c)</w:t>
      </w:r>
      <w:r>
        <w:rPr>
          <w:noProof/>
        </w:rPr>
        <w:tab/>
        <w:t>Propunerile se clasifică în funcție de rezultatele evaluării. PRIMA-IS realizează selecția pe baza acestui clasament. Statele participante convin asupra unui mod de finanțare adecvat, care permite maximizarea numărului de propuneri care urmează să fie finanțate pe baza clasamentului, în special prin furnizarea unor sume de rezervă în contul contribuțiilor naționale pentru cererile de propuneri.</w:t>
      </w:r>
    </w:p>
    <w:p>
      <w:pPr>
        <w:pStyle w:val="ManualNumPar1"/>
        <w:rPr>
          <w:noProof/>
        </w:rPr>
      </w:pPr>
      <w:r>
        <w:t>8.</w:t>
      </w:r>
      <w:r>
        <w:tab/>
      </w:r>
      <w:r>
        <w:rPr>
          <w:noProof/>
        </w:rPr>
        <w:t>PRIMA-IS monitorizează și raportează Comisiei cu privire la punerea în aplicare a tuturor activităților incluse în planul anual de activitate al PRIMA.</w:t>
      </w:r>
    </w:p>
    <w:p>
      <w:pPr>
        <w:pStyle w:val="ManualNumPar1"/>
        <w:rPr>
          <w:noProof/>
        </w:rPr>
      </w:pPr>
      <w:r>
        <w:t>9.</w:t>
      </w:r>
      <w:r>
        <w:tab/>
      </w:r>
      <w:r>
        <w:rPr>
          <w:noProof/>
        </w:rPr>
        <w:t>Orice comunicare sau publicație referitoare la activitățile PRIMA și efectuată în colaborare cu PRIMA, indiferent dacă este efectuată de PRIMA-IS, de un stat participant sau de organismele sale naționale de finanțare sau de participanții la o activitate, se etichetează sau se coetichetează ca „[denumirea activității] este parte a programului PRIMA sprijinit de Uniunea Europeană”.</w:t>
      </w:r>
    </w:p>
    <w:p>
      <w:pPr>
        <w:pStyle w:val="Titrearticle"/>
        <w:rPr>
          <w:noProof/>
        </w:rPr>
      </w:pPr>
      <w:r>
        <w:rPr>
          <w:noProof/>
        </w:rPr>
        <w:t>Articolul 7</w:t>
      </w:r>
      <w:r>
        <w:rPr>
          <w:noProof/>
        </w:rPr>
        <w:br/>
        <w:t>Norme de participare și de diseminare</w:t>
      </w:r>
    </w:p>
    <w:p>
      <w:pPr>
        <w:pStyle w:val="ManualNumPar1"/>
        <w:rPr>
          <w:noProof/>
        </w:rPr>
      </w:pPr>
      <w:r>
        <w:t>1.</w:t>
      </w:r>
      <w:r>
        <w:tab/>
      </w:r>
      <w:r>
        <w:rPr>
          <w:noProof/>
        </w:rPr>
        <w:t>PRIMA-IS este considerată organism de finanțare în sensul Regulamentului (UE) nr 1290/2013 și acordă sprijin financiar pentru acțiunile indirecte menționate la articolul 6 alineatul (1) litera (a) din prezenta decizie, în conformitate cu normele stabilite în regulamentul respectiv, sub rezerva derogărilor prevăzute în prezentul articol.</w:t>
      </w:r>
      <w:r>
        <w:rPr>
          <w:noProof/>
          <w:color w:val="000000"/>
        </w:rPr>
        <w:t xml:space="preserve"> </w:t>
      </w:r>
    </w:p>
    <w:p>
      <w:pPr>
        <w:pStyle w:val="ManualNumPar1"/>
        <w:rPr>
          <w:noProof/>
        </w:rPr>
      </w:pPr>
      <w:r>
        <w:t>2.</w:t>
      </w:r>
      <w:r>
        <w:tab/>
      </w:r>
      <w:r>
        <w:rPr>
          <w:noProof/>
        </w:rPr>
        <w:t xml:space="preserve">Prin derogare de la articolul 9 alineatul (1) litera (b) din Regulamentul (UE) nr. 1290/2013, numărul minim de participanți este de trei entități juridice stabilite în trei state participante diferite, dintre care: </w:t>
      </w:r>
    </w:p>
    <w:p>
      <w:pPr>
        <w:pStyle w:val="Text1"/>
        <w:ind w:left="1276" w:hanging="426"/>
        <w:rPr>
          <w:noProof/>
        </w:rPr>
      </w:pPr>
      <w:r>
        <w:rPr>
          <w:noProof/>
        </w:rPr>
        <w:t>(a)</w:t>
      </w:r>
      <w:r>
        <w:rPr>
          <w:noProof/>
        </w:rPr>
        <w:tab/>
        <w:t xml:space="preserve">una stabilită într-un stat membru sau o țară asociată la Orizont 2020 și </w:t>
      </w:r>
    </w:p>
    <w:p>
      <w:pPr>
        <w:pStyle w:val="Text1"/>
        <w:ind w:left="1276" w:hanging="426"/>
        <w:rPr>
          <w:noProof/>
        </w:rPr>
      </w:pPr>
      <w:r>
        <w:rPr>
          <w:noProof/>
        </w:rPr>
        <w:t>(b)</w:t>
      </w:r>
      <w:r>
        <w:rPr>
          <w:noProof/>
        </w:rPr>
        <w:tab/>
        <w:t>una stabilită într-o țară terță considerată stat participant în conformitate cu prezenta decizie până la termenul de prezentare a propunerilor în cadrul cererilor de propuneri relevante.</w:t>
      </w:r>
    </w:p>
    <w:p>
      <w:pPr>
        <w:pStyle w:val="ManualNumPar1"/>
        <w:rPr>
          <w:noProof/>
        </w:rPr>
      </w:pPr>
      <w:r>
        <w:t>3.</w:t>
      </w:r>
      <w:r>
        <w:tab/>
      </w:r>
      <w:r>
        <w:rPr>
          <w:noProof/>
        </w:rPr>
        <w:t>Prin derogare de la articolul 9 alineatul (3) din Regulamentul (UE) nr. 1290/2013, în cazuri justificate în mod corespunzător prevăzute în planul anual de activitate al PRIMA, condiția minimă este participarea unei entități juridice stabilite într-un stat participant care este un stat membru, o țară asociată la Orizont 2020 sau o țară terță considerată stat participant în conformitate cu prezenta decizie până la termenul de prezentare a propunerilor în cadrul cererilor de propuneri relevante.</w:t>
      </w:r>
    </w:p>
    <w:p>
      <w:pPr>
        <w:pStyle w:val="ManualNumPar1"/>
        <w:rPr>
          <w:noProof/>
        </w:rPr>
      </w:pPr>
      <w:r>
        <w:t>4.</w:t>
      </w:r>
      <w:r>
        <w:tab/>
      </w:r>
      <w:r>
        <w:rPr>
          <w:noProof/>
        </w:rPr>
        <w:t>Pe lângă participanții eligibili pentru finanțare în temeiul articolului 10 alineatul (1) din Regulamentul (UE) nr. 1290/2013, orice entitate juridică stabilită într-un stat participant este eligibilă pentru finanțare.</w:t>
      </w:r>
    </w:p>
    <w:p>
      <w:pPr>
        <w:pStyle w:val="ManualNumPar1"/>
        <w:rPr>
          <w:noProof/>
        </w:rPr>
      </w:pPr>
      <w:r>
        <w:t>5.</w:t>
      </w:r>
      <w:r>
        <w:tab/>
      </w:r>
      <w:r>
        <w:rPr>
          <w:noProof/>
        </w:rPr>
        <w:t>Prin derogare de la articolul 12 din Regulamentul (UE) nr. din 1290/2013, în cazul în care o astfel de activitate este inclusă în planul anual de activitate al PRIMA, PRIMA-IS poate lansa cereri de propuneri comune cu alte țări terțe în afara statelor participante sau a organizațiilor și agențiilor lor științifice și tehnologice, cu organizațiile internaționale sau cu alte părți terțe, în special cu organizații neguvernamentale, în conformitate cu normele prevăzute la articolul 12 din Regulamentul (UE) nr. 1290/2013.</w:t>
      </w:r>
    </w:p>
    <w:p>
      <w:pPr>
        <w:pStyle w:val="Titrearticle"/>
        <w:rPr>
          <w:noProof/>
        </w:rPr>
      </w:pPr>
      <w:r>
        <w:rPr>
          <w:noProof/>
        </w:rPr>
        <w:t>Articolul 8</w:t>
      </w:r>
      <w:r>
        <w:rPr>
          <w:noProof/>
        </w:rPr>
        <w:br/>
        <w:t xml:space="preserve">Acorduri între Uniune și PRIMA-IS </w:t>
      </w:r>
    </w:p>
    <w:p>
      <w:pPr>
        <w:pStyle w:val="ManualNumPar1"/>
        <w:rPr>
          <w:noProof/>
        </w:rPr>
      </w:pPr>
      <w:r>
        <w:t>1.</w:t>
      </w:r>
      <w:r>
        <w:tab/>
      </w:r>
      <w:r>
        <w:rPr>
          <w:noProof/>
        </w:rPr>
        <w:t xml:space="preserve">Sub rezerva unei evaluări </w:t>
      </w:r>
      <w:r>
        <w:rPr>
          <w:i/>
          <w:noProof/>
        </w:rPr>
        <w:t>ex ante</w:t>
      </w:r>
      <w:r>
        <w:rPr>
          <w:noProof/>
        </w:rPr>
        <w:t xml:space="preserve"> pozitive a PRIMA-IS în conformitate cu articolul 61 alineatul (1) din Regulamentul (UE, Euratom) nr. 966/2012 și a prezentării unor garanții financiare adecvate în conformitate cu articolul 58 alineatul (1) litera (c) punctul (vi) din regulamentul menționat, Comisia, în numele Uniunii, încheie cu PRIMA-IS un acord de delegare și acorduri de transferuri anuale de fonduri.</w:t>
      </w:r>
    </w:p>
    <w:p>
      <w:pPr>
        <w:pStyle w:val="ManualNumPar1"/>
        <w:rPr>
          <w:noProof/>
        </w:rPr>
      </w:pPr>
      <w:r>
        <w:t>2.</w:t>
      </w:r>
      <w:r>
        <w:tab/>
      </w:r>
      <w:r>
        <w:rPr>
          <w:noProof/>
        </w:rPr>
        <w:t xml:space="preserve">Acordul de delegare menționat la alineatul (1) se încheie în conformitate cu articolul 58 alineatul (3) și cu articolele 60 și 61 din Regulamentul (UE, Euratom) nr. 966/2012, precum și cu articolul 40 din Regulamentul delegat (UE) nr. 1268/2012. El prevede, </w:t>
      </w:r>
      <w:r>
        <w:rPr>
          <w:i/>
          <w:noProof/>
        </w:rPr>
        <w:t>inter alia</w:t>
      </w:r>
      <w:r>
        <w:rPr>
          <w:noProof/>
        </w:rPr>
        <w:t>, următoarele:</w:t>
      </w:r>
    </w:p>
    <w:p>
      <w:pPr>
        <w:pStyle w:val="Text1"/>
        <w:ind w:left="1418" w:hanging="567"/>
        <w:rPr>
          <w:noProof/>
        </w:rPr>
      </w:pPr>
      <w:r>
        <w:rPr>
          <w:noProof/>
        </w:rPr>
        <w:t>(a)</w:t>
      </w:r>
      <w:r>
        <w:rPr>
          <w:noProof/>
        </w:rPr>
        <w:tab/>
        <w:t>cerințele pentru contribuția PRIMA-IS în ceea ce privește indicatorii de performanță prevăzuți în anexa II la Decizia 2013/743/UE;</w:t>
      </w:r>
    </w:p>
    <w:p>
      <w:pPr>
        <w:pStyle w:val="Text1"/>
        <w:ind w:left="1418" w:hanging="567"/>
        <w:rPr>
          <w:noProof/>
        </w:rPr>
      </w:pPr>
      <w:r>
        <w:rPr>
          <w:noProof/>
        </w:rPr>
        <w:t>(b)</w:t>
      </w:r>
      <w:r>
        <w:rPr>
          <w:noProof/>
        </w:rPr>
        <w:tab/>
        <w:t xml:space="preserve">cerințele pentru contribuția PRIMA-IS în ceea ce privește monitorizarea menționată în anexa III la Decizia 2013/743/UE; </w:t>
      </w:r>
    </w:p>
    <w:p>
      <w:pPr>
        <w:pStyle w:val="Text1"/>
        <w:ind w:left="1418" w:hanging="567"/>
        <w:rPr>
          <w:noProof/>
        </w:rPr>
      </w:pPr>
      <w:r>
        <w:rPr>
          <w:noProof/>
        </w:rPr>
        <w:t>(c)</w:t>
      </w:r>
      <w:r>
        <w:rPr>
          <w:noProof/>
        </w:rPr>
        <w:tab/>
        <w:t>indicatorii de performanță specifici legați de funcționarea PRIMA-IS;</w:t>
      </w:r>
    </w:p>
    <w:p>
      <w:pPr>
        <w:pStyle w:val="Text1"/>
        <w:ind w:left="1418" w:hanging="567"/>
        <w:rPr>
          <w:noProof/>
        </w:rPr>
      </w:pPr>
      <w:r>
        <w:rPr>
          <w:noProof/>
        </w:rPr>
        <w:t>(d)</w:t>
      </w:r>
      <w:r>
        <w:rPr>
          <w:noProof/>
        </w:rPr>
        <w:tab/>
        <w:t>cerințele pentru PRIMA-IS cu privire la furnizarea de informații privind cheltuielile administrative și cifrele detaliate privind punerea în aplicare a PRIMA;</w:t>
      </w:r>
    </w:p>
    <w:p>
      <w:pPr>
        <w:pStyle w:val="Text1"/>
        <w:ind w:left="1418" w:hanging="567"/>
        <w:rPr>
          <w:noProof/>
        </w:rPr>
      </w:pPr>
      <w:r>
        <w:rPr>
          <w:noProof/>
        </w:rPr>
        <w:t>(e)</w:t>
      </w:r>
      <w:r>
        <w:rPr>
          <w:noProof/>
        </w:rPr>
        <w:tab/>
        <w:t>dispozițiile privind furnizarea de date și informații necesare pentru a permite îndeplinirea de către Comisie a obligațiilor sale de raportare și de diseminare;</w:t>
      </w:r>
    </w:p>
    <w:p>
      <w:pPr>
        <w:pStyle w:val="Text1"/>
        <w:ind w:left="1418" w:hanging="567"/>
        <w:rPr>
          <w:noProof/>
        </w:rPr>
      </w:pPr>
      <w:r>
        <w:rPr>
          <w:noProof/>
        </w:rPr>
        <w:t>(f)</w:t>
      </w:r>
      <w:r>
        <w:rPr>
          <w:noProof/>
        </w:rPr>
        <w:tab/>
        <w:t>dispozițiile privind aprobarea sau respingerea de către Comisie a proiectului de plan anual de activitate al PRIMA, principiile comune menționate la articolul 6 alineatul (6) și cerințele de raportare ale statelor participante, înainte ca acestea să fie adoptate de PRIMA-IS; și</w:t>
      </w:r>
    </w:p>
    <w:p>
      <w:pPr>
        <w:pStyle w:val="Text1"/>
        <w:ind w:left="1418" w:hanging="567"/>
        <w:rPr>
          <w:noProof/>
        </w:rPr>
      </w:pPr>
      <w:r>
        <w:rPr>
          <w:noProof/>
        </w:rPr>
        <w:t>(g)</w:t>
      </w:r>
      <w:r>
        <w:rPr>
          <w:noProof/>
        </w:rPr>
        <w:tab/>
        <w:t>dispozițiile privind publicarea cererilor de propuneri de către PRIMA-IS, în special privind portalul unic dedicat participanților, precum și prin intermediul altor mijloace electronice de diseminare prevăzute pentru programul Orizont 2020 și gestionate de Comisie.</w:t>
      </w:r>
    </w:p>
    <w:p>
      <w:pPr>
        <w:pStyle w:val="Titrearticle"/>
        <w:rPr>
          <w:noProof/>
        </w:rPr>
      </w:pPr>
      <w:r>
        <w:rPr>
          <w:noProof/>
        </w:rPr>
        <w:t>Articolul 9</w:t>
      </w:r>
      <w:r>
        <w:rPr>
          <w:noProof/>
        </w:rPr>
        <w:br/>
        <w:t>Încetarea, reducerea sau suspendarea contribuției financiare a Uniunii</w:t>
      </w:r>
    </w:p>
    <w:p>
      <w:pPr>
        <w:pStyle w:val="ManualNumPar1"/>
        <w:rPr>
          <w:noProof/>
        </w:rPr>
      </w:pPr>
      <w:r>
        <w:t>1.</w:t>
      </w:r>
      <w:r>
        <w:tab/>
      </w:r>
      <w:r>
        <w:rPr>
          <w:noProof/>
        </w:rPr>
        <w:t>În cazul în care PRIMA nu este pus în aplicare sau este pus în aplicare în mod necorespunzător, parțial sau cu întârziere, Comisia poate înceta, reduce în mod proporțional sau suspenda contribuția financiară a Uniunii, în funcție de nivelul efectiv de punere în aplicare a PRIMA.</w:t>
      </w:r>
    </w:p>
    <w:p>
      <w:pPr>
        <w:pStyle w:val="ManualNumPar1"/>
        <w:rPr>
          <w:noProof/>
        </w:rPr>
      </w:pPr>
      <w:r>
        <w:t>2.</w:t>
      </w:r>
      <w:r>
        <w:tab/>
      </w:r>
      <w:r>
        <w:rPr>
          <w:noProof/>
        </w:rPr>
        <w:t xml:space="preserve">În cazul în care statele participante nu contribuie ori contribuie parțial sau cu întârziere la finanțarea PRIMA, Comisia poate înceta, reduce în mod proporțional sau suspenda contribuția financiară a Uniunii, luând în considerare cuantumul fondurilor alocate de către statele participante pentru punerea în aplicare a PRIMA. </w:t>
      </w:r>
    </w:p>
    <w:p>
      <w:pPr>
        <w:pStyle w:val="Titrearticle"/>
        <w:rPr>
          <w:noProof/>
        </w:rPr>
      </w:pPr>
      <w:r>
        <w:rPr>
          <w:noProof/>
        </w:rPr>
        <w:t>Articolul 10</w:t>
      </w:r>
      <w:r>
        <w:rPr>
          <w:noProof/>
        </w:rPr>
        <w:br/>
        <w:t xml:space="preserve">Audituri ex post </w:t>
      </w:r>
    </w:p>
    <w:p>
      <w:pPr>
        <w:pStyle w:val="ManualNumPar1"/>
        <w:rPr>
          <w:noProof/>
        </w:rPr>
      </w:pPr>
      <w:r>
        <w:rPr>
          <w:noProof/>
        </w:rPr>
        <w:t>1.</w:t>
      </w:r>
      <w:r>
        <w:rPr>
          <w:noProof/>
        </w:rPr>
        <w:tab/>
        <w:t xml:space="preserve">Auditurile </w:t>
      </w:r>
      <w:r>
        <w:rPr>
          <w:i/>
          <w:noProof/>
        </w:rPr>
        <w:t>ex post</w:t>
      </w:r>
      <w:r>
        <w:rPr>
          <w:noProof/>
        </w:rPr>
        <w:t xml:space="preserve"> vizând cheltuielile pentru acțiuni indirecte menționate la articolul 6 alineatul (1) litera (a) din prezenta decizie se efectuează de către PRIMA-IS în conformitate cu articolul 29 din Regulamentul (UE) nr. 1291/2013. </w:t>
      </w:r>
    </w:p>
    <w:p>
      <w:pPr>
        <w:pStyle w:val="ManualNumPar1"/>
        <w:rPr>
          <w:noProof/>
        </w:rPr>
      </w:pPr>
      <w:r>
        <w:rPr>
          <w:noProof/>
        </w:rPr>
        <w:t>2.</w:t>
      </w:r>
      <w:r>
        <w:rPr>
          <w:noProof/>
        </w:rPr>
        <w:tab/>
        <w:t>Comisia poate decide să efectueze pe cont propriu auditurile menționate la alineatul (1). În astfel de cazuri, Comisia efectuează aceste audituri în conformitate cu normele aplicabile, în special cu dispozițiile din Regulamentele (UE, Euratom) nr. 966/2012, (UE) nr. 1290/2013 și (UE) nr. 1291/2013.</w:t>
      </w:r>
    </w:p>
    <w:p>
      <w:pPr>
        <w:pStyle w:val="Titrearticle"/>
        <w:rPr>
          <w:noProof/>
        </w:rPr>
      </w:pPr>
      <w:r>
        <w:rPr>
          <w:noProof/>
        </w:rPr>
        <w:t>Articolul 11</w:t>
      </w:r>
      <w:r>
        <w:rPr>
          <w:noProof/>
        </w:rPr>
        <w:br/>
        <w:t>Protejarea intereselor financiare ale Uniunii</w:t>
      </w:r>
    </w:p>
    <w:p>
      <w:pPr>
        <w:pStyle w:val="ManualNumPar1"/>
        <w:rPr>
          <w:noProof/>
        </w:rPr>
      </w:pPr>
      <w:r>
        <w:t>1.</w:t>
      </w:r>
      <w:r>
        <w:tab/>
      </w:r>
      <w:r>
        <w:rPr>
          <w:noProof/>
        </w:rPr>
        <w:t xml:space="preserve">Comisia ia măsurile adecvate pentru a se asigura că, atunci când acțiunile finanțate în temeiul prezentei decizii sunt puse în aplicare, interesele financiare ale Uniunii sunt protejate prin aplicarea de măsuri preventive împotriva fraudei, a corupției și a oricăror altor activități ilegale, prin verificări eficace și, în cazul în care se descoperă nereguli, prin recuperarea sumelor plătite în mod necuvenit și, dacă este cazul, prin aplicarea de sancțiuni administrative eficace, proporționale și disuasive. </w:t>
      </w:r>
    </w:p>
    <w:p>
      <w:pPr>
        <w:pStyle w:val="ManualNumPar1"/>
        <w:rPr>
          <w:noProof/>
        </w:rPr>
      </w:pPr>
      <w:r>
        <w:t>2.</w:t>
      </w:r>
      <w:r>
        <w:tab/>
      </w:r>
      <w:r>
        <w:rPr>
          <w:noProof/>
        </w:rPr>
        <w:t>PRIMA-IS acordă personalului Comisiei și altor persoane autorizate de Comisie, precum și Curții de Conturi, acces la sediile și locațiile sale și la toate informațiile necesare pentru efectuarea auditurilor acestora, inclusiv la informațiile în format electronic.</w:t>
      </w:r>
    </w:p>
    <w:p>
      <w:pPr>
        <w:pStyle w:val="ManualNumPar1"/>
        <w:rPr>
          <w:noProof/>
        </w:rPr>
      </w:pPr>
      <w:r>
        <w:t>3.</w:t>
      </w:r>
      <w:r>
        <w:tab/>
      </w:r>
      <w:r>
        <w:rPr>
          <w:noProof/>
        </w:rPr>
        <w:t>Oficiul European de Luptă Antifraudă (OLAF) poate efectua investigații, inclusiv verificări și inspecții la fața locului, în conformitate cu dispozițiile și procedurile prevăzute în Regulamentul (Euratom, CE) nr. 2185/96 al Consiliului</w:t>
      </w:r>
      <w:r>
        <w:rPr>
          <w:rStyle w:val="FootnoteReference"/>
          <w:noProof/>
        </w:rPr>
        <w:footnoteReference w:id="9"/>
      </w:r>
      <w:r>
        <w:rPr>
          <w:noProof/>
        </w:rPr>
        <w:t xml:space="preserve"> și în Regulamentul (UE, Euratom) nr. 883/2013 al Parlamentului European și al Consiliului</w:t>
      </w:r>
      <w:r>
        <w:rPr>
          <w:rStyle w:val="FootnoteReference"/>
          <w:noProof/>
        </w:rPr>
        <w:footnoteReference w:id="10"/>
      </w:r>
      <w:r>
        <w:rPr>
          <w:noProof/>
        </w:rPr>
        <w:t>, pentru a stabili dacă au avut loc acte de fraudă, de corupție sau orice altă activitate ilegală care afectează interesele financiare ale Uniunii în legătură cu un acord de grant, cu o decizie de grant sau cu un contract finanțat în mod direct sau indirect în temeiul prezentei decizii.</w:t>
      </w:r>
    </w:p>
    <w:p>
      <w:pPr>
        <w:pStyle w:val="ManualNumPar1"/>
        <w:rPr>
          <w:noProof/>
        </w:rPr>
      </w:pPr>
      <w:r>
        <w:t>4.</w:t>
      </w:r>
      <w:r>
        <w:tab/>
      </w:r>
      <w:r>
        <w:rPr>
          <w:noProof/>
        </w:rPr>
        <w:t>Fără a aduce atingere alineatelor (1), (2) și (3), contractele, acordurile și deciziile de grant care rezultă din punerea în aplicare a prezentei decizii conțin dispoziții care împuternicesc în mod expres Comisia, PRIMA-IS, Curtea de Conturi și OLAF să efectueze astfel de audituri și investigații, în conformitate cu competențele acestora. În cazul în care punerea în aplicare a unei acțiuni este externalizată sau subdelegată, în totalitate sau parțial, sau în cazul în care se impune atribuirea unui contract de achiziții publice sau de sprijin financiar unui terț, contractul, acordul sau decizia de grant includ obligația contractantului sau a beneficiarului de a impune oricărei părți terțe implicate acceptarea explicită a acestor competențe ale Comisiei, ale PRIMA-IS, ale Curții de Conturi și ale OLAF.</w:t>
      </w:r>
    </w:p>
    <w:p>
      <w:pPr>
        <w:pStyle w:val="ManualNumPar1"/>
        <w:rPr>
          <w:noProof/>
        </w:rPr>
      </w:pPr>
      <w:r>
        <w:t>5.</w:t>
      </w:r>
      <w:r>
        <w:tab/>
      </w:r>
      <w:r>
        <w:rPr>
          <w:noProof/>
        </w:rPr>
        <w:t>În cadrul punerii în aplicare a PRIMA, statele participante iau măsurile legislative, de reglementare, administrative sau de altă natură necesare pentru a proteja interesele financiare ale Uniunii, în special pentru a asigura recuperarea în întregime a oricăror sume datorate Uniunii în conformitate cu Regulamentul (UE, Euratom) nr. 966/2012 și cu Regulamentul delegat (UE) nr. 1268/2012.</w:t>
      </w:r>
    </w:p>
    <w:p>
      <w:pPr>
        <w:pStyle w:val="Titrearticle"/>
        <w:rPr>
          <w:noProof/>
        </w:rPr>
      </w:pPr>
      <w:r>
        <w:rPr>
          <w:noProof/>
        </w:rPr>
        <w:t>Articolul 12</w:t>
      </w:r>
      <w:r>
        <w:rPr>
          <w:noProof/>
        </w:rPr>
        <w:br/>
        <w:t>Guvernanța PRIMA</w:t>
      </w:r>
    </w:p>
    <w:p>
      <w:pPr>
        <w:pStyle w:val="ManualNumPar1"/>
        <w:rPr>
          <w:noProof/>
        </w:rPr>
      </w:pPr>
      <w:r>
        <w:t>1.</w:t>
      </w:r>
      <w:r>
        <w:tab/>
      </w:r>
      <w:r>
        <w:rPr>
          <w:noProof/>
        </w:rPr>
        <w:t>Organismele PRIMA-IS includ:</w:t>
      </w:r>
    </w:p>
    <w:p>
      <w:pPr>
        <w:pStyle w:val="Text1"/>
        <w:rPr>
          <w:noProof/>
        </w:rPr>
      </w:pPr>
      <w:r>
        <w:rPr>
          <w:noProof/>
        </w:rPr>
        <w:t>(a) Adunarea generală;</w:t>
      </w:r>
    </w:p>
    <w:p>
      <w:pPr>
        <w:pStyle w:val="Text1"/>
        <w:rPr>
          <w:noProof/>
        </w:rPr>
      </w:pPr>
      <w:r>
        <w:rPr>
          <w:noProof/>
        </w:rPr>
        <w:t>(b) Consiliul de administrație;</w:t>
      </w:r>
    </w:p>
    <w:p>
      <w:pPr>
        <w:pStyle w:val="Text1"/>
        <w:rPr>
          <w:noProof/>
        </w:rPr>
      </w:pPr>
      <w:r>
        <w:rPr>
          <w:noProof/>
        </w:rPr>
        <w:t>(c) Secretariatul;</w:t>
      </w:r>
    </w:p>
    <w:p>
      <w:pPr>
        <w:pStyle w:val="Text1"/>
        <w:rPr>
          <w:noProof/>
        </w:rPr>
      </w:pPr>
      <w:r>
        <w:rPr>
          <w:noProof/>
        </w:rPr>
        <w:t>(d) Consiliul științific consultativ.</w:t>
      </w:r>
    </w:p>
    <w:p>
      <w:pPr>
        <w:pStyle w:val="ManualNumPar1"/>
        <w:rPr>
          <w:noProof/>
        </w:rPr>
      </w:pPr>
      <w:r>
        <w:t>2.</w:t>
      </w:r>
      <w:r>
        <w:tab/>
      </w:r>
      <w:r>
        <w:rPr>
          <w:noProof/>
        </w:rPr>
        <w:t>PRIMA-IS este guvernată de Adunarea generală, în care sunt reprezentate toate statele participante. Adunarea generală este organul de decizie al PRIMA-IS.</w:t>
      </w:r>
    </w:p>
    <w:p>
      <w:pPr>
        <w:pStyle w:val="Text1"/>
        <w:rPr>
          <w:noProof/>
        </w:rPr>
      </w:pPr>
      <w:r>
        <w:rPr>
          <w:noProof/>
        </w:rPr>
        <w:t>Adunarea generală adoptă, după obținerea aprobării din partea Comisiei:</w:t>
      </w:r>
    </w:p>
    <w:p>
      <w:pPr>
        <w:pStyle w:val="Text1"/>
        <w:ind w:left="840"/>
        <w:rPr>
          <w:noProof/>
        </w:rPr>
      </w:pPr>
      <w:r>
        <w:rPr>
          <w:noProof/>
        </w:rPr>
        <w:t>(a)</w:t>
      </w:r>
      <w:r>
        <w:rPr>
          <w:noProof/>
        </w:rPr>
        <w:tab/>
        <w:t>planul anual de activitate al PRIMA;</w:t>
      </w:r>
    </w:p>
    <w:p>
      <w:pPr>
        <w:pStyle w:val="Text1"/>
        <w:ind w:left="1440" w:hanging="600"/>
        <w:rPr>
          <w:noProof/>
        </w:rPr>
      </w:pPr>
      <w:r>
        <w:rPr>
          <w:noProof/>
        </w:rPr>
        <w:t>(b)</w:t>
      </w:r>
      <w:r>
        <w:rPr>
          <w:noProof/>
        </w:rPr>
        <w:tab/>
        <w:t>principiile comune menționate la articolul 6 alineatul (6); și</w:t>
      </w:r>
    </w:p>
    <w:p>
      <w:pPr>
        <w:pStyle w:val="Text1"/>
        <w:ind w:left="840"/>
        <w:rPr>
          <w:noProof/>
        </w:rPr>
      </w:pPr>
      <w:r>
        <w:rPr>
          <w:noProof/>
        </w:rPr>
        <w:t>(c)</w:t>
      </w:r>
      <w:r>
        <w:rPr>
          <w:noProof/>
        </w:rPr>
        <w:tab/>
        <w:t>cerințele de raportare ale statelor participante la PRIMA-IS.</w:t>
      </w:r>
    </w:p>
    <w:p>
      <w:pPr>
        <w:pStyle w:val="Text1"/>
        <w:rPr>
          <w:noProof/>
        </w:rPr>
      </w:pPr>
      <w:r>
        <w:rPr>
          <w:noProof/>
        </w:rPr>
        <w:t>Adunarea generală aprobă participarea la PRIMA a oricărei țări terțe care nu este asociată la programul Orizont 2020, în afara celor enumerate la articolul 1 alineatul (2), după examinarea relevanței participării sale pentru realizarea obiectivelor PRIMA.</w:t>
      </w:r>
    </w:p>
    <w:p>
      <w:pPr>
        <w:ind w:left="851"/>
        <w:rPr>
          <w:noProof/>
        </w:rPr>
      </w:pPr>
      <w:r>
        <w:rPr>
          <w:noProof/>
        </w:rPr>
        <w:t>Fiecare stat participant are dreptul la un vot în Adunarea generală. Deciziile se iau prin consens. În caz contrar, Adunarea generală ia decizii cu o majoritate de cel puțin 75 % din voturi. Aprobarea participării la PRIMA a oricărei țări terțe care nu este asociată la programul Orizont 2020, în afara celor enumerate la articolul 1 alineatul (2), se adoptă cu unanimitate.</w:t>
      </w:r>
    </w:p>
    <w:p>
      <w:pPr>
        <w:ind w:left="851"/>
        <w:rPr>
          <w:noProof/>
        </w:rPr>
      </w:pPr>
      <w:r>
        <w:rPr>
          <w:noProof/>
        </w:rPr>
        <w:t>Uniunea, reprezentată de Comisie, este invitată la toate reuniunile Adunării generale în calitate de observator și poate lua parte la discuții. Ea va primi toate documentele necesare.</w:t>
      </w:r>
    </w:p>
    <w:p>
      <w:pPr>
        <w:pStyle w:val="ManualNumPar1"/>
        <w:rPr>
          <w:noProof/>
        </w:rPr>
      </w:pPr>
      <w:r>
        <w:t>3.</w:t>
      </w:r>
      <w:r>
        <w:tab/>
      </w:r>
      <w:r>
        <w:rPr>
          <w:noProof/>
        </w:rPr>
        <w:t>Adunarea generală stabilește numărul membrilor Consiliului de administrație, care nu poate fi mai mic de cinci, și îi desemnează. Consiliul de administrație supraveghează secretariatul PRIMA-IS.</w:t>
      </w:r>
    </w:p>
    <w:p>
      <w:pPr>
        <w:pStyle w:val="ManualNumPar1"/>
        <w:rPr>
          <w:noProof/>
        </w:rPr>
      </w:pPr>
      <w:r>
        <w:t>4.</w:t>
      </w:r>
      <w:r>
        <w:tab/>
      </w:r>
      <w:r>
        <w:rPr>
          <w:noProof/>
        </w:rPr>
        <w:t xml:space="preserve">Adunarea generală stabilește secretariatul PRIMA-IS ca organ executiv al PRIMA. </w:t>
      </w:r>
    </w:p>
    <w:p>
      <w:pPr>
        <w:pStyle w:val="Text1"/>
        <w:ind w:left="851"/>
        <w:rPr>
          <w:noProof/>
        </w:rPr>
      </w:pPr>
      <w:r>
        <w:rPr>
          <w:noProof/>
        </w:rPr>
        <w:t>Secretariatul:</w:t>
      </w:r>
    </w:p>
    <w:p>
      <w:pPr>
        <w:pStyle w:val="Point1letter"/>
        <w:numPr>
          <w:ilvl w:val="3"/>
          <w:numId w:val="31"/>
        </w:numPr>
        <w:rPr>
          <w:noProof/>
        </w:rPr>
      </w:pPr>
      <w:r>
        <w:rPr>
          <w:noProof/>
        </w:rPr>
        <w:t>pune în aplicare planul anual de activitate al PRIMA;</w:t>
      </w:r>
    </w:p>
    <w:p>
      <w:pPr>
        <w:pStyle w:val="Point1letter"/>
        <w:numPr>
          <w:ilvl w:val="3"/>
          <w:numId w:val="31"/>
        </w:numPr>
        <w:rPr>
          <w:noProof/>
        </w:rPr>
      </w:pPr>
      <w:r>
        <w:rPr>
          <w:noProof/>
        </w:rPr>
        <w:t>acordă sprijin celorlalte organisme ale PRIMA-IS;</w:t>
      </w:r>
    </w:p>
    <w:p>
      <w:pPr>
        <w:pStyle w:val="Point1letter"/>
        <w:numPr>
          <w:ilvl w:val="3"/>
          <w:numId w:val="31"/>
        </w:numPr>
        <w:rPr>
          <w:noProof/>
        </w:rPr>
      </w:pPr>
      <w:r>
        <w:rPr>
          <w:noProof/>
        </w:rPr>
        <w:t>monitorizează și raportează cu privire la punerea în aplicare a PRIMA;</w:t>
      </w:r>
    </w:p>
    <w:p>
      <w:pPr>
        <w:pStyle w:val="Point1letter"/>
        <w:numPr>
          <w:ilvl w:val="3"/>
          <w:numId w:val="31"/>
        </w:numPr>
        <w:rPr>
          <w:noProof/>
        </w:rPr>
      </w:pPr>
      <w:r>
        <w:rPr>
          <w:noProof/>
        </w:rPr>
        <w:t>gestionează contribuțiile financiare din partea Uniunii și a statelor participante și raportează cu privire la utilizarea acestora;</w:t>
      </w:r>
    </w:p>
    <w:p>
      <w:pPr>
        <w:pStyle w:val="Point1letter"/>
        <w:numPr>
          <w:ilvl w:val="3"/>
          <w:numId w:val="31"/>
        </w:numPr>
        <w:rPr>
          <w:noProof/>
        </w:rPr>
      </w:pPr>
      <w:r>
        <w:rPr>
          <w:noProof/>
        </w:rPr>
        <w:t>crește vizibilitatea PRIMA prin promovare și comunicare;</w:t>
      </w:r>
    </w:p>
    <w:p>
      <w:pPr>
        <w:pStyle w:val="Point1letter"/>
        <w:numPr>
          <w:ilvl w:val="3"/>
          <w:numId w:val="31"/>
        </w:numPr>
        <w:rPr>
          <w:noProof/>
        </w:rPr>
      </w:pPr>
      <w:r>
        <w:rPr>
          <w:noProof/>
        </w:rPr>
        <w:t>comunică cu Comisia în conformitate cu acordul de delegare menționat la articolul 8.</w:t>
      </w:r>
    </w:p>
    <w:p>
      <w:pPr>
        <w:pStyle w:val="ManualNumPar1"/>
        <w:rPr>
          <w:noProof/>
        </w:rPr>
      </w:pPr>
      <w:r>
        <w:t>5.</w:t>
      </w:r>
      <w:r>
        <w:tab/>
      </w:r>
      <w:r>
        <w:rPr>
          <w:noProof/>
        </w:rPr>
        <w:t xml:space="preserve">Adunarea generală numește un consiliu științific consultativ format din experți independenți din statele participante, competenți în domenii relevante pentru PRIMA. Adunarea generală stabilește numărul membrilor comitetului științific consultativ, drepturile lor de vot și modalitățile de numire a acestora în conformitate cu articolul 40 din Regulamentul (UE) nr. 1290/2013. </w:t>
      </w:r>
    </w:p>
    <w:p>
      <w:pPr>
        <w:ind w:left="851"/>
        <w:rPr>
          <w:noProof/>
        </w:rPr>
      </w:pPr>
      <w:r>
        <w:rPr>
          <w:noProof/>
        </w:rPr>
        <w:t>Adunarea generală poate înființa grupuri de lucru specializate în cadrul comitetului științific consultativ, care pot conține experți independenți suplimentari pentru sarcini specifice.</w:t>
      </w:r>
    </w:p>
    <w:p>
      <w:pPr>
        <w:ind w:left="851"/>
        <w:rPr>
          <w:noProof/>
        </w:rPr>
      </w:pPr>
      <w:r>
        <w:rPr>
          <w:noProof/>
        </w:rPr>
        <w:t>Consiliul științific consultativ:</w:t>
      </w:r>
    </w:p>
    <w:p>
      <w:pPr>
        <w:pStyle w:val="Point1letter"/>
        <w:numPr>
          <w:ilvl w:val="3"/>
          <w:numId w:val="32"/>
        </w:numPr>
        <w:rPr>
          <w:noProof/>
        </w:rPr>
      </w:pPr>
      <w:r>
        <w:rPr>
          <w:noProof/>
        </w:rPr>
        <w:t>consiliază adunarea generală cu privire la prioritățile și nevoile strategice;</w:t>
      </w:r>
    </w:p>
    <w:p>
      <w:pPr>
        <w:pStyle w:val="Point1letter"/>
        <w:numPr>
          <w:ilvl w:val="3"/>
          <w:numId w:val="32"/>
        </w:numPr>
        <w:rPr>
          <w:noProof/>
        </w:rPr>
      </w:pPr>
      <w:r>
        <w:rPr>
          <w:noProof/>
        </w:rPr>
        <w:t>consiliază din punct de vedere științific și tehnic adunarea generală cu privire la conținutul și la domeniul de aplicare a proiectului de plan anual de activitate al PRIMA;</w:t>
      </w:r>
    </w:p>
    <w:p>
      <w:pPr>
        <w:pStyle w:val="Point1letter"/>
        <w:numPr>
          <w:ilvl w:val="3"/>
          <w:numId w:val="32"/>
        </w:numPr>
        <w:rPr>
          <w:noProof/>
        </w:rPr>
      </w:pPr>
      <w:r>
        <w:rPr>
          <w:noProof/>
        </w:rPr>
        <w:t>revizuiește aspectele științifice și tehnice ale punerii în aplicare a PRIMA și emite un aviz cu privire la raportul său anual;</w:t>
      </w:r>
    </w:p>
    <w:p>
      <w:pPr>
        <w:pStyle w:val="Point1letter"/>
        <w:numPr>
          <w:ilvl w:val="3"/>
          <w:numId w:val="32"/>
        </w:numPr>
        <w:rPr>
          <w:noProof/>
        </w:rPr>
      </w:pPr>
      <w:r>
        <w:rPr>
          <w:noProof/>
        </w:rPr>
        <w:t>dacă este cazul, poate recomanda adunării generale înființarea unor subcomitete, grupuri operative și grupuri de lucru științifice.</w:t>
      </w:r>
    </w:p>
    <w:p>
      <w:pPr>
        <w:pStyle w:val="Titrearticle"/>
        <w:rPr>
          <w:noProof/>
        </w:rPr>
      </w:pPr>
      <w:r>
        <w:rPr>
          <w:noProof/>
        </w:rPr>
        <w:t>Articolul 13</w:t>
      </w:r>
      <w:r>
        <w:rPr>
          <w:noProof/>
        </w:rPr>
        <w:br/>
        <w:t>Comunicarea informațiilor</w:t>
      </w:r>
    </w:p>
    <w:p>
      <w:pPr>
        <w:pStyle w:val="ManualNumPar1"/>
        <w:rPr>
          <w:noProof/>
        </w:rPr>
      </w:pPr>
      <w:r>
        <w:t>1.</w:t>
      </w:r>
      <w:r>
        <w:tab/>
      </w:r>
      <w:r>
        <w:rPr>
          <w:noProof/>
        </w:rPr>
        <w:t>La cererea Comisiei, PRIMA-IS transmite Comisiei toate informațiile necesare pentru pregătirea rapoartelor menționate la articolul 14.</w:t>
      </w:r>
    </w:p>
    <w:p>
      <w:pPr>
        <w:pStyle w:val="ManualNumPar1"/>
        <w:rPr>
          <w:noProof/>
        </w:rPr>
      </w:pPr>
      <w:r>
        <w:t>2.</w:t>
      </w:r>
      <w:r>
        <w:tab/>
      </w:r>
      <w:r>
        <w:rPr>
          <w:noProof/>
        </w:rPr>
        <w:t>Statele participante transmit Comisiei, prin intermediul PRIMA-IS, orice informații solicitate de Parlamentul European, de Consiliu sau de Curtea de Conturi cu privire la gestiunea financiară a PRIMA.</w:t>
      </w:r>
    </w:p>
    <w:p>
      <w:pPr>
        <w:pStyle w:val="ManualNumPar1"/>
        <w:rPr>
          <w:noProof/>
        </w:rPr>
      </w:pPr>
      <w:r>
        <w:t>3.</w:t>
      </w:r>
      <w:r>
        <w:tab/>
      </w:r>
      <w:r>
        <w:rPr>
          <w:noProof/>
        </w:rPr>
        <w:t>Comisia include informațiile menționate la alineatul (2) din prezentul articol în rapoartele menționate la articolul 14.</w:t>
      </w:r>
    </w:p>
    <w:p>
      <w:pPr>
        <w:pStyle w:val="Titrearticle"/>
        <w:rPr>
          <w:noProof/>
        </w:rPr>
      </w:pPr>
      <w:r>
        <w:rPr>
          <w:noProof/>
        </w:rPr>
        <w:t>Articolul 14</w:t>
      </w:r>
      <w:r>
        <w:rPr>
          <w:noProof/>
        </w:rPr>
        <w:br/>
        <w:t>Evaluare</w:t>
      </w:r>
    </w:p>
    <w:p>
      <w:pPr>
        <w:pStyle w:val="ManualNumPar1"/>
        <w:rPr>
          <w:noProof/>
        </w:rPr>
      </w:pPr>
      <w:r>
        <w:t>1.</w:t>
      </w:r>
      <w:r>
        <w:tab/>
      </w:r>
      <w:r>
        <w:rPr>
          <w:noProof/>
        </w:rPr>
        <w:t>Până la 30 iunie 2022, Comisia efectuează o evaluare intermediară a PRIMA. Comisia pregătește un raport de evaluare care include concluziile evaluării și observațiile Comisiei. Comisia transmite raportul respectiv Parlamentului European și Consiliului până la 31 decembrie 2022.</w:t>
      </w:r>
    </w:p>
    <w:p>
      <w:pPr>
        <w:pStyle w:val="ManualNumPar1"/>
        <w:rPr>
          <w:noProof/>
        </w:rPr>
      </w:pPr>
      <w:r>
        <w:t>2.</w:t>
      </w:r>
      <w:r>
        <w:tab/>
      </w:r>
      <w:r>
        <w:rPr>
          <w:noProof/>
        </w:rPr>
        <w:t>Până la 31 decembrie 2028, Comisia efectuează o evaluare finală a PRIMA. Comisia întocmește un raport cu privire la evaluarea respectivă, care include rezultatele evaluării. Comisia transmite raportul respectiv Parlamentului European și Consiliului până la 30 iunie 2029.</w:t>
      </w:r>
    </w:p>
    <w:p>
      <w:pPr>
        <w:pStyle w:val="Titrearticle"/>
        <w:rPr>
          <w:noProof/>
        </w:rPr>
      </w:pPr>
      <w:r>
        <w:rPr>
          <w:noProof/>
        </w:rPr>
        <w:t>Articolul 15</w:t>
      </w:r>
      <w:r>
        <w:rPr>
          <w:noProof/>
        </w:rPr>
        <w:br/>
        <w:t>Intrarea în vigoare</w:t>
      </w:r>
    </w:p>
    <w:p>
      <w:pPr>
        <w:rPr>
          <w:noProof/>
        </w:rPr>
      </w:pPr>
      <w:r>
        <w:rPr>
          <w:noProof/>
        </w:rPr>
        <w:t xml:space="preserve">Prezenta decizie intră în vigoare în a douăzecea zi de la data publicării în </w:t>
      </w:r>
      <w:r>
        <w:rPr>
          <w:i/>
          <w:noProof/>
        </w:rPr>
        <w:t>Jurnalul Oficial al Uniunii Europene</w:t>
      </w:r>
      <w:r>
        <w:rPr>
          <w:noProof/>
        </w:rPr>
        <w:t>.</w:t>
      </w:r>
    </w:p>
    <w:p>
      <w:pPr>
        <w:pStyle w:val="Titrearticle"/>
        <w:rPr>
          <w:noProof/>
        </w:rPr>
      </w:pPr>
      <w:r>
        <w:rPr>
          <w:noProof/>
        </w:rPr>
        <w:t>Articolul 16</w:t>
      </w:r>
      <w:r>
        <w:rPr>
          <w:noProof/>
        </w:rPr>
        <w:br/>
        <w:t xml:space="preserve">Destinatari </w:t>
      </w:r>
    </w:p>
    <w:p>
      <w:pPr>
        <w:rPr>
          <w:noProof/>
        </w:rPr>
      </w:pPr>
      <w:r>
        <w:rPr>
          <w:noProof/>
        </w:rPr>
        <w:t>Prezenta decizie se adresează statelor membre.</w:t>
      </w:r>
    </w:p>
    <w:p>
      <w:pPr>
        <w:pStyle w:val="Fait"/>
        <w:rPr>
          <w:noProof/>
        </w:rPr>
      </w:pPr>
      <w:r>
        <w:rPr>
          <w:noProof/>
        </w:rPr>
        <w:t>Adoptată la Bruxelles,</w:t>
      </w:r>
    </w:p>
    <w:p>
      <w:pPr>
        <w:pStyle w:val="Institutionquisigne"/>
        <w:rPr>
          <w:noProof/>
        </w:rPr>
      </w:pPr>
      <w:r>
        <w:rPr>
          <w:noProof/>
        </w:rPr>
        <w:t>Pentru Parlamentul European</w:t>
      </w:r>
      <w:r>
        <w:rPr>
          <w:noProof/>
        </w:rPr>
        <w:tab/>
        <w:t>Pentru Consiliu</w:t>
      </w:r>
    </w:p>
    <w:p>
      <w:pPr>
        <w:pStyle w:val="Personnequisigne"/>
        <w:rPr>
          <w:i w:val="0"/>
          <w:noProof/>
        </w:rPr>
      </w:pPr>
      <w:r>
        <w:rPr>
          <w:noProof/>
        </w:rPr>
        <w:t>Președintele</w:t>
      </w:r>
      <w:r>
        <w:rPr>
          <w:noProof/>
        </w:rPr>
        <w:tab/>
        <w:t>Președintele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FIȘĂ FINANCIARĂ LEGISLATIVĂ</w:t>
      </w:r>
    </w:p>
    <w:p>
      <w:pPr>
        <w:pStyle w:val="ManualHeading1"/>
        <w:rPr>
          <w:noProof/>
        </w:rPr>
      </w:pPr>
      <w:r>
        <w:rPr>
          <w:noProof/>
        </w:rPr>
        <w:t>1.</w:t>
      </w:r>
      <w:r>
        <w:rPr>
          <w:noProof/>
        </w:rPr>
        <w:tab/>
        <w:t xml:space="preserve">CADRUL PROPUNERII/INIȚIATIVEI </w:t>
      </w:r>
    </w:p>
    <w:p>
      <w:pPr>
        <w:pStyle w:val="ManualHeading2"/>
        <w:rPr>
          <w:b w:val="0"/>
          <w:noProof/>
        </w:rPr>
      </w:pPr>
      <w:r>
        <w:rPr>
          <w:noProof/>
        </w:rPr>
        <w:tab/>
      </w:r>
      <w:r>
        <w:rPr>
          <w:b w:val="0"/>
          <w:noProof/>
        </w:rPr>
        <w:t>1.1.</w:t>
      </w:r>
      <w:r>
        <w:rPr>
          <w:noProof/>
        </w:rPr>
        <w:tab/>
      </w:r>
      <w:r>
        <w:rPr>
          <w:b w:val="0"/>
          <w:noProof/>
        </w:rPr>
        <w:t xml:space="preserve">Denumirea propunerii/inițiativei </w:t>
      </w:r>
    </w:p>
    <w:p>
      <w:pPr>
        <w:pStyle w:val="ManualHeading2"/>
        <w:rPr>
          <w:b w:val="0"/>
          <w:noProof/>
        </w:rPr>
      </w:pPr>
      <w:r>
        <w:rPr>
          <w:noProof/>
        </w:rPr>
        <w:tab/>
      </w:r>
      <w:r>
        <w:rPr>
          <w:b w:val="0"/>
          <w:noProof/>
        </w:rPr>
        <w:t>1.2.</w:t>
      </w:r>
      <w:r>
        <w:rPr>
          <w:noProof/>
        </w:rPr>
        <w:tab/>
      </w:r>
      <w:r>
        <w:rPr>
          <w:b w:val="0"/>
          <w:noProof/>
        </w:rPr>
        <w:t>Domeniul (domeniile) de politică în cauză în structura ABM/ABB</w:t>
      </w:r>
    </w:p>
    <w:p>
      <w:pPr>
        <w:pStyle w:val="ManualHeading2"/>
        <w:rPr>
          <w:b w:val="0"/>
          <w:noProof/>
        </w:rPr>
      </w:pPr>
      <w:r>
        <w:rPr>
          <w:noProof/>
        </w:rPr>
        <w:tab/>
      </w:r>
      <w:r>
        <w:rPr>
          <w:b w:val="0"/>
          <w:noProof/>
        </w:rPr>
        <w:t>1.3.</w:t>
      </w:r>
      <w:r>
        <w:rPr>
          <w:noProof/>
        </w:rPr>
        <w:tab/>
      </w:r>
      <w:r>
        <w:rPr>
          <w:b w:val="0"/>
          <w:noProof/>
        </w:rPr>
        <w:t xml:space="preserve">Tipul propunerii/inițiativei </w:t>
      </w:r>
    </w:p>
    <w:p>
      <w:pPr>
        <w:pStyle w:val="ManualHeading2"/>
        <w:rPr>
          <w:b w:val="0"/>
          <w:noProof/>
        </w:rPr>
      </w:pPr>
      <w:r>
        <w:rPr>
          <w:noProof/>
        </w:rPr>
        <w:tab/>
      </w:r>
      <w:r>
        <w:rPr>
          <w:b w:val="0"/>
          <w:noProof/>
        </w:rPr>
        <w:t>1.4.</w:t>
      </w:r>
      <w:r>
        <w:rPr>
          <w:noProof/>
        </w:rPr>
        <w:tab/>
      </w:r>
      <w:r>
        <w:rPr>
          <w:b w:val="0"/>
          <w:noProof/>
        </w:rPr>
        <w:t xml:space="preserve">Obiectiv(e) </w:t>
      </w:r>
    </w:p>
    <w:p>
      <w:pPr>
        <w:pStyle w:val="ManualHeading2"/>
        <w:rPr>
          <w:b w:val="0"/>
          <w:noProof/>
        </w:rPr>
      </w:pPr>
      <w:r>
        <w:rPr>
          <w:noProof/>
        </w:rPr>
        <w:tab/>
      </w:r>
      <w:r>
        <w:rPr>
          <w:b w:val="0"/>
          <w:noProof/>
        </w:rPr>
        <w:t>1.5.</w:t>
      </w:r>
      <w:r>
        <w:rPr>
          <w:noProof/>
        </w:rPr>
        <w:tab/>
      </w:r>
      <w:r>
        <w:rPr>
          <w:b w:val="0"/>
          <w:noProof/>
        </w:rPr>
        <w:t xml:space="preserve">Motivele propunerii/inițiativei </w:t>
      </w:r>
    </w:p>
    <w:p>
      <w:pPr>
        <w:pStyle w:val="ManualHeading2"/>
        <w:rPr>
          <w:b w:val="0"/>
          <w:noProof/>
        </w:rPr>
      </w:pPr>
      <w:r>
        <w:rPr>
          <w:noProof/>
        </w:rPr>
        <w:tab/>
      </w:r>
      <w:r>
        <w:rPr>
          <w:b w:val="0"/>
          <w:noProof/>
        </w:rPr>
        <w:t>1.6.</w:t>
      </w:r>
      <w:r>
        <w:rPr>
          <w:noProof/>
        </w:rPr>
        <w:tab/>
      </w:r>
      <w:r>
        <w:rPr>
          <w:b w:val="0"/>
          <w:noProof/>
        </w:rPr>
        <w:t xml:space="preserve">Durata și impactul financiar </w:t>
      </w:r>
    </w:p>
    <w:p>
      <w:pPr>
        <w:pStyle w:val="ManualHeading2"/>
        <w:rPr>
          <w:b w:val="0"/>
          <w:noProof/>
        </w:rPr>
      </w:pPr>
      <w:r>
        <w:rPr>
          <w:noProof/>
        </w:rPr>
        <w:tab/>
      </w:r>
      <w:r>
        <w:rPr>
          <w:b w:val="0"/>
          <w:noProof/>
        </w:rPr>
        <w:t>1.7.</w:t>
      </w:r>
      <w:r>
        <w:rPr>
          <w:noProof/>
        </w:rPr>
        <w:tab/>
      </w:r>
      <w:r>
        <w:rPr>
          <w:b w:val="0"/>
          <w:noProof/>
        </w:rPr>
        <w:t xml:space="preserve">Modul (modurile) de gestiune preconizat(e) </w:t>
      </w:r>
    </w:p>
    <w:p>
      <w:pPr>
        <w:pStyle w:val="ManualHeading1"/>
        <w:rPr>
          <w:noProof/>
        </w:rPr>
      </w:pPr>
      <w:r>
        <w:rPr>
          <w:noProof/>
        </w:rPr>
        <w:t>2.</w:t>
      </w:r>
      <w:r>
        <w:rPr>
          <w:noProof/>
        </w:rPr>
        <w:tab/>
        <w:t xml:space="preserve">MĂSURI DE GESTIONARE </w:t>
      </w:r>
    </w:p>
    <w:p>
      <w:pPr>
        <w:pStyle w:val="ManualHeading2"/>
        <w:rPr>
          <w:b w:val="0"/>
          <w:noProof/>
        </w:rPr>
      </w:pPr>
      <w:r>
        <w:rPr>
          <w:noProof/>
        </w:rPr>
        <w:tab/>
      </w:r>
      <w:r>
        <w:rPr>
          <w:b w:val="0"/>
          <w:noProof/>
        </w:rPr>
        <w:t>2.1.</w:t>
      </w:r>
      <w:r>
        <w:rPr>
          <w:noProof/>
        </w:rPr>
        <w:tab/>
      </w:r>
      <w:r>
        <w:rPr>
          <w:b w:val="0"/>
          <w:noProof/>
        </w:rPr>
        <w:t xml:space="preserve">Dispoziții în materie de monitorizare și de raportare </w:t>
      </w:r>
    </w:p>
    <w:p>
      <w:pPr>
        <w:pStyle w:val="ManualHeading2"/>
        <w:rPr>
          <w:b w:val="0"/>
          <w:noProof/>
        </w:rPr>
      </w:pPr>
      <w:r>
        <w:rPr>
          <w:noProof/>
        </w:rPr>
        <w:tab/>
      </w:r>
      <w:r>
        <w:rPr>
          <w:b w:val="0"/>
          <w:noProof/>
        </w:rPr>
        <w:t>2.2.</w:t>
      </w:r>
      <w:r>
        <w:rPr>
          <w:noProof/>
        </w:rPr>
        <w:tab/>
      </w:r>
      <w:r>
        <w:rPr>
          <w:b w:val="0"/>
          <w:noProof/>
        </w:rPr>
        <w:t xml:space="preserve">Sistemul de gestiune și de control </w:t>
      </w:r>
    </w:p>
    <w:p>
      <w:pPr>
        <w:pStyle w:val="ManualHeading2"/>
        <w:rPr>
          <w:b w:val="0"/>
          <w:noProof/>
        </w:rPr>
      </w:pPr>
      <w:r>
        <w:rPr>
          <w:noProof/>
        </w:rPr>
        <w:tab/>
      </w:r>
      <w:r>
        <w:rPr>
          <w:b w:val="0"/>
          <w:noProof/>
        </w:rPr>
        <w:t>2.3.</w:t>
      </w:r>
      <w:r>
        <w:rPr>
          <w:noProof/>
        </w:rPr>
        <w:tab/>
      </w:r>
      <w:r>
        <w:rPr>
          <w:b w:val="0"/>
          <w:noProof/>
        </w:rPr>
        <w:t xml:space="preserve">Măsuri de prevenire a fraudelor și a neregulilor </w:t>
      </w:r>
    </w:p>
    <w:p>
      <w:pPr>
        <w:pStyle w:val="ManualHeading1"/>
        <w:rPr>
          <w:noProof/>
        </w:rPr>
      </w:pPr>
      <w:r>
        <w:rPr>
          <w:noProof/>
        </w:rPr>
        <w:t>3.</w:t>
      </w:r>
      <w:r>
        <w:rPr>
          <w:noProof/>
        </w:rPr>
        <w:tab/>
        <w:t xml:space="preserve">IMPACTUL FINANCIAR ESTIMAT AL PROPUNERII/INIȚIATIVEI </w:t>
      </w:r>
    </w:p>
    <w:p>
      <w:pPr>
        <w:pStyle w:val="ManualHeading2"/>
        <w:rPr>
          <w:b w:val="0"/>
          <w:noProof/>
        </w:rPr>
      </w:pPr>
      <w:r>
        <w:rPr>
          <w:noProof/>
        </w:rPr>
        <w:tab/>
      </w:r>
      <w:r>
        <w:rPr>
          <w:b w:val="0"/>
          <w:noProof/>
        </w:rPr>
        <w:t>3.1.</w:t>
      </w:r>
      <w:r>
        <w:rPr>
          <w:noProof/>
        </w:rPr>
        <w:tab/>
      </w:r>
      <w:r>
        <w:rPr>
          <w:b w:val="0"/>
          <w:noProof/>
        </w:rPr>
        <w:t xml:space="preserve">Rubrica (rubricile) din cadrul financiar multianual și linia (liniile) bugetară (bugetare) de cheltuieli afectată (afectate) </w:t>
      </w:r>
    </w:p>
    <w:p>
      <w:pPr>
        <w:pStyle w:val="ManualHeading2"/>
        <w:rPr>
          <w:noProof/>
        </w:rPr>
      </w:pPr>
      <w:r>
        <w:rPr>
          <w:noProof/>
        </w:rPr>
        <w:tab/>
      </w:r>
      <w:r>
        <w:rPr>
          <w:b w:val="0"/>
          <w:noProof/>
        </w:rPr>
        <w:t>3.2.</w:t>
      </w:r>
      <w:r>
        <w:rPr>
          <w:noProof/>
        </w:rPr>
        <w:tab/>
      </w:r>
      <w:r>
        <w:rPr>
          <w:b w:val="0"/>
          <w:noProof/>
        </w:rPr>
        <w:t>Impactul estimat asupra cheltuielilor</w:t>
      </w:r>
      <w:r>
        <w:rPr>
          <w:noProof/>
        </w:rPr>
        <w:t xml:space="preserve"> </w:t>
      </w:r>
    </w:p>
    <w:p>
      <w:pPr>
        <w:pStyle w:val="ManualHeading3"/>
        <w:rPr>
          <w:noProof/>
        </w:rPr>
      </w:pPr>
      <w:r>
        <w:rPr>
          <w:noProof/>
        </w:rPr>
        <w:tab/>
        <w:t>3.2.1.</w:t>
      </w:r>
      <w:r>
        <w:rPr>
          <w:noProof/>
        </w:rPr>
        <w:tab/>
        <w:t xml:space="preserve">Sinteza impactului estimat asupra cheltuielilor </w:t>
      </w:r>
    </w:p>
    <w:p>
      <w:pPr>
        <w:pStyle w:val="ManualHeading3"/>
        <w:rPr>
          <w:noProof/>
        </w:rPr>
      </w:pPr>
      <w:r>
        <w:rPr>
          <w:noProof/>
        </w:rPr>
        <w:tab/>
        <w:t>3.2.2.</w:t>
      </w:r>
      <w:r>
        <w:rPr>
          <w:noProof/>
        </w:rPr>
        <w:tab/>
        <w:t xml:space="preserve">Impactul estimat asupra creditelor operaționale </w:t>
      </w:r>
    </w:p>
    <w:p>
      <w:pPr>
        <w:pStyle w:val="ManualHeading3"/>
        <w:rPr>
          <w:noProof/>
        </w:rPr>
      </w:pPr>
      <w:r>
        <w:rPr>
          <w:noProof/>
        </w:rPr>
        <w:tab/>
        <w:t>3.2.3.</w:t>
      </w:r>
      <w:r>
        <w:rPr>
          <w:noProof/>
        </w:rPr>
        <w:tab/>
        <w:t>Impactul estimat asupra creditelor cu caracter administrativ</w:t>
      </w:r>
    </w:p>
    <w:p>
      <w:pPr>
        <w:pStyle w:val="ManualHeading3"/>
        <w:rPr>
          <w:noProof/>
        </w:rPr>
      </w:pPr>
      <w:r>
        <w:rPr>
          <w:noProof/>
        </w:rPr>
        <w:tab/>
        <w:t>3.2.4.</w:t>
      </w:r>
      <w:r>
        <w:rPr>
          <w:noProof/>
        </w:rPr>
        <w:tab/>
        <w:t>Compatibilitatea cu actualul cadru financiar multianual</w:t>
      </w:r>
    </w:p>
    <w:p>
      <w:pPr>
        <w:pStyle w:val="ManualHeading3"/>
        <w:rPr>
          <w:noProof/>
        </w:rPr>
      </w:pPr>
      <w:r>
        <w:rPr>
          <w:noProof/>
        </w:rPr>
        <w:tab/>
        <w:t>3.2.5.</w:t>
      </w:r>
      <w:r>
        <w:rPr>
          <w:noProof/>
        </w:rPr>
        <w:tab/>
        <w:t xml:space="preserve">Contribuția terților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Impactul estimat asupra veniturilor</w:t>
      </w:r>
    </w:p>
    <w:p>
      <w:pPr>
        <w:jc w:val="center"/>
        <w:rPr>
          <w:noProof/>
        </w:rPr>
      </w:pPr>
      <w:r>
        <w:rPr>
          <w:b/>
          <w:noProof/>
          <w:u w:val="single"/>
        </w:rPr>
        <w:t>FIȘĂ FINANCIARĂ LEGISLATIVĂ</w:t>
      </w:r>
    </w:p>
    <w:p>
      <w:pPr>
        <w:pStyle w:val="ManualHeading1"/>
        <w:rPr>
          <w:noProof/>
        </w:rPr>
      </w:pPr>
      <w:r>
        <w:t>1.</w:t>
      </w:r>
      <w:r>
        <w:tab/>
      </w:r>
      <w:r>
        <w:rPr>
          <w:noProof/>
        </w:rPr>
        <w:t xml:space="preserve">CADRUL PROPUNERII/INIȚIATIVEI </w:t>
      </w:r>
    </w:p>
    <w:p>
      <w:pPr>
        <w:pStyle w:val="ManualHeading2"/>
        <w:rPr>
          <w:noProof/>
        </w:rPr>
      </w:pPr>
      <w:r>
        <w:t>1.1.</w:t>
      </w:r>
      <w:r>
        <w:tab/>
      </w:r>
      <w:r>
        <w:rPr>
          <w:noProof/>
        </w:rPr>
        <w:t xml:space="preserve">Denumirea propunerii/inițiativei </w:t>
      </w:r>
    </w:p>
    <w:p>
      <w:pPr>
        <w:pStyle w:val="Text1"/>
        <w:pBdr>
          <w:top w:val="single" w:sz="4" w:space="1" w:color="auto"/>
          <w:left w:val="single" w:sz="4" w:space="4" w:color="auto"/>
          <w:bottom w:val="single" w:sz="4" w:space="1" w:color="auto"/>
          <w:right w:val="single" w:sz="4" w:space="4" w:color="auto"/>
        </w:pBdr>
        <w:rPr>
          <w:noProof/>
        </w:rPr>
      </w:pPr>
      <w:r>
        <w:rPr>
          <w:noProof/>
        </w:rPr>
        <w:t>Decizie a Parlamentului European și a Consiliului privind participarea Uniunii Europene la un Parteneriat în domeniul cercetării și inovării în zona mediteraneană (PRIMA) derulat în comun de mai multe state membre.</w:t>
      </w:r>
    </w:p>
    <w:p>
      <w:pPr>
        <w:pStyle w:val="ManualHeading2"/>
        <w:rPr>
          <w:noProof/>
          <w:szCs w:val="24"/>
        </w:rPr>
      </w:pPr>
      <w:r>
        <w:t>1.2.</w:t>
      </w:r>
      <w:r>
        <w:tab/>
      </w:r>
      <w:r>
        <w:rPr>
          <w:noProof/>
        </w:rPr>
        <w:t>Domeniul (domeniile) de politică în cauză în structura ABM/ABB</w:t>
      </w:r>
      <w:r>
        <w:rPr>
          <w:rStyle w:val="FootnoteReference"/>
          <w:noProof/>
        </w:rPr>
        <w:footnoteReference w:id="1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Titlul 08 Cercetare și inovare, Programul-cadru Orizont 2020</w:t>
      </w:r>
    </w:p>
    <w:p>
      <w:pPr>
        <w:pStyle w:val="ManualHeading2"/>
        <w:rPr>
          <w:bCs/>
          <w:noProof/>
          <w:szCs w:val="24"/>
        </w:rPr>
      </w:pPr>
      <w:r>
        <w:t>1.3.</w:t>
      </w:r>
      <w:r>
        <w:tab/>
      </w:r>
      <w:r>
        <w:rPr>
          <w:noProof/>
        </w:rPr>
        <w:t xml:space="preserve">Tipul propunerii/inițiativei </w:t>
      </w:r>
    </w:p>
    <w:p>
      <w:pPr>
        <w:pStyle w:val="Text1"/>
        <w:rPr>
          <w:b/>
          <w:noProof/>
          <w:sz w:val="22"/>
        </w:rPr>
      </w:pPr>
      <w:r>
        <w:rPr>
          <w:noProof/>
        </w:rPr>
        <w:sym w:font="Wingdings" w:char="F078"/>
      </w:r>
      <w:r>
        <w:rPr>
          <w:b/>
          <w:i/>
          <w:noProof/>
          <w:sz w:val="22"/>
        </w:rPr>
        <w:t xml:space="preserve"> </w:t>
      </w:r>
      <w:r>
        <w:rPr>
          <w:noProof/>
        </w:rPr>
        <w:t xml:space="preserve">Propunerea/inițiativa se referă la </w:t>
      </w:r>
      <w:r>
        <w:rPr>
          <w:b/>
          <w:noProof/>
        </w:rPr>
        <w:t>o acțiune nouă</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Propunerea/inițiativa se referă la </w:t>
      </w:r>
      <w:r>
        <w:rPr>
          <w:b/>
          <w:noProof/>
        </w:rPr>
        <w:t>o acțiune nouă ca urmare a unui proiect-pilot/a unei acțiuni pregătitoare</w:t>
      </w:r>
      <w:r>
        <w:rPr>
          <w:rStyle w:val="FootnoteReference"/>
          <w:b/>
          <w:noProof/>
        </w:rPr>
        <w:footnoteReference w:id="1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Propunerea/inițiativa se referă la </w:t>
      </w:r>
      <w:r>
        <w:rPr>
          <w:b/>
          <w:noProof/>
        </w:rPr>
        <w:t>prelungirea unei acțiuni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Propunerea/inițiativa se referă la </w:t>
      </w:r>
      <w:r>
        <w:rPr>
          <w:b/>
          <w:noProof/>
        </w:rPr>
        <w:t>o acțiune reorientată către o acțiune nouă</w:t>
      </w:r>
      <w:r>
        <w:rPr>
          <w:noProof/>
        </w:rPr>
        <w:t xml:space="preserve"> </w:t>
      </w:r>
    </w:p>
    <w:p>
      <w:pPr>
        <w:pStyle w:val="ManualHeading2"/>
        <w:rPr>
          <w:bCs/>
          <w:noProof/>
          <w:szCs w:val="24"/>
        </w:rPr>
      </w:pPr>
      <w:r>
        <w:t>1.4.</w:t>
      </w:r>
      <w:r>
        <w:tab/>
      </w:r>
      <w:r>
        <w:rPr>
          <w:noProof/>
        </w:rPr>
        <w:t>Obiectiv(e)</w:t>
      </w:r>
    </w:p>
    <w:p>
      <w:pPr>
        <w:pStyle w:val="ManualHeading3"/>
        <w:rPr>
          <w:noProof/>
        </w:rPr>
      </w:pPr>
      <w:r>
        <w:t>1.4.1.</w:t>
      </w:r>
      <w:r>
        <w:tab/>
      </w:r>
      <w:r>
        <w:rPr>
          <w:noProof/>
        </w:rPr>
        <w:t xml:space="preserve">Obiectiv(e) strategic(e) multianual(e) al(e) Comisiei vizat(e) de propunere/inițiativă </w:t>
      </w:r>
    </w:p>
    <w:p>
      <w:pPr>
        <w:pStyle w:val="Text1"/>
        <w:pBdr>
          <w:top w:val="single" w:sz="4" w:space="1" w:color="auto"/>
          <w:left w:val="single" w:sz="4" w:space="4" w:color="auto"/>
          <w:bottom w:val="single" w:sz="4" w:space="1" w:color="auto"/>
          <w:right w:val="single" w:sz="4" w:space="4" w:color="auto"/>
        </w:pBdr>
        <w:rPr>
          <w:noProof/>
        </w:rPr>
      </w:pPr>
      <w:r>
        <w:rPr>
          <w:noProof/>
        </w:rPr>
        <w:t>Obiectivul strategic al programului comun PRIMA este de a dezvolta soluții inovatoare comune, experimentate și demonstrate pe deplin, în domeniul sistemelor de alimentare cu apă și de aprovizionare cu alimente în zona mediteraneană, pentru a le face mai rezistente la schimbările climatice, mai eficiente, mai rentabile și mai sustenabile și pentru a contribui astfel la soluționarea problemelor mai stringente din domeniul alimentației, al sănătății, al bunăstării și al migrației.</w:t>
      </w:r>
    </w:p>
    <w:p>
      <w:pPr>
        <w:pStyle w:val="ManualHeading3"/>
        <w:rPr>
          <w:bCs/>
          <w:noProof/>
          <w:szCs w:val="24"/>
        </w:rPr>
      </w:pPr>
      <w:r>
        <w:t>1.4.2.</w:t>
      </w:r>
      <w:r>
        <w:tab/>
      </w:r>
      <w:r>
        <w:rPr>
          <w:noProof/>
        </w:rPr>
        <w:t xml:space="preserve">Obiectiv(e) specific(e) și activitatea (activitățile) ABM/ABB în cauză </w:t>
      </w:r>
    </w:p>
    <w:p>
      <w:pPr>
        <w:pStyle w:val="Text1"/>
        <w:pBdr>
          <w:top w:val="single" w:sz="4" w:space="1" w:color="auto"/>
          <w:left w:val="single" w:sz="4" w:space="4" w:color="auto"/>
          <w:bottom w:val="single" w:sz="4" w:space="1" w:color="auto"/>
          <w:right w:val="single" w:sz="4" w:space="4" w:color="auto"/>
        </w:pBdr>
        <w:rPr>
          <w:noProof/>
        </w:rPr>
      </w:pPr>
      <w:r>
        <w:rPr>
          <w:noProof/>
        </w:rPr>
        <w:t>Obiectivul strategic de mai sus necesită un cadru durabil pentru cercetare și inovare, care se traduce în mod concret în următoarele obiective specifice:</w:t>
      </w:r>
    </w:p>
    <w:p>
      <w:pPr>
        <w:pStyle w:val="Text1"/>
        <w:pBdr>
          <w:top w:val="single" w:sz="4" w:space="1" w:color="auto"/>
          <w:left w:val="single" w:sz="4" w:space="4" w:color="auto"/>
          <w:bottom w:val="single" w:sz="4" w:space="1" w:color="auto"/>
          <w:right w:val="single" w:sz="4" w:space="4" w:color="auto"/>
        </w:pBdr>
        <w:rPr>
          <w:noProof/>
        </w:rPr>
      </w:pPr>
      <w:r>
        <w:rPr>
          <w:noProof/>
        </w:rPr>
        <w:t>• Formularea unei agende strategice comune de cercetare și inovare stabilă și pe termen lung în domeniul sistemelor de alimentare cu apă și de aprovizionare cu alimente;</w:t>
      </w:r>
    </w:p>
    <w:p>
      <w:pPr>
        <w:pStyle w:val="Text1"/>
        <w:pBdr>
          <w:top w:val="single" w:sz="4" w:space="1" w:color="auto"/>
          <w:left w:val="single" w:sz="4" w:space="4" w:color="auto"/>
          <w:bottom w:val="single" w:sz="4" w:space="1" w:color="auto"/>
          <w:right w:val="single" w:sz="4" w:space="4" w:color="auto"/>
        </w:pBdr>
        <w:rPr>
          <w:noProof/>
        </w:rPr>
      </w:pPr>
      <w:r>
        <w:rPr>
          <w:noProof/>
        </w:rPr>
        <w:t>• Orientarea tuturor programelor naționale de cercetare și inovare spre punerea în aplicare a agendei strategice de cercetare și inovare;</w:t>
      </w:r>
    </w:p>
    <w:p>
      <w:pPr>
        <w:pStyle w:val="Text1"/>
        <w:pBdr>
          <w:top w:val="single" w:sz="4" w:space="1" w:color="auto"/>
          <w:left w:val="single" w:sz="4" w:space="4" w:color="auto"/>
          <w:bottom w:val="single" w:sz="4" w:space="1" w:color="auto"/>
          <w:right w:val="single" w:sz="4" w:space="4" w:color="auto"/>
        </w:pBdr>
        <w:rPr>
          <w:noProof/>
        </w:rPr>
      </w:pPr>
      <w:r>
        <w:rPr>
          <w:noProof/>
        </w:rPr>
        <w:t>• Implicarea structurală a tuturor actorilor relevanți din domeniul cercetării și inovării (din sectorul public și privat) în punerea în aplicare a agendei strategice de cercetare, prin punerea în comun a cunoștințelor și a resurselor financiare pentru a se atinge masa critică necesară;</w:t>
      </w:r>
    </w:p>
    <w:p>
      <w:pPr>
        <w:pStyle w:val="Text1"/>
        <w:pBdr>
          <w:top w:val="single" w:sz="4" w:space="1" w:color="auto"/>
          <w:left w:val="single" w:sz="4" w:space="4" w:color="auto"/>
          <w:bottom w:val="single" w:sz="4" w:space="1" w:color="auto"/>
          <w:right w:val="single" w:sz="4" w:space="4" w:color="auto"/>
        </w:pBdr>
        <w:rPr>
          <w:noProof/>
        </w:rPr>
      </w:pPr>
      <w:r>
        <w:rPr>
          <w:noProof/>
        </w:rPr>
        <w:t>• Consolidarea capacităților de finanțare și de punere în aplicare a inovării și cercetării ale tuturor actorilor implicați.</w:t>
      </w:r>
    </w:p>
    <w:p>
      <w:pPr>
        <w:pStyle w:val="ManualHeading3"/>
        <w:rPr>
          <w:bCs/>
          <w:noProof/>
          <w:szCs w:val="24"/>
        </w:rPr>
      </w:pPr>
      <w:r>
        <w:rPr>
          <w:noProof/>
        </w:rPr>
        <w:br w:type="page"/>
      </w:r>
      <w:r>
        <w:t>1.4.3.</w:t>
      </w:r>
      <w:r>
        <w:tab/>
      </w:r>
      <w:r>
        <w:rPr>
          <w:noProof/>
        </w:rPr>
        <w:t>Rezultatul (rezultatele) și impactul preconizate</w:t>
      </w:r>
    </w:p>
    <w:p>
      <w:pPr>
        <w:pStyle w:val="Text1"/>
        <w:rPr>
          <w:i/>
          <w:noProof/>
          <w:sz w:val="20"/>
        </w:rPr>
      </w:pPr>
      <w:r>
        <w:rPr>
          <w:i/>
          <w:noProof/>
          <w:sz w:val="20"/>
        </w:rPr>
        <w:t>A se preciza efectele pe care propunerea/inițiativa ar trebui să le aibă asupra beneficiarilor vizați/ grupurilor vizate.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Formularea unei agende strategice comune de cercetare și inovare stabilă și pe termen lung în domeniul sistemelor de alimentare cu apă și de aprovizionare cu alimente; având ca rezultat progrese semnificative în direcția atingerii obiectivelor specifice de mai sus. Efecte suplimentare precum atragerea de investiții private datorită angajamentului instituțional previzibil pe termen lung; promovarea legăturilor științifice și diplomatice între participanți (diplomație prin știință); consolidarea acordurilor bilaterale în materie de știință și tehnologie între UE și țări individuale este, de asemenea, preconizată. </w:t>
      </w:r>
    </w:p>
    <w:p>
      <w:pPr>
        <w:pStyle w:val="ManualHeading3"/>
        <w:rPr>
          <w:bCs/>
          <w:noProof/>
          <w:szCs w:val="24"/>
        </w:rPr>
      </w:pPr>
      <w:r>
        <w:t>1.4.4.</w:t>
      </w:r>
      <w:r>
        <w:tab/>
      </w:r>
      <w:r>
        <w:rPr>
          <w:noProof/>
        </w:rPr>
        <w:t xml:space="preserve">Indicatori ai rezultatelor și ai impactului </w:t>
      </w:r>
    </w:p>
    <w:p>
      <w:pPr>
        <w:pStyle w:val="Text1"/>
        <w:rPr>
          <w:i/>
          <w:noProof/>
          <w:sz w:val="20"/>
        </w:rPr>
      </w:pPr>
      <w:r>
        <w:rPr>
          <w:i/>
          <w:noProof/>
          <w:sz w:val="20"/>
        </w:rPr>
        <w:t>A se preciza indicatorii care permit monitorizarea punerii în aplicare a propunerii/inițiativei.</w:t>
      </w:r>
    </w:p>
    <w:p>
      <w:pPr>
        <w:pStyle w:val="Text1"/>
        <w:pBdr>
          <w:top w:val="single" w:sz="4" w:space="1" w:color="auto"/>
          <w:left w:val="single" w:sz="4" w:space="4" w:color="auto"/>
          <w:bottom w:val="single" w:sz="4" w:space="1" w:color="auto"/>
          <w:right w:val="single" w:sz="4" w:space="4" w:color="auto"/>
        </w:pBdr>
        <w:ind w:left="851"/>
        <w:rPr>
          <w:noProof/>
        </w:rPr>
      </w:pPr>
      <w:r>
        <w:rPr>
          <w:noProof/>
        </w:rPr>
        <w:t>Progresul PRIMA va fi măsurat după cum urmează:</w:t>
      </w:r>
    </w:p>
    <w:p>
      <w:pPr>
        <w:pStyle w:val="Text1"/>
        <w:pBdr>
          <w:top w:val="single" w:sz="4" w:space="1" w:color="auto"/>
          <w:left w:val="single" w:sz="4" w:space="4" w:color="auto"/>
          <w:bottom w:val="single" w:sz="4" w:space="1" w:color="auto"/>
          <w:right w:val="single" w:sz="4" w:space="4" w:color="auto"/>
        </w:pBdr>
        <w:ind w:left="851"/>
        <w:rPr>
          <w:noProof/>
        </w:rPr>
      </w:pPr>
      <w:r>
        <w:rPr>
          <w:noProof/>
        </w:rPr>
        <w:t>1. Prin intermediul unor indicatori de punere în aplicare, și anume indicatori de realizare și de resurse, pentru a evalua dezvoltarea pe termen mediu a activităților PRIMA:</w:t>
      </w:r>
    </w:p>
    <w:p>
      <w:pPr>
        <w:pStyle w:val="Text1"/>
        <w:pBdr>
          <w:top w:val="single" w:sz="4" w:space="1" w:color="auto"/>
          <w:left w:val="single" w:sz="4" w:space="4" w:color="auto"/>
          <w:bottom w:val="single" w:sz="4" w:space="1" w:color="auto"/>
          <w:right w:val="single" w:sz="4" w:space="4" w:color="auto"/>
        </w:pBdr>
        <w:ind w:left="851"/>
        <w:rPr>
          <w:noProof/>
        </w:rPr>
      </w:pPr>
      <w:r>
        <w:rPr>
          <w:noProof/>
        </w:rPr>
        <w:t>a) Indicatori de realizare:</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Programe pilot și activități demonstrative pe scară largă</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Priorități naționale de cercetare (finanțare) adaptate ca rezultat și prioritățile (C&amp;I) agendei strategice de cercetare și inovare (SRIA)</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Alinierea programelor naționale de finanțare a C&amp;I</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Strategii de țară noi sau actualizate care reflectă impactul inițiativei</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Beneficii în materie de eficiență prin punerea în comun a resurselor. Ponderea investițiilor publice ale statelor participante. Volumul și cota de cofinanțare din partea UE și a țărilor terțe mediteraneene. Cheltuieli de funcționare. Durata procedurilor de acordare a granturilor. Durata procedurilor de plată</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Finanțarea alocată prin intermediul unor cereri de propuneri transnaționale comune sau prin intermediul activităților finanțate fără legătură cu proiectul</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Creșterea cotei de modele de gestionare sustenabilă a sistemelor de alimentare cu apă și de aprovizionare cu alimente puse în aplicare în zona mediteraneană</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Creșterea cotei de noi strategii puse în aplicare pentru îmbunătățirea eficienței sistemelor de alimentare cu apă și de aprovizionare cu alimente și reducerea deșeurilor, dezvoltate pentru zona mediteraneană</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Noi modele de afaceri orientate spre calitatea apei și a alimentelor și strategii adoptate la nivel național și regional</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Extinderea echipelor naționale implicate în proiecte de C&amp;I privind îmbunătățirea eficienței în gestionarea sistemelor de alimentare cu apă și de aprovizionare cu alimente</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Numărul de țări în care sunt puse în aplicare soluții de economisire a apei</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Numărul de cereri de propuneri tranzitorii pe an care vizează sistemele de alimentare cu apă și de aprovizionare cu alimente</w:t>
      </w:r>
    </w:p>
    <w:p>
      <w:pPr>
        <w:pStyle w:val="Text1"/>
        <w:pBdr>
          <w:top w:val="single" w:sz="4" w:space="1" w:color="auto"/>
          <w:left w:val="single" w:sz="4" w:space="4" w:color="auto"/>
          <w:bottom w:val="single" w:sz="4" w:space="1" w:color="auto"/>
          <w:right w:val="single" w:sz="4" w:space="4" w:color="auto"/>
        </w:pBdr>
        <w:ind w:left="851"/>
        <w:rPr>
          <w:noProof/>
        </w:rPr>
      </w:pPr>
      <w:r>
        <w:rPr>
          <w:noProof/>
        </w:rPr>
        <w:t>b) Indicatori de resurse:</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Gradul de participare a statelor participante la reuniunile Consiliului de administrație</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Alte țări care participă la inițiativă</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Țările care renunță la calitatea de state participante</w:t>
      </w:r>
    </w:p>
    <w:p>
      <w:pPr>
        <w:pStyle w:val="Text1"/>
        <w:pBdr>
          <w:top w:val="single" w:sz="4" w:space="1" w:color="auto"/>
          <w:left w:val="single" w:sz="4" w:space="4" w:color="auto"/>
          <w:right w:val="single" w:sz="4" w:space="4" w:color="auto"/>
        </w:pBdr>
        <w:ind w:left="851" w:firstLine="283"/>
        <w:rPr>
          <w:noProof/>
        </w:rPr>
      </w:pPr>
      <w:r>
        <w:rPr>
          <w:noProof/>
        </w:rPr>
        <w:t>• Angajamentul financiar efectiv în natură al statelor participante</w:t>
      </w:r>
    </w:p>
    <w:p>
      <w:pPr>
        <w:pStyle w:val="Text1"/>
        <w:pBdr>
          <w:top w:val="single" w:sz="4" w:space="1" w:color="auto"/>
          <w:left w:val="single" w:sz="4" w:space="4" w:color="auto"/>
          <w:right w:val="single" w:sz="4" w:space="4" w:color="auto"/>
        </w:pBdr>
        <w:ind w:left="851" w:firstLine="283"/>
        <w:rPr>
          <w:noProof/>
        </w:rPr>
      </w:pPr>
      <w:r>
        <w:rPr>
          <w:noProof/>
        </w:rPr>
        <w:t>• Progresele privind actualizarea agendei strategice de cercetare și inovare (SRIA)</w:t>
      </w:r>
    </w:p>
    <w:p>
      <w:pPr>
        <w:pStyle w:val="Text1"/>
        <w:pBdr>
          <w:top w:val="single" w:sz="4" w:space="1" w:color="auto"/>
          <w:left w:val="single" w:sz="4" w:space="4" w:color="auto"/>
          <w:right w:val="single" w:sz="4" w:space="4" w:color="auto"/>
        </w:pBdr>
        <w:ind w:left="851" w:firstLine="283"/>
        <w:rPr>
          <w:noProof/>
        </w:rPr>
      </w:pPr>
      <w:r>
        <w:rPr>
          <w:noProof/>
        </w:rPr>
        <w:t>• Participarea în condiții de egalitate a tuturor țărilor terțe</w:t>
      </w:r>
    </w:p>
    <w:p>
      <w:pPr>
        <w:pStyle w:val="Text1"/>
        <w:pBdr>
          <w:left w:val="single" w:sz="4" w:space="4" w:color="auto"/>
          <w:bottom w:val="single" w:sz="4" w:space="1" w:color="auto"/>
          <w:right w:val="single" w:sz="4" w:space="4" w:color="auto"/>
        </w:pBdr>
        <w:rPr>
          <w:noProof/>
        </w:rPr>
      </w:pPr>
      <w:r>
        <w:rPr>
          <w:noProof/>
        </w:rPr>
        <w:t>2. Prin intermediul unor indicatori specifici, pe baza cadrului obiectivelor de dezvoltare durabilă (ODD) și cu axare în principal, dar nu exclusiv, asupra securității alimentare (ODD # 2) și asupra gestionării sustenabile a apei (ODD # 6). Cei mai importanți indicatori și legătura acestora cu obiectivele operaționale sunt:</w:t>
      </w:r>
    </w:p>
    <w:p>
      <w:pPr>
        <w:pStyle w:val="Text1"/>
        <w:pBdr>
          <w:left w:val="single" w:sz="4" w:space="4" w:color="auto"/>
          <w:bottom w:val="single" w:sz="4" w:space="1" w:color="auto"/>
          <w:right w:val="single" w:sz="4" w:space="4" w:color="auto"/>
        </w:pBdr>
        <w:spacing w:before="0" w:after="0"/>
        <w:rPr>
          <w:noProof/>
        </w:rPr>
      </w:pPr>
      <w:r>
        <w:rPr>
          <w:noProof/>
        </w:rPr>
        <w:t xml:space="preserve">• Indicele multidimensional al sărăciei </w:t>
      </w:r>
    </w:p>
    <w:p>
      <w:pPr>
        <w:pStyle w:val="Text1"/>
        <w:pBdr>
          <w:left w:val="single" w:sz="4" w:space="4" w:color="auto"/>
          <w:bottom w:val="single" w:sz="4" w:space="1" w:color="auto"/>
          <w:right w:val="single" w:sz="4" w:space="4" w:color="auto"/>
        </w:pBdr>
        <w:spacing w:before="0" w:after="0"/>
        <w:ind w:left="1134" w:hanging="284"/>
        <w:rPr>
          <w:noProof/>
        </w:rPr>
      </w:pPr>
      <w:r>
        <w:rPr>
          <w:noProof/>
        </w:rPr>
        <w:sym w:font="Wingdings" w:char="F0E0"/>
      </w:r>
      <w:r>
        <w:rPr>
          <w:noProof/>
        </w:rPr>
        <w:t xml:space="preserve"> Obiectivul 1 (agricultură inteligentă și sustenabilă, resurse naturale, creșterea producției) </w:t>
      </w:r>
    </w:p>
    <w:p>
      <w:pPr>
        <w:pStyle w:val="Text1"/>
        <w:pBdr>
          <w:left w:val="single" w:sz="4" w:space="4" w:color="auto"/>
          <w:bottom w:val="single" w:sz="4" w:space="1" w:color="auto"/>
          <w:right w:val="single" w:sz="4" w:space="4" w:color="auto"/>
        </w:pBdr>
        <w:spacing w:before="0" w:after="0"/>
        <w:ind w:left="1134" w:hanging="284"/>
        <w:rPr>
          <w:noProof/>
        </w:rPr>
      </w:pPr>
      <w:r>
        <w:rPr>
          <w:noProof/>
        </w:rPr>
        <w:sym w:font="Wingdings" w:char="F0E0"/>
      </w:r>
      <w:r>
        <w:rPr>
          <w:noProof/>
        </w:rPr>
        <w:t xml:space="preserve"> Obiectivul 4 (soluții pentru eficiența lanțului de aprovizionare cu alimente și cu apă, reducerea pierderilor și a deșeurilor)</w:t>
      </w:r>
    </w:p>
    <w:p>
      <w:pPr>
        <w:pStyle w:val="Text1"/>
        <w:pBdr>
          <w:left w:val="single" w:sz="4" w:space="4" w:color="auto"/>
          <w:bottom w:val="single" w:sz="4" w:space="1" w:color="auto"/>
          <w:right w:val="single" w:sz="4" w:space="4" w:color="auto"/>
        </w:pBdr>
        <w:spacing w:before="0" w:after="0"/>
        <w:ind w:left="1134" w:hanging="284"/>
        <w:rPr>
          <w:noProof/>
        </w:rPr>
      </w:pPr>
      <w:r>
        <w:rPr>
          <w:noProof/>
        </w:rPr>
        <w:sym w:font="Wingdings" w:char="F0E0"/>
      </w:r>
      <w:r>
        <w:rPr>
          <w:noProof/>
        </w:rPr>
        <w:t xml:space="preserve"> Obiectivul 5 (reducerea dăunătorilor și a agenților patogeni în agricultură, sănătate umană)</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Excesul de greutate al populației (%)</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xml:space="preserve"> Obiectivul 3 (soluții pentru industria agroalimentară, patrimoniul nutrițional mediteranean)</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Utilizarea terenului (%)</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xml:space="preserve"> Obiectivul 7 (îmbunătățirea sustenabilității terenurilor și a apei în bazinele hidrografice semiaride)</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Emisiile de gaze cu efect de seră (totale și AFOLU – t CO</w:t>
      </w:r>
      <w:r>
        <w:rPr>
          <w:noProof/>
          <w:vertAlign w:val="superscript"/>
        </w:rPr>
        <w:t>2</w:t>
      </w:r>
      <w:r>
        <w:rPr>
          <w:noProof/>
        </w:rPr>
        <w:t>e)</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xml:space="preserve"> Obiectivul 1</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Producția de cereale (kg/ha)</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xml:space="preserve"> Obiectivul 1</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Valoarea adăugată în sectorul agricol (EUR/lucrător)</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xml:space="preserve"> Obiectivul 6 (modele inovatoare în sectorul agroalimentar, noi locuri de muncă, creștere economică)</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Consumul de îngrășăminte (kg/ha de teren arabil)</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xml:space="preserve"> Obiectivul 1</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Productivitatea hidrică a culturilor (kg/m3)</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xml:space="preserve"> Obiectivul 2 (soluții de economisire a apei în agricultură)</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Procentul total de apă utilizată</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xml:space="preserve"> Obiectivul 7</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Populația care utilizează serviciile din sectorul apei gestionate în condiții de siguranță (rural, %)</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xml:space="preserve"> Obiectivul 8 (noi modele de guvernanță în gestionarea apei)</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xml:space="preserve">• Populația care utilizează servicii de salubritate gestionate în condiții de siguranță (rural, %) </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xml:space="preserve"> Obiectivul 8</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xml:space="preserve">• Cantitatea de reziduuri agricole folosite în scopuri energetice (t) </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xml:space="preserve"> Obiectivul 4</w:t>
      </w:r>
    </w:p>
    <w:p>
      <w:pPr>
        <w:pStyle w:val="ManualHeading2"/>
        <w:rPr>
          <w:bCs/>
          <w:noProof/>
          <w:szCs w:val="24"/>
        </w:rPr>
      </w:pPr>
      <w:r>
        <w:t>1.5.</w:t>
      </w:r>
      <w:r>
        <w:tab/>
      </w:r>
      <w:r>
        <w:rPr>
          <w:noProof/>
        </w:rPr>
        <w:t>Motivele propunerii/inițiativei</w:t>
      </w:r>
    </w:p>
    <w:p>
      <w:pPr>
        <w:pStyle w:val="ManualHeading3"/>
        <w:rPr>
          <w:noProof/>
        </w:rPr>
      </w:pPr>
      <w:r>
        <w:t>1.5.1.</w:t>
      </w:r>
      <w:r>
        <w:tab/>
      </w:r>
      <w:r>
        <w:rPr>
          <w:noProof/>
        </w:rPr>
        <w:t xml:space="preserve">Cerință (cerințe) de îndeplinit pe termen scurt sau lung </w:t>
      </w:r>
    </w:p>
    <w:p>
      <w:pPr>
        <w:pStyle w:val="Text1"/>
        <w:pBdr>
          <w:top w:val="single" w:sz="4" w:space="1" w:color="auto"/>
          <w:left w:val="single" w:sz="4" w:space="4" w:color="auto"/>
          <w:bottom w:val="single" w:sz="4" w:space="1" w:color="auto"/>
          <w:right w:val="single" w:sz="4" w:space="4" w:color="auto"/>
        </w:pBdr>
        <w:rPr>
          <w:noProof/>
        </w:rPr>
      </w:pPr>
      <w:r>
        <w:rPr>
          <w:noProof/>
        </w:rPr>
        <w:t>PRIMA va combina resursele UE și naționale în vederea dezvoltării, într-un mod structurat, a unui cadru sustenabil pentru cercetare și inovare în domeniul sistemelor de alimentare cu apă și de aprovizionare cu alimente în zona mediteraneană.</w:t>
      </w:r>
    </w:p>
    <w:p>
      <w:pPr>
        <w:pStyle w:val="Text1"/>
        <w:pBdr>
          <w:top w:val="single" w:sz="4" w:space="1" w:color="auto"/>
          <w:left w:val="single" w:sz="4" w:space="4" w:color="auto"/>
          <w:bottom w:val="single" w:sz="4" w:space="1" w:color="auto"/>
          <w:right w:val="single" w:sz="4" w:space="4" w:color="auto"/>
        </w:pBdr>
        <w:rPr>
          <w:noProof/>
        </w:rPr>
      </w:pPr>
      <w:r>
        <w:rPr>
          <w:noProof/>
        </w:rPr>
        <w:t>Pentru mai multe informații, vă rugăm să consultați raportul de evaluare a impactului PRIMA, care însoțește propunerea legislativă.</w:t>
      </w:r>
    </w:p>
    <w:p>
      <w:pPr>
        <w:pStyle w:val="ManualHeading3"/>
        <w:rPr>
          <w:bCs/>
          <w:noProof/>
          <w:szCs w:val="24"/>
        </w:rPr>
      </w:pPr>
      <w:r>
        <w:t>1.5.2.</w:t>
      </w:r>
      <w:r>
        <w:tab/>
      </w:r>
      <w:r>
        <w:rPr>
          <w:noProof/>
        </w:rPr>
        <w:t>Valoarea adăugată a implicării UE</w:t>
      </w:r>
    </w:p>
    <w:p>
      <w:pPr>
        <w:pStyle w:val="Text1"/>
        <w:pBdr>
          <w:top w:val="single" w:sz="4" w:space="1" w:color="auto"/>
          <w:left w:val="single" w:sz="4" w:space="4" w:color="auto"/>
          <w:bottom w:val="single" w:sz="4" w:space="1" w:color="auto"/>
          <w:right w:val="single" w:sz="4" w:space="4" w:color="auto"/>
        </w:pBdr>
        <w:rPr>
          <w:noProof/>
        </w:rPr>
      </w:pPr>
      <w:r>
        <w:rPr>
          <w:noProof/>
        </w:rPr>
        <w:t>Inițiativa este în conformitate cu noul cadru de parteneriat cu țările terțe bazat pe Agenda europeană privind migrația, întrucât abordează unele dintre cauzele profunde ale migrației; în mod clar, ea este situată la intersecția dintre politicile privind cercetarea, schimbările climatice, mediul și politicile agricole; de asemenea, ea exemplifică noul model de cooperare pentru dezvoltare promovat de noul cadru de parteneriat, în măsura în care implică investitori privați, mobilizează resurse bugetare limitate și se concentrează asupra IMM-urilor și asupra unei infrastructuri sustenabile.</w:t>
      </w:r>
    </w:p>
    <w:p>
      <w:pPr>
        <w:pStyle w:val="Text1"/>
        <w:pBdr>
          <w:top w:val="single" w:sz="4" w:space="1" w:color="auto"/>
          <w:left w:val="single" w:sz="4" w:space="4" w:color="auto"/>
          <w:bottom w:val="single" w:sz="4" w:space="1" w:color="auto"/>
          <w:right w:val="single" w:sz="4" w:space="4" w:color="auto"/>
        </w:pBdr>
        <w:rPr>
          <w:noProof/>
        </w:rPr>
      </w:pPr>
      <w:r>
        <w:rPr>
          <w:noProof/>
        </w:rPr>
        <w:t>Numai o acțiune la nivelul UE poate face ca un program bine coordonat și integrat să aibă scara, domeniul de aplicare și masa critică necesare pentru a realiza obiectivele specifice și generale. Acțiunea la nivelul UE se caracterizează printr-un efect de pârghie puternic, întrucât mobilizează investiții private și publice suplimentare semnificative. De asemenea, ea generează impacturi care depășesc politicile și soluțiile în materie de C&amp;I, susținând astfel politicile și eforturile externe ale UE de a soluționa cauzele profunde ale migrației. De asemenea, implicarea UE în PRIMA poate consolida vizibilitatea și responsabilitatea globală a Europei, în spiritul politicii europene de vecinătate, care încurajează diferențierea și responsabilitatea reciprocă sporită a partenerilor din vecinătate.</w:t>
      </w:r>
    </w:p>
    <w:p>
      <w:pPr>
        <w:pStyle w:val="ManualHeading3"/>
        <w:rPr>
          <w:bCs/>
          <w:noProof/>
          <w:szCs w:val="24"/>
        </w:rPr>
      </w:pPr>
      <w:r>
        <w:t>1.5.3.</w:t>
      </w:r>
      <w:r>
        <w:tab/>
      </w:r>
      <w:r>
        <w:rPr>
          <w:noProof/>
        </w:rPr>
        <w:t>Învățăminte desprinse din experiențe anterioare similare</w:t>
      </w:r>
    </w:p>
    <w:p>
      <w:pPr>
        <w:pStyle w:val="Text1"/>
        <w:pBdr>
          <w:top w:val="single" w:sz="4" w:space="1" w:color="auto"/>
          <w:left w:val="single" w:sz="4" w:space="4" w:color="auto"/>
          <w:bottom w:val="single" w:sz="4" w:space="1" w:color="auto"/>
          <w:right w:val="single" w:sz="4" w:space="4" w:color="auto"/>
        </w:pBdr>
        <w:rPr>
          <w:noProof/>
        </w:rPr>
      </w:pPr>
      <w:r>
        <w:rPr>
          <w:noProof/>
        </w:rPr>
        <w:t>PRIMA este conceput să funcționeze ca o inițiativă în temeiul articolului 185, și anume o programare comună multianuală întreprinsă de către statele participante (SP), cu participarea UE. Experiența dobândită în cadrul inițiativelor anterioare și al inițiativelor în curs de desfășurare de la PC6 până la Orizont 2020 indică efecte pozitive, în special cu privire la:</w:t>
      </w:r>
    </w:p>
    <w:p>
      <w:pPr>
        <w:pStyle w:val="Text1"/>
        <w:pBdr>
          <w:top w:val="single" w:sz="4" w:space="1" w:color="auto"/>
          <w:left w:val="single" w:sz="4" w:space="4" w:color="auto"/>
          <w:bottom w:val="single" w:sz="4" w:space="1" w:color="auto"/>
          <w:right w:val="single" w:sz="4" w:space="4" w:color="auto"/>
        </w:pBdr>
        <w:rPr>
          <w:noProof/>
        </w:rPr>
      </w:pPr>
      <w:r>
        <w:rPr>
          <w:noProof/>
        </w:rPr>
        <w:t>- integrarea financiară, administrativă și științifică pe termen lung a eforturilor naționale și europene vizând provocările comune, prin angajamente financiare și politice anticipate clare, fără a fi necesară instituționalizarea eforturilor comune sau crearea unor structuri mari noi;</w:t>
      </w:r>
    </w:p>
    <w:p>
      <w:pPr>
        <w:pStyle w:val="Text1"/>
        <w:pBdr>
          <w:top w:val="single" w:sz="4" w:space="1" w:color="auto"/>
          <w:left w:val="single" w:sz="4" w:space="4" w:color="auto"/>
          <w:bottom w:val="single" w:sz="4" w:space="1" w:color="auto"/>
          <w:right w:val="single" w:sz="4" w:space="4" w:color="auto"/>
        </w:pBdr>
        <w:rPr>
          <w:noProof/>
        </w:rPr>
      </w:pPr>
      <w:r>
        <w:rPr>
          <w:noProof/>
        </w:rPr>
        <w:t>- efecte de pârghie și obținerea impacturilor preconizate;</w:t>
      </w:r>
    </w:p>
    <w:p>
      <w:pPr>
        <w:pStyle w:val="Text1"/>
        <w:pBdr>
          <w:top w:val="single" w:sz="4" w:space="1" w:color="auto"/>
          <w:left w:val="single" w:sz="4" w:space="4" w:color="auto"/>
          <w:bottom w:val="single" w:sz="4" w:space="1" w:color="auto"/>
          <w:right w:val="single" w:sz="4" w:space="4" w:color="auto"/>
        </w:pBdr>
        <w:jc w:val="left"/>
        <w:rPr>
          <w:noProof/>
        </w:rPr>
      </w:pPr>
      <w:r>
        <w:rPr>
          <w:noProof/>
        </w:rPr>
        <w:t>- poziția de lider internațional și cooperarea globală – atât în ceea ce privește vizibilitatea, poziția de lider în domeniul științei, cât și un nou model de cooperare pentru dezvoltare;</w:t>
      </w:r>
    </w:p>
    <w:p>
      <w:pPr>
        <w:pStyle w:val="Text1"/>
        <w:pBdr>
          <w:top w:val="single" w:sz="4" w:space="1" w:color="auto"/>
          <w:left w:val="single" w:sz="4" w:space="4" w:color="auto"/>
          <w:bottom w:val="single" w:sz="4" w:space="1" w:color="auto"/>
          <w:right w:val="single" w:sz="4" w:space="4" w:color="auto"/>
        </w:pBdr>
        <w:rPr>
          <w:noProof/>
        </w:rPr>
      </w:pPr>
      <w:r>
        <w:rPr>
          <w:noProof/>
        </w:rPr>
        <w:t>- punerea în aplicare eficientă și buna gestiune financiară.</w:t>
      </w:r>
    </w:p>
    <w:p>
      <w:pPr>
        <w:pStyle w:val="ManualHeading3"/>
        <w:rPr>
          <w:bCs/>
          <w:noProof/>
          <w:szCs w:val="24"/>
        </w:rPr>
      </w:pPr>
      <w:r>
        <w:t>1.5.4.</w:t>
      </w:r>
      <w:r>
        <w:tab/>
      </w:r>
      <w:r>
        <w:rPr>
          <w:noProof/>
        </w:rPr>
        <w:t>Compatibilitatea și posibila sinergie cu alte instrumente corespunzătoare</w:t>
      </w:r>
    </w:p>
    <w:p>
      <w:pPr>
        <w:pStyle w:val="Text1"/>
        <w:pBdr>
          <w:top w:val="single" w:sz="4" w:space="1" w:color="auto"/>
          <w:left w:val="single" w:sz="4" w:space="4" w:color="auto"/>
          <w:bottom w:val="single" w:sz="4" w:space="1" w:color="auto"/>
          <w:right w:val="single" w:sz="4" w:space="4" w:color="auto"/>
        </w:pBdr>
        <w:rPr>
          <w:noProof/>
        </w:rPr>
      </w:pPr>
      <w:r>
        <w:rPr>
          <w:noProof/>
        </w:rPr>
        <w:t>PRIMA va contribui la o serie de inițiative emblematice, în special la politica de sustenabilitate: Inițiativă emblematică – O Europă eficientă din punct de vedere al utilizării resurselor, Programul European pentru Agricultură și Dezvoltare Rurală pentru țările din vecinătatea Uniunii Europene. De asemenea, PRIMA este relevant pentru o serie de politici externe, în special cadrul de parteneriat cu țări terțe bazat pe Agenda europeană privind migrația, Agenda de dezvoltare pentru perioada de după 2015 și Obiectivele de dezvoltare durabilă.</w:t>
      </w:r>
    </w:p>
    <w:p>
      <w:pPr>
        <w:pStyle w:val="Text1"/>
        <w:pBdr>
          <w:top w:val="single" w:sz="4" w:space="1" w:color="auto"/>
          <w:left w:val="single" w:sz="4" w:space="4" w:color="auto"/>
          <w:bottom w:val="single" w:sz="4" w:space="1" w:color="auto"/>
          <w:right w:val="single" w:sz="4" w:space="4" w:color="auto"/>
        </w:pBdr>
        <w:rPr>
          <w:noProof/>
        </w:rPr>
      </w:pPr>
      <w:r>
        <w:rPr>
          <w:noProof/>
        </w:rPr>
        <w:t>PRIMA va contribui semnificativ la realizarea obiectivelor programului Orizont 2020 și ale politicii de în materie de cercetare și inovare (3D - „Știință deschisă, inovare deschisă, deschidere către lume”).</w:t>
      </w:r>
    </w:p>
    <w:p>
      <w:pPr>
        <w:pStyle w:val="ManualHeading2"/>
        <w:rPr>
          <w:bCs/>
          <w:noProof/>
          <w:szCs w:val="24"/>
        </w:rPr>
      </w:pPr>
      <w:r>
        <w:rPr>
          <w:noProof/>
        </w:rPr>
        <w:br w:type="page"/>
      </w:r>
      <w:r>
        <w:t>1.6.</w:t>
      </w:r>
      <w:r>
        <w:tab/>
      </w:r>
      <w:r>
        <w:rPr>
          <w:noProof/>
        </w:rPr>
        <w:t xml:space="preserve">Durata și impactul financiar </w:t>
      </w:r>
    </w:p>
    <w:p>
      <w:pPr>
        <w:pStyle w:val="Text1"/>
        <w:rPr>
          <w:noProof/>
        </w:rPr>
      </w:pPr>
      <w:r>
        <w:rPr>
          <w:noProof/>
        </w:rPr>
        <w:sym w:font="Wingdings" w:char="F078"/>
      </w:r>
      <w:r>
        <w:rPr>
          <w:b/>
          <w:i/>
          <w:noProof/>
        </w:rPr>
        <w:t xml:space="preserve"> </w:t>
      </w:r>
      <w:r>
        <w:rPr>
          <w:noProof/>
        </w:rPr>
        <w:t xml:space="preserve">Propunere/inițiativă pe </w:t>
      </w:r>
      <w:r>
        <w:rPr>
          <w:b/>
          <w:noProof/>
        </w:rPr>
        <w:t xml:space="preserve">durată determinată </w:t>
      </w:r>
    </w:p>
    <w:p>
      <w:pPr>
        <w:pStyle w:val="ListDash2"/>
        <w:rPr>
          <w:noProof/>
        </w:rPr>
      </w:pPr>
      <w:r>
        <w:rPr>
          <w:noProof/>
        </w:rPr>
        <w:sym w:font="Wingdings" w:char="F078"/>
      </w:r>
      <w:r>
        <w:rPr>
          <w:noProof/>
        </w:rPr>
        <w:tab/>
        <w:t>Propunere/inițiativă în vigoare de la data intrării în vigoare a prezentei decizii până la 31.12.2028</w:t>
      </w:r>
    </w:p>
    <w:p>
      <w:pPr>
        <w:pStyle w:val="ListDash2"/>
        <w:rPr>
          <w:noProof/>
        </w:rPr>
      </w:pPr>
      <w:r>
        <w:rPr>
          <w:noProof/>
        </w:rPr>
        <w:sym w:font="Wingdings" w:char="F078"/>
      </w:r>
      <w:r>
        <w:rPr>
          <w:noProof/>
        </w:rPr>
        <w:tab/>
        <w:t>Impact financiar din 2018 până în 2020 pentru creditele de angajament și din 2018 până în 2029 pentru creditele de plată</w:t>
      </w:r>
    </w:p>
    <w:p>
      <w:pPr>
        <w:pStyle w:val="Text1"/>
        <w:rPr>
          <w:noProof/>
        </w:rPr>
      </w:pPr>
      <w:r>
        <w:rPr>
          <w:noProof/>
        </w:rPr>
        <w:sym w:font="Wingdings" w:char="F0A8"/>
      </w:r>
      <w:r>
        <w:rPr>
          <w:b/>
          <w:i/>
          <w:noProof/>
        </w:rPr>
        <w:t xml:space="preserve"> </w:t>
      </w:r>
      <w:r>
        <w:rPr>
          <w:noProof/>
        </w:rPr>
        <w:t xml:space="preserve">Propunere/inițiativă pe </w:t>
      </w:r>
      <w:r>
        <w:rPr>
          <w:b/>
          <w:noProof/>
        </w:rPr>
        <w:t>durată nedeterminată</w:t>
      </w:r>
    </w:p>
    <w:p>
      <w:pPr>
        <w:pStyle w:val="ListDash1"/>
        <w:rPr>
          <w:noProof/>
        </w:rPr>
      </w:pPr>
      <w:r>
        <w:rPr>
          <w:noProof/>
        </w:rPr>
        <w:t>Punere în aplicare cu o perioadă de creștere în intensitate din YYYY până în YYYY,</w:t>
      </w:r>
    </w:p>
    <w:p>
      <w:pPr>
        <w:pStyle w:val="ListDash1"/>
        <w:rPr>
          <w:noProof/>
        </w:rPr>
      </w:pPr>
      <w:r>
        <w:rPr>
          <w:noProof/>
        </w:rPr>
        <w:t xml:space="preserve">urmată de o perioadă de funcționare la capacitate maximă. </w:t>
      </w:r>
    </w:p>
    <w:p>
      <w:pPr>
        <w:pStyle w:val="ManualHeading2"/>
        <w:rPr>
          <w:bCs/>
          <w:noProof/>
          <w:szCs w:val="24"/>
        </w:rPr>
      </w:pPr>
      <w:r>
        <w:t>1.7.</w:t>
      </w:r>
      <w:r>
        <w:tab/>
      </w:r>
      <w:r>
        <w:rPr>
          <w:noProof/>
        </w:rPr>
        <w:t>Modul (modurile) de gestiune preconizat(e)</w:t>
      </w:r>
      <w:r>
        <w:rPr>
          <w:rStyle w:val="FootnoteReference"/>
          <w:noProof/>
        </w:rPr>
        <w:footnoteReference w:id="13"/>
      </w:r>
      <w:r>
        <w:rPr>
          <w:rStyle w:val="FootnoteReference"/>
          <w:noProof/>
        </w:rPr>
        <w:t xml:space="preserve"> </w:t>
      </w:r>
    </w:p>
    <w:p>
      <w:pPr>
        <w:pStyle w:val="Text1"/>
        <w:rPr>
          <w:noProof/>
        </w:rPr>
      </w:pPr>
      <w:r>
        <w:rPr>
          <w:noProof/>
        </w:rPr>
        <w:sym w:font="Wingdings" w:char="F0A8"/>
      </w:r>
      <w:r>
        <w:rPr>
          <w:i/>
          <w:noProof/>
        </w:rPr>
        <w:t xml:space="preserve"> </w:t>
      </w:r>
      <w:r>
        <w:rPr>
          <w:b/>
          <w:noProof/>
        </w:rPr>
        <w:t>Gestiune directă</w:t>
      </w:r>
      <w:r>
        <w:rPr>
          <w:noProof/>
        </w:rPr>
        <w:t xml:space="preserve"> asigurată de către Comisie</w:t>
      </w:r>
    </w:p>
    <w:p>
      <w:pPr>
        <w:pStyle w:val="ListDash2"/>
        <w:rPr>
          <w:rFonts w:cs="EUAlbertina"/>
          <w:noProof/>
        </w:rPr>
      </w:pPr>
      <w:r>
        <w:rPr>
          <w:noProof/>
        </w:rPr>
        <w:sym w:font="Wingdings" w:char="F0A8"/>
      </w:r>
      <w:r>
        <w:rPr>
          <w:noProof/>
        </w:rPr>
        <w:t xml:space="preserve"> prin intermediul serviciilor sale, inclusiv al personalului din delegațiile Uniunii; </w:t>
      </w:r>
    </w:p>
    <w:p>
      <w:pPr>
        <w:pStyle w:val="ListDash2"/>
        <w:rPr>
          <w:noProof/>
        </w:rPr>
      </w:pPr>
      <w:r>
        <w:rPr>
          <w:noProof/>
        </w:rPr>
        <w:sym w:font="Wingdings" w:char="F0A8"/>
      </w:r>
      <w:r>
        <w:rPr>
          <w:noProof/>
        </w:rPr>
        <w:tab/>
        <w:t xml:space="preserve">prin intermediul agențiilor executive </w:t>
      </w:r>
    </w:p>
    <w:p>
      <w:pPr>
        <w:pStyle w:val="Text1"/>
        <w:rPr>
          <w:noProof/>
        </w:rPr>
      </w:pPr>
      <w:r>
        <w:rPr>
          <w:noProof/>
        </w:rPr>
        <w:sym w:font="Wingdings" w:char="F0A8"/>
      </w:r>
      <w:r>
        <w:rPr>
          <w:b/>
          <w:i/>
          <w:noProof/>
        </w:rPr>
        <w:t xml:space="preserve"> </w:t>
      </w:r>
      <w:r>
        <w:rPr>
          <w:b/>
          <w:noProof/>
        </w:rPr>
        <w:t>Gestiune partajată</w:t>
      </w:r>
      <w:r>
        <w:rPr>
          <w:noProof/>
        </w:rPr>
        <w:t xml:space="preserve"> cu statele membre </w:t>
      </w:r>
    </w:p>
    <w:p>
      <w:pPr>
        <w:pStyle w:val="Text1"/>
        <w:rPr>
          <w:noProof/>
        </w:rPr>
      </w:pPr>
      <w:r>
        <w:rPr>
          <w:noProof/>
        </w:rPr>
        <w:sym w:font="Wingdings" w:char="F078"/>
      </w:r>
      <w:r>
        <w:rPr>
          <w:i/>
          <w:noProof/>
        </w:rPr>
        <w:t xml:space="preserve"> </w:t>
      </w:r>
      <w:r>
        <w:rPr>
          <w:b/>
          <w:noProof/>
        </w:rPr>
        <w:t>Gestiune indirectă</w:t>
      </w:r>
      <w:r>
        <w:rPr>
          <w:noProof/>
        </w:rPr>
        <w:t xml:space="preserve"> cu delegarea sarcinilor de execuție bugetară:</w:t>
      </w:r>
    </w:p>
    <w:p>
      <w:pPr>
        <w:pStyle w:val="ListDash2"/>
        <w:rPr>
          <w:noProof/>
        </w:rPr>
      </w:pPr>
      <w:r>
        <w:rPr>
          <w:noProof/>
        </w:rPr>
        <w:sym w:font="Wingdings" w:char="F0A8"/>
      </w:r>
      <w:r>
        <w:rPr>
          <w:noProof/>
        </w:rPr>
        <w:t xml:space="preserve"> țărilor terțe sau organismelor pe care le-au desemnat acestea;</w:t>
      </w:r>
    </w:p>
    <w:p>
      <w:pPr>
        <w:pStyle w:val="ListDash2"/>
        <w:rPr>
          <w:noProof/>
        </w:rPr>
      </w:pPr>
      <w:r>
        <w:rPr>
          <w:noProof/>
        </w:rPr>
        <w:sym w:font="Wingdings" w:char="F0A8"/>
      </w:r>
      <w:r>
        <w:rPr>
          <w:noProof/>
        </w:rPr>
        <w:t xml:space="preserve"> organizațiilor internaționale și agențiilor acestora (a se preciza);</w:t>
      </w:r>
    </w:p>
    <w:p>
      <w:pPr>
        <w:pStyle w:val="ListDash2"/>
        <w:rPr>
          <w:noProof/>
        </w:rPr>
      </w:pPr>
      <w:r>
        <w:rPr>
          <w:noProof/>
        </w:rPr>
        <w:sym w:font="Wingdings" w:char="F0A8"/>
      </w:r>
      <w:r>
        <w:rPr>
          <w:noProof/>
        </w:rPr>
        <w:t xml:space="preserve"> BEI și Fondului european de investiții;</w:t>
      </w:r>
    </w:p>
    <w:p>
      <w:pPr>
        <w:pStyle w:val="ListDash2"/>
        <w:rPr>
          <w:noProof/>
        </w:rPr>
      </w:pPr>
      <w:r>
        <w:rPr>
          <w:noProof/>
        </w:rPr>
        <w:sym w:font="Wingdings" w:char="F0A8"/>
      </w:r>
      <w:r>
        <w:rPr>
          <w:noProof/>
        </w:rPr>
        <w:t xml:space="preserve"> organismelor menționate la articolele 208 și 209 din Regulamentul financiar;</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78"/>
      </w:r>
      <w:r>
        <w:rPr>
          <w:noProof/>
        </w:rPr>
        <w:t xml:space="preserve"> organismelor de drept privat cu misiune de serviciu public, cu condiția să prezinte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rPr>
      </w:pPr>
      <w:r>
        <w:rPr>
          <w:noProof/>
        </w:rPr>
        <w:t>Va fi creată o nouă entitate juridică – dedicată exclusiv punerii în aplicare a PRIMA. Contribuția financiară a UE la inițiativă va fi furnizată prin această structură.</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MĂSURI DE GESTIONARE </w:t>
      </w:r>
    </w:p>
    <w:p>
      <w:pPr>
        <w:pStyle w:val="ManualHeading2"/>
        <w:rPr>
          <w:noProof/>
        </w:rPr>
      </w:pPr>
      <w:r>
        <w:t>2.1.</w:t>
      </w:r>
      <w:r>
        <w:tab/>
      </w:r>
      <w:r>
        <w:rPr>
          <w:noProof/>
        </w:rPr>
        <w:t xml:space="preserve">Dispoziții în materie de monitorizare și de raportare </w:t>
      </w:r>
    </w:p>
    <w:p>
      <w:pPr>
        <w:pStyle w:val="Text1"/>
        <w:rPr>
          <w:i/>
          <w:noProof/>
          <w:sz w:val="20"/>
          <w:u w:val="single"/>
        </w:rPr>
      </w:pPr>
      <w:r>
        <w:rPr>
          <w:i/>
          <w:noProof/>
          <w:sz w:val="20"/>
        </w:rPr>
        <w:t>A se preciza frecvența și condițiile.</w:t>
      </w:r>
    </w:p>
    <w:p>
      <w:pPr>
        <w:pStyle w:val="Text1"/>
        <w:pBdr>
          <w:top w:val="single" w:sz="4" w:space="1" w:color="auto"/>
          <w:left w:val="single" w:sz="4" w:space="4" w:color="auto"/>
          <w:bottom w:val="single" w:sz="4" w:space="1" w:color="auto"/>
          <w:right w:val="single" w:sz="4" w:space="4" w:color="auto"/>
        </w:pBdr>
        <w:rPr>
          <w:noProof/>
        </w:rPr>
      </w:pPr>
      <w:r>
        <w:rPr>
          <w:noProof/>
        </w:rPr>
        <w:t>Acordurile de supraveghere standard adoptate de DG RTD pentru inițiative în temeiul articolului 185 din TFUE, care se vor aplica în egală măsură programului comun PRIMA.</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Responsabilitățile serviciilor Comisiei, ale structurii dedicate de implementare a PRIMA (PRIMA-IS) si ale statelor participante vor fi definite în actul de bază și în acordul de delegare.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PRIMA-IS va face obiectul unei evaluări </w:t>
      </w:r>
      <w:r>
        <w:rPr>
          <w:i/>
          <w:noProof/>
        </w:rPr>
        <w:t>ex ante</w:t>
      </w:r>
      <w:r>
        <w:rPr>
          <w:noProof/>
        </w:rPr>
        <w:t xml:space="preserve">, în conformitate cu cerințele prevăzute la articolul 61 din Regulamentul financiar, înainte de semnarea acordului de delegare. PRIMA-IS prezintă rapoarte anuale cuprinzătoare, care includ opiniile auditorului și o declarație de gestiune, și este responsabilă pentru controlul </w:t>
      </w:r>
      <w:r>
        <w:rPr>
          <w:i/>
          <w:noProof/>
        </w:rPr>
        <w:t>ex ante</w:t>
      </w:r>
      <w:r>
        <w:rPr>
          <w:noProof/>
        </w:rPr>
        <w:t xml:space="preserve"> al cheltuielilor cu acțiunile indirecte finanțate de PRIMA-IS.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asemenea, astfel cum prevede Regulamentul financiar, statele participante vor trebui să prezinte garanții financiare adecvate în timp util și cel târziu înainte de semnarea acordului de delegare de către Comisie. </w:t>
      </w:r>
    </w:p>
    <w:p>
      <w:pPr>
        <w:pStyle w:val="Text1"/>
        <w:pBdr>
          <w:top w:val="single" w:sz="4" w:space="1" w:color="auto"/>
          <w:left w:val="single" w:sz="4" w:space="4" w:color="auto"/>
          <w:bottom w:val="single" w:sz="4" w:space="1" w:color="auto"/>
          <w:right w:val="single" w:sz="4" w:space="4" w:color="auto"/>
        </w:pBdr>
        <w:rPr>
          <w:noProof/>
        </w:rPr>
      </w:pPr>
      <w:r>
        <w:rPr>
          <w:noProof/>
        </w:rPr>
        <w:t>Statele participante vor stabili costurile activităților acestora, în conformitate cu practicile contabile uzuale, cu standardele contabile ale statelor participante în cauză și cu standardele contabile internaționale/standardele internaționale de raportare financiară aplicabile. Acestea includ certificatele de audit și o declarație de gestiune.</w:t>
      </w:r>
    </w:p>
    <w:p>
      <w:pPr>
        <w:pStyle w:val="Text1"/>
        <w:pBdr>
          <w:top w:val="single" w:sz="4" w:space="1" w:color="auto"/>
          <w:left w:val="single" w:sz="4" w:space="4" w:color="auto"/>
          <w:bottom w:val="single" w:sz="4" w:space="1" w:color="auto"/>
          <w:right w:val="single" w:sz="4" w:space="4" w:color="auto"/>
        </w:pBdr>
        <w:rPr>
          <w:noProof/>
        </w:rPr>
      </w:pPr>
      <w:r>
        <w:rPr>
          <w:noProof/>
        </w:rPr>
        <w:t>Comisia are calitatea de observator în cadrul organului de decizie al PRIMA-IS și verifică și aprobă planul anual de activitate (PAA) și planurile bugetare aferente prin decizia Comisiei și prin rapoartele anuale. În cazul în care conturile nu pot fi acceptate, vor fi întreprinse acțiuni subsecvente pentru a diminua riscurile financiare și reputaționale ale Comisiei. După caz, plățile către PRIMA-IS vor fi suspendate și/sau recuperate, dacă este necesar, prin executarea garanțiilor financiare furnizate de către statele participante. În cazul în care toate măsurile de mai sus nu sunt suficiente pentru a proteja interesele financiare ale Uniunii sau pentru a se asigura că obiectivele politice sunt realizate în mod corespunzător, după o examinare atentă, PRIMA-IS poate face obiectul unui audit. În plus, Comisia poate decide, dacă este necesar, să suspende punerea în aplicare sau să dispună încetarea acordului de delegare.</w:t>
      </w:r>
    </w:p>
    <w:p>
      <w:pPr>
        <w:pStyle w:val="Text1"/>
        <w:pBdr>
          <w:top w:val="single" w:sz="4" w:space="1" w:color="auto"/>
          <w:left w:val="single" w:sz="4" w:space="4" w:color="auto"/>
          <w:bottom w:val="single" w:sz="4" w:space="1" w:color="auto"/>
          <w:right w:val="single" w:sz="4" w:space="4" w:color="auto"/>
        </w:pBdr>
        <w:rPr>
          <w:noProof/>
        </w:rPr>
      </w:pPr>
      <w:r>
        <w:rPr>
          <w:noProof/>
        </w:rPr>
        <w:t>Punerea în aplicare a PRIMA va fi monitorizată prin rapoarte anuale. Acestea vor include o prezentare detaliată a activităților PRIMA în comparație cu planul de activitate strategic multianual și cu planul anual de activitate, precum și progresele înregistrate în vederea realizării obiectivelor și a indicatorilor actualizați enumerați la punctul 1.4.4.</w:t>
      </w:r>
    </w:p>
    <w:p>
      <w:pPr>
        <w:pStyle w:val="ManualHeading2"/>
        <w:rPr>
          <w:bCs/>
          <w:noProof/>
          <w:szCs w:val="24"/>
        </w:rPr>
      </w:pPr>
      <w:r>
        <w:t>2.2.</w:t>
      </w:r>
      <w:r>
        <w:tab/>
      </w:r>
      <w:r>
        <w:rPr>
          <w:noProof/>
        </w:rPr>
        <w:t xml:space="preserve">Sistemul de gestiune și de control </w:t>
      </w:r>
    </w:p>
    <w:p>
      <w:pPr>
        <w:pStyle w:val="ManualHeading3"/>
        <w:rPr>
          <w:noProof/>
        </w:rPr>
      </w:pPr>
      <w:r>
        <w:t>2.2.1.</w:t>
      </w:r>
      <w:r>
        <w:tab/>
      </w:r>
      <w:r>
        <w:rPr>
          <w:noProof/>
        </w:rPr>
        <w:t xml:space="preserve">Riscul (riscurile) identificat(e) </w:t>
      </w:r>
    </w:p>
    <w:p>
      <w:pPr>
        <w:pStyle w:val="Text1"/>
        <w:pBdr>
          <w:top w:val="single" w:sz="4" w:space="1" w:color="auto"/>
          <w:left w:val="single" w:sz="4" w:space="4" w:color="auto"/>
          <w:bottom w:val="single" w:sz="4" w:space="1" w:color="auto"/>
          <w:right w:val="single" w:sz="4" w:space="4" w:color="auto"/>
        </w:pBdr>
        <w:rPr>
          <w:noProof/>
        </w:rPr>
      </w:pPr>
      <w:r>
        <w:rPr>
          <w:noProof/>
        </w:rPr>
        <w:t>1) Capacitatea PRIMA-IS de a gestiona contribuția UE și de a proteja interesul financiar al UE</w:t>
      </w:r>
    </w:p>
    <w:p>
      <w:pPr>
        <w:pStyle w:val="Text1"/>
        <w:pBdr>
          <w:top w:val="single" w:sz="4" w:space="1" w:color="auto"/>
          <w:left w:val="single" w:sz="4" w:space="4" w:color="auto"/>
          <w:bottom w:val="single" w:sz="4" w:space="1" w:color="auto"/>
          <w:right w:val="single" w:sz="4" w:space="4" w:color="auto"/>
        </w:pBdr>
        <w:rPr>
          <w:noProof/>
        </w:rPr>
      </w:pPr>
      <w:r>
        <w:rPr>
          <w:noProof/>
        </w:rPr>
        <w:t>2) Capacitatea statelor participante de a-și finanța contribuțiile la program</w:t>
      </w:r>
    </w:p>
    <w:p>
      <w:pPr>
        <w:pStyle w:val="Text1"/>
        <w:pBdr>
          <w:top w:val="single" w:sz="4" w:space="1" w:color="auto"/>
          <w:left w:val="single" w:sz="4" w:space="4" w:color="auto"/>
          <w:bottom w:val="single" w:sz="4" w:space="1" w:color="auto"/>
          <w:right w:val="single" w:sz="4" w:space="4" w:color="auto"/>
        </w:pBdr>
        <w:rPr>
          <w:noProof/>
        </w:rPr>
      </w:pPr>
      <w:r>
        <w:rPr>
          <w:noProof/>
        </w:rPr>
        <w:t>3) Angajament inițial important al UE în 2020</w:t>
      </w:r>
    </w:p>
    <w:p>
      <w:pPr>
        <w:pStyle w:val="ManualHeading3"/>
        <w:rPr>
          <w:bCs/>
          <w:noProof/>
          <w:szCs w:val="24"/>
        </w:rPr>
      </w:pPr>
      <w:r>
        <w:t>2.2.2.</w:t>
      </w:r>
      <w:r>
        <w:tab/>
      </w:r>
      <w:r>
        <w:rPr>
          <w:noProof/>
        </w:rPr>
        <w:t>Informații privind sistemul de control intern instituit</w:t>
      </w:r>
    </w:p>
    <w:p>
      <w:pPr>
        <w:pStyle w:val="Text1"/>
        <w:pBdr>
          <w:top w:val="single" w:sz="4" w:space="1" w:color="auto"/>
          <w:left w:val="single" w:sz="4" w:space="4" w:color="auto"/>
          <w:bottom w:val="single" w:sz="4" w:space="1" w:color="auto"/>
          <w:right w:val="single" w:sz="4" w:space="4" w:color="auto"/>
        </w:pBdr>
        <w:rPr>
          <w:noProof/>
        </w:rPr>
      </w:pPr>
      <w:r>
        <w:rPr>
          <w:noProof/>
        </w:rPr>
        <w:t>Riscul 1 – a se vedea punctul 2.1</w:t>
      </w:r>
    </w:p>
    <w:p>
      <w:pPr>
        <w:pStyle w:val="Text1"/>
        <w:pBdr>
          <w:top w:val="single" w:sz="4" w:space="1" w:color="auto"/>
          <w:left w:val="single" w:sz="4" w:space="4" w:color="auto"/>
          <w:bottom w:val="single" w:sz="4" w:space="1" w:color="auto"/>
          <w:right w:val="single" w:sz="4" w:space="4" w:color="auto"/>
        </w:pBdr>
        <w:rPr>
          <w:noProof/>
        </w:rPr>
      </w:pPr>
      <w:r>
        <w:rPr>
          <w:noProof/>
        </w:rPr>
        <w:t>Riscul 2 – contribuția UE va fi eliberată în particular în conformitate cu condițiile prevăzute în actul de bază și în acordul de delegare. De asemenea, în actul de bază (articolul 9) este prevăzut un mecanism de încetare, de reducere sau de suspendare a contribuției financiare a Uniunii.</w:t>
      </w:r>
    </w:p>
    <w:p>
      <w:pPr>
        <w:pStyle w:val="Text1"/>
        <w:pBdr>
          <w:top w:val="single" w:sz="4" w:space="1" w:color="auto"/>
          <w:left w:val="single" w:sz="4" w:space="4" w:color="auto"/>
          <w:bottom w:val="single" w:sz="4" w:space="1" w:color="auto"/>
          <w:right w:val="single" w:sz="4" w:space="4" w:color="auto"/>
        </w:pBdr>
        <w:rPr>
          <w:noProof/>
        </w:rPr>
      </w:pPr>
      <w:r>
        <w:rPr>
          <w:noProof/>
        </w:rPr>
        <w:t>Riscul 3 – Actul de bază prevede posibilitatea de încetare, de reducere sau de suspendare a contribuției financiare a UE în cazul în care angajamentele SP nu sunt îndeplinite în timp util, bugetul fiind realocat altor inițiative ale programului Orizont 2020.</w:t>
      </w:r>
    </w:p>
    <w:p>
      <w:pPr>
        <w:pStyle w:val="ManualHeading3"/>
        <w:rPr>
          <w:noProof/>
        </w:rPr>
      </w:pPr>
      <w:r>
        <w:t>2.2.3.</w:t>
      </w:r>
      <w:r>
        <w:tab/>
      </w:r>
      <w:r>
        <w:rPr>
          <w:noProof/>
        </w:rPr>
        <w:t xml:space="preserve">Estimarea costurilor și a beneficiilor controalelor și evaluarea nivelului preconizat de risc de eroare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Articolul 10 din actul de bază prevede că auditurile </w:t>
      </w:r>
      <w:r>
        <w:rPr>
          <w:i/>
          <w:noProof/>
        </w:rPr>
        <w:t>ex post</w:t>
      </w:r>
      <w:r>
        <w:rPr>
          <w:noProof/>
        </w:rPr>
        <w:t xml:space="preserve"> vizând cheltuielile cu acțiuni indirecte trebuie efectuate în conformitate cu normele aferente programului Orizont 2020. Costurile sistemului de control fac parte din cheltuielile administrative cu punerea în aplicare a PRIMA. Sistemul va oferi o asigurare rezonabilă și va realiza o bună gestionare a riscurilor identificate.</w:t>
      </w:r>
    </w:p>
    <w:p>
      <w:pPr>
        <w:pStyle w:val="ManualHeading2"/>
        <w:rPr>
          <w:bCs/>
          <w:noProof/>
          <w:szCs w:val="24"/>
        </w:rPr>
      </w:pPr>
      <w:r>
        <w:t>2.3.</w:t>
      </w:r>
      <w:r>
        <w:tab/>
      </w:r>
      <w:r>
        <w:rPr>
          <w:noProof/>
        </w:rPr>
        <w:t xml:space="preserve">Măsuri de prevenire a fraudelor și a neregulilor </w:t>
      </w:r>
    </w:p>
    <w:p>
      <w:pPr>
        <w:pStyle w:val="Text1"/>
        <w:rPr>
          <w:i/>
          <w:noProof/>
          <w:sz w:val="20"/>
        </w:rPr>
      </w:pPr>
      <w:r>
        <w:rPr>
          <w:i/>
          <w:noProof/>
          <w:sz w:val="20"/>
        </w:rPr>
        <w:t>A se preciza măsurile de prevenire și de protecție existente sau preconizate.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Actul de bază prevede o serie de măsuri de prevenire a fraudelor și a neregulilor, în special: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Articolul 11 din actul de bază prevede, </w:t>
      </w:r>
      <w:r>
        <w:rPr>
          <w:i/>
          <w:noProof/>
        </w:rPr>
        <w:t>inter alia</w:t>
      </w:r>
      <w:r>
        <w:rPr>
          <w:noProof/>
        </w:rPr>
        <w:t>, că PRIMA-IS trebuie să permită accesul la informații și în sedii, necesar Comisiei pentru a controla, a evalua și a realiza audituri vizând punerea în aplicare a PRIMA sau OLAF pentru a efectua investigații.</w:t>
      </w:r>
    </w:p>
    <w:p>
      <w:pPr>
        <w:pStyle w:val="Text1"/>
        <w:pBdr>
          <w:top w:val="single" w:sz="4" w:space="1" w:color="auto"/>
          <w:left w:val="single" w:sz="4" w:space="4" w:color="auto"/>
          <w:bottom w:val="single" w:sz="4" w:space="1" w:color="auto"/>
          <w:right w:val="single" w:sz="4" w:space="4" w:color="auto"/>
        </w:pBdr>
        <w:rPr>
          <w:noProof/>
        </w:rPr>
      </w:pPr>
      <w:r>
        <w:rPr>
          <w:noProof/>
        </w:rPr>
        <w:t xml:space="preserve">Articolul 4 din actul de bază prevede, </w:t>
      </w:r>
      <w:r>
        <w:rPr>
          <w:i/>
          <w:noProof/>
        </w:rPr>
        <w:t>inter alia</w:t>
      </w:r>
      <w:r>
        <w:rPr>
          <w:noProof/>
        </w:rPr>
        <w:t>, că acordarea contribuției UE este condiționată de respectarea de către PRIMA a cerințelor de raportare prevăzute la articolul 60 alineatul (5) din Regulamentul (UE, Euratom) nr. 966/2012. În conformitate cu articolul 9, Comisia poate opri, reduce sau suspenda contribuția sa.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IMPACTUL FINANCIAR ESTIMAT AL PROPUNERII/INIȚIATIVEI </w:t>
      </w:r>
    </w:p>
    <w:p>
      <w:pPr>
        <w:pStyle w:val="ManualHeading2"/>
        <w:rPr>
          <w:noProof/>
        </w:rPr>
      </w:pPr>
      <w:r>
        <w:t>3.1.</w:t>
      </w:r>
      <w:r>
        <w:tab/>
      </w:r>
      <w:r>
        <w:rPr>
          <w:noProof/>
        </w:rPr>
        <w:t xml:space="preserve">Rubrica (rubricile) din cadrul financiar multianual și linia (liniile) bugetară (bugetare) de cheltuieli afectată (afectate) </w:t>
      </w:r>
    </w:p>
    <w:p>
      <w:pPr>
        <w:pStyle w:val="ListBullet1"/>
        <w:rPr>
          <w:noProof/>
        </w:rPr>
      </w:pPr>
      <w:r>
        <w:rPr>
          <w:noProof/>
        </w:rPr>
        <w:t xml:space="preserve">Linii bugetare existente </w:t>
      </w:r>
    </w:p>
    <w:p>
      <w:pPr>
        <w:pStyle w:val="Text1"/>
        <w:rPr>
          <w:noProof/>
        </w:rPr>
      </w:pPr>
      <w:r>
        <w:rPr>
          <w:noProof/>
          <w:u w:val="single"/>
        </w:rPr>
        <w:t>În ordinea</w:t>
      </w:r>
      <w:r>
        <w:rPr>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 xml:space="preserve">Tipul de </w:t>
            </w:r>
            <w:r>
              <w:rPr>
                <w:noProof/>
                <w:sz w:val="22"/>
              </w:rPr>
              <w:br/>
            </w:r>
            <w:r>
              <w:rPr>
                <w:noProof/>
                <w:sz w:val="18"/>
              </w:rPr>
              <w:t>cheltuieli</w:t>
            </w:r>
          </w:p>
        </w:tc>
        <w:tc>
          <w:tcPr>
            <w:tcW w:w="4440"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960" w:type="dxa"/>
            <w:vAlign w:val="center"/>
          </w:tcPr>
          <w:p>
            <w:pPr>
              <w:rPr>
                <w:noProof/>
              </w:rPr>
            </w:pPr>
            <w:r>
              <w:rPr>
                <w:rFonts w:eastAsiaTheme="minorEastAsia"/>
                <w:noProof/>
                <w:sz w:val="20"/>
              </w:rPr>
              <w:t>Rubrica 1a – Competitivitate pentru creștere și locuri de muncă</w:t>
            </w:r>
          </w:p>
        </w:tc>
        <w:tc>
          <w:tcPr>
            <w:tcW w:w="1080" w:type="dxa"/>
            <w:vAlign w:val="center"/>
          </w:tcPr>
          <w:p>
            <w:pPr>
              <w:jc w:val="center"/>
              <w:rPr>
                <w:noProof/>
              </w:rPr>
            </w:pPr>
            <w:r>
              <w:rPr>
                <w:noProof/>
                <w:sz w:val="18"/>
              </w:rPr>
              <w:t>Dif./Nedif</w:t>
            </w:r>
            <w:r>
              <w:rPr>
                <w:rStyle w:val="FootnoteReference"/>
                <w:noProof/>
                <w:sz w:val="18"/>
              </w:rPr>
              <w:footnoteReference w:id="14"/>
            </w:r>
            <w:r>
              <w:rPr>
                <w:noProof/>
                <w:sz w:val="18"/>
              </w:rPr>
              <w:t>.</w:t>
            </w:r>
          </w:p>
        </w:tc>
        <w:tc>
          <w:tcPr>
            <w:tcW w:w="956" w:type="dxa"/>
            <w:vAlign w:val="center"/>
          </w:tcPr>
          <w:p>
            <w:pPr>
              <w:jc w:val="center"/>
              <w:rPr>
                <w:noProof/>
              </w:rPr>
            </w:pPr>
            <w:r>
              <w:rPr>
                <w:noProof/>
                <w:sz w:val="18"/>
              </w:rPr>
              <w:t>țări AELS</w:t>
            </w:r>
            <w:r>
              <w:rPr>
                <w:rStyle w:val="FootnoteReference"/>
                <w:noProof/>
                <w:sz w:val="18"/>
              </w:rPr>
              <w:footnoteReference w:id="15"/>
            </w:r>
          </w:p>
          <w:p>
            <w:pPr>
              <w:spacing w:before="0" w:after="0"/>
              <w:jc w:val="center"/>
              <w:rPr>
                <w:b/>
                <w:noProof/>
                <w:sz w:val="18"/>
              </w:rPr>
            </w:pPr>
          </w:p>
        </w:tc>
        <w:tc>
          <w:tcPr>
            <w:tcW w:w="1080" w:type="dxa"/>
            <w:vAlign w:val="center"/>
          </w:tcPr>
          <w:p>
            <w:pPr>
              <w:jc w:val="center"/>
              <w:rPr>
                <w:noProof/>
              </w:rPr>
            </w:pPr>
            <w:r>
              <w:rPr>
                <w:noProof/>
                <w:sz w:val="18"/>
              </w:rPr>
              <w:t>țări candidate</w:t>
            </w:r>
            <w:r>
              <w:rPr>
                <w:rStyle w:val="FootnoteReference"/>
                <w:noProof/>
                <w:sz w:val="18"/>
              </w:rPr>
              <w:footnoteReference w:id="16"/>
            </w:r>
          </w:p>
          <w:p>
            <w:pPr>
              <w:spacing w:before="0" w:after="0"/>
              <w:jc w:val="center"/>
              <w:rPr>
                <w:noProof/>
                <w:sz w:val="18"/>
              </w:rPr>
            </w:pPr>
          </w:p>
        </w:tc>
        <w:tc>
          <w:tcPr>
            <w:tcW w:w="956" w:type="dxa"/>
            <w:vAlign w:val="center"/>
          </w:tcPr>
          <w:p>
            <w:pPr>
              <w:jc w:val="center"/>
              <w:rPr>
                <w:noProof/>
                <w:sz w:val="18"/>
              </w:rPr>
            </w:pPr>
            <w:r>
              <w:rPr>
                <w:noProof/>
                <w:sz w:val="18"/>
              </w:rPr>
              <w:t>țări terțe</w:t>
            </w:r>
          </w:p>
        </w:tc>
        <w:tc>
          <w:tcPr>
            <w:tcW w:w="1448"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color w:val="0000FF"/>
              </w:rPr>
            </w:pPr>
            <w:r>
              <w:rPr>
                <w:noProof/>
                <w:color w:val="0000FF"/>
              </w:rPr>
              <w:t>1A</w:t>
            </w:r>
          </w:p>
        </w:tc>
        <w:tc>
          <w:tcPr>
            <w:tcW w:w="3960" w:type="dxa"/>
            <w:vAlign w:val="center"/>
          </w:tcPr>
          <w:p>
            <w:pPr>
              <w:pStyle w:val="TextValue"/>
              <w:rPr>
                <w:noProof/>
                <w:sz w:val="20"/>
                <w:szCs w:val="20"/>
              </w:rPr>
            </w:pPr>
            <w:r>
              <w:rPr>
                <w:noProof/>
                <w:sz w:val="20"/>
              </w:rPr>
              <w:t>05.090301 – Asigurarea unor cantități suficiente de alimente sigure și de înaltă calitate, precum și de alte bioproduse</w:t>
            </w:r>
          </w:p>
        </w:tc>
        <w:tc>
          <w:tcPr>
            <w:tcW w:w="1080" w:type="dxa"/>
            <w:vAlign w:val="center"/>
          </w:tcPr>
          <w:p>
            <w:pPr>
              <w:jc w:val="center"/>
              <w:rPr>
                <w:noProof/>
                <w:color w:val="0000FF"/>
                <w:sz w:val="20"/>
                <w:szCs w:val="20"/>
              </w:rPr>
            </w:pPr>
            <w:r>
              <w:rPr>
                <w:noProof/>
                <w:sz w:val="20"/>
              </w:rPr>
              <w:t>Dif.</w:t>
            </w:r>
          </w:p>
        </w:tc>
        <w:tc>
          <w:tcPr>
            <w:tcW w:w="956" w:type="dxa"/>
            <w:vAlign w:val="center"/>
          </w:tcPr>
          <w:p>
            <w:pPr>
              <w:jc w:val="center"/>
              <w:rPr>
                <w:noProof/>
                <w:sz w:val="20"/>
                <w:szCs w:val="20"/>
              </w:rPr>
            </w:pPr>
            <w:r>
              <w:rPr>
                <w:noProof/>
                <w:sz w:val="20"/>
              </w:rPr>
              <w:t>DA</w:t>
            </w:r>
          </w:p>
        </w:tc>
        <w:tc>
          <w:tcPr>
            <w:tcW w:w="1080" w:type="dxa"/>
            <w:vAlign w:val="center"/>
          </w:tcPr>
          <w:p>
            <w:pPr>
              <w:jc w:val="center"/>
              <w:rPr>
                <w:noProof/>
              </w:rPr>
            </w:pPr>
            <w:r>
              <w:rPr>
                <w:noProof/>
                <w:sz w:val="20"/>
              </w:rPr>
              <w:t>DA</w:t>
            </w:r>
          </w:p>
        </w:tc>
        <w:tc>
          <w:tcPr>
            <w:tcW w:w="956" w:type="dxa"/>
            <w:vAlign w:val="center"/>
          </w:tcPr>
          <w:p>
            <w:pPr>
              <w:jc w:val="center"/>
              <w:rPr>
                <w:noProof/>
              </w:rPr>
            </w:pPr>
            <w:r>
              <w:rPr>
                <w:noProof/>
                <w:sz w:val="20"/>
              </w:rPr>
              <w:t>DA</w:t>
            </w:r>
          </w:p>
        </w:tc>
        <w:tc>
          <w:tcPr>
            <w:tcW w:w="1448" w:type="dxa"/>
            <w:vAlign w:val="center"/>
          </w:tcPr>
          <w:p>
            <w:pPr>
              <w:jc w:val="center"/>
              <w:rPr>
                <w:noProof/>
              </w:rPr>
            </w:pPr>
            <w:r>
              <w:rPr>
                <w:noProof/>
                <w:sz w:val="20"/>
              </w:rPr>
              <w:t>DA</w:t>
            </w:r>
          </w:p>
        </w:tc>
      </w:tr>
      <w:tr>
        <w:tc>
          <w:tcPr>
            <w:tcW w:w="1080" w:type="dxa"/>
            <w:vAlign w:val="center"/>
          </w:tcPr>
          <w:p>
            <w:pPr>
              <w:jc w:val="center"/>
              <w:rPr>
                <w:noProof/>
                <w:color w:val="0000FF"/>
              </w:rPr>
            </w:pPr>
            <w:r>
              <w:rPr>
                <w:noProof/>
                <w:color w:val="0000FF"/>
              </w:rPr>
              <w:t>1A</w:t>
            </w:r>
          </w:p>
        </w:tc>
        <w:tc>
          <w:tcPr>
            <w:tcW w:w="3960" w:type="dxa"/>
            <w:vAlign w:val="center"/>
          </w:tcPr>
          <w:p>
            <w:pPr>
              <w:pStyle w:val="TextValue"/>
              <w:rPr>
                <w:noProof/>
                <w:sz w:val="20"/>
                <w:szCs w:val="20"/>
              </w:rPr>
            </w:pPr>
            <w:r>
              <w:rPr>
                <w:noProof/>
                <w:sz w:val="20"/>
              </w:rPr>
              <w:t>08.020302 – Îmbunătățirea securității alimentare, dezvoltarea agriculturii sustenabile, a cercetării marine și maritime și a bioeconomiei</w:t>
            </w:r>
          </w:p>
        </w:tc>
        <w:tc>
          <w:tcPr>
            <w:tcW w:w="1080" w:type="dxa"/>
            <w:vAlign w:val="center"/>
          </w:tcPr>
          <w:p>
            <w:pPr>
              <w:jc w:val="center"/>
              <w:rPr>
                <w:noProof/>
                <w:sz w:val="22"/>
              </w:rPr>
            </w:pPr>
            <w:r>
              <w:rPr>
                <w:noProof/>
                <w:sz w:val="20"/>
              </w:rPr>
              <w:t>Dif.</w:t>
            </w:r>
          </w:p>
        </w:tc>
        <w:tc>
          <w:tcPr>
            <w:tcW w:w="956" w:type="dxa"/>
            <w:vAlign w:val="center"/>
          </w:tcPr>
          <w:p>
            <w:pPr>
              <w:jc w:val="center"/>
              <w:rPr>
                <w:noProof/>
                <w:sz w:val="22"/>
              </w:rPr>
            </w:pPr>
            <w:r>
              <w:rPr>
                <w:noProof/>
                <w:sz w:val="20"/>
              </w:rPr>
              <w:t>DA</w:t>
            </w:r>
          </w:p>
        </w:tc>
        <w:tc>
          <w:tcPr>
            <w:tcW w:w="1080" w:type="dxa"/>
            <w:vAlign w:val="center"/>
          </w:tcPr>
          <w:p>
            <w:pPr>
              <w:jc w:val="center"/>
              <w:rPr>
                <w:noProof/>
                <w:sz w:val="22"/>
              </w:rPr>
            </w:pPr>
            <w:r>
              <w:rPr>
                <w:noProof/>
                <w:sz w:val="20"/>
              </w:rPr>
              <w:t>DA</w:t>
            </w:r>
          </w:p>
        </w:tc>
        <w:tc>
          <w:tcPr>
            <w:tcW w:w="956" w:type="dxa"/>
            <w:vAlign w:val="center"/>
          </w:tcPr>
          <w:p>
            <w:pPr>
              <w:jc w:val="center"/>
              <w:rPr>
                <w:noProof/>
                <w:sz w:val="22"/>
              </w:rPr>
            </w:pPr>
            <w:r>
              <w:rPr>
                <w:noProof/>
                <w:sz w:val="20"/>
              </w:rPr>
              <w:t>DA</w:t>
            </w:r>
          </w:p>
        </w:tc>
        <w:tc>
          <w:tcPr>
            <w:tcW w:w="1448" w:type="dxa"/>
            <w:vAlign w:val="center"/>
          </w:tcPr>
          <w:p>
            <w:pPr>
              <w:jc w:val="center"/>
              <w:rPr>
                <w:noProof/>
                <w:sz w:val="22"/>
              </w:rPr>
            </w:pPr>
            <w:r>
              <w:rPr>
                <w:noProof/>
                <w:sz w:val="20"/>
              </w:rPr>
              <w:t>DA</w:t>
            </w:r>
          </w:p>
        </w:tc>
      </w:tr>
      <w:tr>
        <w:tc>
          <w:tcPr>
            <w:tcW w:w="1080" w:type="dxa"/>
            <w:vAlign w:val="center"/>
          </w:tcPr>
          <w:p>
            <w:pPr>
              <w:jc w:val="center"/>
              <w:rPr>
                <w:noProof/>
                <w:color w:val="0000FF"/>
              </w:rPr>
            </w:pPr>
            <w:r>
              <w:rPr>
                <w:noProof/>
                <w:color w:val="0000FF"/>
              </w:rPr>
              <w:t>1A</w:t>
            </w:r>
          </w:p>
        </w:tc>
        <w:tc>
          <w:tcPr>
            <w:tcW w:w="3960" w:type="dxa"/>
            <w:vAlign w:val="center"/>
          </w:tcPr>
          <w:p>
            <w:pPr>
              <w:pStyle w:val="TextValue"/>
              <w:rPr>
                <w:noProof/>
                <w:sz w:val="20"/>
                <w:szCs w:val="20"/>
              </w:rPr>
            </w:pPr>
            <w:r>
              <w:rPr>
                <w:noProof/>
                <w:sz w:val="20"/>
              </w:rPr>
              <w:t>08.020305 – Realizarea unei economii eficiente din punct de vedere al utilizării resurselor și rezistente la schimbările climatice, precum și a unei aprovizionări sustenabile cu materii prime</w:t>
            </w:r>
          </w:p>
        </w:tc>
        <w:tc>
          <w:tcPr>
            <w:tcW w:w="1080" w:type="dxa"/>
            <w:vAlign w:val="center"/>
          </w:tcPr>
          <w:p>
            <w:pPr>
              <w:jc w:val="center"/>
              <w:rPr>
                <w:noProof/>
                <w:sz w:val="22"/>
              </w:rPr>
            </w:pPr>
            <w:r>
              <w:rPr>
                <w:noProof/>
                <w:sz w:val="20"/>
              </w:rPr>
              <w:t>Dif.</w:t>
            </w:r>
          </w:p>
        </w:tc>
        <w:tc>
          <w:tcPr>
            <w:tcW w:w="956" w:type="dxa"/>
            <w:vAlign w:val="center"/>
          </w:tcPr>
          <w:p>
            <w:pPr>
              <w:jc w:val="center"/>
              <w:rPr>
                <w:noProof/>
                <w:sz w:val="22"/>
              </w:rPr>
            </w:pPr>
            <w:r>
              <w:rPr>
                <w:noProof/>
                <w:sz w:val="20"/>
              </w:rPr>
              <w:t>DA</w:t>
            </w:r>
          </w:p>
        </w:tc>
        <w:tc>
          <w:tcPr>
            <w:tcW w:w="1080" w:type="dxa"/>
            <w:vAlign w:val="center"/>
          </w:tcPr>
          <w:p>
            <w:pPr>
              <w:jc w:val="center"/>
              <w:rPr>
                <w:noProof/>
                <w:sz w:val="22"/>
              </w:rPr>
            </w:pPr>
            <w:r>
              <w:rPr>
                <w:noProof/>
                <w:sz w:val="20"/>
              </w:rPr>
              <w:t>DA</w:t>
            </w:r>
          </w:p>
        </w:tc>
        <w:tc>
          <w:tcPr>
            <w:tcW w:w="956" w:type="dxa"/>
            <w:vAlign w:val="center"/>
          </w:tcPr>
          <w:p>
            <w:pPr>
              <w:jc w:val="center"/>
              <w:rPr>
                <w:noProof/>
                <w:sz w:val="22"/>
              </w:rPr>
            </w:pPr>
            <w:r>
              <w:rPr>
                <w:noProof/>
                <w:sz w:val="20"/>
              </w:rPr>
              <w:t>DA</w:t>
            </w:r>
          </w:p>
        </w:tc>
        <w:tc>
          <w:tcPr>
            <w:tcW w:w="1448" w:type="dxa"/>
            <w:vAlign w:val="center"/>
          </w:tcPr>
          <w:p>
            <w:pPr>
              <w:jc w:val="center"/>
              <w:rPr>
                <w:noProof/>
                <w:sz w:val="22"/>
              </w:rPr>
            </w:pPr>
            <w:r>
              <w:rPr>
                <w:noProof/>
                <w:sz w:val="20"/>
              </w:rPr>
              <w:t>DA</w:t>
            </w:r>
          </w:p>
        </w:tc>
      </w:tr>
      <w:tr>
        <w:tc>
          <w:tcPr>
            <w:tcW w:w="1080" w:type="dxa"/>
            <w:vAlign w:val="center"/>
          </w:tcPr>
          <w:p>
            <w:pPr>
              <w:jc w:val="center"/>
              <w:rPr>
                <w:noProof/>
                <w:color w:val="0000FF"/>
              </w:rPr>
            </w:pPr>
            <w:r>
              <w:rPr>
                <w:noProof/>
                <w:color w:val="0000FF"/>
              </w:rPr>
              <w:t>1A</w:t>
            </w:r>
          </w:p>
        </w:tc>
        <w:tc>
          <w:tcPr>
            <w:tcW w:w="3960" w:type="dxa"/>
            <w:vAlign w:val="center"/>
          </w:tcPr>
          <w:p>
            <w:pPr>
              <w:pStyle w:val="TextValue"/>
              <w:rPr>
                <w:noProof/>
                <w:sz w:val="20"/>
                <w:szCs w:val="20"/>
              </w:rPr>
            </w:pPr>
            <w:r>
              <w:rPr>
                <w:noProof/>
                <w:sz w:val="20"/>
              </w:rPr>
              <w:t>08.020201 – Poziția de lider în nanotehnologii, materiale avansate, biotehnologie și producție și prelucrare avansate</w:t>
            </w:r>
          </w:p>
        </w:tc>
        <w:tc>
          <w:tcPr>
            <w:tcW w:w="1080" w:type="dxa"/>
            <w:vAlign w:val="center"/>
          </w:tcPr>
          <w:p>
            <w:pPr>
              <w:jc w:val="center"/>
              <w:rPr>
                <w:noProof/>
                <w:sz w:val="20"/>
                <w:szCs w:val="20"/>
              </w:rPr>
            </w:pPr>
            <w:r>
              <w:rPr>
                <w:noProof/>
                <w:sz w:val="20"/>
              </w:rPr>
              <w:t>Dif.</w:t>
            </w:r>
          </w:p>
        </w:tc>
        <w:tc>
          <w:tcPr>
            <w:tcW w:w="956" w:type="dxa"/>
            <w:vAlign w:val="center"/>
          </w:tcPr>
          <w:p>
            <w:pPr>
              <w:jc w:val="center"/>
              <w:rPr>
                <w:noProof/>
                <w:sz w:val="20"/>
                <w:szCs w:val="20"/>
              </w:rPr>
            </w:pPr>
            <w:r>
              <w:rPr>
                <w:noProof/>
                <w:sz w:val="20"/>
              </w:rPr>
              <w:t>DA</w:t>
            </w:r>
          </w:p>
        </w:tc>
        <w:tc>
          <w:tcPr>
            <w:tcW w:w="1080" w:type="dxa"/>
            <w:vAlign w:val="center"/>
          </w:tcPr>
          <w:p>
            <w:pPr>
              <w:jc w:val="center"/>
              <w:rPr>
                <w:noProof/>
                <w:sz w:val="20"/>
                <w:szCs w:val="20"/>
              </w:rPr>
            </w:pPr>
            <w:r>
              <w:rPr>
                <w:noProof/>
                <w:sz w:val="20"/>
              </w:rPr>
              <w:t>DA</w:t>
            </w:r>
          </w:p>
        </w:tc>
        <w:tc>
          <w:tcPr>
            <w:tcW w:w="956" w:type="dxa"/>
            <w:vAlign w:val="center"/>
          </w:tcPr>
          <w:p>
            <w:pPr>
              <w:jc w:val="center"/>
              <w:rPr>
                <w:noProof/>
                <w:sz w:val="20"/>
                <w:szCs w:val="20"/>
              </w:rPr>
            </w:pPr>
            <w:r>
              <w:rPr>
                <w:noProof/>
                <w:sz w:val="20"/>
              </w:rPr>
              <w:t>DA</w:t>
            </w:r>
          </w:p>
        </w:tc>
        <w:tc>
          <w:tcPr>
            <w:tcW w:w="1448" w:type="dxa"/>
            <w:vAlign w:val="center"/>
          </w:tcPr>
          <w:p>
            <w:pPr>
              <w:jc w:val="center"/>
              <w:rPr>
                <w:noProof/>
                <w:sz w:val="20"/>
                <w:szCs w:val="20"/>
              </w:rPr>
            </w:pPr>
            <w:r>
              <w:rPr>
                <w:noProof/>
                <w:sz w:val="20"/>
              </w:rPr>
              <w:t>DA</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Impactul estimat asupra cheltuielilor </w:t>
      </w:r>
    </w:p>
    <w:p>
      <w:pPr>
        <w:pStyle w:val="Text1"/>
        <w:rPr>
          <w:noProof/>
        </w:rPr>
      </w:pPr>
      <w:r>
        <w:rPr>
          <w:noProof/>
          <w:highlight w:val="lightGray"/>
        </w:rPr>
        <w:t>[Această secțiune ar trebui completată folosind</w:t>
      </w:r>
      <w:r>
        <w:rPr>
          <w:rStyle w:val="Hyperlink"/>
          <w:b/>
          <w:noProof/>
          <w:highlight w:val="lightGray"/>
          <w:lang w:eastAsia="en-US" w:bidi="ar-SA"/>
        </w:rPr>
        <w:t xml:space="preserve"> </w:t>
      </w:r>
      <w:hyperlink r:id="rId12">
        <w:r>
          <w:rPr>
            <w:rStyle w:val="Hyperlink"/>
            <w:b/>
            <w:noProof/>
            <w:highlight w:val="lightGray"/>
            <w:lang w:eastAsia="en-US" w:bidi="ar-SA"/>
          </w:rPr>
          <w:t>foaia de calcul privind datele bugetare cu caracter administrativ</w:t>
        </w:r>
      </w:hyperlink>
      <w:r>
        <w:rPr>
          <w:noProof/>
          <w:highlight w:val="lightGray"/>
        </w:rPr>
        <w:t xml:space="preserve"> (al doilea document din anexa la prezenta fișă financiară) și ar trebui încărcată în CISNET pentru consultarea interservicii.]</w:t>
      </w:r>
    </w:p>
    <w:p>
      <w:pPr>
        <w:pStyle w:val="ManualHeading3"/>
        <w:rPr>
          <w:noProof/>
          <w:u w:val="single"/>
        </w:rPr>
      </w:pPr>
      <w:r>
        <w:t>3.2.1.</w:t>
      </w:r>
      <w:r>
        <w:tab/>
      </w:r>
      <w:r>
        <w:rPr>
          <w:noProof/>
        </w:rPr>
        <w:t xml:space="preserve">Sinteza impactului estimat asupra cheltuielilor </w:t>
      </w:r>
    </w:p>
    <w:p>
      <w:pPr>
        <w:jc w:val="right"/>
        <w:rPr>
          <w:noProof/>
          <w:sz w:val="20"/>
        </w:rPr>
      </w:pPr>
      <w:r>
        <w:rPr>
          <w:noProof/>
          <w:sz w:val="20"/>
        </w:rPr>
        <w:t>milioane EUR (cu trei zecimale)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Rubrica din cadrul financiar </w:t>
            </w:r>
            <w:r>
              <w:rPr>
                <w:noProof/>
                <w:sz w:val="22"/>
              </w:rPr>
              <w:br/>
            </w:r>
            <w:r>
              <w:rPr>
                <w:b/>
                <w:noProof/>
                <w:sz w:val="22"/>
              </w:rPr>
              <w:t xml:space="preserve">multianual </w:t>
            </w:r>
          </w:p>
        </w:tc>
        <w:tc>
          <w:tcPr>
            <w:tcW w:w="1080" w:type="dxa"/>
            <w:vAlign w:val="center"/>
          </w:tcPr>
          <w:p>
            <w:pPr>
              <w:spacing w:before="60" w:after="60"/>
              <w:jc w:val="center"/>
              <w:rPr>
                <w:noProof/>
                <w:sz w:val="22"/>
              </w:rPr>
            </w:pPr>
            <w:r>
              <w:rPr>
                <w:noProof/>
                <w:sz w:val="22"/>
              </w:rPr>
              <w:t>Număr</w:t>
            </w:r>
          </w:p>
        </w:tc>
        <w:tc>
          <w:tcPr>
            <w:tcW w:w="7817" w:type="dxa"/>
            <w:vAlign w:val="center"/>
          </w:tcPr>
          <w:p>
            <w:pPr>
              <w:spacing w:before="60" w:after="60"/>
              <w:jc w:val="left"/>
              <w:rPr>
                <w:noProof/>
                <w:sz w:val="22"/>
              </w:rPr>
            </w:pPr>
            <w:r>
              <w:rPr>
                <w:noProof/>
                <w:sz w:val="22"/>
              </w:rPr>
              <w:t>Rubrica 1a – Competitivitate pentru creștere și locuri de muncă</w:t>
            </w:r>
          </w:p>
        </w:tc>
      </w:tr>
    </w:tbl>
    <w:p>
      <w:pPr>
        <w:rPr>
          <w:noProof/>
          <w:sz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075"/>
        <w:gridCol w:w="1134"/>
        <w:gridCol w:w="1777"/>
      </w:tblGrid>
      <w:tr>
        <w:trPr>
          <w:jc w:val="center"/>
        </w:trPr>
        <w:tc>
          <w:tcPr>
            <w:tcW w:w="3960" w:type="dxa"/>
            <w:vAlign w:val="center"/>
          </w:tcPr>
          <w:p>
            <w:pPr>
              <w:jc w:val="center"/>
              <w:rPr>
                <w:noProof/>
              </w:rPr>
            </w:pPr>
            <w:r>
              <w:rPr>
                <w:noProof/>
                <w:sz w:val="22"/>
              </w:rPr>
              <w:t>DG: AGRI/H, RTD/F, RTD/I, RTD/D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b/>
                <w:noProof/>
                <w:sz w:val="20"/>
              </w:rPr>
            </w:pPr>
            <w:r>
              <w:rPr>
                <w:noProof/>
                <w:sz w:val="20"/>
              </w:rPr>
              <w:t>An</w:t>
            </w:r>
            <w:r>
              <w:rPr>
                <w:noProof/>
                <w:sz w:val="22"/>
              </w:rPr>
              <w:br/>
            </w:r>
            <w:r>
              <w:rPr>
                <w:b/>
                <w:noProof/>
                <w:sz w:val="20"/>
              </w:rPr>
              <w:t>2018</w:t>
            </w:r>
            <w:r>
              <w:rPr>
                <w:rStyle w:val="FootnoteReference"/>
                <w:b/>
                <w:noProof/>
                <w:sz w:val="20"/>
              </w:rPr>
              <w:footnoteReference w:id="17"/>
            </w:r>
          </w:p>
        </w:tc>
        <w:tc>
          <w:tcPr>
            <w:tcW w:w="868" w:type="dxa"/>
            <w:vAlign w:val="center"/>
          </w:tcPr>
          <w:p>
            <w:pPr>
              <w:jc w:val="center"/>
              <w:rPr>
                <w:b/>
                <w:noProof/>
                <w:sz w:val="20"/>
              </w:rPr>
            </w:pPr>
            <w:r>
              <w:rPr>
                <w:noProof/>
                <w:sz w:val="20"/>
              </w:rPr>
              <w:t>An</w:t>
            </w:r>
            <w:r>
              <w:rPr>
                <w:noProof/>
                <w:sz w:val="22"/>
              </w:rPr>
              <w:br/>
            </w:r>
            <w:r>
              <w:rPr>
                <w:b/>
                <w:noProof/>
                <w:sz w:val="20"/>
              </w:rPr>
              <w:t>2019</w:t>
            </w:r>
          </w:p>
        </w:tc>
        <w:tc>
          <w:tcPr>
            <w:tcW w:w="1075" w:type="dxa"/>
            <w:vAlign w:val="center"/>
          </w:tcPr>
          <w:p>
            <w:pPr>
              <w:jc w:val="center"/>
              <w:rPr>
                <w:b/>
                <w:noProof/>
                <w:sz w:val="20"/>
              </w:rPr>
            </w:pPr>
            <w:r>
              <w:rPr>
                <w:noProof/>
                <w:sz w:val="20"/>
              </w:rPr>
              <w:t>An</w:t>
            </w:r>
            <w:r>
              <w:rPr>
                <w:noProof/>
                <w:sz w:val="22"/>
              </w:rPr>
              <w:br/>
            </w:r>
            <w:r>
              <w:rPr>
                <w:b/>
                <w:noProof/>
                <w:sz w:val="20"/>
              </w:rPr>
              <w:t>2020</w:t>
            </w:r>
          </w:p>
        </w:tc>
        <w:tc>
          <w:tcPr>
            <w:tcW w:w="1134" w:type="dxa"/>
            <w:vAlign w:val="center"/>
          </w:tcPr>
          <w:p>
            <w:pPr>
              <w:jc w:val="center"/>
              <w:rPr>
                <w:b/>
                <w:noProof/>
                <w:sz w:val="20"/>
              </w:rPr>
            </w:pPr>
            <w:r>
              <w:rPr>
                <w:noProof/>
                <w:sz w:val="20"/>
              </w:rPr>
              <w:t>An</w:t>
            </w:r>
            <w:r>
              <w:rPr>
                <w:noProof/>
                <w:sz w:val="22"/>
              </w:rPr>
              <w:br/>
            </w:r>
            <w:r>
              <w:rPr>
                <w:b/>
                <w:noProof/>
                <w:sz w:val="20"/>
              </w:rPr>
              <w:t>2021-2029</w:t>
            </w:r>
          </w:p>
        </w:tc>
        <w:tc>
          <w:tcPr>
            <w:tcW w:w="1777" w:type="dxa"/>
            <w:vAlign w:val="center"/>
          </w:tcPr>
          <w:p>
            <w:pPr>
              <w:jc w:val="center"/>
              <w:rPr>
                <w:b/>
                <w:noProof/>
                <w:sz w:val="20"/>
              </w:rPr>
            </w:pPr>
            <w:r>
              <w:rPr>
                <w:b/>
                <w:noProof/>
                <w:sz w:val="20"/>
              </w:rPr>
              <w:t>TOTAL</w:t>
            </w:r>
          </w:p>
        </w:tc>
      </w:tr>
      <w:tr>
        <w:trPr>
          <w:trHeight w:val="213"/>
          <w:jc w:val="center"/>
        </w:trPr>
        <w:tc>
          <w:tcPr>
            <w:tcW w:w="6054" w:type="dxa"/>
            <w:gridSpan w:val="4"/>
            <w:vAlign w:val="center"/>
          </w:tcPr>
          <w:p>
            <w:pPr>
              <w:spacing w:before="20" w:after="20"/>
              <w:rPr>
                <w:noProof/>
                <w:sz w:val="21"/>
              </w:rPr>
            </w:pPr>
            <w:r>
              <w:rPr>
                <w:noProof/>
                <w:sz w:val="21"/>
              </w:rPr>
              <w:sym w:font="Wingdings" w:char="F09F"/>
            </w:r>
            <w:r>
              <w:rPr>
                <w:noProof/>
                <w:sz w:val="21"/>
              </w:rPr>
              <w:t xml:space="preserve"> Credite operaționale </w:t>
            </w:r>
          </w:p>
        </w:tc>
        <w:tc>
          <w:tcPr>
            <w:tcW w:w="868" w:type="dxa"/>
            <w:vAlign w:val="center"/>
          </w:tcPr>
          <w:p>
            <w:pPr>
              <w:rPr>
                <w:noProof/>
                <w:sz w:val="20"/>
              </w:rPr>
            </w:pPr>
          </w:p>
        </w:tc>
        <w:tc>
          <w:tcPr>
            <w:tcW w:w="868" w:type="dxa"/>
            <w:vAlign w:val="center"/>
          </w:tcPr>
          <w:p>
            <w:pPr>
              <w:rPr>
                <w:noProof/>
                <w:sz w:val="20"/>
              </w:rPr>
            </w:pPr>
          </w:p>
        </w:tc>
        <w:tc>
          <w:tcPr>
            <w:tcW w:w="1075" w:type="dxa"/>
            <w:vAlign w:val="center"/>
          </w:tcPr>
          <w:p>
            <w:pPr>
              <w:rPr>
                <w:noProof/>
                <w:sz w:val="20"/>
              </w:rPr>
            </w:pPr>
          </w:p>
        </w:tc>
        <w:tc>
          <w:tcPr>
            <w:tcW w:w="1134" w:type="dxa"/>
            <w:vAlign w:val="center"/>
          </w:tcPr>
          <w:p>
            <w:pPr>
              <w:rPr>
                <w:noProof/>
                <w:sz w:val="20"/>
              </w:rPr>
            </w:pPr>
          </w:p>
        </w:tc>
        <w:tc>
          <w:tcPr>
            <w:tcW w:w="1777" w:type="dxa"/>
            <w:vAlign w:val="center"/>
          </w:tcPr>
          <w:p>
            <w:pPr>
              <w:rPr>
                <w:b/>
                <w:noProof/>
                <w:sz w:val="20"/>
              </w:rPr>
            </w:pPr>
          </w:p>
        </w:tc>
      </w:tr>
      <w:tr>
        <w:trPr>
          <w:trHeight w:val="277"/>
          <w:jc w:val="center"/>
        </w:trPr>
        <w:tc>
          <w:tcPr>
            <w:tcW w:w="3960" w:type="dxa"/>
            <w:vMerge w:val="restart"/>
            <w:vAlign w:val="center"/>
          </w:tcPr>
          <w:p>
            <w:pPr>
              <w:rPr>
                <w:noProof/>
              </w:rPr>
            </w:pPr>
            <w:r>
              <w:rPr>
                <w:noProof/>
                <w:sz w:val="20"/>
              </w:rPr>
              <w:t>08,020302</w:t>
            </w:r>
          </w:p>
        </w:tc>
        <w:tc>
          <w:tcPr>
            <w:tcW w:w="1440" w:type="dxa"/>
            <w:vAlign w:val="center"/>
          </w:tcPr>
          <w:p>
            <w:pPr>
              <w:spacing w:before="20" w:after="20"/>
              <w:jc w:val="left"/>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5,000</w:t>
            </w:r>
          </w:p>
        </w:tc>
        <w:tc>
          <w:tcPr>
            <w:tcW w:w="868" w:type="dxa"/>
            <w:vAlign w:val="center"/>
          </w:tcPr>
          <w:p>
            <w:pPr>
              <w:spacing w:before="20" w:after="20"/>
              <w:jc w:val="right"/>
              <w:rPr>
                <w:noProof/>
                <w:sz w:val="20"/>
              </w:rPr>
            </w:pPr>
            <w:r>
              <w:rPr>
                <w:noProof/>
                <w:sz w:val="20"/>
              </w:rPr>
              <w:t>5,000</w:t>
            </w:r>
          </w:p>
        </w:tc>
        <w:tc>
          <w:tcPr>
            <w:tcW w:w="1075" w:type="dxa"/>
            <w:vAlign w:val="center"/>
          </w:tcPr>
          <w:p>
            <w:pPr>
              <w:spacing w:before="20" w:after="20"/>
              <w:jc w:val="right"/>
              <w:rPr>
                <w:noProof/>
                <w:sz w:val="20"/>
              </w:rPr>
            </w:pPr>
            <w:r>
              <w:rPr>
                <w:noProof/>
                <w:sz w:val="20"/>
              </w:rPr>
              <w:t>40,000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50,000</w:t>
            </w:r>
          </w:p>
        </w:tc>
      </w:tr>
      <w:tr>
        <w:trPr>
          <w:jc w:val="center"/>
        </w:trPr>
        <w:tc>
          <w:tcPr>
            <w:tcW w:w="3960" w:type="dxa"/>
            <w:vMerge/>
          </w:tcPr>
          <w:p>
            <w:pPr>
              <w:rPr>
                <w:noProof/>
                <w:sz w:val="22"/>
              </w:rPr>
            </w:pPr>
          </w:p>
        </w:tc>
        <w:tc>
          <w:tcPr>
            <w:tcW w:w="1440" w:type="dxa"/>
            <w:vAlign w:val="center"/>
          </w:tcPr>
          <w:p>
            <w:pPr>
              <w:jc w:val="left"/>
              <w:rPr>
                <w:noProof/>
                <w:sz w:val="22"/>
              </w:rPr>
            </w:pPr>
            <w:r>
              <w:rPr>
                <w:noProof/>
                <w:sz w:val="18"/>
              </w:rPr>
              <w:t>Plăți</w:t>
            </w:r>
          </w:p>
        </w:tc>
        <w:tc>
          <w:tcPr>
            <w:tcW w:w="654" w:type="dxa"/>
            <w:gridSpan w:val="2"/>
            <w:vAlign w:val="center"/>
          </w:tcPr>
          <w:p>
            <w:pPr>
              <w:rPr>
                <w:noProof/>
                <w:sz w:val="22"/>
              </w:rPr>
            </w:pPr>
            <w:r>
              <w:rPr>
                <w:noProof/>
                <w:sz w:val="14"/>
              </w:rPr>
              <w:t>(2)</w:t>
            </w:r>
          </w:p>
        </w:tc>
        <w:tc>
          <w:tcPr>
            <w:tcW w:w="868" w:type="dxa"/>
            <w:vAlign w:val="center"/>
          </w:tcPr>
          <w:p>
            <w:pPr>
              <w:jc w:val="right"/>
              <w:rPr>
                <w:noProof/>
                <w:sz w:val="22"/>
              </w:rPr>
            </w:pPr>
            <w:r>
              <w:rPr>
                <w:noProof/>
                <w:sz w:val="20"/>
              </w:rPr>
              <w:t>1,000</w:t>
            </w:r>
          </w:p>
        </w:tc>
        <w:tc>
          <w:tcPr>
            <w:tcW w:w="868" w:type="dxa"/>
            <w:vAlign w:val="center"/>
          </w:tcPr>
          <w:p>
            <w:pPr>
              <w:jc w:val="right"/>
              <w:rPr>
                <w:noProof/>
                <w:sz w:val="22"/>
              </w:rPr>
            </w:pPr>
            <w:r>
              <w:rPr>
                <w:noProof/>
                <w:sz w:val="20"/>
              </w:rPr>
              <w:t>2,500</w:t>
            </w:r>
          </w:p>
        </w:tc>
        <w:tc>
          <w:tcPr>
            <w:tcW w:w="1075" w:type="dxa"/>
            <w:vAlign w:val="center"/>
          </w:tcPr>
          <w:p>
            <w:pPr>
              <w:jc w:val="right"/>
              <w:rPr>
                <w:noProof/>
                <w:sz w:val="22"/>
              </w:rPr>
            </w:pPr>
            <w:r>
              <w:rPr>
                <w:noProof/>
                <w:sz w:val="20"/>
              </w:rPr>
              <w:t>2,500</w:t>
            </w:r>
          </w:p>
        </w:tc>
        <w:tc>
          <w:tcPr>
            <w:tcW w:w="1134" w:type="dxa"/>
            <w:vAlign w:val="center"/>
          </w:tcPr>
          <w:p>
            <w:pPr>
              <w:jc w:val="right"/>
              <w:rPr>
                <w:noProof/>
                <w:sz w:val="22"/>
              </w:rPr>
            </w:pPr>
            <w:r>
              <w:rPr>
                <w:noProof/>
                <w:sz w:val="20"/>
              </w:rPr>
              <w:t>44,000</w:t>
            </w:r>
          </w:p>
        </w:tc>
        <w:tc>
          <w:tcPr>
            <w:tcW w:w="1777" w:type="dxa"/>
            <w:vAlign w:val="center"/>
          </w:tcPr>
          <w:p>
            <w:pPr>
              <w:jc w:val="right"/>
              <w:rPr>
                <w:b/>
                <w:noProof/>
                <w:sz w:val="22"/>
              </w:rPr>
            </w:pPr>
            <w:r>
              <w:rPr>
                <w:b/>
                <w:noProof/>
                <w:sz w:val="20"/>
              </w:rPr>
              <w:t>50,000</w:t>
            </w:r>
          </w:p>
        </w:tc>
      </w:tr>
      <w:tr>
        <w:trPr>
          <w:jc w:val="center"/>
        </w:trPr>
        <w:tc>
          <w:tcPr>
            <w:tcW w:w="3960" w:type="dxa"/>
            <w:vMerge w:val="restart"/>
            <w:vAlign w:val="center"/>
          </w:tcPr>
          <w:p>
            <w:pPr>
              <w:rPr>
                <w:noProof/>
              </w:rPr>
            </w:pPr>
            <w:r>
              <w:rPr>
                <w:noProof/>
                <w:sz w:val="20"/>
              </w:rPr>
              <w:t>08,020305</w:t>
            </w:r>
          </w:p>
        </w:tc>
        <w:tc>
          <w:tcPr>
            <w:tcW w:w="1440" w:type="dxa"/>
            <w:vAlign w:val="center"/>
          </w:tcPr>
          <w:p>
            <w:pPr>
              <w:spacing w:before="20" w:after="20"/>
              <w:jc w:val="left"/>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7,500</w:t>
            </w:r>
          </w:p>
        </w:tc>
        <w:tc>
          <w:tcPr>
            <w:tcW w:w="868" w:type="dxa"/>
            <w:vAlign w:val="center"/>
          </w:tcPr>
          <w:p>
            <w:pPr>
              <w:spacing w:before="20" w:after="20"/>
              <w:jc w:val="right"/>
              <w:rPr>
                <w:noProof/>
                <w:sz w:val="20"/>
              </w:rPr>
            </w:pPr>
            <w:r>
              <w:rPr>
                <w:noProof/>
                <w:sz w:val="20"/>
              </w:rPr>
              <w:t>7,500</w:t>
            </w:r>
          </w:p>
        </w:tc>
        <w:tc>
          <w:tcPr>
            <w:tcW w:w="1075" w:type="dxa"/>
            <w:vAlign w:val="center"/>
          </w:tcPr>
          <w:p>
            <w:pPr>
              <w:spacing w:before="20" w:after="20"/>
              <w:jc w:val="right"/>
              <w:rPr>
                <w:noProof/>
                <w:sz w:val="20"/>
              </w:rPr>
            </w:pPr>
            <w:r>
              <w:rPr>
                <w:noProof/>
                <w:sz w:val="20"/>
              </w:rPr>
              <w:t>60,000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75,000</w:t>
            </w:r>
          </w:p>
        </w:tc>
      </w:tr>
      <w:tr>
        <w:trPr>
          <w:jc w:val="center"/>
        </w:trPr>
        <w:tc>
          <w:tcPr>
            <w:tcW w:w="3960" w:type="dxa"/>
            <w:vMerge/>
          </w:tcPr>
          <w:p>
            <w:pPr>
              <w:rPr>
                <w:noProof/>
                <w:sz w:val="22"/>
              </w:rPr>
            </w:pPr>
          </w:p>
        </w:tc>
        <w:tc>
          <w:tcPr>
            <w:tcW w:w="1440" w:type="dxa"/>
            <w:vAlign w:val="center"/>
          </w:tcPr>
          <w:p>
            <w:pPr>
              <w:jc w:val="left"/>
              <w:rPr>
                <w:noProof/>
                <w:sz w:val="22"/>
              </w:rPr>
            </w:pPr>
            <w:r>
              <w:rPr>
                <w:noProof/>
                <w:sz w:val="18"/>
              </w:rPr>
              <w:t>Plăți</w:t>
            </w:r>
          </w:p>
        </w:tc>
        <w:tc>
          <w:tcPr>
            <w:tcW w:w="654" w:type="dxa"/>
            <w:gridSpan w:val="2"/>
            <w:vAlign w:val="center"/>
          </w:tcPr>
          <w:p>
            <w:pPr>
              <w:rPr>
                <w:noProof/>
                <w:sz w:val="22"/>
              </w:rPr>
            </w:pPr>
            <w:r>
              <w:rPr>
                <w:noProof/>
                <w:sz w:val="14"/>
              </w:rPr>
              <w:t>(2 a)</w:t>
            </w:r>
          </w:p>
        </w:tc>
        <w:tc>
          <w:tcPr>
            <w:tcW w:w="868" w:type="dxa"/>
            <w:vAlign w:val="center"/>
          </w:tcPr>
          <w:p>
            <w:pPr>
              <w:jc w:val="right"/>
              <w:rPr>
                <w:noProof/>
                <w:sz w:val="22"/>
              </w:rPr>
            </w:pPr>
            <w:r>
              <w:rPr>
                <w:noProof/>
                <w:sz w:val="20"/>
              </w:rPr>
              <w:t>1,500</w:t>
            </w:r>
          </w:p>
        </w:tc>
        <w:tc>
          <w:tcPr>
            <w:tcW w:w="868" w:type="dxa"/>
            <w:vAlign w:val="center"/>
          </w:tcPr>
          <w:p>
            <w:pPr>
              <w:jc w:val="right"/>
              <w:rPr>
                <w:noProof/>
                <w:sz w:val="22"/>
              </w:rPr>
            </w:pPr>
            <w:r>
              <w:rPr>
                <w:noProof/>
                <w:sz w:val="20"/>
              </w:rPr>
              <w:t>3,750</w:t>
            </w:r>
          </w:p>
        </w:tc>
        <w:tc>
          <w:tcPr>
            <w:tcW w:w="1075" w:type="dxa"/>
            <w:vAlign w:val="center"/>
          </w:tcPr>
          <w:p>
            <w:pPr>
              <w:jc w:val="right"/>
              <w:rPr>
                <w:noProof/>
                <w:sz w:val="22"/>
              </w:rPr>
            </w:pPr>
            <w:r>
              <w:rPr>
                <w:noProof/>
                <w:sz w:val="20"/>
              </w:rPr>
              <w:t>3,750</w:t>
            </w:r>
          </w:p>
        </w:tc>
        <w:tc>
          <w:tcPr>
            <w:tcW w:w="1134" w:type="dxa"/>
            <w:vAlign w:val="center"/>
          </w:tcPr>
          <w:p>
            <w:pPr>
              <w:jc w:val="right"/>
              <w:rPr>
                <w:noProof/>
                <w:sz w:val="22"/>
              </w:rPr>
            </w:pPr>
            <w:r>
              <w:rPr>
                <w:noProof/>
                <w:sz w:val="20"/>
              </w:rPr>
              <w:t>66,000</w:t>
            </w:r>
          </w:p>
        </w:tc>
        <w:tc>
          <w:tcPr>
            <w:tcW w:w="1777" w:type="dxa"/>
            <w:vAlign w:val="center"/>
          </w:tcPr>
          <w:p>
            <w:pPr>
              <w:jc w:val="right"/>
              <w:rPr>
                <w:b/>
                <w:noProof/>
                <w:sz w:val="22"/>
              </w:rPr>
            </w:pPr>
            <w:r>
              <w:rPr>
                <w:b/>
                <w:noProof/>
                <w:sz w:val="20"/>
              </w:rPr>
              <w:t>75,000</w:t>
            </w:r>
          </w:p>
        </w:tc>
      </w:tr>
      <w:tr>
        <w:trPr>
          <w:jc w:val="center"/>
        </w:trPr>
        <w:tc>
          <w:tcPr>
            <w:tcW w:w="3960" w:type="dxa"/>
            <w:vMerge w:val="restart"/>
          </w:tcPr>
          <w:p>
            <w:pPr>
              <w:rPr>
                <w:noProof/>
                <w:sz w:val="22"/>
              </w:rPr>
            </w:pPr>
            <w:r>
              <w:rPr>
                <w:noProof/>
                <w:sz w:val="20"/>
              </w:rPr>
              <w:t>08,020201</w:t>
            </w:r>
          </w:p>
        </w:tc>
        <w:tc>
          <w:tcPr>
            <w:tcW w:w="1440" w:type="dxa"/>
            <w:vAlign w:val="center"/>
          </w:tcPr>
          <w:p>
            <w:pPr>
              <w:jc w:val="left"/>
              <w:rPr>
                <w:noProof/>
                <w:sz w:val="18"/>
              </w:rPr>
            </w:pPr>
            <w:r>
              <w:rPr>
                <w:noProof/>
                <w:sz w:val="18"/>
              </w:rPr>
              <w:t>Angajamente</w:t>
            </w:r>
          </w:p>
        </w:tc>
        <w:tc>
          <w:tcPr>
            <w:tcW w:w="654" w:type="dxa"/>
            <w:gridSpan w:val="2"/>
            <w:vAlign w:val="center"/>
          </w:tcPr>
          <w:p>
            <w:pPr>
              <w:rPr>
                <w:noProof/>
                <w:sz w:val="14"/>
              </w:rPr>
            </w:pPr>
            <w:r>
              <w:rPr>
                <w:noProof/>
                <w:sz w:val="14"/>
              </w:rPr>
              <w:t>(1b)</w:t>
            </w:r>
          </w:p>
        </w:tc>
        <w:tc>
          <w:tcPr>
            <w:tcW w:w="868" w:type="dxa"/>
            <w:vAlign w:val="center"/>
          </w:tcPr>
          <w:p>
            <w:pPr>
              <w:jc w:val="right"/>
              <w:rPr>
                <w:noProof/>
                <w:sz w:val="20"/>
              </w:rPr>
            </w:pPr>
            <w:r>
              <w:rPr>
                <w:noProof/>
                <w:sz w:val="20"/>
              </w:rPr>
              <w:t>2,500</w:t>
            </w:r>
          </w:p>
        </w:tc>
        <w:tc>
          <w:tcPr>
            <w:tcW w:w="868" w:type="dxa"/>
            <w:vAlign w:val="center"/>
          </w:tcPr>
          <w:p>
            <w:pPr>
              <w:jc w:val="right"/>
              <w:rPr>
                <w:noProof/>
                <w:sz w:val="20"/>
              </w:rPr>
            </w:pPr>
            <w:r>
              <w:rPr>
                <w:noProof/>
                <w:sz w:val="20"/>
              </w:rPr>
              <w:t>2,500</w:t>
            </w:r>
          </w:p>
        </w:tc>
        <w:tc>
          <w:tcPr>
            <w:tcW w:w="1075" w:type="dxa"/>
            <w:vAlign w:val="center"/>
          </w:tcPr>
          <w:p>
            <w:pPr>
              <w:jc w:val="right"/>
              <w:rPr>
                <w:noProof/>
                <w:sz w:val="20"/>
              </w:rPr>
            </w:pPr>
            <w:r>
              <w:rPr>
                <w:noProof/>
                <w:sz w:val="20"/>
              </w:rPr>
              <w:t>20,000</w:t>
            </w:r>
          </w:p>
        </w:tc>
        <w:tc>
          <w:tcPr>
            <w:tcW w:w="1134" w:type="dxa"/>
            <w:vAlign w:val="center"/>
          </w:tcPr>
          <w:p>
            <w:pPr>
              <w:jc w:val="right"/>
              <w:rPr>
                <w:noProof/>
                <w:sz w:val="20"/>
              </w:rPr>
            </w:pPr>
          </w:p>
        </w:tc>
        <w:tc>
          <w:tcPr>
            <w:tcW w:w="1777" w:type="dxa"/>
            <w:vAlign w:val="center"/>
          </w:tcPr>
          <w:p>
            <w:pPr>
              <w:jc w:val="right"/>
              <w:rPr>
                <w:b/>
                <w:noProof/>
                <w:sz w:val="20"/>
              </w:rPr>
            </w:pPr>
            <w:r>
              <w:rPr>
                <w:b/>
                <w:noProof/>
                <w:sz w:val="20"/>
              </w:rPr>
              <w:t>25,000</w:t>
            </w:r>
          </w:p>
        </w:tc>
      </w:tr>
      <w:tr>
        <w:trPr>
          <w:jc w:val="center"/>
        </w:trPr>
        <w:tc>
          <w:tcPr>
            <w:tcW w:w="3960" w:type="dxa"/>
            <w:vMerge/>
          </w:tcPr>
          <w:p>
            <w:pPr>
              <w:rPr>
                <w:noProof/>
                <w:sz w:val="22"/>
              </w:rPr>
            </w:pPr>
          </w:p>
        </w:tc>
        <w:tc>
          <w:tcPr>
            <w:tcW w:w="1440" w:type="dxa"/>
            <w:vAlign w:val="center"/>
          </w:tcPr>
          <w:p>
            <w:pPr>
              <w:jc w:val="left"/>
              <w:rPr>
                <w:noProof/>
                <w:sz w:val="18"/>
              </w:rPr>
            </w:pPr>
            <w:r>
              <w:rPr>
                <w:noProof/>
                <w:sz w:val="18"/>
              </w:rPr>
              <w:t>Plăți</w:t>
            </w:r>
          </w:p>
        </w:tc>
        <w:tc>
          <w:tcPr>
            <w:tcW w:w="654" w:type="dxa"/>
            <w:gridSpan w:val="2"/>
            <w:vAlign w:val="center"/>
          </w:tcPr>
          <w:p>
            <w:pPr>
              <w:rPr>
                <w:noProof/>
                <w:sz w:val="14"/>
              </w:rPr>
            </w:pPr>
            <w:r>
              <w:rPr>
                <w:noProof/>
                <w:sz w:val="14"/>
              </w:rPr>
              <w:t>(2b)</w:t>
            </w:r>
          </w:p>
        </w:tc>
        <w:tc>
          <w:tcPr>
            <w:tcW w:w="868" w:type="dxa"/>
            <w:vAlign w:val="center"/>
          </w:tcPr>
          <w:p>
            <w:pPr>
              <w:jc w:val="right"/>
              <w:rPr>
                <w:noProof/>
                <w:sz w:val="20"/>
              </w:rPr>
            </w:pPr>
            <w:r>
              <w:rPr>
                <w:noProof/>
                <w:sz w:val="20"/>
              </w:rPr>
              <w:t>500</w:t>
            </w:r>
          </w:p>
        </w:tc>
        <w:tc>
          <w:tcPr>
            <w:tcW w:w="868" w:type="dxa"/>
            <w:vAlign w:val="center"/>
          </w:tcPr>
          <w:p>
            <w:pPr>
              <w:jc w:val="right"/>
              <w:rPr>
                <w:noProof/>
                <w:sz w:val="20"/>
              </w:rPr>
            </w:pPr>
            <w:r>
              <w:rPr>
                <w:noProof/>
                <w:sz w:val="20"/>
              </w:rPr>
              <w:t>1,250</w:t>
            </w:r>
          </w:p>
        </w:tc>
        <w:tc>
          <w:tcPr>
            <w:tcW w:w="1075" w:type="dxa"/>
            <w:vAlign w:val="center"/>
          </w:tcPr>
          <w:p>
            <w:pPr>
              <w:jc w:val="right"/>
              <w:rPr>
                <w:noProof/>
                <w:sz w:val="20"/>
              </w:rPr>
            </w:pPr>
            <w:r>
              <w:rPr>
                <w:noProof/>
                <w:sz w:val="20"/>
              </w:rPr>
              <w:t>1,250</w:t>
            </w:r>
          </w:p>
        </w:tc>
        <w:tc>
          <w:tcPr>
            <w:tcW w:w="1134" w:type="dxa"/>
            <w:vAlign w:val="center"/>
          </w:tcPr>
          <w:p>
            <w:pPr>
              <w:jc w:val="right"/>
              <w:rPr>
                <w:noProof/>
                <w:sz w:val="20"/>
              </w:rPr>
            </w:pPr>
            <w:r>
              <w:rPr>
                <w:noProof/>
                <w:sz w:val="20"/>
              </w:rPr>
              <w:t>22,000</w:t>
            </w:r>
          </w:p>
        </w:tc>
        <w:tc>
          <w:tcPr>
            <w:tcW w:w="1777" w:type="dxa"/>
            <w:vAlign w:val="center"/>
          </w:tcPr>
          <w:p>
            <w:pPr>
              <w:jc w:val="right"/>
              <w:rPr>
                <w:b/>
                <w:noProof/>
                <w:sz w:val="20"/>
              </w:rPr>
            </w:pPr>
            <w:r>
              <w:rPr>
                <w:b/>
                <w:noProof/>
                <w:sz w:val="20"/>
              </w:rPr>
              <w:t>25,000</w:t>
            </w:r>
          </w:p>
        </w:tc>
      </w:tr>
      <w:tr>
        <w:trPr>
          <w:jc w:val="center"/>
        </w:trPr>
        <w:tc>
          <w:tcPr>
            <w:tcW w:w="3960" w:type="dxa"/>
            <w:vMerge w:val="restart"/>
          </w:tcPr>
          <w:p>
            <w:pPr>
              <w:jc w:val="center"/>
              <w:rPr>
                <w:noProof/>
                <w:sz w:val="20"/>
              </w:rPr>
            </w:pPr>
            <w:r>
              <w:rPr>
                <w:b/>
                <w:noProof/>
                <w:sz w:val="22"/>
              </w:rPr>
              <w:t xml:space="preserve">TOTAL credite </w:t>
            </w:r>
            <w:r>
              <w:rPr>
                <w:noProof/>
                <w:sz w:val="22"/>
              </w:rPr>
              <w:br/>
            </w:r>
            <w:r>
              <w:rPr>
                <w:b/>
                <w:noProof/>
                <w:sz w:val="22"/>
              </w:rPr>
              <w:t>pentru DG RTD</w:t>
            </w:r>
          </w:p>
        </w:tc>
        <w:tc>
          <w:tcPr>
            <w:tcW w:w="1440" w:type="dxa"/>
            <w:vAlign w:val="center"/>
          </w:tcPr>
          <w:p>
            <w:pPr>
              <w:spacing w:before="20" w:after="20"/>
              <w:jc w:val="left"/>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 1 + 1a + 1b</w:t>
            </w:r>
          </w:p>
        </w:tc>
        <w:tc>
          <w:tcPr>
            <w:tcW w:w="868" w:type="dxa"/>
            <w:vAlign w:val="center"/>
          </w:tcPr>
          <w:p>
            <w:pPr>
              <w:spacing w:before="20" w:after="20"/>
              <w:jc w:val="right"/>
              <w:rPr>
                <w:noProof/>
                <w:sz w:val="20"/>
              </w:rPr>
            </w:pPr>
            <w:r>
              <w:rPr>
                <w:noProof/>
                <w:sz w:val="20"/>
              </w:rPr>
              <w:t>15,000</w:t>
            </w:r>
          </w:p>
        </w:tc>
        <w:tc>
          <w:tcPr>
            <w:tcW w:w="868" w:type="dxa"/>
            <w:vAlign w:val="center"/>
          </w:tcPr>
          <w:p>
            <w:pPr>
              <w:spacing w:before="20" w:after="20"/>
              <w:jc w:val="right"/>
              <w:rPr>
                <w:noProof/>
                <w:sz w:val="20"/>
              </w:rPr>
            </w:pPr>
            <w:r>
              <w:rPr>
                <w:noProof/>
                <w:sz w:val="20"/>
              </w:rPr>
              <w:t>15,000</w:t>
            </w:r>
          </w:p>
        </w:tc>
        <w:tc>
          <w:tcPr>
            <w:tcW w:w="1075" w:type="dxa"/>
            <w:vAlign w:val="center"/>
          </w:tcPr>
          <w:p>
            <w:pPr>
              <w:spacing w:before="20" w:after="20"/>
              <w:jc w:val="right"/>
              <w:rPr>
                <w:noProof/>
                <w:sz w:val="20"/>
              </w:rPr>
            </w:pPr>
            <w:r>
              <w:rPr>
                <w:noProof/>
                <w:sz w:val="20"/>
              </w:rPr>
              <w:t>120,000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150,000</w:t>
            </w:r>
          </w:p>
        </w:tc>
      </w:tr>
      <w:tr>
        <w:trPr>
          <w:jc w:val="center"/>
        </w:trPr>
        <w:tc>
          <w:tcPr>
            <w:tcW w:w="3960" w:type="dxa"/>
            <w:vMerge/>
          </w:tcPr>
          <w:p>
            <w:pPr>
              <w:rPr>
                <w:noProof/>
                <w:sz w:val="22"/>
              </w:rPr>
            </w:pPr>
          </w:p>
        </w:tc>
        <w:tc>
          <w:tcPr>
            <w:tcW w:w="1440" w:type="dxa"/>
            <w:vAlign w:val="center"/>
          </w:tcPr>
          <w:p>
            <w:pPr>
              <w:jc w:val="left"/>
              <w:rPr>
                <w:noProof/>
                <w:sz w:val="22"/>
              </w:rPr>
            </w:pPr>
            <w:r>
              <w:rPr>
                <w:noProof/>
                <w:sz w:val="18"/>
              </w:rPr>
              <w:t>Plăți</w:t>
            </w:r>
          </w:p>
        </w:tc>
        <w:tc>
          <w:tcPr>
            <w:tcW w:w="654" w:type="dxa"/>
            <w:gridSpan w:val="2"/>
            <w:vAlign w:val="center"/>
          </w:tcPr>
          <w:p>
            <w:pPr>
              <w:rPr>
                <w:noProof/>
                <w:sz w:val="22"/>
              </w:rPr>
            </w:pPr>
            <w:r>
              <w:rPr>
                <w:noProof/>
                <w:sz w:val="14"/>
              </w:rPr>
              <w:t>= 2 + +2 a + 2b</w:t>
            </w:r>
          </w:p>
        </w:tc>
        <w:tc>
          <w:tcPr>
            <w:tcW w:w="868" w:type="dxa"/>
            <w:vAlign w:val="center"/>
          </w:tcPr>
          <w:p>
            <w:pPr>
              <w:jc w:val="right"/>
              <w:rPr>
                <w:noProof/>
                <w:sz w:val="22"/>
              </w:rPr>
            </w:pPr>
            <w:r>
              <w:rPr>
                <w:noProof/>
                <w:sz w:val="20"/>
              </w:rPr>
              <w:t>3,000</w:t>
            </w:r>
          </w:p>
        </w:tc>
        <w:tc>
          <w:tcPr>
            <w:tcW w:w="868" w:type="dxa"/>
            <w:vAlign w:val="center"/>
          </w:tcPr>
          <w:p>
            <w:pPr>
              <w:jc w:val="right"/>
              <w:rPr>
                <w:noProof/>
                <w:sz w:val="22"/>
              </w:rPr>
            </w:pPr>
            <w:r>
              <w:rPr>
                <w:noProof/>
                <w:sz w:val="20"/>
              </w:rPr>
              <w:t>7,500</w:t>
            </w:r>
          </w:p>
        </w:tc>
        <w:tc>
          <w:tcPr>
            <w:tcW w:w="1075" w:type="dxa"/>
            <w:vAlign w:val="center"/>
          </w:tcPr>
          <w:p>
            <w:pPr>
              <w:jc w:val="right"/>
              <w:rPr>
                <w:noProof/>
                <w:sz w:val="22"/>
              </w:rPr>
            </w:pPr>
            <w:r>
              <w:rPr>
                <w:noProof/>
                <w:sz w:val="20"/>
              </w:rPr>
              <w:t>7,500</w:t>
            </w:r>
          </w:p>
        </w:tc>
        <w:tc>
          <w:tcPr>
            <w:tcW w:w="1134" w:type="dxa"/>
            <w:vAlign w:val="center"/>
          </w:tcPr>
          <w:p>
            <w:pPr>
              <w:jc w:val="right"/>
              <w:rPr>
                <w:noProof/>
                <w:sz w:val="22"/>
              </w:rPr>
            </w:pPr>
            <w:r>
              <w:rPr>
                <w:noProof/>
                <w:sz w:val="20"/>
              </w:rPr>
              <w:t>132,000</w:t>
            </w:r>
          </w:p>
        </w:tc>
        <w:tc>
          <w:tcPr>
            <w:tcW w:w="1777" w:type="dxa"/>
            <w:vAlign w:val="center"/>
          </w:tcPr>
          <w:p>
            <w:pPr>
              <w:jc w:val="right"/>
              <w:rPr>
                <w:b/>
                <w:noProof/>
                <w:sz w:val="22"/>
              </w:rPr>
            </w:pPr>
            <w:r>
              <w:rPr>
                <w:b/>
                <w:noProof/>
                <w:sz w:val="20"/>
              </w:rPr>
              <w:t>150,000</w:t>
            </w:r>
          </w:p>
        </w:tc>
      </w:tr>
    </w:tbl>
    <w:p>
      <w:pPr>
        <w:rPr>
          <w:noProof/>
        </w:rPr>
      </w:pPr>
      <w:r>
        <w:rPr>
          <w:noProof/>
        </w:rPr>
        <w:br w:type="page"/>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075"/>
        <w:gridCol w:w="1134"/>
        <w:gridCol w:w="1777"/>
      </w:tblGrid>
      <w:tr>
        <w:trPr>
          <w:trHeight w:val="319"/>
          <w:jc w:val="center"/>
        </w:trPr>
        <w:tc>
          <w:tcPr>
            <w:tcW w:w="3960" w:type="dxa"/>
            <w:vMerge w:val="restart"/>
            <w:vAlign w:val="center"/>
          </w:tcPr>
          <w:p>
            <w:pPr>
              <w:spacing w:before="60" w:after="60"/>
              <w:rPr>
                <w:noProof/>
              </w:rPr>
            </w:pPr>
            <w:r>
              <w:rPr>
                <w:noProof/>
                <w:sz w:val="20"/>
              </w:rPr>
              <w:t xml:space="preserve">05,090301 </w:t>
            </w:r>
          </w:p>
          <w:p>
            <w:pPr>
              <w:spacing w:before="60" w:after="60"/>
              <w:rPr>
                <w:noProof/>
              </w:rPr>
            </w:pPr>
          </w:p>
        </w:tc>
        <w:tc>
          <w:tcPr>
            <w:tcW w:w="1440" w:type="dxa"/>
            <w:vAlign w:val="center"/>
          </w:tcPr>
          <w:p>
            <w:pPr>
              <w:spacing w:before="40" w:after="40"/>
              <w:jc w:val="left"/>
              <w:rPr>
                <w:noProof/>
                <w:sz w:val="18"/>
              </w:rPr>
            </w:pPr>
            <w:r>
              <w:rPr>
                <w:noProof/>
                <w:sz w:val="18"/>
              </w:rPr>
              <w:t>Angajamente</w:t>
            </w:r>
          </w:p>
        </w:tc>
        <w:tc>
          <w:tcPr>
            <w:tcW w:w="654" w:type="dxa"/>
            <w:vAlign w:val="center"/>
          </w:tcPr>
          <w:p>
            <w:pPr>
              <w:spacing w:before="40" w:after="40"/>
              <w:jc w:val="center"/>
              <w:rPr>
                <w:noProof/>
                <w:sz w:val="14"/>
              </w:rPr>
            </w:pPr>
            <w:r>
              <w:rPr>
                <w:noProof/>
                <w:sz w:val="14"/>
              </w:rPr>
              <w:t>(1c)</w:t>
            </w:r>
          </w:p>
        </w:tc>
        <w:tc>
          <w:tcPr>
            <w:tcW w:w="868" w:type="dxa"/>
            <w:vAlign w:val="center"/>
          </w:tcPr>
          <w:p>
            <w:pPr>
              <w:spacing w:before="40" w:after="40"/>
              <w:jc w:val="right"/>
              <w:rPr>
                <w:noProof/>
                <w:sz w:val="20"/>
              </w:rPr>
            </w:pPr>
            <w:r>
              <w:rPr>
                <w:noProof/>
                <w:sz w:val="20"/>
              </w:rPr>
              <w:t>5,000</w:t>
            </w:r>
          </w:p>
        </w:tc>
        <w:tc>
          <w:tcPr>
            <w:tcW w:w="868" w:type="dxa"/>
            <w:vAlign w:val="center"/>
          </w:tcPr>
          <w:p>
            <w:pPr>
              <w:spacing w:before="40" w:after="40"/>
              <w:jc w:val="right"/>
              <w:rPr>
                <w:b/>
                <w:noProof/>
                <w:sz w:val="20"/>
              </w:rPr>
            </w:pPr>
            <w:r>
              <w:rPr>
                <w:noProof/>
                <w:sz w:val="20"/>
              </w:rPr>
              <w:t>5,000</w:t>
            </w:r>
          </w:p>
        </w:tc>
        <w:tc>
          <w:tcPr>
            <w:tcW w:w="1075" w:type="dxa"/>
            <w:vAlign w:val="center"/>
          </w:tcPr>
          <w:p>
            <w:pPr>
              <w:spacing w:before="40" w:after="40"/>
              <w:jc w:val="right"/>
              <w:rPr>
                <w:b/>
                <w:noProof/>
                <w:sz w:val="20"/>
              </w:rPr>
            </w:pPr>
            <w:r>
              <w:rPr>
                <w:noProof/>
                <w:sz w:val="20"/>
              </w:rPr>
              <w:t>40,000</w:t>
            </w:r>
          </w:p>
        </w:tc>
        <w:tc>
          <w:tcPr>
            <w:tcW w:w="1134" w:type="dxa"/>
            <w:vAlign w:val="center"/>
          </w:tcPr>
          <w:p>
            <w:pPr>
              <w:spacing w:before="40" w:after="40"/>
              <w:jc w:val="right"/>
              <w:rPr>
                <w:noProof/>
                <w:sz w:val="20"/>
              </w:rPr>
            </w:pPr>
          </w:p>
        </w:tc>
        <w:tc>
          <w:tcPr>
            <w:tcW w:w="1777" w:type="dxa"/>
            <w:vAlign w:val="center"/>
          </w:tcPr>
          <w:p>
            <w:pPr>
              <w:spacing w:before="40" w:after="40"/>
              <w:jc w:val="right"/>
              <w:rPr>
                <w:b/>
                <w:noProof/>
                <w:sz w:val="20"/>
              </w:rPr>
            </w:pPr>
            <w:r>
              <w:rPr>
                <w:b/>
                <w:noProof/>
                <w:sz w:val="20"/>
              </w:rPr>
              <w:t>50,000</w:t>
            </w:r>
          </w:p>
        </w:tc>
      </w:tr>
      <w:tr>
        <w:trPr>
          <w:trHeight w:val="319"/>
          <w:jc w:val="center"/>
        </w:trPr>
        <w:tc>
          <w:tcPr>
            <w:tcW w:w="3960" w:type="dxa"/>
            <w:vMerge/>
            <w:vAlign w:val="center"/>
          </w:tcPr>
          <w:p>
            <w:pPr>
              <w:rPr>
                <w:noProof/>
                <w:sz w:val="22"/>
              </w:rPr>
            </w:pPr>
          </w:p>
        </w:tc>
        <w:tc>
          <w:tcPr>
            <w:tcW w:w="1440" w:type="dxa"/>
            <w:vAlign w:val="center"/>
          </w:tcPr>
          <w:p>
            <w:pPr>
              <w:jc w:val="left"/>
              <w:rPr>
                <w:noProof/>
                <w:sz w:val="18"/>
                <w:szCs w:val="18"/>
              </w:rPr>
            </w:pPr>
            <w:r>
              <w:rPr>
                <w:noProof/>
                <w:sz w:val="18"/>
              </w:rPr>
              <w:t>Plăți</w:t>
            </w:r>
          </w:p>
        </w:tc>
        <w:tc>
          <w:tcPr>
            <w:tcW w:w="654" w:type="dxa"/>
            <w:vAlign w:val="center"/>
          </w:tcPr>
          <w:p>
            <w:pPr>
              <w:jc w:val="center"/>
              <w:rPr>
                <w:noProof/>
                <w:sz w:val="22"/>
              </w:rPr>
            </w:pPr>
            <w:r>
              <w:rPr>
                <w:noProof/>
                <w:sz w:val="14"/>
              </w:rPr>
              <w:t>(2c)</w:t>
            </w:r>
          </w:p>
        </w:tc>
        <w:tc>
          <w:tcPr>
            <w:tcW w:w="868" w:type="dxa"/>
            <w:vAlign w:val="center"/>
          </w:tcPr>
          <w:p>
            <w:pPr>
              <w:jc w:val="right"/>
              <w:rPr>
                <w:noProof/>
                <w:sz w:val="20"/>
                <w:szCs w:val="20"/>
              </w:rPr>
            </w:pPr>
            <w:r>
              <w:rPr>
                <w:noProof/>
                <w:sz w:val="20"/>
              </w:rPr>
              <w:t>1,000</w:t>
            </w:r>
          </w:p>
        </w:tc>
        <w:tc>
          <w:tcPr>
            <w:tcW w:w="868" w:type="dxa"/>
            <w:vAlign w:val="center"/>
          </w:tcPr>
          <w:p>
            <w:pPr>
              <w:jc w:val="right"/>
              <w:rPr>
                <w:noProof/>
                <w:sz w:val="22"/>
              </w:rPr>
            </w:pPr>
            <w:r>
              <w:rPr>
                <w:noProof/>
                <w:sz w:val="20"/>
              </w:rPr>
              <w:t>2,500</w:t>
            </w:r>
          </w:p>
        </w:tc>
        <w:tc>
          <w:tcPr>
            <w:tcW w:w="1075" w:type="dxa"/>
            <w:vAlign w:val="center"/>
          </w:tcPr>
          <w:p>
            <w:pPr>
              <w:jc w:val="right"/>
              <w:rPr>
                <w:noProof/>
                <w:sz w:val="22"/>
              </w:rPr>
            </w:pPr>
            <w:r>
              <w:rPr>
                <w:noProof/>
                <w:sz w:val="20"/>
              </w:rPr>
              <w:t>2,500</w:t>
            </w:r>
          </w:p>
        </w:tc>
        <w:tc>
          <w:tcPr>
            <w:tcW w:w="1134" w:type="dxa"/>
            <w:vAlign w:val="center"/>
          </w:tcPr>
          <w:p>
            <w:pPr>
              <w:jc w:val="right"/>
              <w:rPr>
                <w:noProof/>
                <w:sz w:val="22"/>
              </w:rPr>
            </w:pPr>
            <w:r>
              <w:rPr>
                <w:noProof/>
                <w:sz w:val="20"/>
              </w:rPr>
              <w:t>44,000</w:t>
            </w:r>
          </w:p>
        </w:tc>
        <w:tc>
          <w:tcPr>
            <w:tcW w:w="1777" w:type="dxa"/>
            <w:vAlign w:val="center"/>
          </w:tcPr>
          <w:p>
            <w:pPr>
              <w:jc w:val="right"/>
              <w:rPr>
                <w:b/>
                <w:noProof/>
                <w:sz w:val="22"/>
              </w:rPr>
            </w:pPr>
            <w:r>
              <w:rPr>
                <w:b/>
                <w:noProof/>
                <w:sz w:val="20"/>
              </w:rPr>
              <w:t>50,000</w:t>
            </w:r>
          </w:p>
        </w:tc>
      </w:tr>
      <w:tr>
        <w:trPr>
          <w:trHeight w:val="319"/>
          <w:jc w:val="center"/>
        </w:trPr>
        <w:tc>
          <w:tcPr>
            <w:tcW w:w="3960" w:type="dxa"/>
            <w:vMerge w:val="restart"/>
          </w:tcPr>
          <w:p>
            <w:pPr>
              <w:spacing w:before="60" w:after="60"/>
              <w:jc w:val="center"/>
              <w:rPr>
                <w:noProof/>
                <w:sz w:val="20"/>
              </w:rPr>
            </w:pPr>
            <w:r>
              <w:rPr>
                <w:b/>
                <w:noProof/>
                <w:sz w:val="22"/>
              </w:rPr>
              <w:t xml:space="preserve">TOTAL credite </w:t>
            </w:r>
            <w:r>
              <w:rPr>
                <w:noProof/>
                <w:sz w:val="22"/>
              </w:rPr>
              <w:br/>
            </w:r>
            <w:r>
              <w:rPr>
                <w:b/>
                <w:noProof/>
                <w:sz w:val="22"/>
              </w:rPr>
              <w:t>pentru DG AGRI</w:t>
            </w:r>
          </w:p>
        </w:tc>
        <w:tc>
          <w:tcPr>
            <w:tcW w:w="1440" w:type="dxa"/>
            <w:vAlign w:val="center"/>
          </w:tcPr>
          <w:p>
            <w:pPr>
              <w:spacing w:before="40" w:after="40"/>
              <w:jc w:val="left"/>
              <w:rPr>
                <w:noProof/>
                <w:sz w:val="18"/>
              </w:rPr>
            </w:pPr>
            <w:r>
              <w:rPr>
                <w:noProof/>
                <w:sz w:val="18"/>
              </w:rPr>
              <w:t>Angajamente</w:t>
            </w:r>
          </w:p>
        </w:tc>
        <w:tc>
          <w:tcPr>
            <w:tcW w:w="654" w:type="dxa"/>
            <w:vAlign w:val="center"/>
          </w:tcPr>
          <w:p>
            <w:pPr>
              <w:spacing w:before="40" w:after="40"/>
              <w:jc w:val="center"/>
              <w:rPr>
                <w:noProof/>
                <w:sz w:val="14"/>
              </w:rPr>
            </w:pPr>
            <w:r>
              <w:rPr>
                <w:noProof/>
                <w:sz w:val="14"/>
              </w:rPr>
              <w:t>= 1c</w:t>
            </w:r>
          </w:p>
        </w:tc>
        <w:tc>
          <w:tcPr>
            <w:tcW w:w="868" w:type="dxa"/>
            <w:vAlign w:val="center"/>
          </w:tcPr>
          <w:p>
            <w:pPr>
              <w:spacing w:before="40" w:after="40"/>
              <w:jc w:val="right"/>
              <w:rPr>
                <w:noProof/>
                <w:sz w:val="20"/>
              </w:rPr>
            </w:pPr>
            <w:r>
              <w:rPr>
                <w:noProof/>
                <w:sz w:val="20"/>
              </w:rPr>
              <w:t>5,000</w:t>
            </w:r>
          </w:p>
        </w:tc>
        <w:tc>
          <w:tcPr>
            <w:tcW w:w="868" w:type="dxa"/>
            <w:vAlign w:val="center"/>
          </w:tcPr>
          <w:p>
            <w:pPr>
              <w:spacing w:before="40" w:after="40"/>
              <w:jc w:val="right"/>
              <w:rPr>
                <w:noProof/>
                <w:sz w:val="20"/>
              </w:rPr>
            </w:pPr>
            <w:r>
              <w:rPr>
                <w:noProof/>
                <w:sz w:val="20"/>
              </w:rPr>
              <w:t>5,000</w:t>
            </w:r>
          </w:p>
        </w:tc>
        <w:tc>
          <w:tcPr>
            <w:tcW w:w="1075" w:type="dxa"/>
            <w:vAlign w:val="center"/>
          </w:tcPr>
          <w:p>
            <w:pPr>
              <w:spacing w:before="40" w:after="40"/>
              <w:jc w:val="right"/>
              <w:rPr>
                <w:noProof/>
                <w:sz w:val="20"/>
              </w:rPr>
            </w:pPr>
            <w:r>
              <w:rPr>
                <w:noProof/>
                <w:sz w:val="20"/>
              </w:rPr>
              <w:t>40,000</w:t>
            </w:r>
          </w:p>
        </w:tc>
        <w:tc>
          <w:tcPr>
            <w:tcW w:w="1134" w:type="dxa"/>
            <w:vAlign w:val="center"/>
          </w:tcPr>
          <w:p>
            <w:pPr>
              <w:spacing w:before="40" w:after="40"/>
              <w:jc w:val="right"/>
              <w:rPr>
                <w:noProof/>
                <w:sz w:val="20"/>
              </w:rPr>
            </w:pPr>
          </w:p>
        </w:tc>
        <w:tc>
          <w:tcPr>
            <w:tcW w:w="1777" w:type="dxa"/>
            <w:vAlign w:val="center"/>
          </w:tcPr>
          <w:p>
            <w:pPr>
              <w:spacing w:before="40" w:after="40"/>
              <w:jc w:val="right"/>
              <w:rPr>
                <w:b/>
                <w:noProof/>
                <w:sz w:val="20"/>
              </w:rPr>
            </w:pPr>
            <w:r>
              <w:rPr>
                <w:b/>
                <w:noProof/>
                <w:sz w:val="20"/>
              </w:rPr>
              <w:t>50,000</w:t>
            </w:r>
          </w:p>
        </w:tc>
      </w:tr>
      <w:tr>
        <w:trPr>
          <w:trHeight w:val="319"/>
          <w:jc w:val="center"/>
        </w:trPr>
        <w:tc>
          <w:tcPr>
            <w:tcW w:w="3960" w:type="dxa"/>
            <w:vMerge/>
          </w:tcPr>
          <w:p>
            <w:pPr>
              <w:rPr>
                <w:noProof/>
                <w:sz w:val="22"/>
              </w:rPr>
            </w:pPr>
          </w:p>
        </w:tc>
        <w:tc>
          <w:tcPr>
            <w:tcW w:w="1440" w:type="dxa"/>
            <w:vAlign w:val="center"/>
          </w:tcPr>
          <w:p>
            <w:pPr>
              <w:jc w:val="left"/>
              <w:rPr>
                <w:noProof/>
                <w:sz w:val="22"/>
              </w:rPr>
            </w:pPr>
            <w:r>
              <w:rPr>
                <w:noProof/>
                <w:sz w:val="18"/>
              </w:rPr>
              <w:t>Plăți</w:t>
            </w:r>
          </w:p>
        </w:tc>
        <w:tc>
          <w:tcPr>
            <w:tcW w:w="654" w:type="dxa"/>
            <w:vAlign w:val="center"/>
          </w:tcPr>
          <w:p>
            <w:pPr>
              <w:jc w:val="center"/>
              <w:rPr>
                <w:noProof/>
                <w:sz w:val="22"/>
              </w:rPr>
            </w:pPr>
            <w:r>
              <w:rPr>
                <w:noProof/>
                <w:sz w:val="14"/>
              </w:rPr>
              <w:t>= 2c</w:t>
            </w:r>
          </w:p>
        </w:tc>
        <w:tc>
          <w:tcPr>
            <w:tcW w:w="868" w:type="dxa"/>
            <w:vAlign w:val="center"/>
          </w:tcPr>
          <w:p>
            <w:pPr>
              <w:jc w:val="right"/>
              <w:rPr>
                <w:noProof/>
                <w:sz w:val="20"/>
                <w:szCs w:val="20"/>
              </w:rPr>
            </w:pPr>
            <w:r>
              <w:rPr>
                <w:noProof/>
                <w:sz w:val="20"/>
              </w:rPr>
              <w:t>1,000</w:t>
            </w:r>
          </w:p>
        </w:tc>
        <w:tc>
          <w:tcPr>
            <w:tcW w:w="868" w:type="dxa"/>
            <w:vAlign w:val="center"/>
          </w:tcPr>
          <w:p>
            <w:pPr>
              <w:jc w:val="right"/>
              <w:rPr>
                <w:noProof/>
                <w:sz w:val="22"/>
              </w:rPr>
            </w:pPr>
            <w:r>
              <w:rPr>
                <w:noProof/>
                <w:sz w:val="20"/>
              </w:rPr>
              <w:t>2,500</w:t>
            </w:r>
          </w:p>
        </w:tc>
        <w:tc>
          <w:tcPr>
            <w:tcW w:w="1075" w:type="dxa"/>
            <w:vAlign w:val="center"/>
          </w:tcPr>
          <w:p>
            <w:pPr>
              <w:jc w:val="right"/>
              <w:rPr>
                <w:noProof/>
                <w:sz w:val="22"/>
              </w:rPr>
            </w:pPr>
            <w:r>
              <w:rPr>
                <w:noProof/>
                <w:sz w:val="20"/>
              </w:rPr>
              <w:t>2,500</w:t>
            </w:r>
          </w:p>
        </w:tc>
        <w:tc>
          <w:tcPr>
            <w:tcW w:w="1134" w:type="dxa"/>
            <w:vAlign w:val="center"/>
          </w:tcPr>
          <w:p>
            <w:pPr>
              <w:jc w:val="right"/>
              <w:rPr>
                <w:noProof/>
                <w:sz w:val="22"/>
              </w:rPr>
            </w:pPr>
            <w:r>
              <w:rPr>
                <w:noProof/>
                <w:sz w:val="20"/>
              </w:rPr>
              <w:t>44,000</w:t>
            </w:r>
          </w:p>
        </w:tc>
        <w:tc>
          <w:tcPr>
            <w:tcW w:w="1777" w:type="dxa"/>
            <w:vAlign w:val="center"/>
          </w:tcPr>
          <w:p>
            <w:pPr>
              <w:jc w:val="right"/>
              <w:rPr>
                <w:b/>
                <w:noProof/>
                <w:sz w:val="22"/>
              </w:rPr>
            </w:pPr>
            <w:r>
              <w:rPr>
                <w:b/>
                <w:noProof/>
                <w:sz w:val="20"/>
              </w:rPr>
              <w:t>50,000</w:t>
            </w:r>
          </w:p>
        </w:tc>
      </w:tr>
    </w:tbl>
    <w:p>
      <w:pPr>
        <w:rPr>
          <w:noProof/>
        </w:rPr>
      </w:pPr>
      <w:r>
        <w:rPr>
          <w:noProof/>
          <w:sz w:val="22"/>
        </w:rPr>
        <w:br/>
      </w:r>
      <w:r>
        <w:rPr>
          <w:noProof/>
          <w:sz w:val="22"/>
        </w:rPr>
        <w:br/>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075"/>
        <w:gridCol w:w="1134"/>
        <w:gridCol w:w="1777"/>
      </w:tblGrid>
      <w:tr>
        <w:trPr>
          <w:trHeight w:val="697"/>
          <w:jc w:val="center"/>
        </w:trPr>
        <w:tc>
          <w:tcPr>
            <w:tcW w:w="3960" w:type="dxa"/>
            <w:vAlign w:val="center"/>
          </w:tcPr>
          <w:p>
            <w:pPr>
              <w:spacing w:before="20" w:after="20"/>
              <w:jc w:val="center"/>
              <w:rPr>
                <w:noProof/>
                <w:sz w:val="22"/>
              </w:rPr>
            </w:pPr>
          </w:p>
        </w:tc>
        <w:tc>
          <w:tcPr>
            <w:tcW w:w="1440" w:type="dxa"/>
          </w:tcPr>
          <w:p>
            <w:pPr>
              <w:spacing w:beforeLines="20" w:before="48" w:afterLines="20" w:after="48"/>
              <w:rPr>
                <w:noProof/>
                <w:sz w:val="18"/>
              </w:rPr>
            </w:pPr>
          </w:p>
        </w:tc>
        <w:tc>
          <w:tcPr>
            <w:tcW w:w="654" w:type="dxa"/>
          </w:tcPr>
          <w:p>
            <w:pPr>
              <w:spacing w:beforeLines="20" w:before="48" w:afterLines="20" w:after="48"/>
              <w:jc w:val="center"/>
              <w:rPr>
                <w:noProof/>
                <w:sz w:val="14"/>
              </w:rPr>
            </w:pPr>
          </w:p>
        </w:tc>
        <w:tc>
          <w:tcPr>
            <w:tcW w:w="868" w:type="dxa"/>
            <w:vAlign w:val="center"/>
          </w:tcPr>
          <w:p>
            <w:pPr>
              <w:spacing w:before="20" w:after="20"/>
              <w:jc w:val="center"/>
              <w:rPr>
                <w:noProof/>
                <w:sz w:val="20"/>
              </w:rPr>
            </w:pPr>
            <w:r>
              <w:rPr>
                <w:noProof/>
                <w:sz w:val="20"/>
              </w:rPr>
              <w:t>An</w:t>
            </w:r>
            <w:r>
              <w:rPr>
                <w:noProof/>
                <w:sz w:val="22"/>
              </w:rPr>
              <w:br/>
            </w:r>
            <w:r>
              <w:rPr>
                <w:b/>
                <w:noProof/>
                <w:sz w:val="20"/>
              </w:rPr>
              <w:t>2018</w:t>
            </w:r>
            <w:r>
              <w:rPr>
                <w:rStyle w:val="FootnoteReference"/>
                <w:b/>
                <w:noProof/>
                <w:sz w:val="20"/>
              </w:rPr>
              <w:footnoteReference w:id="18"/>
            </w:r>
          </w:p>
        </w:tc>
        <w:tc>
          <w:tcPr>
            <w:tcW w:w="868" w:type="dxa"/>
            <w:vAlign w:val="center"/>
          </w:tcPr>
          <w:p>
            <w:pPr>
              <w:spacing w:before="20" w:after="20"/>
              <w:jc w:val="center"/>
              <w:rPr>
                <w:noProof/>
                <w:sz w:val="20"/>
              </w:rPr>
            </w:pPr>
            <w:r>
              <w:rPr>
                <w:noProof/>
                <w:sz w:val="20"/>
              </w:rPr>
              <w:t>An</w:t>
            </w:r>
            <w:r>
              <w:rPr>
                <w:noProof/>
                <w:sz w:val="22"/>
              </w:rPr>
              <w:br/>
            </w:r>
            <w:r>
              <w:rPr>
                <w:b/>
                <w:noProof/>
                <w:sz w:val="20"/>
              </w:rPr>
              <w:t>2019</w:t>
            </w:r>
          </w:p>
        </w:tc>
        <w:tc>
          <w:tcPr>
            <w:tcW w:w="1075" w:type="dxa"/>
            <w:vAlign w:val="center"/>
          </w:tcPr>
          <w:p>
            <w:pPr>
              <w:spacing w:before="20" w:after="20"/>
              <w:jc w:val="center"/>
              <w:rPr>
                <w:noProof/>
                <w:sz w:val="20"/>
              </w:rPr>
            </w:pPr>
            <w:r>
              <w:rPr>
                <w:noProof/>
                <w:sz w:val="20"/>
              </w:rPr>
              <w:t>An</w:t>
            </w:r>
            <w:r>
              <w:rPr>
                <w:noProof/>
                <w:sz w:val="22"/>
              </w:rPr>
              <w:br/>
            </w:r>
            <w:r>
              <w:rPr>
                <w:b/>
                <w:noProof/>
                <w:sz w:val="20"/>
              </w:rPr>
              <w:t>2020</w:t>
            </w:r>
          </w:p>
        </w:tc>
        <w:tc>
          <w:tcPr>
            <w:tcW w:w="1134" w:type="dxa"/>
            <w:vAlign w:val="center"/>
          </w:tcPr>
          <w:p>
            <w:pPr>
              <w:spacing w:before="20" w:after="20"/>
              <w:jc w:val="center"/>
              <w:rPr>
                <w:noProof/>
                <w:sz w:val="20"/>
              </w:rPr>
            </w:pPr>
            <w:r>
              <w:rPr>
                <w:noProof/>
                <w:sz w:val="20"/>
              </w:rPr>
              <w:t>An</w:t>
            </w:r>
            <w:r>
              <w:rPr>
                <w:noProof/>
                <w:sz w:val="22"/>
              </w:rPr>
              <w:br/>
            </w:r>
            <w:r>
              <w:rPr>
                <w:b/>
                <w:noProof/>
                <w:sz w:val="20"/>
              </w:rPr>
              <w:t>2021-2029</w:t>
            </w:r>
          </w:p>
        </w:tc>
        <w:tc>
          <w:tcPr>
            <w:tcW w:w="1777" w:type="dxa"/>
            <w:vAlign w:val="center"/>
          </w:tcPr>
          <w:p>
            <w:pPr>
              <w:spacing w:before="20" w:after="20"/>
              <w:jc w:val="center"/>
              <w:rPr>
                <w:b/>
                <w:noProof/>
                <w:sz w:val="20"/>
              </w:rPr>
            </w:pPr>
            <w:r>
              <w:rPr>
                <w:b/>
                <w:noProof/>
                <w:sz w:val="20"/>
              </w:rPr>
              <w:t>TOTAL</w:t>
            </w:r>
          </w:p>
        </w:tc>
      </w:tr>
      <w:tr>
        <w:trPr>
          <w:trHeight w:val="277"/>
          <w:jc w:val="center"/>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 credite operaționale </w:t>
            </w:r>
          </w:p>
        </w:tc>
        <w:tc>
          <w:tcPr>
            <w:tcW w:w="1440" w:type="dxa"/>
            <w:vAlign w:val="center"/>
          </w:tcPr>
          <w:p>
            <w:pPr>
              <w:spacing w:beforeLines="20" w:before="48" w:afterLines="20" w:after="48"/>
              <w:rPr>
                <w:noProof/>
                <w:sz w:val="18"/>
              </w:rPr>
            </w:pPr>
            <w:r>
              <w:rPr>
                <w:noProof/>
                <w:sz w:val="18"/>
              </w:rPr>
              <w:t>Angajamente</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20,000</w:t>
            </w:r>
          </w:p>
        </w:tc>
        <w:tc>
          <w:tcPr>
            <w:tcW w:w="868" w:type="dxa"/>
            <w:vAlign w:val="center"/>
          </w:tcPr>
          <w:p>
            <w:pPr>
              <w:spacing w:before="20" w:after="20"/>
              <w:jc w:val="right"/>
              <w:rPr>
                <w:noProof/>
                <w:sz w:val="20"/>
              </w:rPr>
            </w:pPr>
            <w:r>
              <w:rPr>
                <w:noProof/>
                <w:sz w:val="20"/>
              </w:rPr>
              <w:t>20,000</w:t>
            </w:r>
          </w:p>
        </w:tc>
        <w:tc>
          <w:tcPr>
            <w:tcW w:w="1075" w:type="dxa"/>
            <w:vAlign w:val="center"/>
          </w:tcPr>
          <w:p>
            <w:pPr>
              <w:spacing w:before="20" w:after="20"/>
              <w:jc w:val="right"/>
              <w:rPr>
                <w:noProof/>
                <w:sz w:val="20"/>
              </w:rPr>
            </w:pPr>
            <w:r>
              <w:rPr>
                <w:noProof/>
                <w:sz w:val="20"/>
              </w:rPr>
              <w:t>160,000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200,000</w:t>
            </w:r>
          </w:p>
        </w:tc>
      </w:tr>
      <w:tr>
        <w:trPr>
          <w:jc w:val="center"/>
        </w:trPr>
        <w:tc>
          <w:tcPr>
            <w:tcW w:w="3960" w:type="dxa"/>
            <w:vMerge/>
          </w:tcPr>
          <w:p>
            <w:pPr>
              <w:rPr>
                <w:noProof/>
              </w:rPr>
            </w:pPr>
          </w:p>
        </w:tc>
        <w:tc>
          <w:tcPr>
            <w:tcW w:w="1440" w:type="dxa"/>
            <w:vAlign w:val="center"/>
          </w:tcPr>
          <w:p>
            <w:pPr>
              <w:rPr>
                <w:noProof/>
              </w:rPr>
            </w:pPr>
            <w:r>
              <w:rPr>
                <w:noProof/>
                <w:sz w:val="18"/>
              </w:rPr>
              <w:t>Plăți</w:t>
            </w:r>
          </w:p>
        </w:tc>
        <w:tc>
          <w:tcPr>
            <w:tcW w:w="654" w:type="dxa"/>
            <w:vAlign w:val="center"/>
          </w:tcPr>
          <w:p>
            <w:pPr>
              <w:rPr>
                <w:noProof/>
              </w:rPr>
            </w:pPr>
            <w:r>
              <w:rPr>
                <w:noProof/>
                <w:sz w:val="14"/>
              </w:rPr>
              <w:t>(5)</w:t>
            </w:r>
          </w:p>
        </w:tc>
        <w:tc>
          <w:tcPr>
            <w:tcW w:w="868" w:type="dxa"/>
            <w:vAlign w:val="center"/>
          </w:tcPr>
          <w:p>
            <w:pPr>
              <w:jc w:val="right"/>
              <w:rPr>
                <w:noProof/>
              </w:rPr>
            </w:pPr>
            <w:r>
              <w:rPr>
                <w:noProof/>
                <w:sz w:val="20"/>
              </w:rPr>
              <w:t>4,000</w:t>
            </w:r>
          </w:p>
        </w:tc>
        <w:tc>
          <w:tcPr>
            <w:tcW w:w="868" w:type="dxa"/>
            <w:vAlign w:val="center"/>
          </w:tcPr>
          <w:p>
            <w:pPr>
              <w:jc w:val="right"/>
              <w:rPr>
                <w:noProof/>
              </w:rPr>
            </w:pPr>
            <w:r>
              <w:rPr>
                <w:noProof/>
                <w:sz w:val="20"/>
              </w:rPr>
              <w:t>10,000</w:t>
            </w:r>
          </w:p>
        </w:tc>
        <w:tc>
          <w:tcPr>
            <w:tcW w:w="1075" w:type="dxa"/>
            <w:vAlign w:val="center"/>
          </w:tcPr>
          <w:p>
            <w:pPr>
              <w:jc w:val="right"/>
              <w:rPr>
                <w:noProof/>
              </w:rPr>
            </w:pPr>
            <w:r>
              <w:rPr>
                <w:noProof/>
                <w:sz w:val="20"/>
              </w:rPr>
              <w:t>10,000</w:t>
            </w:r>
          </w:p>
        </w:tc>
        <w:tc>
          <w:tcPr>
            <w:tcW w:w="1134" w:type="dxa"/>
            <w:vAlign w:val="center"/>
          </w:tcPr>
          <w:p>
            <w:pPr>
              <w:jc w:val="right"/>
              <w:rPr>
                <w:noProof/>
              </w:rPr>
            </w:pPr>
            <w:r>
              <w:rPr>
                <w:noProof/>
                <w:sz w:val="20"/>
              </w:rPr>
              <w:t>176,000</w:t>
            </w:r>
          </w:p>
        </w:tc>
        <w:tc>
          <w:tcPr>
            <w:tcW w:w="1777" w:type="dxa"/>
            <w:vAlign w:val="center"/>
          </w:tcPr>
          <w:p>
            <w:pPr>
              <w:jc w:val="right"/>
              <w:rPr>
                <w:b/>
                <w:noProof/>
              </w:rPr>
            </w:pPr>
            <w:r>
              <w:rPr>
                <w:b/>
                <w:noProof/>
                <w:sz w:val="20"/>
              </w:rPr>
              <w:t>200,000</w:t>
            </w:r>
          </w:p>
        </w:tc>
      </w:tr>
      <w:tr>
        <w:trPr>
          <w:trHeight w:val="533"/>
          <w:jc w:val="center"/>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TOTAL credite cu caracter administrativ finanțate din bugetul unor programe specifice (08 01 05)</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szCs w:val="20"/>
              </w:rPr>
            </w:pPr>
            <w:r>
              <w:rPr>
                <w:noProof/>
                <w:sz w:val="20"/>
              </w:rPr>
              <w:t>0,222</w:t>
            </w:r>
          </w:p>
        </w:tc>
        <w:tc>
          <w:tcPr>
            <w:tcW w:w="868" w:type="dxa"/>
            <w:vAlign w:val="center"/>
          </w:tcPr>
          <w:p>
            <w:pPr>
              <w:spacing w:before="20" w:after="20"/>
              <w:jc w:val="right"/>
              <w:rPr>
                <w:b/>
                <w:noProof/>
                <w:sz w:val="20"/>
                <w:szCs w:val="20"/>
              </w:rPr>
            </w:pPr>
            <w:r>
              <w:rPr>
                <w:noProof/>
                <w:sz w:val="20"/>
              </w:rPr>
              <w:t>0,226</w:t>
            </w:r>
          </w:p>
        </w:tc>
        <w:tc>
          <w:tcPr>
            <w:tcW w:w="1075" w:type="dxa"/>
            <w:vAlign w:val="center"/>
          </w:tcPr>
          <w:p>
            <w:pPr>
              <w:spacing w:before="20" w:after="20"/>
              <w:jc w:val="right"/>
              <w:rPr>
                <w:b/>
                <w:noProof/>
                <w:sz w:val="20"/>
                <w:szCs w:val="20"/>
              </w:rPr>
            </w:pPr>
            <w:r>
              <w:rPr>
                <w:noProof/>
                <w:sz w:val="20"/>
              </w:rPr>
              <w:t>0,230</w:t>
            </w:r>
          </w:p>
        </w:tc>
        <w:tc>
          <w:tcPr>
            <w:tcW w:w="1134" w:type="dxa"/>
            <w:vAlign w:val="center"/>
          </w:tcPr>
          <w:p>
            <w:pPr>
              <w:spacing w:before="20" w:after="20"/>
              <w:jc w:val="right"/>
              <w:rPr>
                <w:b/>
                <w:noProof/>
                <w:sz w:val="20"/>
                <w:szCs w:val="20"/>
              </w:rPr>
            </w:pPr>
          </w:p>
        </w:tc>
        <w:tc>
          <w:tcPr>
            <w:tcW w:w="1777" w:type="dxa"/>
            <w:vAlign w:val="center"/>
          </w:tcPr>
          <w:p>
            <w:pPr>
              <w:spacing w:before="20" w:after="20"/>
              <w:jc w:val="right"/>
              <w:rPr>
                <w:b/>
                <w:noProof/>
                <w:sz w:val="20"/>
                <w:szCs w:val="20"/>
              </w:rPr>
            </w:pPr>
            <w:r>
              <w:rPr>
                <w:b/>
                <w:noProof/>
                <w:sz w:val="20"/>
              </w:rPr>
              <w:t>0,678</w:t>
            </w:r>
          </w:p>
        </w:tc>
      </w:tr>
      <w:tr>
        <w:trPr>
          <w:jc w:val="center"/>
        </w:trPr>
        <w:tc>
          <w:tcPr>
            <w:tcW w:w="3960" w:type="dxa"/>
            <w:vMerge w:val="restart"/>
            <w:shd w:val="thinDiagStripe" w:color="C0C0C0" w:fill="auto"/>
            <w:vAlign w:val="center"/>
          </w:tcPr>
          <w:p>
            <w:pPr>
              <w:jc w:val="center"/>
              <w:rPr>
                <w:b/>
                <w:noProof/>
              </w:rPr>
            </w:pPr>
            <w:r>
              <w:rPr>
                <w:b/>
                <w:noProof/>
                <w:sz w:val="22"/>
              </w:rPr>
              <w:t xml:space="preserve">TOTAL credite </w:t>
            </w:r>
            <w:r>
              <w:rPr>
                <w:noProof/>
                <w:sz w:val="22"/>
              </w:rPr>
              <w:br/>
            </w:r>
            <w:r>
              <w:rPr>
                <w:b/>
                <w:noProof/>
                <w:sz w:val="22"/>
              </w:rPr>
              <w:t>în cadrul RUBRICII 1a</w:t>
            </w:r>
            <w:r>
              <w:rPr>
                <w:noProof/>
                <w:sz w:val="22"/>
              </w:rPr>
              <w:br/>
              <w:t>din cadrul financiar multianual</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r>
              <w:rPr>
                <w:noProof/>
                <w:sz w:val="20"/>
              </w:rPr>
              <w:t>20,222</w:t>
            </w:r>
          </w:p>
        </w:tc>
        <w:tc>
          <w:tcPr>
            <w:tcW w:w="868" w:type="dxa"/>
            <w:vAlign w:val="center"/>
          </w:tcPr>
          <w:p>
            <w:pPr>
              <w:spacing w:before="20" w:after="20"/>
              <w:jc w:val="right"/>
              <w:rPr>
                <w:noProof/>
                <w:sz w:val="20"/>
              </w:rPr>
            </w:pPr>
            <w:r>
              <w:rPr>
                <w:noProof/>
                <w:sz w:val="20"/>
              </w:rPr>
              <w:t>20,226</w:t>
            </w:r>
          </w:p>
        </w:tc>
        <w:tc>
          <w:tcPr>
            <w:tcW w:w="1075" w:type="dxa"/>
            <w:vAlign w:val="center"/>
          </w:tcPr>
          <w:p>
            <w:pPr>
              <w:spacing w:before="20" w:after="20"/>
              <w:jc w:val="right"/>
              <w:rPr>
                <w:noProof/>
                <w:sz w:val="20"/>
              </w:rPr>
            </w:pPr>
            <w:r>
              <w:rPr>
                <w:noProof/>
                <w:sz w:val="20"/>
              </w:rPr>
              <w:t>160,230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200,678</w:t>
            </w:r>
          </w:p>
        </w:tc>
      </w:tr>
      <w:tr>
        <w:trPr>
          <w:jc w:val="center"/>
        </w:trPr>
        <w:tc>
          <w:tcPr>
            <w:tcW w:w="3960" w:type="dxa"/>
            <w:vMerge/>
            <w:shd w:val="thinDiagStripe" w:color="C0C0C0" w:fill="auto"/>
          </w:tcPr>
          <w:p>
            <w:pPr>
              <w:rPr>
                <w:noProof/>
              </w:rPr>
            </w:pPr>
          </w:p>
        </w:tc>
        <w:tc>
          <w:tcPr>
            <w:tcW w:w="1440" w:type="dxa"/>
            <w:vAlign w:val="center"/>
          </w:tcPr>
          <w:p>
            <w:pPr>
              <w:rPr>
                <w:noProof/>
              </w:rPr>
            </w:pPr>
            <w:r>
              <w:rPr>
                <w:noProof/>
                <w:sz w:val="18"/>
              </w:rPr>
              <w:t>Plăți</w:t>
            </w:r>
          </w:p>
        </w:tc>
        <w:tc>
          <w:tcPr>
            <w:tcW w:w="654" w:type="dxa"/>
            <w:vAlign w:val="center"/>
          </w:tcPr>
          <w:p>
            <w:pPr>
              <w:rPr>
                <w:noProof/>
              </w:rPr>
            </w:pPr>
            <w:r>
              <w:rPr>
                <w:noProof/>
                <w:sz w:val="14"/>
              </w:rPr>
              <w:t>= 5 + 6</w:t>
            </w:r>
          </w:p>
        </w:tc>
        <w:tc>
          <w:tcPr>
            <w:tcW w:w="868" w:type="dxa"/>
            <w:vAlign w:val="center"/>
          </w:tcPr>
          <w:p>
            <w:pPr>
              <w:jc w:val="right"/>
              <w:rPr>
                <w:noProof/>
              </w:rPr>
            </w:pPr>
            <w:r>
              <w:rPr>
                <w:noProof/>
                <w:sz w:val="20"/>
              </w:rPr>
              <w:t>4,222</w:t>
            </w:r>
          </w:p>
        </w:tc>
        <w:tc>
          <w:tcPr>
            <w:tcW w:w="868" w:type="dxa"/>
            <w:vAlign w:val="center"/>
          </w:tcPr>
          <w:p>
            <w:pPr>
              <w:jc w:val="right"/>
              <w:rPr>
                <w:noProof/>
              </w:rPr>
            </w:pPr>
            <w:r>
              <w:rPr>
                <w:noProof/>
                <w:sz w:val="20"/>
              </w:rPr>
              <w:t>10,226</w:t>
            </w:r>
          </w:p>
        </w:tc>
        <w:tc>
          <w:tcPr>
            <w:tcW w:w="1075" w:type="dxa"/>
            <w:vAlign w:val="center"/>
          </w:tcPr>
          <w:p>
            <w:pPr>
              <w:jc w:val="right"/>
              <w:rPr>
                <w:noProof/>
              </w:rPr>
            </w:pPr>
            <w:r>
              <w:rPr>
                <w:noProof/>
                <w:sz w:val="20"/>
              </w:rPr>
              <w:t>10,230</w:t>
            </w:r>
          </w:p>
        </w:tc>
        <w:tc>
          <w:tcPr>
            <w:tcW w:w="1134" w:type="dxa"/>
            <w:vAlign w:val="center"/>
          </w:tcPr>
          <w:p>
            <w:pPr>
              <w:jc w:val="right"/>
              <w:rPr>
                <w:noProof/>
              </w:rPr>
            </w:pPr>
            <w:r>
              <w:rPr>
                <w:noProof/>
                <w:sz w:val="20"/>
              </w:rPr>
              <w:t>176,000</w:t>
            </w:r>
          </w:p>
        </w:tc>
        <w:tc>
          <w:tcPr>
            <w:tcW w:w="1777" w:type="dxa"/>
            <w:vAlign w:val="center"/>
          </w:tcPr>
          <w:p>
            <w:pPr>
              <w:jc w:val="right"/>
              <w:rPr>
                <w:b/>
                <w:noProof/>
              </w:rPr>
            </w:pPr>
            <w:r>
              <w:rPr>
                <w:b/>
                <w:noProof/>
                <w:sz w:val="20"/>
              </w:rPr>
              <w:t>200,678</w:t>
            </w:r>
          </w:p>
        </w:tc>
      </w:tr>
    </w:tbl>
    <w:p>
      <w:pPr>
        <w:rPr>
          <w:b/>
          <w:noProof/>
          <w:u w:val="single"/>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Rubrica din cadrul financiar </w:t>
            </w:r>
            <w:r>
              <w:rPr>
                <w:noProof/>
                <w:sz w:val="22"/>
              </w:rPr>
              <w:br/>
            </w:r>
            <w:r>
              <w:rPr>
                <w:b/>
                <w:noProof/>
                <w:sz w:val="22"/>
              </w:rPr>
              <w:t xml:space="preserve">multianual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„Cheltuieli administrative”</w:t>
            </w:r>
          </w:p>
        </w:tc>
      </w:tr>
    </w:tbl>
    <w:p>
      <w:pPr>
        <w:jc w:val="right"/>
        <w:rPr>
          <w:noProof/>
          <w:sz w:val="20"/>
        </w:rPr>
      </w:pPr>
      <w:r>
        <w:rPr>
          <w:noProof/>
          <w:sz w:val="20"/>
        </w:rPr>
        <w:t>milioane EUR (cu trei zecimale)</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1200"/>
        <w:gridCol w:w="1445"/>
      </w:tblGrid>
      <w:tr>
        <w:trPr>
          <w:jc w:val="center"/>
        </w:trPr>
        <w:tc>
          <w:tcPr>
            <w:tcW w:w="3960" w:type="dxa"/>
            <w:tcBorders>
              <w:top w:val="nil"/>
              <w:left w:val="nil"/>
              <w:right w:val="nil"/>
            </w:tcBorders>
            <w:vAlign w:val="center"/>
          </w:tcPr>
          <w:p>
            <w:pPr>
              <w:rPr>
                <w:noProof/>
                <w:sz w:val="20"/>
              </w:rPr>
            </w:pPr>
          </w:p>
        </w:tc>
        <w:tc>
          <w:tcPr>
            <w:tcW w:w="1560" w:type="dxa"/>
            <w:tcBorders>
              <w:top w:val="nil"/>
              <w:left w:val="nil"/>
              <w:right w:val="nil"/>
            </w:tcBorders>
          </w:tcPr>
          <w:p>
            <w:pPr>
              <w:rPr>
                <w:noProof/>
                <w:sz w:val="20"/>
              </w:rPr>
            </w:pPr>
          </w:p>
        </w:tc>
        <w:tc>
          <w:tcPr>
            <w:tcW w:w="534" w:type="dxa"/>
            <w:tcBorders>
              <w:top w:val="nil"/>
              <w:left w:val="nil"/>
            </w:tcBorders>
          </w:tcPr>
          <w:p>
            <w:pPr>
              <w:rPr>
                <w:noProof/>
                <w:sz w:val="20"/>
              </w:rPr>
            </w:pPr>
          </w:p>
        </w:tc>
        <w:tc>
          <w:tcPr>
            <w:tcW w:w="868" w:type="dxa"/>
            <w:vAlign w:val="center"/>
          </w:tcPr>
          <w:p>
            <w:pPr>
              <w:rPr>
                <w:noProof/>
                <w:sz w:val="20"/>
              </w:rPr>
            </w:pPr>
            <w:r>
              <w:rPr>
                <w:noProof/>
                <w:sz w:val="20"/>
              </w:rPr>
              <w:t>An</w:t>
            </w:r>
            <w:r>
              <w:rPr>
                <w:noProof/>
                <w:sz w:val="20"/>
              </w:rPr>
              <w:br/>
            </w:r>
            <w:r>
              <w:rPr>
                <w:b/>
                <w:noProof/>
                <w:sz w:val="20"/>
              </w:rPr>
              <w:t>2018</w:t>
            </w:r>
          </w:p>
        </w:tc>
        <w:tc>
          <w:tcPr>
            <w:tcW w:w="868" w:type="dxa"/>
            <w:vAlign w:val="center"/>
          </w:tcPr>
          <w:p>
            <w:pPr>
              <w:rPr>
                <w:noProof/>
                <w:sz w:val="20"/>
              </w:rPr>
            </w:pPr>
            <w:r>
              <w:rPr>
                <w:noProof/>
                <w:sz w:val="20"/>
              </w:rPr>
              <w:t>An</w:t>
            </w:r>
            <w:r>
              <w:rPr>
                <w:noProof/>
                <w:sz w:val="20"/>
              </w:rPr>
              <w:br/>
            </w:r>
            <w:r>
              <w:rPr>
                <w:b/>
                <w:noProof/>
                <w:sz w:val="20"/>
              </w:rPr>
              <w:t>2019</w:t>
            </w:r>
          </w:p>
        </w:tc>
        <w:tc>
          <w:tcPr>
            <w:tcW w:w="868" w:type="dxa"/>
            <w:vAlign w:val="center"/>
          </w:tcPr>
          <w:p>
            <w:pPr>
              <w:rPr>
                <w:noProof/>
                <w:sz w:val="20"/>
              </w:rPr>
            </w:pPr>
            <w:r>
              <w:rPr>
                <w:noProof/>
                <w:sz w:val="20"/>
              </w:rPr>
              <w:t>An</w:t>
            </w:r>
            <w:r>
              <w:rPr>
                <w:noProof/>
                <w:sz w:val="20"/>
              </w:rPr>
              <w:br/>
            </w:r>
            <w:r>
              <w:rPr>
                <w:b/>
                <w:noProof/>
                <w:sz w:val="20"/>
              </w:rPr>
              <w:t>2020</w:t>
            </w:r>
          </w:p>
        </w:tc>
        <w:tc>
          <w:tcPr>
            <w:tcW w:w="1200" w:type="dxa"/>
            <w:vAlign w:val="center"/>
          </w:tcPr>
          <w:p>
            <w:pPr>
              <w:rPr>
                <w:noProof/>
                <w:sz w:val="20"/>
              </w:rPr>
            </w:pPr>
            <w:r>
              <w:rPr>
                <w:noProof/>
                <w:sz w:val="20"/>
              </w:rPr>
              <w:t>An</w:t>
            </w:r>
            <w:r>
              <w:rPr>
                <w:noProof/>
                <w:sz w:val="20"/>
              </w:rPr>
              <w:br/>
            </w:r>
            <w:r>
              <w:rPr>
                <w:b/>
                <w:noProof/>
                <w:sz w:val="20"/>
              </w:rPr>
              <w:t>2021-2029</w:t>
            </w:r>
          </w:p>
        </w:tc>
        <w:tc>
          <w:tcPr>
            <w:tcW w:w="1445" w:type="dxa"/>
            <w:vAlign w:val="center"/>
          </w:tcPr>
          <w:p>
            <w:pPr>
              <w:rPr>
                <w:b/>
                <w:noProof/>
                <w:sz w:val="20"/>
              </w:rPr>
            </w:pPr>
            <w:r>
              <w:rPr>
                <w:b/>
                <w:noProof/>
                <w:sz w:val="20"/>
              </w:rPr>
              <w:t>TOTAL</w:t>
            </w:r>
          </w:p>
        </w:tc>
      </w:tr>
      <w:tr>
        <w:trPr>
          <w:gridAfter w:val="7"/>
          <w:wAfter w:w="7343" w:type="dxa"/>
          <w:jc w:val="center"/>
        </w:trPr>
        <w:tc>
          <w:tcPr>
            <w:tcW w:w="3960" w:type="dxa"/>
            <w:vAlign w:val="center"/>
          </w:tcPr>
          <w:p>
            <w:pPr>
              <w:rPr>
                <w:noProof/>
                <w:sz w:val="20"/>
              </w:rPr>
            </w:pPr>
            <w:r>
              <w:rPr>
                <w:noProof/>
                <w:sz w:val="20"/>
              </w:rPr>
              <w:t>DG: DG RTD</w:t>
            </w:r>
          </w:p>
        </w:tc>
      </w:tr>
      <w:tr>
        <w:trPr>
          <w:trHeight w:val="313"/>
          <w:jc w:val="center"/>
        </w:trPr>
        <w:tc>
          <w:tcPr>
            <w:tcW w:w="6054" w:type="dxa"/>
            <w:gridSpan w:val="3"/>
            <w:vAlign w:val="center"/>
          </w:tcPr>
          <w:p>
            <w:pPr>
              <w:rPr>
                <w:noProof/>
                <w:sz w:val="20"/>
              </w:rPr>
            </w:pPr>
            <w:r>
              <w:rPr>
                <w:noProof/>
                <w:sz w:val="20"/>
              </w:rPr>
              <w:sym w:font="Wingdings" w:char="F09F"/>
            </w:r>
            <w:r>
              <w:rPr>
                <w:noProof/>
                <w:sz w:val="20"/>
              </w:rPr>
              <w:t xml:space="preserve"> Resurse umane </w:t>
            </w:r>
          </w:p>
        </w:tc>
        <w:tc>
          <w:tcPr>
            <w:tcW w:w="868" w:type="dxa"/>
            <w:vAlign w:val="center"/>
          </w:tcPr>
          <w:p>
            <w:pPr>
              <w:rPr>
                <w:noProof/>
                <w:sz w:val="20"/>
              </w:rPr>
            </w:pPr>
            <w:r>
              <w:rPr>
                <w:noProof/>
                <w:sz w:val="20"/>
              </w:rPr>
              <w:t>0,204</w:t>
            </w:r>
          </w:p>
        </w:tc>
        <w:tc>
          <w:tcPr>
            <w:tcW w:w="868" w:type="dxa"/>
            <w:vAlign w:val="center"/>
          </w:tcPr>
          <w:p>
            <w:pPr>
              <w:rPr>
                <w:noProof/>
                <w:sz w:val="20"/>
              </w:rPr>
            </w:pPr>
            <w:r>
              <w:rPr>
                <w:noProof/>
                <w:sz w:val="20"/>
              </w:rPr>
              <w:t>0,208</w:t>
            </w:r>
          </w:p>
        </w:tc>
        <w:tc>
          <w:tcPr>
            <w:tcW w:w="868" w:type="dxa"/>
            <w:vAlign w:val="center"/>
          </w:tcPr>
          <w:p>
            <w:pPr>
              <w:rPr>
                <w:noProof/>
                <w:sz w:val="20"/>
              </w:rPr>
            </w:pPr>
            <w:r>
              <w:rPr>
                <w:noProof/>
                <w:sz w:val="20"/>
              </w:rPr>
              <w:t>0,212</w:t>
            </w:r>
          </w:p>
        </w:tc>
        <w:tc>
          <w:tcPr>
            <w:tcW w:w="1200" w:type="dxa"/>
            <w:vAlign w:val="center"/>
          </w:tcPr>
          <w:p>
            <w:pPr>
              <w:rPr>
                <w:noProof/>
                <w:sz w:val="20"/>
              </w:rPr>
            </w:pPr>
          </w:p>
        </w:tc>
        <w:tc>
          <w:tcPr>
            <w:tcW w:w="1445" w:type="dxa"/>
            <w:vAlign w:val="center"/>
          </w:tcPr>
          <w:p>
            <w:pPr>
              <w:rPr>
                <w:b/>
                <w:noProof/>
                <w:sz w:val="20"/>
              </w:rPr>
            </w:pPr>
            <w:r>
              <w:rPr>
                <w:b/>
                <w:noProof/>
                <w:sz w:val="20"/>
              </w:rPr>
              <w:t>0,624</w:t>
            </w:r>
          </w:p>
        </w:tc>
      </w:tr>
      <w:tr>
        <w:trPr>
          <w:trHeight w:val="351"/>
          <w:jc w:val="center"/>
        </w:trPr>
        <w:tc>
          <w:tcPr>
            <w:tcW w:w="6054" w:type="dxa"/>
            <w:gridSpan w:val="3"/>
            <w:vAlign w:val="center"/>
          </w:tcPr>
          <w:p>
            <w:pPr>
              <w:rPr>
                <w:noProof/>
                <w:sz w:val="20"/>
              </w:rPr>
            </w:pPr>
            <w:r>
              <w:rPr>
                <w:noProof/>
                <w:sz w:val="20"/>
              </w:rPr>
              <w:sym w:font="Wingdings" w:char="F09F"/>
            </w:r>
            <w:r>
              <w:rPr>
                <w:noProof/>
                <w:sz w:val="20"/>
              </w:rPr>
              <w:t xml:space="preserve"> Alte cheltuieli administrative </w:t>
            </w:r>
          </w:p>
        </w:tc>
        <w:tc>
          <w:tcPr>
            <w:tcW w:w="868" w:type="dxa"/>
            <w:vAlign w:val="center"/>
          </w:tcPr>
          <w:p>
            <w:pPr>
              <w:rPr>
                <w:b/>
                <w:noProof/>
                <w:sz w:val="20"/>
              </w:rPr>
            </w:pPr>
            <w:r>
              <w:rPr>
                <w:noProof/>
                <w:sz w:val="20"/>
              </w:rPr>
              <w:t>0,018</w:t>
            </w:r>
          </w:p>
        </w:tc>
        <w:tc>
          <w:tcPr>
            <w:tcW w:w="868" w:type="dxa"/>
            <w:vAlign w:val="center"/>
          </w:tcPr>
          <w:p>
            <w:pPr>
              <w:rPr>
                <w:b/>
                <w:noProof/>
                <w:sz w:val="20"/>
              </w:rPr>
            </w:pPr>
            <w:r>
              <w:rPr>
                <w:noProof/>
                <w:sz w:val="20"/>
              </w:rPr>
              <w:t>0,018</w:t>
            </w:r>
          </w:p>
        </w:tc>
        <w:tc>
          <w:tcPr>
            <w:tcW w:w="868" w:type="dxa"/>
            <w:vAlign w:val="center"/>
          </w:tcPr>
          <w:p>
            <w:pPr>
              <w:rPr>
                <w:b/>
                <w:noProof/>
                <w:sz w:val="20"/>
              </w:rPr>
            </w:pPr>
            <w:r>
              <w:rPr>
                <w:noProof/>
                <w:sz w:val="20"/>
              </w:rPr>
              <w:t>0. 018</w:t>
            </w:r>
          </w:p>
        </w:tc>
        <w:tc>
          <w:tcPr>
            <w:tcW w:w="1200" w:type="dxa"/>
            <w:vAlign w:val="center"/>
          </w:tcPr>
          <w:p>
            <w:pPr>
              <w:rPr>
                <w:b/>
                <w:noProof/>
                <w:sz w:val="20"/>
              </w:rPr>
            </w:pPr>
          </w:p>
        </w:tc>
        <w:tc>
          <w:tcPr>
            <w:tcW w:w="1445" w:type="dxa"/>
            <w:vAlign w:val="center"/>
          </w:tcPr>
          <w:p>
            <w:pPr>
              <w:rPr>
                <w:b/>
                <w:noProof/>
                <w:sz w:val="20"/>
              </w:rPr>
            </w:pPr>
            <w:r>
              <w:rPr>
                <w:b/>
                <w:noProof/>
                <w:sz w:val="20"/>
              </w:rPr>
              <w:t>0,054</w:t>
            </w:r>
          </w:p>
        </w:tc>
      </w:tr>
      <w:tr>
        <w:trPr>
          <w:jc w:val="center"/>
        </w:trPr>
        <w:tc>
          <w:tcPr>
            <w:tcW w:w="3960" w:type="dxa"/>
            <w:vAlign w:val="center"/>
          </w:tcPr>
          <w:p>
            <w:pPr>
              <w:rPr>
                <w:b/>
                <w:noProof/>
                <w:sz w:val="20"/>
              </w:rPr>
            </w:pPr>
            <w:r>
              <w:rPr>
                <w:b/>
                <w:noProof/>
                <w:sz w:val="20"/>
              </w:rPr>
              <w:t>TOTAL DG RTD</w:t>
            </w:r>
          </w:p>
        </w:tc>
        <w:tc>
          <w:tcPr>
            <w:tcW w:w="2094" w:type="dxa"/>
            <w:gridSpan w:val="2"/>
            <w:vAlign w:val="center"/>
          </w:tcPr>
          <w:p>
            <w:pPr>
              <w:rPr>
                <w:noProof/>
                <w:sz w:val="20"/>
              </w:rPr>
            </w:pPr>
            <w:r>
              <w:rPr>
                <w:noProof/>
                <w:sz w:val="20"/>
              </w:rPr>
              <w:t xml:space="preserve">Credite </w:t>
            </w:r>
          </w:p>
        </w:tc>
        <w:tc>
          <w:tcPr>
            <w:tcW w:w="868" w:type="dxa"/>
            <w:vAlign w:val="center"/>
          </w:tcPr>
          <w:p>
            <w:pPr>
              <w:rPr>
                <w:noProof/>
                <w:sz w:val="20"/>
              </w:rPr>
            </w:pPr>
            <w:r>
              <w:rPr>
                <w:noProof/>
                <w:sz w:val="20"/>
              </w:rPr>
              <w:t>0,222</w:t>
            </w:r>
          </w:p>
        </w:tc>
        <w:tc>
          <w:tcPr>
            <w:tcW w:w="868" w:type="dxa"/>
            <w:vAlign w:val="center"/>
          </w:tcPr>
          <w:p>
            <w:pPr>
              <w:rPr>
                <w:noProof/>
                <w:sz w:val="20"/>
              </w:rPr>
            </w:pPr>
            <w:r>
              <w:rPr>
                <w:noProof/>
                <w:sz w:val="20"/>
              </w:rPr>
              <w:t>0,226</w:t>
            </w:r>
          </w:p>
        </w:tc>
        <w:tc>
          <w:tcPr>
            <w:tcW w:w="868" w:type="dxa"/>
            <w:vAlign w:val="center"/>
          </w:tcPr>
          <w:p>
            <w:pPr>
              <w:rPr>
                <w:noProof/>
                <w:sz w:val="20"/>
              </w:rPr>
            </w:pPr>
            <w:r>
              <w:rPr>
                <w:noProof/>
                <w:sz w:val="20"/>
              </w:rPr>
              <w:t>0,230</w:t>
            </w:r>
          </w:p>
        </w:tc>
        <w:tc>
          <w:tcPr>
            <w:tcW w:w="1200" w:type="dxa"/>
            <w:vAlign w:val="center"/>
          </w:tcPr>
          <w:p>
            <w:pPr>
              <w:rPr>
                <w:noProof/>
                <w:sz w:val="20"/>
              </w:rPr>
            </w:pPr>
          </w:p>
        </w:tc>
        <w:tc>
          <w:tcPr>
            <w:tcW w:w="1445" w:type="dxa"/>
            <w:vAlign w:val="center"/>
          </w:tcPr>
          <w:p>
            <w:pPr>
              <w:rPr>
                <w:b/>
                <w:noProof/>
                <w:sz w:val="20"/>
              </w:rPr>
            </w:pPr>
            <w:r>
              <w:rPr>
                <w:b/>
                <w:noProof/>
                <w:sz w:val="20"/>
              </w:rPr>
              <w:t>0,678</w:t>
            </w:r>
          </w:p>
        </w:tc>
      </w:tr>
    </w:tbl>
    <w:p>
      <w:pPr>
        <w:rPr>
          <w:noProof/>
          <w:sz w:val="20"/>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1200"/>
        <w:gridCol w:w="1445"/>
      </w:tblGrid>
      <w:tr>
        <w:trPr>
          <w:jc w:val="center"/>
        </w:trPr>
        <w:tc>
          <w:tcPr>
            <w:tcW w:w="3960" w:type="dxa"/>
            <w:shd w:val="thinDiagStripe" w:color="C0C0C0" w:fill="auto"/>
            <w:vAlign w:val="center"/>
          </w:tcPr>
          <w:p>
            <w:pPr>
              <w:rPr>
                <w:b/>
                <w:noProof/>
                <w:sz w:val="20"/>
              </w:rPr>
            </w:pPr>
            <w:r>
              <w:rPr>
                <w:b/>
                <w:noProof/>
                <w:sz w:val="20"/>
              </w:rPr>
              <w:t>TOTAL credite</w:t>
            </w:r>
            <w:r>
              <w:rPr>
                <w:noProof/>
                <w:sz w:val="20"/>
              </w:rPr>
              <w:br/>
            </w:r>
            <w:r>
              <w:rPr>
                <w:b/>
                <w:noProof/>
                <w:sz w:val="20"/>
              </w:rPr>
              <w:t>în cadrul RUBRICII 1A „Cheltuieli administrative”</w:t>
            </w:r>
            <w:r>
              <w:rPr>
                <w:noProof/>
                <w:sz w:val="20"/>
              </w:rPr>
              <w:br/>
              <w:t>din cadrul financiar multianual</w:t>
            </w:r>
            <w:r>
              <w:rPr>
                <w:b/>
                <w:noProof/>
                <w:sz w:val="20"/>
              </w:rPr>
              <w:t xml:space="preserve"> </w:t>
            </w:r>
          </w:p>
        </w:tc>
        <w:tc>
          <w:tcPr>
            <w:tcW w:w="2094" w:type="dxa"/>
            <w:vAlign w:val="center"/>
          </w:tcPr>
          <w:p>
            <w:pPr>
              <w:rPr>
                <w:noProof/>
                <w:sz w:val="20"/>
              </w:rPr>
            </w:pPr>
            <w:r>
              <w:rPr>
                <w:noProof/>
                <w:sz w:val="20"/>
              </w:rPr>
              <w:t>(Total angajamente = Total plăți)</w:t>
            </w:r>
          </w:p>
        </w:tc>
        <w:tc>
          <w:tcPr>
            <w:tcW w:w="868" w:type="dxa"/>
            <w:vAlign w:val="center"/>
          </w:tcPr>
          <w:p>
            <w:pPr>
              <w:rPr>
                <w:noProof/>
                <w:sz w:val="20"/>
              </w:rPr>
            </w:pPr>
            <w:r>
              <w:rPr>
                <w:noProof/>
                <w:sz w:val="20"/>
              </w:rPr>
              <w:t>0,222</w:t>
            </w:r>
          </w:p>
        </w:tc>
        <w:tc>
          <w:tcPr>
            <w:tcW w:w="868" w:type="dxa"/>
            <w:vAlign w:val="center"/>
          </w:tcPr>
          <w:p>
            <w:pPr>
              <w:rPr>
                <w:noProof/>
                <w:sz w:val="20"/>
              </w:rPr>
            </w:pPr>
            <w:r>
              <w:rPr>
                <w:noProof/>
                <w:sz w:val="20"/>
              </w:rPr>
              <w:t>0,226</w:t>
            </w:r>
          </w:p>
        </w:tc>
        <w:tc>
          <w:tcPr>
            <w:tcW w:w="868" w:type="dxa"/>
            <w:vAlign w:val="center"/>
          </w:tcPr>
          <w:p>
            <w:pPr>
              <w:rPr>
                <w:noProof/>
                <w:sz w:val="20"/>
              </w:rPr>
            </w:pPr>
            <w:r>
              <w:rPr>
                <w:noProof/>
                <w:sz w:val="20"/>
              </w:rPr>
              <w:t>0,230</w:t>
            </w:r>
          </w:p>
        </w:tc>
        <w:tc>
          <w:tcPr>
            <w:tcW w:w="1200" w:type="dxa"/>
            <w:vAlign w:val="center"/>
          </w:tcPr>
          <w:p>
            <w:pPr>
              <w:rPr>
                <w:noProof/>
                <w:sz w:val="20"/>
              </w:rPr>
            </w:pPr>
          </w:p>
        </w:tc>
        <w:tc>
          <w:tcPr>
            <w:tcW w:w="1445" w:type="dxa"/>
            <w:vAlign w:val="center"/>
          </w:tcPr>
          <w:p>
            <w:pPr>
              <w:rPr>
                <w:b/>
                <w:noProof/>
                <w:sz w:val="20"/>
              </w:rPr>
            </w:pPr>
            <w:r>
              <w:rPr>
                <w:b/>
                <w:noProof/>
                <w:sz w:val="20"/>
              </w:rPr>
              <w:t>0,678</w:t>
            </w:r>
          </w:p>
        </w:tc>
      </w:tr>
    </w:tbl>
    <w:p>
      <w:pPr>
        <w:rPr>
          <w:noProof/>
          <w:sz w:val="20"/>
        </w:rPr>
      </w:pPr>
      <w:r>
        <w:rPr>
          <w:noProof/>
          <w:sz w:val="20"/>
        </w:rPr>
        <w:t xml:space="preserve">                                                                                           milioane EUR (cu trei zecimale)</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934"/>
        <w:gridCol w:w="1134"/>
        <w:gridCol w:w="1445"/>
      </w:tblGrid>
      <w:tr>
        <w:trPr>
          <w:jc w:val="center"/>
        </w:trPr>
        <w:tc>
          <w:tcPr>
            <w:tcW w:w="3960" w:type="dxa"/>
            <w:tcBorders>
              <w:top w:val="nil"/>
              <w:left w:val="nil"/>
              <w:right w:val="nil"/>
            </w:tcBorders>
            <w:vAlign w:val="center"/>
          </w:tcPr>
          <w:p>
            <w:pPr>
              <w:rPr>
                <w:noProof/>
                <w:sz w:val="20"/>
              </w:rPr>
            </w:pPr>
          </w:p>
        </w:tc>
        <w:tc>
          <w:tcPr>
            <w:tcW w:w="1560" w:type="dxa"/>
            <w:tcBorders>
              <w:top w:val="nil"/>
              <w:left w:val="nil"/>
              <w:right w:val="nil"/>
            </w:tcBorders>
          </w:tcPr>
          <w:p>
            <w:pPr>
              <w:rPr>
                <w:noProof/>
                <w:sz w:val="20"/>
              </w:rPr>
            </w:pPr>
          </w:p>
        </w:tc>
        <w:tc>
          <w:tcPr>
            <w:tcW w:w="534" w:type="dxa"/>
            <w:tcBorders>
              <w:top w:val="nil"/>
              <w:left w:val="nil"/>
            </w:tcBorders>
          </w:tcPr>
          <w:p>
            <w:pPr>
              <w:rPr>
                <w:noProof/>
                <w:sz w:val="20"/>
              </w:rPr>
            </w:pPr>
          </w:p>
        </w:tc>
        <w:tc>
          <w:tcPr>
            <w:tcW w:w="868" w:type="dxa"/>
            <w:vAlign w:val="center"/>
          </w:tcPr>
          <w:p>
            <w:pPr>
              <w:rPr>
                <w:noProof/>
                <w:sz w:val="20"/>
              </w:rPr>
            </w:pPr>
            <w:r>
              <w:rPr>
                <w:noProof/>
                <w:sz w:val="20"/>
              </w:rPr>
              <w:t>An</w:t>
            </w:r>
            <w:r>
              <w:rPr>
                <w:noProof/>
                <w:sz w:val="20"/>
              </w:rPr>
              <w:br/>
            </w:r>
            <w:r>
              <w:rPr>
                <w:b/>
                <w:noProof/>
                <w:sz w:val="20"/>
              </w:rPr>
              <w:t>2018</w:t>
            </w:r>
            <w:r>
              <w:rPr>
                <w:rStyle w:val="FootnoteReference"/>
                <w:noProof/>
              </w:rPr>
              <w:footnoteReference w:id="19"/>
            </w:r>
          </w:p>
        </w:tc>
        <w:tc>
          <w:tcPr>
            <w:tcW w:w="868" w:type="dxa"/>
            <w:vAlign w:val="center"/>
          </w:tcPr>
          <w:p>
            <w:pPr>
              <w:rPr>
                <w:noProof/>
                <w:sz w:val="20"/>
              </w:rPr>
            </w:pPr>
            <w:r>
              <w:rPr>
                <w:noProof/>
                <w:sz w:val="20"/>
              </w:rPr>
              <w:t>An</w:t>
            </w:r>
            <w:r>
              <w:rPr>
                <w:noProof/>
                <w:sz w:val="20"/>
              </w:rPr>
              <w:br/>
            </w:r>
            <w:r>
              <w:rPr>
                <w:b/>
                <w:noProof/>
                <w:sz w:val="20"/>
              </w:rPr>
              <w:t>2019</w:t>
            </w:r>
          </w:p>
        </w:tc>
        <w:tc>
          <w:tcPr>
            <w:tcW w:w="934" w:type="dxa"/>
            <w:vAlign w:val="center"/>
          </w:tcPr>
          <w:p>
            <w:pPr>
              <w:rPr>
                <w:noProof/>
                <w:sz w:val="20"/>
              </w:rPr>
            </w:pPr>
            <w:r>
              <w:rPr>
                <w:noProof/>
                <w:sz w:val="20"/>
              </w:rPr>
              <w:t>An</w:t>
            </w:r>
            <w:r>
              <w:rPr>
                <w:noProof/>
                <w:sz w:val="20"/>
              </w:rPr>
              <w:br/>
            </w:r>
            <w:r>
              <w:rPr>
                <w:b/>
                <w:noProof/>
                <w:sz w:val="20"/>
              </w:rPr>
              <w:t>2020</w:t>
            </w:r>
          </w:p>
        </w:tc>
        <w:tc>
          <w:tcPr>
            <w:tcW w:w="1134" w:type="dxa"/>
            <w:vAlign w:val="center"/>
          </w:tcPr>
          <w:p>
            <w:pPr>
              <w:rPr>
                <w:noProof/>
                <w:sz w:val="20"/>
              </w:rPr>
            </w:pPr>
            <w:r>
              <w:rPr>
                <w:noProof/>
                <w:sz w:val="20"/>
              </w:rPr>
              <w:t>An</w:t>
            </w:r>
            <w:r>
              <w:rPr>
                <w:noProof/>
                <w:sz w:val="20"/>
              </w:rPr>
              <w:br/>
            </w:r>
            <w:r>
              <w:rPr>
                <w:b/>
                <w:noProof/>
                <w:sz w:val="20"/>
              </w:rPr>
              <w:t>2021-2029</w:t>
            </w:r>
          </w:p>
        </w:tc>
        <w:tc>
          <w:tcPr>
            <w:tcW w:w="1445" w:type="dxa"/>
            <w:vAlign w:val="center"/>
          </w:tcPr>
          <w:p>
            <w:pPr>
              <w:rPr>
                <w:b/>
                <w:noProof/>
                <w:sz w:val="20"/>
              </w:rPr>
            </w:pPr>
            <w:r>
              <w:rPr>
                <w:b/>
                <w:noProof/>
                <w:sz w:val="20"/>
              </w:rPr>
              <w:t>TOTAL</w:t>
            </w:r>
          </w:p>
        </w:tc>
      </w:tr>
      <w:tr>
        <w:trPr>
          <w:jc w:val="center"/>
        </w:trPr>
        <w:tc>
          <w:tcPr>
            <w:tcW w:w="3960" w:type="dxa"/>
            <w:vMerge w:val="restart"/>
            <w:shd w:val="clear" w:color="auto" w:fill="C0C0C0"/>
            <w:vAlign w:val="center"/>
          </w:tcPr>
          <w:p>
            <w:pPr>
              <w:rPr>
                <w:b/>
                <w:noProof/>
                <w:sz w:val="20"/>
              </w:rPr>
            </w:pPr>
            <w:r>
              <w:rPr>
                <w:b/>
                <w:noProof/>
                <w:sz w:val="20"/>
              </w:rPr>
              <w:t xml:space="preserve">TOTAL credite </w:t>
            </w:r>
            <w:r>
              <w:rPr>
                <w:noProof/>
                <w:sz w:val="20"/>
              </w:rPr>
              <w:br/>
            </w:r>
            <w:r>
              <w:rPr>
                <w:b/>
                <w:noProof/>
                <w:sz w:val="20"/>
              </w:rPr>
              <w:t>în cadrul RUBRICILOR 1-5</w:t>
            </w:r>
            <w:r>
              <w:rPr>
                <w:noProof/>
                <w:sz w:val="20"/>
              </w:rPr>
              <w:br/>
              <w:t>din cadrul financiar multianual</w:t>
            </w:r>
            <w:r>
              <w:rPr>
                <w:b/>
                <w:noProof/>
                <w:sz w:val="20"/>
              </w:rPr>
              <w:t xml:space="preserve"> </w:t>
            </w:r>
          </w:p>
        </w:tc>
        <w:tc>
          <w:tcPr>
            <w:tcW w:w="2094" w:type="dxa"/>
            <w:gridSpan w:val="2"/>
            <w:vAlign w:val="center"/>
          </w:tcPr>
          <w:p>
            <w:pPr>
              <w:rPr>
                <w:noProof/>
                <w:sz w:val="20"/>
              </w:rPr>
            </w:pPr>
            <w:r>
              <w:rPr>
                <w:noProof/>
                <w:sz w:val="20"/>
              </w:rPr>
              <w:t>Angajamente</w:t>
            </w:r>
          </w:p>
        </w:tc>
        <w:tc>
          <w:tcPr>
            <w:tcW w:w="868" w:type="dxa"/>
            <w:vAlign w:val="center"/>
          </w:tcPr>
          <w:p>
            <w:pPr>
              <w:rPr>
                <w:noProof/>
                <w:sz w:val="20"/>
              </w:rPr>
            </w:pPr>
            <w:r>
              <w:rPr>
                <w:noProof/>
                <w:sz w:val="20"/>
              </w:rPr>
              <w:t>20,222</w:t>
            </w:r>
          </w:p>
        </w:tc>
        <w:tc>
          <w:tcPr>
            <w:tcW w:w="868" w:type="dxa"/>
            <w:vAlign w:val="center"/>
          </w:tcPr>
          <w:p>
            <w:pPr>
              <w:rPr>
                <w:noProof/>
                <w:sz w:val="20"/>
              </w:rPr>
            </w:pPr>
            <w:r>
              <w:rPr>
                <w:noProof/>
                <w:sz w:val="20"/>
              </w:rPr>
              <w:t>20,226</w:t>
            </w:r>
          </w:p>
        </w:tc>
        <w:tc>
          <w:tcPr>
            <w:tcW w:w="934" w:type="dxa"/>
            <w:vAlign w:val="center"/>
          </w:tcPr>
          <w:p>
            <w:pPr>
              <w:rPr>
                <w:noProof/>
                <w:sz w:val="20"/>
              </w:rPr>
            </w:pPr>
            <w:r>
              <w:rPr>
                <w:noProof/>
                <w:sz w:val="20"/>
              </w:rPr>
              <w:t>160,230</w:t>
            </w:r>
          </w:p>
        </w:tc>
        <w:tc>
          <w:tcPr>
            <w:tcW w:w="1134" w:type="dxa"/>
            <w:vAlign w:val="center"/>
          </w:tcPr>
          <w:p>
            <w:pPr>
              <w:rPr>
                <w:noProof/>
                <w:sz w:val="20"/>
              </w:rPr>
            </w:pPr>
          </w:p>
        </w:tc>
        <w:tc>
          <w:tcPr>
            <w:tcW w:w="1445" w:type="dxa"/>
            <w:vAlign w:val="center"/>
          </w:tcPr>
          <w:p>
            <w:pPr>
              <w:rPr>
                <w:b/>
                <w:noProof/>
                <w:sz w:val="20"/>
              </w:rPr>
            </w:pPr>
            <w:r>
              <w:rPr>
                <w:b/>
                <w:noProof/>
                <w:sz w:val="20"/>
              </w:rPr>
              <w:t>200,678</w:t>
            </w:r>
          </w:p>
        </w:tc>
      </w:tr>
      <w:tr>
        <w:trPr>
          <w:jc w:val="center"/>
        </w:trPr>
        <w:tc>
          <w:tcPr>
            <w:tcW w:w="3960" w:type="dxa"/>
            <w:vMerge/>
            <w:shd w:val="clear" w:color="auto" w:fill="C0C0C0"/>
          </w:tcPr>
          <w:p>
            <w:pPr>
              <w:rPr>
                <w:noProof/>
                <w:sz w:val="20"/>
              </w:rPr>
            </w:pPr>
          </w:p>
        </w:tc>
        <w:tc>
          <w:tcPr>
            <w:tcW w:w="2094" w:type="dxa"/>
            <w:gridSpan w:val="2"/>
            <w:vAlign w:val="center"/>
          </w:tcPr>
          <w:p>
            <w:pPr>
              <w:rPr>
                <w:noProof/>
                <w:sz w:val="20"/>
              </w:rPr>
            </w:pPr>
            <w:r>
              <w:rPr>
                <w:noProof/>
                <w:sz w:val="20"/>
              </w:rPr>
              <w:t>Plăți</w:t>
            </w:r>
          </w:p>
        </w:tc>
        <w:tc>
          <w:tcPr>
            <w:tcW w:w="868" w:type="dxa"/>
            <w:vAlign w:val="center"/>
          </w:tcPr>
          <w:p>
            <w:pPr>
              <w:rPr>
                <w:noProof/>
                <w:sz w:val="20"/>
              </w:rPr>
            </w:pPr>
            <w:r>
              <w:rPr>
                <w:noProof/>
                <w:sz w:val="20"/>
              </w:rPr>
              <w:t>4,222</w:t>
            </w:r>
          </w:p>
        </w:tc>
        <w:tc>
          <w:tcPr>
            <w:tcW w:w="868" w:type="dxa"/>
            <w:vAlign w:val="center"/>
          </w:tcPr>
          <w:p>
            <w:pPr>
              <w:rPr>
                <w:noProof/>
                <w:sz w:val="20"/>
              </w:rPr>
            </w:pPr>
            <w:r>
              <w:rPr>
                <w:noProof/>
                <w:sz w:val="20"/>
              </w:rPr>
              <w:t>10,226</w:t>
            </w:r>
          </w:p>
        </w:tc>
        <w:tc>
          <w:tcPr>
            <w:tcW w:w="934" w:type="dxa"/>
            <w:vAlign w:val="center"/>
          </w:tcPr>
          <w:p>
            <w:pPr>
              <w:rPr>
                <w:noProof/>
                <w:sz w:val="20"/>
              </w:rPr>
            </w:pPr>
            <w:r>
              <w:rPr>
                <w:noProof/>
                <w:sz w:val="20"/>
              </w:rPr>
              <w:t>10,230</w:t>
            </w:r>
          </w:p>
        </w:tc>
        <w:tc>
          <w:tcPr>
            <w:tcW w:w="1134" w:type="dxa"/>
            <w:vAlign w:val="center"/>
          </w:tcPr>
          <w:p>
            <w:pPr>
              <w:rPr>
                <w:noProof/>
                <w:sz w:val="20"/>
              </w:rPr>
            </w:pPr>
            <w:r>
              <w:rPr>
                <w:noProof/>
                <w:sz w:val="20"/>
              </w:rPr>
              <w:t>176,000</w:t>
            </w:r>
          </w:p>
        </w:tc>
        <w:tc>
          <w:tcPr>
            <w:tcW w:w="1445" w:type="dxa"/>
            <w:vAlign w:val="center"/>
          </w:tcPr>
          <w:p>
            <w:pPr>
              <w:rPr>
                <w:b/>
                <w:noProof/>
                <w:sz w:val="20"/>
              </w:rPr>
            </w:pPr>
            <w:r>
              <w:rPr>
                <w:b/>
                <w:noProof/>
                <w:sz w:val="20"/>
              </w:rPr>
              <w:t>200,678</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Impactul estimat asupra creditelor operaționale </w:t>
      </w:r>
    </w:p>
    <w:p>
      <w:pPr>
        <w:pStyle w:val="ListDash1"/>
        <w:rPr>
          <w:noProof/>
        </w:rPr>
      </w:pPr>
      <w:r>
        <w:rPr>
          <w:noProof/>
        </w:rPr>
        <w:sym w:font="Wingdings" w:char="F0A8"/>
      </w:r>
      <w:r>
        <w:rPr>
          <w:noProof/>
        </w:rPr>
        <w:tab/>
        <w:t xml:space="preserve">Propunerea/inițiativa nu implică utilizarea de credite operaționale </w:t>
      </w:r>
    </w:p>
    <w:p>
      <w:pPr>
        <w:pStyle w:val="ListDash1"/>
        <w:rPr>
          <w:noProof/>
        </w:rPr>
      </w:pPr>
      <w:r>
        <w:rPr>
          <w:noProof/>
        </w:rPr>
        <w:sym w:font="Wingdings" w:char="F0FD"/>
      </w:r>
      <w:r>
        <w:rPr>
          <w:noProof/>
        </w:rPr>
        <w:tab/>
        <w:t>Propunerea/inițiativa implică utilizarea de credite operaționale, conform explicațiilor de mai jos:</w:t>
      </w:r>
    </w:p>
    <w:p>
      <w:pPr>
        <w:jc w:val="right"/>
        <w:rPr>
          <w:b/>
          <w:noProof/>
          <w:sz w:val="18"/>
        </w:rPr>
      </w:pPr>
      <w:r>
        <w:rPr>
          <w:noProof/>
          <w:sz w:val="20"/>
        </w:rPr>
        <w:t xml:space="preserve">Credite de angajament în milioane EUR (cu trei zecimale) </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1134"/>
        <w:gridCol w:w="441"/>
        <w:gridCol w:w="410"/>
        <w:gridCol w:w="850"/>
        <w:gridCol w:w="426"/>
        <w:gridCol w:w="850"/>
        <w:gridCol w:w="425"/>
        <w:gridCol w:w="851"/>
        <w:gridCol w:w="425"/>
        <w:gridCol w:w="851"/>
        <w:gridCol w:w="567"/>
        <w:gridCol w:w="850"/>
        <w:gridCol w:w="425"/>
        <w:gridCol w:w="851"/>
        <w:gridCol w:w="425"/>
        <w:gridCol w:w="851"/>
        <w:gridCol w:w="708"/>
        <w:gridCol w:w="993"/>
        <w:gridCol w:w="906"/>
        <w:gridCol w:w="900"/>
      </w:tblGrid>
      <w:tr>
        <w:trPr>
          <w:gridAfter w:val="2"/>
          <w:wAfter w:w="1806" w:type="dxa"/>
        </w:trPr>
        <w:tc>
          <w:tcPr>
            <w:tcW w:w="1269" w:type="dxa"/>
            <w:vMerge w:val="restart"/>
            <w:vAlign w:val="center"/>
          </w:tcPr>
          <w:p>
            <w:pPr>
              <w:jc w:val="right"/>
              <w:rPr>
                <w:b/>
                <w:noProof/>
                <w:sz w:val="18"/>
              </w:rPr>
            </w:pPr>
            <w:r>
              <w:rPr>
                <w:b/>
                <w:noProof/>
                <w:sz w:val="18"/>
              </w:rPr>
              <w:t xml:space="preserve">Indicați obiectivele și realizările </w:t>
            </w:r>
          </w:p>
          <w:p>
            <w:pPr>
              <w:jc w:val="right"/>
              <w:rPr>
                <w:b/>
                <w:noProof/>
                <w:sz w:val="18"/>
              </w:rPr>
            </w:pPr>
          </w:p>
          <w:p>
            <w:pPr>
              <w:jc w:val="right"/>
              <w:rPr>
                <w:b/>
                <w:noProof/>
                <w:sz w:val="18"/>
              </w:rPr>
            </w:pPr>
            <w:r>
              <w:rPr>
                <w:b/>
                <w:noProof/>
                <w:sz w:val="18"/>
              </w:rPr>
              <w:sym w:font="Wingdings" w:char="F0F2"/>
            </w:r>
          </w:p>
        </w:tc>
        <w:tc>
          <w:tcPr>
            <w:tcW w:w="1134" w:type="dxa"/>
            <w:vAlign w:val="center"/>
          </w:tcPr>
          <w:p>
            <w:pPr>
              <w:jc w:val="right"/>
              <w:rPr>
                <w:b/>
                <w:noProof/>
                <w:sz w:val="18"/>
              </w:rPr>
            </w:pPr>
          </w:p>
        </w:tc>
        <w:tc>
          <w:tcPr>
            <w:tcW w:w="441" w:type="dxa"/>
            <w:vAlign w:val="center"/>
          </w:tcPr>
          <w:p>
            <w:pPr>
              <w:jc w:val="right"/>
              <w:rPr>
                <w:b/>
                <w:noProof/>
                <w:sz w:val="18"/>
              </w:rPr>
            </w:pPr>
          </w:p>
        </w:tc>
        <w:tc>
          <w:tcPr>
            <w:tcW w:w="1260" w:type="dxa"/>
            <w:gridSpan w:val="2"/>
            <w:tcBorders>
              <w:left w:val="nil"/>
            </w:tcBorders>
            <w:vAlign w:val="center"/>
          </w:tcPr>
          <w:p>
            <w:pPr>
              <w:jc w:val="right"/>
              <w:rPr>
                <w:b/>
                <w:noProof/>
                <w:sz w:val="18"/>
              </w:rPr>
            </w:pPr>
            <w:r>
              <w:rPr>
                <w:b/>
                <w:noProof/>
                <w:sz w:val="18"/>
              </w:rPr>
              <w:t>An</w:t>
            </w:r>
            <w:r>
              <w:rPr>
                <w:b/>
                <w:noProof/>
                <w:sz w:val="18"/>
              </w:rPr>
              <w:br/>
              <w:t>2019</w:t>
            </w:r>
          </w:p>
        </w:tc>
        <w:tc>
          <w:tcPr>
            <w:tcW w:w="1276" w:type="dxa"/>
            <w:gridSpan w:val="2"/>
            <w:vAlign w:val="center"/>
          </w:tcPr>
          <w:p>
            <w:pPr>
              <w:jc w:val="right"/>
              <w:rPr>
                <w:b/>
                <w:noProof/>
                <w:sz w:val="18"/>
              </w:rPr>
            </w:pPr>
            <w:r>
              <w:rPr>
                <w:b/>
                <w:noProof/>
                <w:sz w:val="18"/>
              </w:rPr>
              <w:t>An</w:t>
            </w:r>
            <w:r>
              <w:rPr>
                <w:b/>
                <w:noProof/>
                <w:sz w:val="18"/>
              </w:rPr>
              <w:br/>
              <w:t>2020</w:t>
            </w:r>
          </w:p>
        </w:tc>
        <w:tc>
          <w:tcPr>
            <w:tcW w:w="1276" w:type="dxa"/>
            <w:gridSpan w:val="2"/>
            <w:vAlign w:val="center"/>
          </w:tcPr>
          <w:p>
            <w:pPr>
              <w:jc w:val="right"/>
              <w:rPr>
                <w:b/>
                <w:noProof/>
                <w:sz w:val="18"/>
              </w:rPr>
            </w:pPr>
            <w:r>
              <w:rPr>
                <w:b/>
                <w:noProof/>
                <w:sz w:val="18"/>
              </w:rPr>
              <w:t>An</w:t>
            </w:r>
            <w:r>
              <w:rPr>
                <w:b/>
                <w:noProof/>
                <w:sz w:val="18"/>
              </w:rPr>
              <w:br/>
              <w:t>2021</w:t>
            </w:r>
          </w:p>
        </w:tc>
        <w:tc>
          <w:tcPr>
            <w:tcW w:w="1276" w:type="dxa"/>
            <w:gridSpan w:val="2"/>
            <w:vAlign w:val="center"/>
          </w:tcPr>
          <w:p>
            <w:pPr>
              <w:jc w:val="right"/>
              <w:rPr>
                <w:b/>
                <w:noProof/>
                <w:sz w:val="18"/>
              </w:rPr>
            </w:pPr>
            <w:r>
              <w:rPr>
                <w:b/>
                <w:noProof/>
                <w:sz w:val="18"/>
              </w:rPr>
              <w:t>An</w:t>
            </w:r>
            <w:r>
              <w:rPr>
                <w:b/>
                <w:noProof/>
                <w:sz w:val="18"/>
              </w:rPr>
              <w:br/>
              <w:t>2022</w:t>
            </w:r>
          </w:p>
        </w:tc>
        <w:tc>
          <w:tcPr>
            <w:tcW w:w="1417" w:type="dxa"/>
            <w:gridSpan w:val="2"/>
            <w:vAlign w:val="center"/>
          </w:tcPr>
          <w:p>
            <w:pPr>
              <w:jc w:val="right"/>
              <w:rPr>
                <w:b/>
                <w:noProof/>
                <w:sz w:val="18"/>
              </w:rPr>
            </w:pPr>
            <w:r>
              <w:rPr>
                <w:b/>
                <w:noProof/>
                <w:sz w:val="18"/>
              </w:rPr>
              <w:t>An</w:t>
            </w:r>
            <w:r>
              <w:rPr>
                <w:b/>
                <w:noProof/>
                <w:sz w:val="18"/>
              </w:rPr>
              <w:br/>
              <w:t>2023</w:t>
            </w:r>
          </w:p>
        </w:tc>
        <w:tc>
          <w:tcPr>
            <w:tcW w:w="1276" w:type="dxa"/>
            <w:gridSpan w:val="2"/>
            <w:vAlign w:val="center"/>
          </w:tcPr>
          <w:p>
            <w:pPr>
              <w:jc w:val="right"/>
              <w:rPr>
                <w:b/>
                <w:noProof/>
                <w:sz w:val="18"/>
              </w:rPr>
            </w:pPr>
            <w:r>
              <w:rPr>
                <w:b/>
                <w:noProof/>
                <w:sz w:val="18"/>
              </w:rPr>
              <w:t>An</w:t>
            </w:r>
            <w:r>
              <w:rPr>
                <w:b/>
                <w:noProof/>
                <w:sz w:val="18"/>
              </w:rPr>
              <w:br/>
              <w:t>2024</w:t>
            </w:r>
          </w:p>
        </w:tc>
        <w:tc>
          <w:tcPr>
            <w:tcW w:w="1276" w:type="dxa"/>
            <w:gridSpan w:val="2"/>
            <w:vAlign w:val="center"/>
          </w:tcPr>
          <w:p>
            <w:pPr>
              <w:jc w:val="right"/>
              <w:rPr>
                <w:b/>
                <w:noProof/>
                <w:sz w:val="18"/>
              </w:rPr>
            </w:pPr>
            <w:r>
              <w:rPr>
                <w:b/>
                <w:noProof/>
                <w:sz w:val="18"/>
              </w:rPr>
              <w:t>An</w:t>
            </w:r>
            <w:r>
              <w:rPr>
                <w:b/>
                <w:noProof/>
                <w:sz w:val="18"/>
              </w:rPr>
              <w:br/>
              <w:t>2025</w:t>
            </w:r>
          </w:p>
        </w:tc>
        <w:tc>
          <w:tcPr>
            <w:tcW w:w="1701" w:type="dxa"/>
            <w:gridSpan w:val="2"/>
            <w:tcBorders>
              <w:left w:val="nil"/>
              <w:bottom w:val="nil"/>
            </w:tcBorders>
            <w:vAlign w:val="center"/>
          </w:tcPr>
          <w:p>
            <w:pPr>
              <w:jc w:val="right"/>
              <w:rPr>
                <w:b/>
                <w:noProof/>
                <w:sz w:val="18"/>
              </w:rPr>
            </w:pPr>
            <w:r>
              <w:rPr>
                <w:b/>
                <w:noProof/>
                <w:sz w:val="18"/>
              </w:rPr>
              <w:t>TOTAL</w:t>
            </w:r>
          </w:p>
        </w:tc>
      </w:tr>
      <w:tr>
        <w:trPr>
          <w:gridAfter w:val="2"/>
          <w:wAfter w:w="1806" w:type="dxa"/>
        </w:trPr>
        <w:tc>
          <w:tcPr>
            <w:tcW w:w="1269" w:type="dxa"/>
            <w:vMerge/>
            <w:vAlign w:val="center"/>
          </w:tcPr>
          <w:p>
            <w:pPr>
              <w:jc w:val="right"/>
              <w:rPr>
                <w:b/>
                <w:noProof/>
                <w:sz w:val="18"/>
              </w:rPr>
            </w:pPr>
          </w:p>
        </w:tc>
        <w:tc>
          <w:tcPr>
            <w:tcW w:w="12333" w:type="dxa"/>
            <w:gridSpan w:val="18"/>
            <w:vAlign w:val="center"/>
          </w:tcPr>
          <w:p>
            <w:pPr>
              <w:jc w:val="right"/>
              <w:rPr>
                <w:b/>
                <w:noProof/>
                <w:sz w:val="18"/>
              </w:rPr>
            </w:pPr>
            <w:r>
              <w:rPr>
                <w:b/>
                <w:noProof/>
                <w:sz w:val="18"/>
              </w:rPr>
              <w:t>REALIZĂRI</w:t>
            </w:r>
          </w:p>
        </w:tc>
      </w:tr>
      <w:tr>
        <w:trPr>
          <w:gridAfter w:val="2"/>
          <w:wAfter w:w="1806" w:type="dxa"/>
          <w:cantSplit/>
          <w:trHeight w:val="1134"/>
        </w:trPr>
        <w:tc>
          <w:tcPr>
            <w:tcW w:w="1269" w:type="dxa"/>
            <w:vMerge/>
            <w:vAlign w:val="center"/>
          </w:tcPr>
          <w:p>
            <w:pPr>
              <w:jc w:val="right"/>
              <w:rPr>
                <w:b/>
                <w:noProof/>
                <w:sz w:val="18"/>
              </w:rPr>
            </w:pPr>
          </w:p>
        </w:tc>
        <w:tc>
          <w:tcPr>
            <w:tcW w:w="1134" w:type="dxa"/>
            <w:vAlign w:val="center"/>
          </w:tcPr>
          <w:p>
            <w:pPr>
              <w:jc w:val="right"/>
              <w:rPr>
                <w:b/>
                <w:noProof/>
                <w:sz w:val="18"/>
              </w:rPr>
            </w:pPr>
            <w:r>
              <w:rPr>
                <w:b/>
                <w:noProof/>
                <w:sz w:val="18"/>
              </w:rPr>
              <w:t>Tip</w:t>
            </w:r>
            <w:r>
              <w:rPr>
                <w:rStyle w:val="FootnoteReference"/>
                <w:noProof/>
              </w:rPr>
              <w:footnoteReference w:id="20"/>
            </w:r>
          </w:p>
          <w:p>
            <w:pPr>
              <w:jc w:val="right"/>
              <w:rPr>
                <w:b/>
                <w:noProof/>
                <w:sz w:val="18"/>
              </w:rPr>
            </w:pPr>
          </w:p>
        </w:tc>
        <w:tc>
          <w:tcPr>
            <w:tcW w:w="441" w:type="dxa"/>
            <w:vAlign w:val="center"/>
          </w:tcPr>
          <w:p>
            <w:pPr>
              <w:jc w:val="right"/>
              <w:rPr>
                <w:b/>
                <w:noProof/>
                <w:sz w:val="18"/>
              </w:rPr>
            </w:pPr>
            <w:r>
              <w:rPr>
                <w:b/>
                <w:noProof/>
                <w:sz w:val="18"/>
              </w:rPr>
              <w:t>Cost mediu</w:t>
            </w:r>
          </w:p>
        </w:tc>
        <w:tc>
          <w:tcPr>
            <w:tcW w:w="410" w:type="dxa"/>
            <w:tcBorders>
              <w:left w:val="nil"/>
              <w:right w:val="dashSmallGap" w:sz="4" w:space="0" w:color="auto"/>
            </w:tcBorders>
            <w:shd w:val="pct10" w:color="auto" w:fill="auto"/>
            <w:textDirection w:val="btLr"/>
            <w:vAlign w:val="center"/>
          </w:tcPr>
          <w:p>
            <w:pPr>
              <w:jc w:val="center"/>
              <w:rPr>
                <w:b/>
                <w:noProof/>
                <w:sz w:val="18"/>
              </w:rPr>
            </w:pPr>
            <w:r>
              <w:rPr>
                <w:b/>
                <w:noProof/>
                <w:sz w:val="18"/>
              </w:rPr>
              <w:t>Nr</w:t>
            </w:r>
          </w:p>
        </w:tc>
        <w:tc>
          <w:tcPr>
            <w:tcW w:w="850" w:type="dxa"/>
            <w:tcBorders>
              <w:left w:val="dashSmallGap" w:sz="4" w:space="0" w:color="auto"/>
            </w:tcBorders>
            <w:shd w:val="pct10" w:color="auto" w:fill="auto"/>
            <w:vAlign w:val="center"/>
          </w:tcPr>
          <w:p>
            <w:pPr>
              <w:jc w:val="right"/>
              <w:rPr>
                <w:b/>
                <w:noProof/>
                <w:sz w:val="18"/>
              </w:rPr>
            </w:pPr>
            <w:r>
              <w:rPr>
                <w:b/>
                <w:noProof/>
                <w:sz w:val="18"/>
              </w:rPr>
              <w:t>Cost</w:t>
            </w:r>
          </w:p>
        </w:tc>
        <w:tc>
          <w:tcPr>
            <w:tcW w:w="426" w:type="dxa"/>
            <w:tcBorders>
              <w:right w:val="dashSmallGap" w:sz="4" w:space="0" w:color="auto"/>
            </w:tcBorders>
            <w:shd w:val="pct10" w:color="auto" w:fill="auto"/>
            <w:textDirection w:val="btLr"/>
            <w:vAlign w:val="center"/>
          </w:tcPr>
          <w:p>
            <w:pPr>
              <w:jc w:val="center"/>
              <w:rPr>
                <w:b/>
                <w:noProof/>
                <w:sz w:val="18"/>
              </w:rPr>
            </w:pPr>
            <w:r>
              <w:rPr>
                <w:b/>
                <w:noProof/>
                <w:sz w:val="18"/>
              </w:rPr>
              <w:t>Nr</w:t>
            </w:r>
          </w:p>
        </w:tc>
        <w:tc>
          <w:tcPr>
            <w:tcW w:w="850" w:type="dxa"/>
            <w:tcBorders>
              <w:left w:val="dashSmallGap" w:sz="4" w:space="0" w:color="auto"/>
            </w:tcBorders>
            <w:shd w:val="pct10" w:color="auto" w:fill="auto"/>
            <w:vAlign w:val="center"/>
          </w:tcPr>
          <w:p>
            <w:pPr>
              <w:jc w:val="right"/>
              <w:rPr>
                <w:b/>
                <w:noProof/>
                <w:sz w:val="18"/>
              </w:rPr>
            </w:pPr>
            <w:r>
              <w:rPr>
                <w:b/>
                <w:noProof/>
                <w:sz w:val="18"/>
              </w:rPr>
              <w:t>Cost</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Nr</w:t>
            </w:r>
          </w:p>
        </w:tc>
        <w:tc>
          <w:tcPr>
            <w:tcW w:w="851" w:type="dxa"/>
            <w:tcBorders>
              <w:left w:val="dashSmallGap" w:sz="4" w:space="0" w:color="auto"/>
            </w:tcBorders>
            <w:shd w:val="pct10" w:color="auto" w:fill="auto"/>
            <w:vAlign w:val="center"/>
          </w:tcPr>
          <w:p>
            <w:pPr>
              <w:jc w:val="right"/>
              <w:rPr>
                <w:b/>
                <w:noProof/>
                <w:sz w:val="18"/>
              </w:rPr>
            </w:pPr>
            <w:r>
              <w:rPr>
                <w:b/>
                <w:noProof/>
                <w:sz w:val="18"/>
              </w:rPr>
              <w:t>Cost</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Nr</w:t>
            </w:r>
          </w:p>
        </w:tc>
        <w:tc>
          <w:tcPr>
            <w:tcW w:w="851" w:type="dxa"/>
            <w:tcBorders>
              <w:left w:val="dashSmallGap" w:sz="4" w:space="0" w:color="auto"/>
            </w:tcBorders>
            <w:shd w:val="pct10" w:color="auto" w:fill="auto"/>
            <w:vAlign w:val="center"/>
          </w:tcPr>
          <w:p>
            <w:pPr>
              <w:jc w:val="right"/>
              <w:rPr>
                <w:b/>
                <w:noProof/>
                <w:sz w:val="18"/>
              </w:rPr>
            </w:pPr>
            <w:r>
              <w:rPr>
                <w:b/>
                <w:noProof/>
                <w:sz w:val="18"/>
              </w:rPr>
              <w:t>Cost</w:t>
            </w:r>
          </w:p>
        </w:tc>
        <w:tc>
          <w:tcPr>
            <w:tcW w:w="567" w:type="dxa"/>
            <w:tcBorders>
              <w:right w:val="dashSmallGap" w:sz="4" w:space="0" w:color="auto"/>
            </w:tcBorders>
            <w:shd w:val="pct10" w:color="auto" w:fill="auto"/>
            <w:textDirection w:val="btLr"/>
            <w:vAlign w:val="center"/>
          </w:tcPr>
          <w:p>
            <w:pPr>
              <w:jc w:val="center"/>
              <w:rPr>
                <w:b/>
                <w:noProof/>
                <w:sz w:val="18"/>
              </w:rPr>
            </w:pPr>
            <w:r>
              <w:rPr>
                <w:b/>
                <w:noProof/>
                <w:sz w:val="18"/>
              </w:rPr>
              <w:t>Nr</w:t>
            </w:r>
          </w:p>
        </w:tc>
        <w:tc>
          <w:tcPr>
            <w:tcW w:w="850" w:type="dxa"/>
            <w:tcBorders>
              <w:left w:val="dashSmallGap" w:sz="4" w:space="0" w:color="auto"/>
            </w:tcBorders>
            <w:shd w:val="pct10" w:color="auto" w:fill="auto"/>
            <w:vAlign w:val="center"/>
          </w:tcPr>
          <w:p>
            <w:pPr>
              <w:jc w:val="right"/>
              <w:rPr>
                <w:b/>
                <w:noProof/>
                <w:sz w:val="18"/>
              </w:rPr>
            </w:pPr>
            <w:r>
              <w:rPr>
                <w:b/>
                <w:noProof/>
                <w:sz w:val="18"/>
              </w:rPr>
              <w:t>Cost</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Nr</w:t>
            </w:r>
          </w:p>
        </w:tc>
        <w:tc>
          <w:tcPr>
            <w:tcW w:w="851" w:type="dxa"/>
            <w:tcBorders>
              <w:left w:val="dashSmallGap" w:sz="4" w:space="0" w:color="auto"/>
            </w:tcBorders>
            <w:shd w:val="pct10" w:color="auto" w:fill="auto"/>
            <w:vAlign w:val="center"/>
          </w:tcPr>
          <w:p>
            <w:pPr>
              <w:jc w:val="right"/>
              <w:rPr>
                <w:b/>
                <w:noProof/>
                <w:sz w:val="18"/>
              </w:rPr>
            </w:pPr>
            <w:r>
              <w:rPr>
                <w:b/>
                <w:noProof/>
                <w:sz w:val="18"/>
              </w:rPr>
              <w:t>Cost</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Nr</w:t>
            </w:r>
          </w:p>
        </w:tc>
        <w:tc>
          <w:tcPr>
            <w:tcW w:w="851" w:type="dxa"/>
            <w:tcBorders>
              <w:left w:val="dashSmallGap" w:sz="4" w:space="0" w:color="auto"/>
            </w:tcBorders>
            <w:shd w:val="pct10" w:color="auto" w:fill="auto"/>
            <w:vAlign w:val="center"/>
          </w:tcPr>
          <w:p>
            <w:pPr>
              <w:jc w:val="right"/>
              <w:rPr>
                <w:b/>
                <w:noProof/>
                <w:sz w:val="18"/>
              </w:rPr>
            </w:pPr>
            <w:r>
              <w:rPr>
                <w:b/>
                <w:noProof/>
                <w:sz w:val="18"/>
              </w:rPr>
              <w:t>Cost</w:t>
            </w:r>
          </w:p>
        </w:tc>
        <w:tc>
          <w:tcPr>
            <w:tcW w:w="708" w:type="dxa"/>
            <w:tcBorders>
              <w:right w:val="dashSmallGap" w:sz="4" w:space="0" w:color="auto"/>
            </w:tcBorders>
            <w:shd w:val="pct10" w:color="auto" w:fill="auto"/>
            <w:textDirection w:val="btLr"/>
            <w:vAlign w:val="center"/>
          </w:tcPr>
          <w:p>
            <w:pPr>
              <w:jc w:val="right"/>
              <w:rPr>
                <w:b/>
                <w:noProof/>
                <w:sz w:val="18"/>
              </w:rPr>
            </w:pPr>
            <w:r>
              <w:rPr>
                <w:b/>
                <w:noProof/>
                <w:sz w:val="18"/>
              </w:rPr>
              <w:t>Număr total</w:t>
            </w:r>
          </w:p>
        </w:tc>
        <w:tc>
          <w:tcPr>
            <w:tcW w:w="993" w:type="dxa"/>
            <w:tcBorders>
              <w:left w:val="dashSmallGap" w:sz="4" w:space="0" w:color="auto"/>
            </w:tcBorders>
            <w:shd w:val="pct10" w:color="auto" w:fill="auto"/>
            <w:vAlign w:val="center"/>
          </w:tcPr>
          <w:p>
            <w:pPr>
              <w:jc w:val="right"/>
              <w:rPr>
                <w:b/>
                <w:noProof/>
                <w:sz w:val="18"/>
              </w:rPr>
            </w:pPr>
            <w:r>
              <w:rPr>
                <w:b/>
                <w:noProof/>
                <w:sz w:val="18"/>
              </w:rPr>
              <w:t>Cost total</w:t>
            </w:r>
          </w:p>
        </w:tc>
      </w:tr>
      <w:tr>
        <w:tc>
          <w:tcPr>
            <w:tcW w:w="2844" w:type="dxa"/>
            <w:gridSpan w:val="3"/>
            <w:vAlign w:val="center"/>
          </w:tcPr>
          <w:p>
            <w:pPr>
              <w:jc w:val="right"/>
              <w:rPr>
                <w:b/>
                <w:noProof/>
                <w:sz w:val="18"/>
              </w:rPr>
            </w:pPr>
            <w:r>
              <w:rPr>
                <w:b/>
                <w:noProof/>
                <w:sz w:val="18"/>
              </w:rPr>
              <w:t>OBIECTIVUL SPECIFIC NR. 1</w:t>
            </w:r>
            <w:r>
              <w:rPr>
                <w:rStyle w:val="FootnoteReference"/>
                <w:noProof/>
              </w:rPr>
              <w:footnoteReference w:id="21"/>
            </w:r>
            <w:r>
              <w:rPr>
                <w:b/>
                <w:noProof/>
                <w:sz w:val="18"/>
              </w:rPr>
              <w:t>…</w:t>
            </w:r>
          </w:p>
        </w:tc>
        <w:tc>
          <w:tcPr>
            <w:tcW w:w="410"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6"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567"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708" w:type="dxa"/>
            <w:tcBorders>
              <w:top w:val="nil"/>
              <w:left w:val="nil"/>
              <w:bottom w:val="nil"/>
              <w:right w:val="nil"/>
            </w:tcBorders>
          </w:tcPr>
          <w:p>
            <w:pPr>
              <w:jc w:val="right"/>
              <w:rPr>
                <w:b/>
                <w:noProof/>
                <w:sz w:val="18"/>
              </w:rPr>
            </w:pPr>
          </w:p>
        </w:tc>
        <w:tc>
          <w:tcPr>
            <w:tcW w:w="993" w:type="dxa"/>
            <w:tcBorders>
              <w:top w:val="nil"/>
              <w:left w:val="nil"/>
              <w:bottom w:val="nil"/>
              <w:right w:val="nil"/>
            </w:tcBorders>
          </w:tcPr>
          <w:p>
            <w:pPr>
              <w:jc w:val="right"/>
              <w:rPr>
                <w:b/>
                <w:noProof/>
                <w:sz w:val="18"/>
              </w:rPr>
            </w:pPr>
          </w:p>
        </w:tc>
        <w:tc>
          <w:tcPr>
            <w:tcW w:w="906" w:type="dxa"/>
            <w:tcBorders>
              <w:top w:val="nil"/>
              <w:left w:val="nil"/>
              <w:bottom w:val="nil"/>
              <w:right w:val="nil"/>
            </w:tcBorders>
          </w:tcPr>
          <w:p>
            <w:pPr>
              <w:jc w:val="right"/>
              <w:rPr>
                <w:b/>
                <w:noProof/>
                <w:sz w:val="18"/>
              </w:rPr>
            </w:pPr>
          </w:p>
        </w:tc>
        <w:tc>
          <w:tcPr>
            <w:tcW w:w="900" w:type="dxa"/>
            <w:tcBorders>
              <w:top w:val="nil"/>
              <w:left w:val="nil"/>
              <w:bottom w:val="nil"/>
              <w:right w:val="nil"/>
            </w:tcBorders>
          </w:tcPr>
          <w:p>
            <w:pPr>
              <w:jc w:val="right"/>
              <w:rPr>
                <w:b/>
                <w:noProof/>
                <w:sz w:val="18"/>
              </w:rPr>
            </w:pPr>
          </w:p>
        </w:tc>
      </w:tr>
      <w:tr>
        <w:trPr>
          <w:gridAfter w:val="2"/>
          <w:wAfter w:w="1806" w:type="dxa"/>
          <w:trHeight w:hRule="exact" w:val="797"/>
        </w:trPr>
        <w:tc>
          <w:tcPr>
            <w:tcW w:w="1269" w:type="dxa"/>
          </w:tcPr>
          <w:p>
            <w:pPr>
              <w:jc w:val="right"/>
              <w:rPr>
                <w:b/>
                <w:noProof/>
                <w:sz w:val="18"/>
              </w:rPr>
            </w:pPr>
            <w:r>
              <w:rPr>
                <w:b/>
                <w:noProof/>
                <w:sz w:val="18"/>
              </w:rPr>
              <w:t>- Realizare</w:t>
            </w:r>
          </w:p>
        </w:tc>
        <w:tc>
          <w:tcPr>
            <w:tcW w:w="1134" w:type="dxa"/>
          </w:tcPr>
          <w:p>
            <w:pPr>
              <w:jc w:val="left"/>
              <w:rPr>
                <w:b/>
                <w:noProof/>
                <w:sz w:val="18"/>
              </w:rPr>
            </w:pPr>
            <w:r>
              <w:rPr>
                <w:b/>
                <w:noProof/>
                <w:sz w:val="18"/>
              </w:rPr>
              <w:t>Proiecte demonstrative/pilot*</w:t>
            </w:r>
          </w:p>
        </w:tc>
        <w:tc>
          <w:tcPr>
            <w:tcW w:w="441" w:type="dxa"/>
          </w:tcPr>
          <w:p>
            <w:pPr>
              <w:jc w:val="right"/>
              <w:rPr>
                <w:b/>
                <w:noProof/>
                <w:sz w:val="18"/>
              </w:rPr>
            </w:pPr>
          </w:p>
        </w:tc>
        <w:tc>
          <w:tcPr>
            <w:tcW w:w="410" w:type="dxa"/>
            <w:tcBorders>
              <w:right w:val="dashSmallGap" w:sz="4" w:space="0" w:color="auto"/>
            </w:tcBorders>
          </w:tcPr>
          <w:p>
            <w:pPr>
              <w:jc w:val="right"/>
              <w:rPr>
                <w:b/>
                <w:noProof/>
                <w:sz w:val="18"/>
              </w:rPr>
            </w:pPr>
            <w:r>
              <w:rPr>
                <w:b/>
                <w:noProof/>
                <w:sz w:val="18"/>
              </w:rPr>
              <w:t>3</w:t>
            </w:r>
          </w:p>
          <w:p>
            <w:pPr>
              <w:jc w:val="right"/>
              <w:rPr>
                <w:b/>
                <w:noProof/>
                <w:sz w:val="18"/>
              </w:rPr>
            </w:pPr>
          </w:p>
        </w:tc>
        <w:tc>
          <w:tcPr>
            <w:tcW w:w="850" w:type="dxa"/>
            <w:tcBorders>
              <w:left w:val="dashSmallGap" w:sz="4" w:space="0" w:color="auto"/>
            </w:tcBorders>
          </w:tcPr>
          <w:p>
            <w:pPr>
              <w:jc w:val="right"/>
              <w:rPr>
                <w:b/>
                <w:noProof/>
                <w:sz w:val="18"/>
              </w:rPr>
            </w:pPr>
            <w:r>
              <w:rPr>
                <w:b/>
                <w:noProof/>
                <w:sz w:val="18"/>
              </w:rPr>
              <w:t>20,000</w:t>
            </w:r>
          </w:p>
        </w:tc>
        <w:tc>
          <w:tcPr>
            <w:tcW w:w="426" w:type="dxa"/>
            <w:tcBorders>
              <w:right w:val="dashSmallGap" w:sz="4" w:space="0" w:color="auto"/>
            </w:tcBorders>
          </w:tcPr>
          <w:p>
            <w:pPr>
              <w:jc w:val="right"/>
              <w:rPr>
                <w:b/>
                <w:noProof/>
                <w:sz w:val="18"/>
              </w:rPr>
            </w:pPr>
            <w:r>
              <w:rPr>
                <w:b/>
                <w:noProof/>
                <w:sz w:val="18"/>
              </w:rPr>
              <w:t>3</w:t>
            </w:r>
          </w:p>
        </w:tc>
        <w:tc>
          <w:tcPr>
            <w:tcW w:w="850" w:type="dxa"/>
            <w:tcBorders>
              <w:left w:val="dashSmallGap" w:sz="4" w:space="0" w:color="auto"/>
            </w:tcBorders>
          </w:tcPr>
          <w:p>
            <w:pPr>
              <w:jc w:val="right"/>
              <w:rPr>
                <w:b/>
                <w:noProof/>
                <w:sz w:val="18"/>
              </w:rPr>
            </w:pPr>
            <w:r>
              <w:rPr>
                <w:b/>
                <w:noProof/>
                <w:sz w:val="18"/>
              </w:rPr>
              <w:t>20,000</w:t>
            </w:r>
          </w:p>
        </w:tc>
        <w:tc>
          <w:tcPr>
            <w:tcW w:w="425" w:type="dxa"/>
            <w:tcBorders>
              <w:right w:val="dashSmallGap" w:sz="4" w:space="0" w:color="auto"/>
            </w:tcBorders>
          </w:tcPr>
          <w:p>
            <w:pPr>
              <w:jc w:val="right"/>
              <w:rPr>
                <w:b/>
                <w:noProof/>
                <w:sz w:val="18"/>
              </w:rPr>
            </w:pPr>
            <w:r>
              <w:rPr>
                <w:b/>
                <w:noProof/>
                <w:sz w:val="18"/>
              </w:rPr>
              <w:t>3</w:t>
            </w:r>
          </w:p>
        </w:tc>
        <w:tc>
          <w:tcPr>
            <w:tcW w:w="851" w:type="dxa"/>
            <w:tcBorders>
              <w:left w:val="dashSmallGap" w:sz="4" w:space="0" w:color="auto"/>
            </w:tcBorders>
          </w:tcPr>
          <w:p>
            <w:pPr>
              <w:jc w:val="right"/>
              <w:rPr>
                <w:b/>
                <w:noProof/>
                <w:sz w:val="18"/>
              </w:rPr>
            </w:pPr>
            <w:r>
              <w:rPr>
                <w:b/>
                <w:noProof/>
                <w:sz w:val="18"/>
              </w:rPr>
              <w:t>20,000</w:t>
            </w:r>
          </w:p>
        </w:tc>
        <w:tc>
          <w:tcPr>
            <w:tcW w:w="425" w:type="dxa"/>
            <w:tcBorders>
              <w:right w:val="dashSmallGap" w:sz="4" w:space="0" w:color="auto"/>
            </w:tcBorders>
          </w:tcPr>
          <w:p>
            <w:pPr>
              <w:jc w:val="right"/>
              <w:rPr>
                <w:b/>
                <w:noProof/>
                <w:sz w:val="18"/>
              </w:rPr>
            </w:pPr>
            <w:r>
              <w:rPr>
                <w:b/>
                <w:noProof/>
                <w:sz w:val="18"/>
              </w:rPr>
              <w:t>4</w:t>
            </w:r>
          </w:p>
        </w:tc>
        <w:tc>
          <w:tcPr>
            <w:tcW w:w="851" w:type="dxa"/>
            <w:tcBorders>
              <w:left w:val="dashSmallGap" w:sz="4" w:space="0" w:color="auto"/>
            </w:tcBorders>
          </w:tcPr>
          <w:p>
            <w:pPr>
              <w:jc w:val="right"/>
              <w:rPr>
                <w:b/>
                <w:noProof/>
                <w:sz w:val="18"/>
              </w:rPr>
            </w:pPr>
            <w:r>
              <w:rPr>
                <w:b/>
                <w:noProof/>
                <w:sz w:val="18"/>
              </w:rPr>
              <w:t>30,000</w:t>
            </w:r>
          </w:p>
        </w:tc>
        <w:tc>
          <w:tcPr>
            <w:tcW w:w="567" w:type="dxa"/>
            <w:tcBorders>
              <w:right w:val="dashSmallGap" w:sz="4" w:space="0" w:color="auto"/>
            </w:tcBorders>
          </w:tcPr>
          <w:p>
            <w:pPr>
              <w:jc w:val="right"/>
              <w:rPr>
                <w:b/>
                <w:noProof/>
                <w:sz w:val="18"/>
              </w:rPr>
            </w:pPr>
            <w:r>
              <w:rPr>
                <w:b/>
                <w:noProof/>
                <w:sz w:val="18"/>
              </w:rPr>
              <w:t>4</w:t>
            </w:r>
          </w:p>
        </w:tc>
        <w:tc>
          <w:tcPr>
            <w:tcW w:w="850" w:type="dxa"/>
            <w:tcBorders>
              <w:left w:val="dashSmallGap" w:sz="4" w:space="0" w:color="auto"/>
            </w:tcBorders>
          </w:tcPr>
          <w:p>
            <w:pPr>
              <w:jc w:val="right"/>
              <w:rPr>
                <w:b/>
                <w:noProof/>
                <w:sz w:val="18"/>
              </w:rPr>
            </w:pPr>
            <w:r>
              <w:rPr>
                <w:b/>
                <w:noProof/>
                <w:sz w:val="18"/>
              </w:rPr>
              <w:t>30,000</w:t>
            </w:r>
          </w:p>
        </w:tc>
        <w:tc>
          <w:tcPr>
            <w:tcW w:w="425" w:type="dxa"/>
            <w:tcBorders>
              <w:right w:val="dashSmallGap" w:sz="4" w:space="0" w:color="auto"/>
            </w:tcBorders>
          </w:tcPr>
          <w:p>
            <w:pPr>
              <w:jc w:val="right"/>
              <w:rPr>
                <w:b/>
                <w:noProof/>
                <w:sz w:val="18"/>
              </w:rPr>
            </w:pPr>
            <w:r>
              <w:rPr>
                <w:b/>
                <w:noProof/>
                <w:sz w:val="18"/>
              </w:rPr>
              <w:t>6</w:t>
            </w:r>
          </w:p>
        </w:tc>
        <w:tc>
          <w:tcPr>
            <w:tcW w:w="851" w:type="dxa"/>
            <w:tcBorders>
              <w:left w:val="dashSmallGap" w:sz="4" w:space="0" w:color="auto"/>
            </w:tcBorders>
          </w:tcPr>
          <w:p>
            <w:pPr>
              <w:jc w:val="right"/>
              <w:rPr>
                <w:b/>
                <w:noProof/>
                <w:sz w:val="18"/>
              </w:rPr>
            </w:pPr>
            <w:r>
              <w:rPr>
                <w:b/>
                <w:noProof/>
                <w:sz w:val="18"/>
              </w:rPr>
              <w:t>40,000</w:t>
            </w:r>
          </w:p>
        </w:tc>
        <w:tc>
          <w:tcPr>
            <w:tcW w:w="425" w:type="dxa"/>
            <w:tcBorders>
              <w:right w:val="dashSmallGap" w:sz="4" w:space="0" w:color="auto"/>
            </w:tcBorders>
          </w:tcPr>
          <w:p>
            <w:pPr>
              <w:jc w:val="right"/>
              <w:rPr>
                <w:b/>
                <w:noProof/>
                <w:sz w:val="18"/>
              </w:rPr>
            </w:pPr>
            <w:r>
              <w:rPr>
                <w:b/>
                <w:noProof/>
                <w:sz w:val="18"/>
              </w:rPr>
              <w:t>6</w:t>
            </w:r>
          </w:p>
        </w:tc>
        <w:tc>
          <w:tcPr>
            <w:tcW w:w="851" w:type="dxa"/>
            <w:tcBorders>
              <w:left w:val="dashSmallGap" w:sz="4" w:space="0" w:color="auto"/>
            </w:tcBorders>
          </w:tcPr>
          <w:p>
            <w:pPr>
              <w:jc w:val="right"/>
              <w:rPr>
                <w:b/>
                <w:noProof/>
                <w:sz w:val="18"/>
              </w:rPr>
            </w:pPr>
            <w:r>
              <w:rPr>
                <w:b/>
                <w:noProof/>
                <w:sz w:val="18"/>
              </w:rPr>
              <w:t>40,000</w:t>
            </w:r>
          </w:p>
        </w:tc>
        <w:tc>
          <w:tcPr>
            <w:tcW w:w="708" w:type="dxa"/>
          </w:tcPr>
          <w:p>
            <w:pPr>
              <w:jc w:val="right"/>
              <w:rPr>
                <w:b/>
                <w:noProof/>
                <w:sz w:val="18"/>
              </w:rPr>
            </w:pPr>
            <w:r>
              <w:rPr>
                <w:b/>
                <w:noProof/>
                <w:sz w:val="18"/>
              </w:rPr>
              <w:t>29</w:t>
            </w:r>
          </w:p>
        </w:tc>
        <w:tc>
          <w:tcPr>
            <w:tcW w:w="993" w:type="dxa"/>
          </w:tcPr>
          <w:p>
            <w:pPr>
              <w:jc w:val="right"/>
              <w:rPr>
                <w:b/>
                <w:noProof/>
                <w:sz w:val="18"/>
              </w:rPr>
            </w:pPr>
            <w:r>
              <w:rPr>
                <w:b/>
                <w:noProof/>
                <w:sz w:val="18"/>
              </w:rPr>
              <w:t>200,000</w:t>
            </w:r>
          </w:p>
        </w:tc>
      </w:tr>
      <w:tr>
        <w:tc>
          <w:tcPr>
            <w:tcW w:w="2844" w:type="dxa"/>
            <w:gridSpan w:val="3"/>
            <w:vAlign w:val="center"/>
          </w:tcPr>
          <w:p>
            <w:pPr>
              <w:jc w:val="right"/>
              <w:rPr>
                <w:b/>
                <w:noProof/>
                <w:sz w:val="18"/>
              </w:rPr>
            </w:pPr>
            <w:r>
              <w:rPr>
                <w:b/>
                <w:noProof/>
                <w:sz w:val="18"/>
              </w:rPr>
              <w:t>OBIECTIVUL SPECIFIC NR. 2 ...</w:t>
            </w:r>
          </w:p>
        </w:tc>
        <w:tc>
          <w:tcPr>
            <w:tcW w:w="410"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6"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567"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708" w:type="dxa"/>
            <w:tcBorders>
              <w:top w:val="nil"/>
              <w:left w:val="nil"/>
              <w:bottom w:val="nil"/>
              <w:right w:val="nil"/>
            </w:tcBorders>
          </w:tcPr>
          <w:p>
            <w:pPr>
              <w:jc w:val="right"/>
              <w:rPr>
                <w:b/>
                <w:noProof/>
                <w:sz w:val="18"/>
              </w:rPr>
            </w:pPr>
          </w:p>
        </w:tc>
        <w:tc>
          <w:tcPr>
            <w:tcW w:w="993" w:type="dxa"/>
            <w:tcBorders>
              <w:top w:val="nil"/>
              <w:left w:val="nil"/>
              <w:bottom w:val="nil"/>
              <w:right w:val="nil"/>
            </w:tcBorders>
          </w:tcPr>
          <w:p>
            <w:pPr>
              <w:jc w:val="right"/>
              <w:rPr>
                <w:b/>
                <w:noProof/>
                <w:sz w:val="18"/>
              </w:rPr>
            </w:pPr>
          </w:p>
        </w:tc>
        <w:tc>
          <w:tcPr>
            <w:tcW w:w="906" w:type="dxa"/>
            <w:tcBorders>
              <w:top w:val="nil"/>
              <w:left w:val="nil"/>
              <w:bottom w:val="nil"/>
              <w:right w:val="nil"/>
            </w:tcBorders>
          </w:tcPr>
          <w:p>
            <w:pPr>
              <w:jc w:val="right"/>
              <w:rPr>
                <w:b/>
                <w:noProof/>
                <w:sz w:val="18"/>
              </w:rPr>
            </w:pPr>
          </w:p>
        </w:tc>
        <w:tc>
          <w:tcPr>
            <w:tcW w:w="900" w:type="dxa"/>
            <w:tcBorders>
              <w:top w:val="nil"/>
              <w:left w:val="nil"/>
              <w:bottom w:val="nil"/>
              <w:right w:val="nil"/>
            </w:tcBorders>
          </w:tcPr>
          <w:p>
            <w:pPr>
              <w:jc w:val="right"/>
              <w:rPr>
                <w:b/>
                <w:noProof/>
                <w:sz w:val="18"/>
              </w:rPr>
            </w:pPr>
          </w:p>
        </w:tc>
      </w:tr>
      <w:tr>
        <w:trPr>
          <w:gridAfter w:val="2"/>
          <w:wAfter w:w="1806" w:type="dxa"/>
          <w:trHeight w:hRule="exact" w:val="661"/>
        </w:trPr>
        <w:tc>
          <w:tcPr>
            <w:tcW w:w="1269" w:type="dxa"/>
          </w:tcPr>
          <w:p>
            <w:pPr>
              <w:jc w:val="right"/>
              <w:rPr>
                <w:b/>
                <w:noProof/>
                <w:sz w:val="18"/>
              </w:rPr>
            </w:pPr>
            <w:r>
              <w:rPr>
                <w:b/>
                <w:noProof/>
                <w:sz w:val="18"/>
              </w:rPr>
              <w:t>- Realizare</w:t>
            </w:r>
          </w:p>
        </w:tc>
        <w:tc>
          <w:tcPr>
            <w:tcW w:w="1134" w:type="dxa"/>
          </w:tcPr>
          <w:p>
            <w:pPr>
              <w:jc w:val="right"/>
              <w:rPr>
                <w:b/>
                <w:noProof/>
                <w:sz w:val="18"/>
              </w:rPr>
            </w:pPr>
            <w:r>
              <w:rPr>
                <w:b/>
                <w:noProof/>
                <w:sz w:val="18"/>
              </w:rPr>
              <w:t>Proiecte C&amp;D**</w:t>
            </w:r>
          </w:p>
        </w:tc>
        <w:tc>
          <w:tcPr>
            <w:tcW w:w="441" w:type="dxa"/>
          </w:tcPr>
          <w:p>
            <w:pPr>
              <w:jc w:val="right"/>
              <w:rPr>
                <w:b/>
                <w:noProof/>
                <w:sz w:val="18"/>
              </w:rPr>
            </w:pPr>
          </w:p>
        </w:tc>
        <w:tc>
          <w:tcPr>
            <w:tcW w:w="410" w:type="dxa"/>
            <w:vAlign w:val="center"/>
          </w:tcPr>
          <w:p>
            <w:pPr>
              <w:jc w:val="right"/>
              <w:rPr>
                <w:b/>
                <w:noProof/>
                <w:sz w:val="18"/>
              </w:rPr>
            </w:pPr>
            <w:r>
              <w:rPr>
                <w:b/>
                <w:noProof/>
                <w:sz w:val="18"/>
              </w:rPr>
              <w:t>15</w:t>
            </w:r>
          </w:p>
        </w:tc>
        <w:tc>
          <w:tcPr>
            <w:tcW w:w="850" w:type="dxa"/>
            <w:vAlign w:val="center"/>
          </w:tcPr>
          <w:p>
            <w:pPr>
              <w:jc w:val="right"/>
              <w:rPr>
                <w:b/>
                <w:noProof/>
                <w:sz w:val="18"/>
              </w:rPr>
            </w:pPr>
            <w:r>
              <w:rPr>
                <w:b/>
                <w:noProof/>
                <w:sz w:val="18"/>
              </w:rPr>
              <w:t>20,000</w:t>
            </w:r>
          </w:p>
        </w:tc>
        <w:tc>
          <w:tcPr>
            <w:tcW w:w="426" w:type="dxa"/>
            <w:vAlign w:val="center"/>
          </w:tcPr>
          <w:p>
            <w:pPr>
              <w:jc w:val="right"/>
              <w:rPr>
                <w:b/>
                <w:noProof/>
                <w:sz w:val="18"/>
              </w:rPr>
            </w:pPr>
            <w:r>
              <w:rPr>
                <w:b/>
                <w:noProof/>
                <w:sz w:val="18"/>
              </w:rPr>
              <w:t>15</w:t>
            </w:r>
          </w:p>
        </w:tc>
        <w:tc>
          <w:tcPr>
            <w:tcW w:w="850" w:type="dxa"/>
            <w:vAlign w:val="center"/>
          </w:tcPr>
          <w:p>
            <w:pPr>
              <w:jc w:val="right"/>
              <w:rPr>
                <w:b/>
                <w:noProof/>
                <w:sz w:val="18"/>
              </w:rPr>
            </w:pPr>
            <w:r>
              <w:rPr>
                <w:b/>
                <w:noProof/>
                <w:sz w:val="18"/>
              </w:rPr>
              <w:t>20,000</w:t>
            </w:r>
          </w:p>
        </w:tc>
        <w:tc>
          <w:tcPr>
            <w:tcW w:w="425" w:type="dxa"/>
            <w:vAlign w:val="center"/>
          </w:tcPr>
          <w:p>
            <w:pPr>
              <w:jc w:val="right"/>
              <w:rPr>
                <w:b/>
                <w:noProof/>
                <w:sz w:val="18"/>
              </w:rPr>
            </w:pPr>
            <w:r>
              <w:rPr>
                <w:b/>
                <w:noProof/>
                <w:sz w:val="18"/>
              </w:rPr>
              <w:t>15</w:t>
            </w:r>
          </w:p>
        </w:tc>
        <w:tc>
          <w:tcPr>
            <w:tcW w:w="851" w:type="dxa"/>
            <w:vAlign w:val="center"/>
          </w:tcPr>
          <w:p>
            <w:pPr>
              <w:jc w:val="right"/>
              <w:rPr>
                <w:b/>
                <w:noProof/>
                <w:sz w:val="18"/>
              </w:rPr>
            </w:pPr>
            <w:r>
              <w:rPr>
                <w:b/>
                <w:noProof/>
                <w:sz w:val="18"/>
              </w:rPr>
              <w:t>20,000</w:t>
            </w:r>
          </w:p>
        </w:tc>
        <w:tc>
          <w:tcPr>
            <w:tcW w:w="425" w:type="dxa"/>
            <w:vAlign w:val="center"/>
          </w:tcPr>
          <w:p>
            <w:pPr>
              <w:jc w:val="right"/>
              <w:rPr>
                <w:b/>
                <w:noProof/>
                <w:sz w:val="18"/>
              </w:rPr>
            </w:pPr>
            <w:r>
              <w:rPr>
                <w:b/>
                <w:noProof/>
                <w:sz w:val="18"/>
              </w:rPr>
              <w:t>20</w:t>
            </w:r>
          </w:p>
        </w:tc>
        <w:tc>
          <w:tcPr>
            <w:tcW w:w="851" w:type="dxa"/>
            <w:vAlign w:val="center"/>
          </w:tcPr>
          <w:p>
            <w:pPr>
              <w:jc w:val="right"/>
              <w:rPr>
                <w:b/>
                <w:noProof/>
                <w:sz w:val="18"/>
              </w:rPr>
            </w:pPr>
            <w:r>
              <w:rPr>
                <w:b/>
                <w:noProof/>
                <w:sz w:val="18"/>
              </w:rPr>
              <w:t>30,000</w:t>
            </w:r>
          </w:p>
        </w:tc>
        <w:tc>
          <w:tcPr>
            <w:tcW w:w="567" w:type="dxa"/>
            <w:vAlign w:val="center"/>
          </w:tcPr>
          <w:p>
            <w:pPr>
              <w:jc w:val="right"/>
              <w:rPr>
                <w:b/>
                <w:noProof/>
                <w:sz w:val="18"/>
              </w:rPr>
            </w:pPr>
            <w:r>
              <w:rPr>
                <w:b/>
                <w:noProof/>
                <w:sz w:val="18"/>
              </w:rPr>
              <w:t>20</w:t>
            </w:r>
          </w:p>
        </w:tc>
        <w:tc>
          <w:tcPr>
            <w:tcW w:w="850" w:type="dxa"/>
            <w:vAlign w:val="center"/>
          </w:tcPr>
          <w:p>
            <w:pPr>
              <w:jc w:val="right"/>
              <w:rPr>
                <w:b/>
                <w:noProof/>
                <w:sz w:val="18"/>
              </w:rPr>
            </w:pPr>
            <w:r>
              <w:rPr>
                <w:b/>
                <w:noProof/>
                <w:sz w:val="18"/>
              </w:rPr>
              <w:t>30,000</w:t>
            </w:r>
          </w:p>
        </w:tc>
        <w:tc>
          <w:tcPr>
            <w:tcW w:w="425" w:type="dxa"/>
            <w:vAlign w:val="center"/>
          </w:tcPr>
          <w:p>
            <w:pPr>
              <w:jc w:val="right"/>
              <w:rPr>
                <w:b/>
                <w:noProof/>
                <w:sz w:val="18"/>
              </w:rPr>
            </w:pPr>
            <w:r>
              <w:rPr>
                <w:b/>
                <w:noProof/>
                <w:sz w:val="18"/>
              </w:rPr>
              <w:t>30</w:t>
            </w:r>
          </w:p>
        </w:tc>
        <w:tc>
          <w:tcPr>
            <w:tcW w:w="851" w:type="dxa"/>
            <w:vAlign w:val="center"/>
          </w:tcPr>
          <w:p>
            <w:pPr>
              <w:jc w:val="right"/>
              <w:rPr>
                <w:b/>
                <w:noProof/>
                <w:sz w:val="18"/>
              </w:rPr>
            </w:pPr>
            <w:r>
              <w:rPr>
                <w:b/>
                <w:noProof/>
                <w:sz w:val="18"/>
              </w:rPr>
              <w:t>40,000</w:t>
            </w:r>
          </w:p>
        </w:tc>
        <w:tc>
          <w:tcPr>
            <w:tcW w:w="425" w:type="dxa"/>
            <w:vAlign w:val="center"/>
          </w:tcPr>
          <w:p>
            <w:pPr>
              <w:jc w:val="right"/>
              <w:rPr>
                <w:b/>
                <w:noProof/>
                <w:sz w:val="18"/>
              </w:rPr>
            </w:pPr>
            <w:r>
              <w:rPr>
                <w:b/>
                <w:noProof/>
                <w:sz w:val="18"/>
              </w:rPr>
              <w:t>30</w:t>
            </w:r>
          </w:p>
        </w:tc>
        <w:tc>
          <w:tcPr>
            <w:tcW w:w="851" w:type="dxa"/>
            <w:vAlign w:val="center"/>
          </w:tcPr>
          <w:p>
            <w:pPr>
              <w:jc w:val="right"/>
              <w:rPr>
                <w:b/>
                <w:noProof/>
                <w:sz w:val="18"/>
              </w:rPr>
            </w:pPr>
            <w:r>
              <w:rPr>
                <w:b/>
                <w:noProof/>
                <w:sz w:val="18"/>
              </w:rPr>
              <w:t>40,000</w:t>
            </w:r>
          </w:p>
        </w:tc>
        <w:tc>
          <w:tcPr>
            <w:tcW w:w="708" w:type="dxa"/>
            <w:vAlign w:val="center"/>
          </w:tcPr>
          <w:p>
            <w:pPr>
              <w:jc w:val="right"/>
              <w:rPr>
                <w:b/>
                <w:noProof/>
                <w:sz w:val="18"/>
              </w:rPr>
            </w:pPr>
            <w:r>
              <w:rPr>
                <w:b/>
                <w:noProof/>
                <w:sz w:val="18"/>
              </w:rPr>
              <w:t>145</w:t>
            </w:r>
          </w:p>
        </w:tc>
        <w:tc>
          <w:tcPr>
            <w:tcW w:w="993" w:type="dxa"/>
            <w:vAlign w:val="center"/>
          </w:tcPr>
          <w:p>
            <w:pPr>
              <w:jc w:val="right"/>
              <w:rPr>
                <w:b/>
                <w:noProof/>
                <w:sz w:val="18"/>
              </w:rPr>
            </w:pPr>
            <w:r>
              <w:rPr>
                <w:b/>
                <w:noProof/>
                <w:sz w:val="18"/>
              </w:rPr>
              <w:t>200,000</w:t>
            </w:r>
          </w:p>
        </w:tc>
      </w:tr>
      <w:tr>
        <w:trPr>
          <w:gridAfter w:val="2"/>
          <w:wAfter w:w="1806" w:type="dxa"/>
        </w:trPr>
        <w:tc>
          <w:tcPr>
            <w:tcW w:w="2844" w:type="dxa"/>
            <w:gridSpan w:val="3"/>
            <w:tcBorders>
              <w:top w:val="single" w:sz="12" w:space="0" w:color="auto"/>
              <w:left w:val="single" w:sz="12" w:space="0" w:color="auto"/>
              <w:bottom w:val="single" w:sz="12" w:space="0" w:color="auto"/>
            </w:tcBorders>
            <w:vAlign w:val="center"/>
          </w:tcPr>
          <w:p>
            <w:pPr>
              <w:jc w:val="right"/>
              <w:rPr>
                <w:b/>
                <w:noProof/>
                <w:sz w:val="18"/>
              </w:rPr>
            </w:pPr>
            <w:r>
              <w:rPr>
                <w:b/>
                <w:noProof/>
                <w:sz w:val="18"/>
              </w:rPr>
              <w:t>COST TOTAL</w:t>
            </w:r>
          </w:p>
        </w:tc>
        <w:tc>
          <w:tcPr>
            <w:tcW w:w="410" w:type="dxa"/>
            <w:tcBorders>
              <w:top w:val="single" w:sz="12" w:space="0" w:color="auto"/>
              <w:bottom w:val="single" w:sz="12" w:space="0" w:color="auto"/>
            </w:tcBorders>
          </w:tcPr>
          <w:p>
            <w:pPr>
              <w:jc w:val="right"/>
              <w:rPr>
                <w:b/>
                <w:noProof/>
                <w:sz w:val="18"/>
              </w:rPr>
            </w:pPr>
            <w:r>
              <w:rPr>
                <w:b/>
                <w:noProof/>
                <w:sz w:val="18"/>
              </w:rPr>
              <w:t>18</w:t>
            </w:r>
          </w:p>
        </w:tc>
        <w:tc>
          <w:tcPr>
            <w:tcW w:w="850" w:type="dxa"/>
            <w:tcBorders>
              <w:top w:val="single" w:sz="12" w:space="0" w:color="auto"/>
              <w:bottom w:val="single" w:sz="12" w:space="0" w:color="auto"/>
            </w:tcBorders>
          </w:tcPr>
          <w:p>
            <w:pPr>
              <w:jc w:val="right"/>
              <w:rPr>
                <w:b/>
                <w:noProof/>
                <w:sz w:val="18"/>
              </w:rPr>
            </w:pPr>
            <w:r>
              <w:rPr>
                <w:b/>
                <w:noProof/>
                <w:sz w:val="18"/>
              </w:rPr>
              <w:t>40,000</w:t>
            </w:r>
          </w:p>
        </w:tc>
        <w:tc>
          <w:tcPr>
            <w:tcW w:w="426" w:type="dxa"/>
            <w:tcBorders>
              <w:top w:val="single" w:sz="12" w:space="0" w:color="auto"/>
              <w:bottom w:val="single" w:sz="12" w:space="0" w:color="auto"/>
            </w:tcBorders>
          </w:tcPr>
          <w:p>
            <w:pPr>
              <w:jc w:val="right"/>
              <w:rPr>
                <w:b/>
                <w:noProof/>
                <w:sz w:val="18"/>
              </w:rPr>
            </w:pPr>
            <w:r>
              <w:rPr>
                <w:b/>
                <w:noProof/>
                <w:sz w:val="18"/>
              </w:rPr>
              <w:t>18</w:t>
            </w:r>
          </w:p>
        </w:tc>
        <w:tc>
          <w:tcPr>
            <w:tcW w:w="850" w:type="dxa"/>
            <w:tcBorders>
              <w:top w:val="single" w:sz="12" w:space="0" w:color="auto"/>
              <w:bottom w:val="single" w:sz="12" w:space="0" w:color="auto"/>
            </w:tcBorders>
          </w:tcPr>
          <w:p>
            <w:pPr>
              <w:jc w:val="right"/>
              <w:rPr>
                <w:b/>
                <w:noProof/>
                <w:sz w:val="18"/>
              </w:rPr>
            </w:pPr>
            <w:r>
              <w:rPr>
                <w:b/>
                <w:noProof/>
                <w:sz w:val="18"/>
              </w:rPr>
              <w:t>40,000</w:t>
            </w:r>
          </w:p>
        </w:tc>
        <w:tc>
          <w:tcPr>
            <w:tcW w:w="425" w:type="dxa"/>
            <w:tcBorders>
              <w:top w:val="single" w:sz="12" w:space="0" w:color="auto"/>
              <w:bottom w:val="single" w:sz="12" w:space="0" w:color="auto"/>
            </w:tcBorders>
          </w:tcPr>
          <w:p>
            <w:pPr>
              <w:jc w:val="right"/>
              <w:rPr>
                <w:b/>
                <w:noProof/>
                <w:sz w:val="18"/>
              </w:rPr>
            </w:pPr>
            <w:r>
              <w:rPr>
                <w:b/>
                <w:noProof/>
                <w:sz w:val="18"/>
              </w:rPr>
              <w:t>19</w:t>
            </w:r>
          </w:p>
        </w:tc>
        <w:tc>
          <w:tcPr>
            <w:tcW w:w="851" w:type="dxa"/>
            <w:tcBorders>
              <w:top w:val="single" w:sz="12" w:space="0" w:color="auto"/>
              <w:bottom w:val="single" w:sz="12" w:space="0" w:color="auto"/>
            </w:tcBorders>
          </w:tcPr>
          <w:p>
            <w:pPr>
              <w:jc w:val="right"/>
              <w:rPr>
                <w:b/>
                <w:noProof/>
                <w:sz w:val="18"/>
              </w:rPr>
            </w:pPr>
            <w:r>
              <w:rPr>
                <w:b/>
                <w:noProof/>
                <w:sz w:val="18"/>
              </w:rPr>
              <w:t>55,000</w:t>
            </w:r>
          </w:p>
        </w:tc>
        <w:tc>
          <w:tcPr>
            <w:tcW w:w="425" w:type="dxa"/>
            <w:tcBorders>
              <w:top w:val="single" w:sz="12" w:space="0" w:color="auto"/>
              <w:bottom w:val="single" w:sz="12" w:space="0" w:color="auto"/>
            </w:tcBorders>
          </w:tcPr>
          <w:p>
            <w:pPr>
              <w:jc w:val="right"/>
              <w:rPr>
                <w:b/>
                <w:noProof/>
                <w:sz w:val="18"/>
              </w:rPr>
            </w:pPr>
            <w:r>
              <w:rPr>
                <w:b/>
                <w:noProof/>
                <w:sz w:val="18"/>
              </w:rPr>
              <w:t>24</w:t>
            </w:r>
          </w:p>
        </w:tc>
        <w:tc>
          <w:tcPr>
            <w:tcW w:w="851" w:type="dxa"/>
            <w:tcBorders>
              <w:top w:val="single" w:sz="12" w:space="0" w:color="auto"/>
              <w:bottom w:val="single" w:sz="12" w:space="0" w:color="auto"/>
            </w:tcBorders>
          </w:tcPr>
          <w:p>
            <w:pPr>
              <w:jc w:val="right"/>
              <w:rPr>
                <w:b/>
                <w:noProof/>
                <w:sz w:val="18"/>
              </w:rPr>
            </w:pPr>
            <w:r>
              <w:rPr>
                <w:b/>
                <w:noProof/>
                <w:sz w:val="18"/>
              </w:rPr>
              <w:t>65,000</w:t>
            </w:r>
          </w:p>
        </w:tc>
        <w:tc>
          <w:tcPr>
            <w:tcW w:w="567" w:type="dxa"/>
            <w:tcBorders>
              <w:top w:val="single" w:sz="12" w:space="0" w:color="auto"/>
              <w:bottom w:val="single" w:sz="12" w:space="0" w:color="auto"/>
            </w:tcBorders>
          </w:tcPr>
          <w:p>
            <w:pPr>
              <w:jc w:val="right"/>
              <w:rPr>
                <w:b/>
                <w:noProof/>
                <w:sz w:val="18"/>
              </w:rPr>
            </w:pPr>
            <w:r>
              <w:rPr>
                <w:b/>
                <w:noProof/>
                <w:sz w:val="18"/>
              </w:rPr>
              <w:t>24</w:t>
            </w:r>
          </w:p>
        </w:tc>
        <w:tc>
          <w:tcPr>
            <w:tcW w:w="850" w:type="dxa"/>
            <w:tcBorders>
              <w:top w:val="single" w:sz="12" w:space="0" w:color="auto"/>
              <w:bottom w:val="single" w:sz="12" w:space="0" w:color="auto"/>
            </w:tcBorders>
          </w:tcPr>
          <w:p>
            <w:pPr>
              <w:jc w:val="right"/>
              <w:rPr>
                <w:b/>
                <w:noProof/>
                <w:sz w:val="18"/>
              </w:rPr>
            </w:pPr>
            <w:r>
              <w:rPr>
                <w:b/>
                <w:noProof/>
                <w:sz w:val="18"/>
              </w:rPr>
              <w:t>65,000</w:t>
            </w:r>
          </w:p>
        </w:tc>
        <w:tc>
          <w:tcPr>
            <w:tcW w:w="425" w:type="dxa"/>
            <w:tcBorders>
              <w:top w:val="single" w:sz="12" w:space="0" w:color="auto"/>
              <w:bottom w:val="single" w:sz="12" w:space="0" w:color="auto"/>
            </w:tcBorders>
          </w:tcPr>
          <w:p>
            <w:pPr>
              <w:jc w:val="right"/>
              <w:rPr>
                <w:b/>
                <w:noProof/>
                <w:sz w:val="18"/>
              </w:rPr>
            </w:pPr>
            <w:r>
              <w:rPr>
                <w:b/>
                <w:noProof/>
                <w:sz w:val="18"/>
              </w:rPr>
              <w:t>36</w:t>
            </w:r>
          </w:p>
        </w:tc>
        <w:tc>
          <w:tcPr>
            <w:tcW w:w="851" w:type="dxa"/>
            <w:tcBorders>
              <w:top w:val="single" w:sz="12" w:space="0" w:color="auto"/>
              <w:bottom w:val="single" w:sz="12" w:space="0" w:color="auto"/>
            </w:tcBorders>
          </w:tcPr>
          <w:p>
            <w:pPr>
              <w:jc w:val="right"/>
              <w:rPr>
                <w:b/>
                <w:noProof/>
                <w:sz w:val="18"/>
              </w:rPr>
            </w:pPr>
            <w:r>
              <w:rPr>
                <w:b/>
                <w:noProof/>
                <w:sz w:val="18"/>
              </w:rPr>
              <w:t>67,500</w:t>
            </w:r>
          </w:p>
        </w:tc>
        <w:tc>
          <w:tcPr>
            <w:tcW w:w="425" w:type="dxa"/>
            <w:tcBorders>
              <w:top w:val="single" w:sz="12" w:space="0" w:color="auto"/>
              <w:bottom w:val="single" w:sz="12" w:space="0" w:color="auto"/>
            </w:tcBorders>
          </w:tcPr>
          <w:p>
            <w:pPr>
              <w:jc w:val="right"/>
              <w:rPr>
                <w:b/>
                <w:noProof/>
                <w:sz w:val="18"/>
              </w:rPr>
            </w:pPr>
            <w:r>
              <w:rPr>
                <w:b/>
                <w:noProof/>
                <w:sz w:val="18"/>
              </w:rPr>
              <w:t>36</w:t>
            </w:r>
          </w:p>
        </w:tc>
        <w:tc>
          <w:tcPr>
            <w:tcW w:w="851" w:type="dxa"/>
            <w:tcBorders>
              <w:top w:val="single" w:sz="12" w:space="0" w:color="auto"/>
              <w:bottom w:val="single" w:sz="12" w:space="0" w:color="auto"/>
            </w:tcBorders>
          </w:tcPr>
          <w:p>
            <w:pPr>
              <w:jc w:val="right"/>
              <w:rPr>
                <w:b/>
                <w:noProof/>
                <w:sz w:val="18"/>
              </w:rPr>
            </w:pPr>
            <w:r>
              <w:rPr>
                <w:b/>
                <w:noProof/>
                <w:sz w:val="18"/>
              </w:rPr>
              <w:t>67,500</w:t>
            </w:r>
          </w:p>
        </w:tc>
        <w:tc>
          <w:tcPr>
            <w:tcW w:w="708" w:type="dxa"/>
            <w:tcBorders>
              <w:top w:val="single" w:sz="12" w:space="0" w:color="auto"/>
              <w:bottom w:val="single" w:sz="12" w:space="0" w:color="auto"/>
            </w:tcBorders>
          </w:tcPr>
          <w:p>
            <w:pPr>
              <w:jc w:val="right"/>
              <w:rPr>
                <w:b/>
                <w:noProof/>
                <w:sz w:val="18"/>
              </w:rPr>
            </w:pPr>
            <w:r>
              <w:rPr>
                <w:b/>
                <w:noProof/>
                <w:sz w:val="18"/>
              </w:rPr>
              <w:t>175</w:t>
            </w:r>
          </w:p>
        </w:tc>
        <w:tc>
          <w:tcPr>
            <w:tcW w:w="993" w:type="dxa"/>
            <w:tcBorders>
              <w:top w:val="single" w:sz="12" w:space="0" w:color="auto"/>
              <w:bottom w:val="single" w:sz="12" w:space="0" w:color="auto"/>
              <w:right w:val="single" w:sz="12" w:space="0" w:color="auto"/>
            </w:tcBorders>
          </w:tcPr>
          <w:p>
            <w:pPr>
              <w:jc w:val="right"/>
              <w:rPr>
                <w:b/>
                <w:noProof/>
                <w:sz w:val="18"/>
              </w:rPr>
            </w:pPr>
            <w:r>
              <w:rPr>
                <w:b/>
                <w:noProof/>
                <w:sz w:val="18"/>
              </w:rPr>
              <w:t>400,000</w:t>
            </w:r>
          </w:p>
        </w:tc>
      </w:tr>
    </w:tbl>
    <w:p>
      <w:pPr>
        <w:jc w:val="left"/>
        <w:rPr>
          <w:b/>
          <w:noProof/>
          <w:sz w:val="18"/>
        </w:rPr>
      </w:pPr>
      <w:r>
        <w:rPr>
          <w:b/>
          <w:noProof/>
          <w:sz w:val="18"/>
        </w:rPr>
        <w:t>*   Contribuția UE utilizată pentru 10 proiecte demonstrative cu un cost mediu cuprins între 10 și 15 milioane EUR și pentru 20 de proiecte pilot cu un cost mediu de 2,5 milioane EUR pe proiect.</w:t>
      </w:r>
    </w:p>
    <w:p>
      <w:pPr>
        <w:jc w:val="left"/>
        <w:rPr>
          <w:noProof/>
        </w:rPr>
        <w:sectPr>
          <w:pgSz w:w="16840" w:h="11907" w:orient="landscape" w:code="9"/>
          <w:pgMar w:top="1134" w:right="1418" w:bottom="567" w:left="1418" w:header="709" w:footer="709" w:gutter="0"/>
          <w:cols w:space="708"/>
          <w:docGrid w:linePitch="360"/>
        </w:sectPr>
      </w:pPr>
      <w:r>
        <w:rPr>
          <w:b/>
          <w:noProof/>
          <w:sz w:val="18"/>
        </w:rPr>
        <w:t>** Contribuția SP utilizată pentru proiecte cu un cost mediu cuprins între 1 și 1,5 milioane EUR</w:t>
      </w:r>
    </w:p>
    <w:p>
      <w:pPr>
        <w:pStyle w:val="ManualHeading3"/>
        <w:rPr>
          <w:bCs/>
          <w:noProof/>
          <w:szCs w:val="24"/>
        </w:rPr>
      </w:pPr>
      <w:r>
        <w:t>3.2.3.</w:t>
      </w:r>
      <w:r>
        <w:tab/>
      </w:r>
      <w:r>
        <w:rPr>
          <w:noProof/>
        </w:rPr>
        <w:t>Impactul estimat asupra creditelor cu caracter administrativ</w:t>
      </w:r>
    </w:p>
    <w:p>
      <w:pPr>
        <w:pStyle w:val="ManualHeading4"/>
        <w:rPr>
          <w:noProof/>
        </w:rPr>
      </w:pPr>
      <w:r>
        <w:t>3.2.3.1.</w:t>
      </w:r>
      <w:r>
        <w:tab/>
      </w:r>
      <w:r>
        <w:rPr>
          <w:noProof/>
        </w:rPr>
        <w:t xml:space="preserve">Rezumat </w:t>
      </w:r>
    </w:p>
    <w:p>
      <w:pPr>
        <w:pStyle w:val="ListDash1"/>
        <w:rPr>
          <w:noProof/>
        </w:rPr>
      </w:pPr>
      <w:r>
        <w:rPr>
          <w:noProof/>
        </w:rPr>
        <w:sym w:font="Wingdings" w:char="F0A8"/>
      </w:r>
      <w:r>
        <w:rPr>
          <w:noProof/>
        </w:rPr>
        <w:tab/>
        <w:t xml:space="preserve">Propunerea/inițiativa nu implică utilizarea de credite cu caracter administrativ </w:t>
      </w:r>
    </w:p>
    <w:p>
      <w:pPr>
        <w:pStyle w:val="ListDash1"/>
        <w:rPr>
          <w:noProof/>
        </w:rPr>
      </w:pPr>
      <w:r>
        <w:rPr>
          <w:noProof/>
        </w:rPr>
        <w:sym w:font="Wingdings" w:char="F078"/>
      </w:r>
      <w:r>
        <w:rPr>
          <w:noProof/>
        </w:rPr>
        <w:tab/>
        <w:t>Propunerea/inițiativa implică utilizarea de credite cu caracter administrativ, conform explicațiilor de mai jos:</w:t>
      </w:r>
    </w:p>
    <w:p>
      <w:pPr>
        <w:rPr>
          <w:noProof/>
          <w:sz w:val="16"/>
        </w:rPr>
      </w:pPr>
      <w:r>
        <w:rPr>
          <w:noProof/>
          <w:sz w:val="20"/>
        </w:rPr>
        <w:t xml:space="preserve">milioane EUR (cu trei zecimale) </w:t>
      </w:r>
    </w:p>
    <w:tbl>
      <w:tblPr>
        <w:tblW w:w="7380" w:type="dxa"/>
        <w:jc w:val="center"/>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tcPr>
          <w:p>
            <w:pPr>
              <w:rPr>
                <w:noProof/>
                <w:sz w:val="16"/>
              </w:rPr>
            </w:pPr>
          </w:p>
        </w:tc>
        <w:tc>
          <w:tcPr>
            <w:tcW w:w="1080" w:type="dxa"/>
            <w:vAlign w:val="center"/>
          </w:tcPr>
          <w:p>
            <w:pPr>
              <w:rPr>
                <w:noProof/>
                <w:sz w:val="16"/>
              </w:rPr>
            </w:pPr>
            <w:r>
              <w:rPr>
                <w:noProof/>
                <w:sz w:val="16"/>
              </w:rPr>
              <w:t>An</w:t>
            </w:r>
            <w:r>
              <w:rPr>
                <w:noProof/>
                <w:sz w:val="16"/>
              </w:rPr>
              <w:br/>
            </w:r>
            <w:r>
              <w:rPr>
                <w:b/>
                <w:noProof/>
                <w:sz w:val="16"/>
              </w:rPr>
              <w:t xml:space="preserve">2018 </w:t>
            </w:r>
          </w:p>
        </w:tc>
        <w:tc>
          <w:tcPr>
            <w:tcW w:w="1080" w:type="dxa"/>
            <w:vAlign w:val="center"/>
          </w:tcPr>
          <w:p>
            <w:pPr>
              <w:rPr>
                <w:noProof/>
                <w:sz w:val="16"/>
              </w:rPr>
            </w:pPr>
            <w:r>
              <w:rPr>
                <w:noProof/>
                <w:sz w:val="16"/>
              </w:rPr>
              <w:t>An</w:t>
            </w:r>
            <w:r>
              <w:rPr>
                <w:noProof/>
                <w:sz w:val="16"/>
              </w:rPr>
              <w:br/>
            </w:r>
            <w:r>
              <w:rPr>
                <w:b/>
                <w:noProof/>
                <w:sz w:val="16"/>
              </w:rPr>
              <w:t>2019</w:t>
            </w:r>
          </w:p>
        </w:tc>
        <w:tc>
          <w:tcPr>
            <w:tcW w:w="1080" w:type="dxa"/>
            <w:vAlign w:val="center"/>
          </w:tcPr>
          <w:p>
            <w:pPr>
              <w:rPr>
                <w:noProof/>
                <w:sz w:val="16"/>
              </w:rPr>
            </w:pPr>
            <w:r>
              <w:rPr>
                <w:noProof/>
                <w:sz w:val="16"/>
              </w:rPr>
              <w:t>An</w:t>
            </w:r>
            <w:r>
              <w:rPr>
                <w:noProof/>
                <w:sz w:val="16"/>
              </w:rPr>
              <w:br/>
            </w:r>
            <w:r>
              <w:rPr>
                <w:b/>
                <w:noProof/>
                <w:sz w:val="16"/>
              </w:rPr>
              <w:t>2020</w:t>
            </w:r>
          </w:p>
        </w:tc>
        <w:tc>
          <w:tcPr>
            <w:tcW w:w="1080" w:type="dxa"/>
            <w:vAlign w:val="center"/>
          </w:tcPr>
          <w:p>
            <w:pPr>
              <w:rPr>
                <w:noProof/>
                <w:sz w:val="16"/>
              </w:rPr>
            </w:pPr>
            <w:r>
              <w:rPr>
                <w:noProof/>
                <w:sz w:val="16"/>
              </w:rPr>
              <w:t>An</w:t>
            </w:r>
            <w:r>
              <w:rPr>
                <w:noProof/>
                <w:sz w:val="16"/>
              </w:rPr>
              <w:br/>
            </w:r>
            <w:r>
              <w:rPr>
                <w:b/>
                <w:noProof/>
                <w:sz w:val="16"/>
              </w:rPr>
              <w:t>2021-2029</w:t>
            </w:r>
          </w:p>
        </w:tc>
        <w:tc>
          <w:tcPr>
            <w:tcW w:w="1080" w:type="dxa"/>
            <w:vAlign w:val="center"/>
          </w:tcPr>
          <w:p>
            <w:pPr>
              <w:rPr>
                <w:b/>
                <w:noProof/>
                <w:sz w:val="16"/>
              </w:rPr>
            </w:pPr>
            <w:r>
              <w:rPr>
                <w:b/>
                <w:noProof/>
                <w:sz w:val="16"/>
              </w:rPr>
              <w:t>TOTAL</w:t>
            </w:r>
          </w:p>
        </w:tc>
      </w:tr>
    </w:tbl>
    <w:p>
      <w:pPr>
        <w:rPr>
          <w:noProof/>
          <w:sz w:val="16"/>
        </w:rPr>
      </w:pPr>
    </w:p>
    <w:tbl>
      <w:tblPr>
        <w:tblW w:w="7380" w:type="dxa"/>
        <w:jc w:val="center"/>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shd w:val="clear" w:color="auto" w:fill="CCCCCC"/>
            <w:vAlign w:val="center"/>
          </w:tcPr>
          <w:p>
            <w:pPr>
              <w:rPr>
                <w:b/>
                <w:noProof/>
                <w:sz w:val="16"/>
              </w:rPr>
            </w:pPr>
            <w:r>
              <w:rPr>
                <w:b/>
                <w:noProof/>
                <w:sz w:val="16"/>
              </w:rPr>
              <w:t>RUBRICA 5</w:t>
            </w:r>
            <w:r>
              <w:rPr>
                <w:noProof/>
                <w:sz w:val="16"/>
              </w:rPr>
              <w:br/>
            </w:r>
            <w:r>
              <w:rPr>
                <w:b/>
                <w:noProof/>
                <w:sz w:val="16"/>
              </w:rPr>
              <w:t>din cadrul financiar multianual</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vAlign w:val="center"/>
          </w:tcPr>
          <w:p>
            <w:pPr>
              <w:rPr>
                <w:noProof/>
                <w:sz w:val="16"/>
              </w:rPr>
            </w:pPr>
            <w:r>
              <w:rPr>
                <w:noProof/>
                <w:sz w:val="16"/>
              </w:rPr>
              <w:t xml:space="preserve">Resurse umane </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vAlign w:val="center"/>
          </w:tcPr>
          <w:p>
            <w:pPr>
              <w:rPr>
                <w:noProof/>
                <w:sz w:val="16"/>
              </w:rPr>
            </w:pPr>
            <w:r>
              <w:rPr>
                <w:noProof/>
                <w:sz w:val="16"/>
              </w:rPr>
              <w:t xml:space="preserve">Alte cheltuieli administrative </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shd w:val="clear" w:color="auto" w:fill="CCCCCC"/>
            <w:vAlign w:val="center"/>
          </w:tcPr>
          <w:p>
            <w:pPr>
              <w:rPr>
                <w:b/>
                <w:noProof/>
                <w:sz w:val="16"/>
              </w:rPr>
            </w:pPr>
            <w:r>
              <w:rPr>
                <w:b/>
                <w:noProof/>
                <w:sz w:val="16"/>
              </w:rPr>
              <w:t>Subtotal RUBRICA 5</w:t>
            </w:r>
            <w:r>
              <w:rPr>
                <w:noProof/>
                <w:sz w:val="16"/>
              </w:rPr>
              <w:br/>
            </w:r>
            <w:r>
              <w:rPr>
                <w:b/>
                <w:noProof/>
                <w:sz w:val="16"/>
              </w:rPr>
              <w:t xml:space="preserve">din cadrul financiar multianual </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bl>
    <w:p>
      <w:pPr>
        <w:rPr>
          <w:noProof/>
          <w:sz w:val="16"/>
        </w:rPr>
      </w:pPr>
    </w:p>
    <w:tbl>
      <w:tblPr>
        <w:tblW w:w="7380" w:type="dxa"/>
        <w:jc w:val="center"/>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shd w:val="clear" w:color="auto" w:fill="CCCCCC"/>
            <w:vAlign w:val="center"/>
          </w:tcPr>
          <w:p>
            <w:pPr>
              <w:rPr>
                <w:noProof/>
                <w:sz w:val="16"/>
              </w:rPr>
            </w:pPr>
            <w:r>
              <w:rPr>
                <w:b/>
                <w:noProof/>
                <w:sz w:val="16"/>
              </w:rPr>
              <w:t>În afara RUBRICII 5</w:t>
            </w:r>
            <w:r>
              <w:rPr>
                <w:rStyle w:val="FootnoteReference"/>
                <w:noProof/>
              </w:rPr>
              <w:footnoteReference w:id="22"/>
            </w:r>
            <w:r>
              <w:rPr>
                <w:noProof/>
                <w:sz w:val="16"/>
              </w:rPr>
              <w:br/>
            </w:r>
            <w:r>
              <w:rPr>
                <w:b/>
                <w:noProof/>
                <w:sz w:val="16"/>
              </w:rPr>
              <w:t xml:space="preserve">din cadrul financiar multianual </w:t>
            </w:r>
          </w:p>
          <w:p>
            <w:pPr>
              <w:rPr>
                <w:b/>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vAlign w:val="center"/>
          </w:tcPr>
          <w:p>
            <w:pPr>
              <w:rPr>
                <w:noProof/>
                <w:sz w:val="16"/>
              </w:rPr>
            </w:pPr>
            <w:r>
              <w:rPr>
                <w:noProof/>
                <w:sz w:val="16"/>
              </w:rPr>
              <w:t xml:space="preserve">Resurse umane </w:t>
            </w:r>
          </w:p>
        </w:tc>
        <w:tc>
          <w:tcPr>
            <w:tcW w:w="1080" w:type="dxa"/>
            <w:vAlign w:val="center"/>
          </w:tcPr>
          <w:p>
            <w:pPr>
              <w:rPr>
                <w:noProof/>
                <w:sz w:val="16"/>
              </w:rPr>
            </w:pPr>
            <w:r>
              <w:rPr>
                <w:noProof/>
                <w:sz w:val="16"/>
              </w:rPr>
              <w:t>0,204</w:t>
            </w:r>
          </w:p>
        </w:tc>
        <w:tc>
          <w:tcPr>
            <w:tcW w:w="1080" w:type="dxa"/>
            <w:vAlign w:val="center"/>
          </w:tcPr>
          <w:p>
            <w:pPr>
              <w:rPr>
                <w:noProof/>
                <w:sz w:val="16"/>
              </w:rPr>
            </w:pPr>
            <w:r>
              <w:rPr>
                <w:noProof/>
                <w:sz w:val="16"/>
              </w:rPr>
              <w:t>0,208</w:t>
            </w:r>
          </w:p>
        </w:tc>
        <w:tc>
          <w:tcPr>
            <w:tcW w:w="1080" w:type="dxa"/>
            <w:vAlign w:val="center"/>
          </w:tcPr>
          <w:p>
            <w:pPr>
              <w:rPr>
                <w:noProof/>
                <w:sz w:val="16"/>
              </w:rPr>
            </w:pPr>
            <w:r>
              <w:rPr>
                <w:noProof/>
                <w:sz w:val="16"/>
              </w:rPr>
              <w:t>0,212</w:t>
            </w:r>
          </w:p>
        </w:tc>
        <w:tc>
          <w:tcPr>
            <w:tcW w:w="1080" w:type="dxa"/>
            <w:vAlign w:val="center"/>
          </w:tcPr>
          <w:p>
            <w:pPr>
              <w:rPr>
                <w:noProof/>
                <w:sz w:val="16"/>
              </w:rPr>
            </w:pPr>
          </w:p>
        </w:tc>
        <w:tc>
          <w:tcPr>
            <w:tcW w:w="1080" w:type="dxa"/>
            <w:vAlign w:val="center"/>
          </w:tcPr>
          <w:p>
            <w:pPr>
              <w:rPr>
                <w:b/>
                <w:noProof/>
                <w:sz w:val="16"/>
              </w:rPr>
            </w:pPr>
            <w:r>
              <w:rPr>
                <w:b/>
                <w:noProof/>
                <w:sz w:val="16"/>
              </w:rPr>
              <w:t>0,624</w:t>
            </w:r>
          </w:p>
        </w:tc>
      </w:tr>
      <w:tr>
        <w:trPr>
          <w:trHeight w:val="585"/>
          <w:jc w:val="center"/>
        </w:trPr>
        <w:tc>
          <w:tcPr>
            <w:tcW w:w="1980" w:type="dxa"/>
            <w:vAlign w:val="center"/>
          </w:tcPr>
          <w:p>
            <w:pPr>
              <w:rPr>
                <w:noProof/>
                <w:sz w:val="16"/>
              </w:rPr>
            </w:pPr>
            <w:r>
              <w:rPr>
                <w:noProof/>
                <w:sz w:val="16"/>
              </w:rPr>
              <w:t xml:space="preserve">Alte cheltuieli </w:t>
            </w:r>
            <w:r>
              <w:rPr>
                <w:noProof/>
                <w:sz w:val="16"/>
              </w:rPr>
              <w:br/>
              <w:t>cu caracter administrativ</w:t>
            </w:r>
          </w:p>
        </w:tc>
        <w:tc>
          <w:tcPr>
            <w:tcW w:w="1080" w:type="dxa"/>
            <w:vAlign w:val="center"/>
          </w:tcPr>
          <w:p>
            <w:pPr>
              <w:rPr>
                <w:noProof/>
                <w:sz w:val="16"/>
              </w:rPr>
            </w:pPr>
            <w:r>
              <w:rPr>
                <w:noProof/>
                <w:sz w:val="16"/>
              </w:rPr>
              <w:t>0,018</w:t>
            </w:r>
          </w:p>
        </w:tc>
        <w:tc>
          <w:tcPr>
            <w:tcW w:w="1080" w:type="dxa"/>
            <w:vAlign w:val="center"/>
          </w:tcPr>
          <w:p>
            <w:pPr>
              <w:rPr>
                <w:noProof/>
                <w:sz w:val="16"/>
              </w:rPr>
            </w:pPr>
            <w:r>
              <w:rPr>
                <w:noProof/>
                <w:sz w:val="16"/>
              </w:rPr>
              <w:t>0,018</w:t>
            </w:r>
          </w:p>
        </w:tc>
        <w:tc>
          <w:tcPr>
            <w:tcW w:w="1080" w:type="dxa"/>
            <w:vAlign w:val="center"/>
          </w:tcPr>
          <w:p>
            <w:pPr>
              <w:rPr>
                <w:noProof/>
                <w:sz w:val="16"/>
              </w:rPr>
            </w:pPr>
            <w:r>
              <w:rPr>
                <w:noProof/>
                <w:sz w:val="16"/>
              </w:rPr>
              <w:t>0,018</w:t>
            </w:r>
          </w:p>
        </w:tc>
        <w:tc>
          <w:tcPr>
            <w:tcW w:w="1080" w:type="dxa"/>
            <w:vAlign w:val="center"/>
          </w:tcPr>
          <w:p>
            <w:pPr>
              <w:rPr>
                <w:noProof/>
                <w:sz w:val="16"/>
              </w:rPr>
            </w:pPr>
          </w:p>
        </w:tc>
        <w:tc>
          <w:tcPr>
            <w:tcW w:w="1080" w:type="dxa"/>
            <w:vAlign w:val="center"/>
          </w:tcPr>
          <w:p>
            <w:pPr>
              <w:rPr>
                <w:b/>
                <w:noProof/>
                <w:sz w:val="16"/>
              </w:rPr>
            </w:pPr>
            <w:r>
              <w:rPr>
                <w:b/>
                <w:noProof/>
                <w:sz w:val="16"/>
              </w:rPr>
              <w:t>0,054</w:t>
            </w:r>
          </w:p>
        </w:tc>
      </w:tr>
      <w:tr>
        <w:trPr>
          <w:trHeight w:val="585"/>
          <w:jc w:val="center"/>
        </w:trPr>
        <w:tc>
          <w:tcPr>
            <w:tcW w:w="1980" w:type="dxa"/>
            <w:shd w:val="clear" w:color="auto" w:fill="CCCCCC"/>
            <w:vAlign w:val="center"/>
          </w:tcPr>
          <w:p>
            <w:pPr>
              <w:rPr>
                <w:b/>
                <w:noProof/>
                <w:sz w:val="16"/>
              </w:rPr>
            </w:pPr>
            <w:r>
              <w:rPr>
                <w:b/>
                <w:noProof/>
                <w:sz w:val="16"/>
              </w:rPr>
              <w:t xml:space="preserve">Subtotal </w:t>
            </w:r>
            <w:r>
              <w:rPr>
                <w:noProof/>
                <w:sz w:val="16"/>
              </w:rPr>
              <w:br/>
            </w:r>
            <w:r>
              <w:rPr>
                <w:b/>
                <w:noProof/>
                <w:sz w:val="16"/>
              </w:rPr>
              <w:t>în afara RUBRICII 5</w:t>
            </w:r>
            <w:r>
              <w:rPr>
                <w:noProof/>
                <w:sz w:val="16"/>
              </w:rPr>
              <w:br/>
            </w:r>
            <w:r>
              <w:rPr>
                <w:b/>
                <w:noProof/>
                <w:sz w:val="16"/>
              </w:rPr>
              <w:t xml:space="preserve">din cadrul financiar multianual </w:t>
            </w:r>
          </w:p>
        </w:tc>
        <w:tc>
          <w:tcPr>
            <w:tcW w:w="1080" w:type="dxa"/>
            <w:vAlign w:val="center"/>
          </w:tcPr>
          <w:p>
            <w:pPr>
              <w:rPr>
                <w:noProof/>
                <w:sz w:val="16"/>
              </w:rPr>
            </w:pPr>
            <w:r>
              <w:rPr>
                <w:noProof/>
                <w:sz w:val="16"/>
              </w:rPr>
              <w:t>0,222</w:t>
            </w:r>
          </w:p>
        </w:tc>
        <w:tc>
          <w:tcPr>
            <w:tcW w:w="1080" w:type="dxa"/>
            <w:vAlign w:val="center"/>
          </w:tcPr>
          <w:p>
            <w:pPr>
              <w:rPr>
                <w:noProof/>
                <w:sz w:val="16"/>
              </w:rPr>
            </w:pPr>
            <w:r>
              <w:rPr>
                <w:noProof/>
                <w:sz w:val="16"/>
              </w:rPr>
              <w:t>0,226</w:t>
            </w:r>
          </w:p>
        </w:tc>
        <w:tc>
          <w:tcPr>
            <w:tcW w:w="1080" w:type="dxa"/>
            <w:vAlign w:val="center"/>
          </w:tcPr>
          <w:p>
            <w:pPr>
              <w:rPr>
                <w:noProof/>
                <w:sz w:val="16"/>
              </w:rPr>
            </w:pPr>
            <w:r>
              <w:rPr>
                <w:noProof/>
                <w:sz w:val="16"/>
              </w:rPr>
              <w:t>0,230</w:t>
            </w:r>
          </w:p>
        </w:tc>
        <w:tc>
          <w:tcPr>
            <w:tcW w:w="1080" w:type="dxa"/>
            <w:vAlign w:val="center"/>
          </w:tcPr>
          <w:p>
            <w:pPr>
              <w:rPr>
                <w:noProof/>
                <w:sz w:val="16"/>
              </w:rPr>
            </w:pPr>
          </w:p>
        </w:tc>
        <w:tc>
          <w:tcPr>
            <w:tcW w:w="1080" w:type="dxa"/>
            <w:vAlign w:val="center"/>
          </w:tcPr>
          <w:p>
            <w:pPr>
              <w:rPr>
                <w:b/>
                <w:noProof/>
                <w:sz w:val="16"/>
              </w:rPr>
            </w:pPr>
            <w:r>
              <w:rPr>
                <w:b/>
                <w:noProof/>
                <w:sz w:val="16"/>
              </w:rPr>
              <w:t>0,678</w:t>
            </w:r>
          </w:p>
        </w:tc>
      </w:tr>
    </w:tbl>
    <w:p>
      <w:pPr>
        <w:rPr>
          <w:noProof/>
          <w:sz w:val="16"/>
        </w:rPr>
      </w:pPr>
    </w:p>
    <w:tbl>
      <w:tblPr>
        <w:tblW w:w="7380" w:type="dxa"/>
        <w:jc w:val="center"/>
        <w:tblInd w:w="-612" w:type="dxa"/>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tcBorders>
              <w:top w:val="single" w:sz="12" w:space="0" w:color="auto"/>
              <w:left w:val="single" w:sz="12" w:space="0" w:color="auto"/>
              <w:bottom w:val="single" w:sz="12" w:space="0" w:color="auto"/>
              <w:right w:val="single" w:sz="2" w:space="0" w:color="auto"/>
            </w:tcBorders>
            <w:vAlign w:val="center"/>
          </w:tcPr>
          <w:p>
            <w:pPr>
              <w:rPr>
                <w:noProof/>
                <w:sz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r>
              <w:rPr>
                <w:noProof/>
                <w:sz w:val="16"/>
              </w:rPr>
              <w:t>0,222</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r>
              <w:rPr>
                <w:noProof/>
                <w:sz w:val="16"/>
              </w:rPr>
              <w:t>0,226</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r>
              <w:rPr>
                <w:noProof/>
                <w:sz w:val="16"/>
              </w:rPr>
              <w:t>0,230</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rPr>
                <w:b/>
                <w:noProof/>
                <w:sz w:val="16"/>
              </w:rPr>
            </w:pPr>
            <w:r>
              <w:rPr>
                <w:b/>
                <w:noProof/>
                <w:sz w:val="16"/>
              </w:rPr>
              <w:t>0,678</w:t>
            </w:r>
          </w:p>
        </w:tc>
      </w:tr>
    </w:tbl>
    <w:p>
      <w:pPr>
        <w:jc w:val="left"/>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Necesarul de credite în materie de resurse umane și alte cheltuieli cu caracter administrativ vor fi acoperite de creditele DG-ului care sunt deja alocate pentru gestionarea acțiunii și/sau realocate intern în cadrul DG-ului, completate, după caz, prin resurse suplimentare ce ar putea fi alocate DG-ului care gestionează acțiunea în cadrul procedurii de alocare anuală și în lumina constrângerilor bugetare.</w:t>
      </w:r>
    </w:p>
    <w:p>
      <w:pPr>
        <w:pStyle w:val="ManualHeading4"/>
        <w:rPr>
          <w:bCs/>
          <w:noProof/>
          <w:szCs w:val="24"/>
        </w:rPr>
      </w:pPr>
      <w:r>
        <w:t>3.2.3.2.</w:t>
      </w:r>
      <w:r>
        <w:tab/>
      </w:r>
      <w:r>
        <w:rPr>
          <w:noProof/>
        </w:rPr>
        <w:t>Necesarul de resurse umane estimat</w:t>
      </w:r>
    </w:p>
    <w:p>
      <w:pPr>
        <w:pStyle w:val="ListDash1"/>
        <w:rPr>
          <w:noProof/>
        </w:rPr>
      </w:pPr>
      <w:r>
        <w:rPr>
          <w:noProof/>
        </w:rPr>
        <w:sym w:font="Wingdings" w:char="F0A8"/>
      </w:r>
      <w:r>
        <w:rPr>
          <w:noProof/>
        </w:rPr>
        <w:tab/>
        <w:t xml:space="preserve">Propunerea/inițiativa nu implică utilizarea de resurse umane. </w:t>
      </w:r>
    </w:p>
    <w:p>
      <w:pPr>
        <w:pStyle w:val="ListDash1"/>
        <w:rPr>
          <w:noProof/>
        </w:rPr>
      </w:pPr>
      <w:r>
        <w:rPr>
          <w:noProof/>
        </w:rPr>
        <w:sym w:font="Wingdings" w:char="F0A8"/>
      </w:r>
      <w:r>
        <w:rPr>
          <w:noProof/>
        </w:rPr>
        <w:tab/>
        <w:t>Propunerea/inițiativa implică utilizarea de resurse umane, conform explicațiilor de mai jos:</w:t>
      </w:r>
    </w:p>
    <w:p>
      <w:pPr>
        <w:spacing w:after="60"/>
        <w:jc w:val="right"/>
        <w:rPr>
          <w:i/>
          <w:noProof/>
          <w:sz w:val="20"/>
        </w:rPr>
      </w:pPr>
      <w:r>
        <w:rPr>
          <w:i/>
          <w:noProof/>
          <w:sz w:val="20"/>
        </w:rPr>
        <w:t>Estimări în echivalent normă întreagă</w:t>
      </w:r>
    </w:p>
    <w:p>
      <w:pPr>
        <w:pStyle w:val="Text1"/>
        <w:rPr>
          <w:i/>
          <w:noProof/>
          <w:sz w:val="16"/>
        </w:rPr>
      </w:pPr>
    </w:p>
    <w:tbl>
      <w:tblPr>
        <w:tblW w:w="318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7"/>
        <w:gridCol w:w="1684"/>
        <w:gridCol w:w="2875"/>
        <w:gridCol w:w="1117"/>
        <w:gridCol w:w="1117"/>
        <w:gridCol w:w="1117"/>
      </w:tblGrid>
      <w:tr>
        <w:trPr>
          <w:trHeight w:val="289"/>
        </w:trPr>
        <w:tc>
          <w:tcPr>
            <w:tcW w:w="2809" w:type="pct"/>
            <w:gridSpan w:val="3"/>
          </w:tcPr>
          <w:p>
            <w:pPr>
              <w:pStyle w:val="Text1"/>
              <w:numPr>
                <w:ilvl w:val="0"/>
                <w:numId w:val="1"/>
              </w:numPr>
              <w:rPr>
                <w:i/>
                <w:noProof/>
                <w:sz w:val="16"/>
              </w:rPr>
            </w:pPr>
          </w:p>
        </w:tc>
        <w:tc>
          <w:tcPr>
            <w:tcW w:w="698" w:type="pct"/>
            <w:vAlign w:val="center"/>
          </w:tcPr>
          <w:p>
            <w:pPr>
              <w:pStyle w:val="Text1"/>
              <w:rPr>
                <w:noProof/>
                <w:sz w:val="16"/>
              </w:rPr>
            </w:pPr>
            <w:r>
              <w:rPr>
                <w:noProof/>
                <w:sz w:val="16"/>
              </w:rPr>
              <w:t>An</w:t>
            </w:r>
          </w:p>
          <w:p>
            <w:pPr>
              <w:pStyle w:val="Text1"/>
              <w:rPr>
                <w:b/>
                <w:noProof/>
                <w:sz w:val="16"/>
              </w:rPr>
            </w:pPr>
            <w:r>
              <w:rPr>
                <w:b/>
                <w:noProof/>
                <w:sz w:val="16"/>
              </w:rPr>
              <w:t>2018</w:t>
            </w:r>
          </w:p>
        </w:tc>
        <w:tc>
          <w:tcPr>
            <w:tcW w:w="706" w:type="pct"/>
          </w:tcPr>
          <w:p>
            <w:pPr>
              <w:pStyle w:val="Text1"/>
              <w:rPr>
                <w:noProof/>
                <w:sz w:val="16"/>
              </w:rPr>
            </w:pPr>
            <w:r>
              <w:rPr>
                <w:noProof/>
                <w:sz w:val="16"/>
              </w:rPr>
              <w:t>An</w:t>
            </w:r>
          </w:p>
          <w:p>
            <w:pPr>
              <w:pStyle w:val="Text1"/>
              <w:rPr>
                <w:noProof/>
                <w:sz w:val="16"/>
              </w:rPr>
            </w:pPr>
            <w:r>
              <w:rPr>
                <w:b/>
                <w:noProof/>
                <w:sz w:val="16"/>
              </w:rPr>
              <w:t>2019</w:t>
            </w:r>
          </w:p>
        </w:tc>
        <w:tc>
          <w:tcPr>
            <w:tcW w:w="706" w:type="pct"/>
          </w:tcPr>
          <w:p>
            <w:pPr>
              <w:pStyle w:val="Text1"/>
              <w:rPr>
                <w:noProof/>
                <w:sz w:val="16"/>
              </w:rPr>
            </w:pPr>
            <w:r>
              <w:rPr>
                <w:noProof/>
                <w:sz w:val="16"/>
              </w:rPr>
              <w:t>An</w:t>
            </w:r>
          </w:p>
          <w:p>
            <w:pPr>
              <w:pStyle w:val="Text1"/>
              <w:rPr>
                <w:noProof/>
                <w:sz w:val="16"/>
              </w:rPr>
            </w:pPr>
            <w:r>
              <w:rPr>
                <w:b/>
                <w:noProof/>
                <w:sz w:val="16"/>
              </w:rPr>
              <w:t>2020</w:t>
            </w:r>
          </w:p>
        </w:tc>
      </w:tr>
      <w:tr>
        <w:trPr>
          <w:trHeight w:val="248"/>
        </w:trPr>
        <w:tc>
          <w:tcPr>
            <w:tcW w:w="627" w:type="pct"/>
          </w:tcPr>
          <w:p>
            <w:pPr>
              <w:pStyle w:val="Text1"/>
              <w:numPr>
                <w:ilvl w:val="0"/>
                <w:numId w:val="1"/>
              </w:numPr>
              <w:rPr>
                <w:b/>
                <w:noProof/>
                <w:sz w:val="16"/>
              </w:rPr>
            </w:pPr>
          </w:p>
        </w:tc>
        <w:tc>
          <w:tcPr>
            <w:tcW w:w="4373" w:type="pct"/>
            <w:gridSpan w:val="5"/>
          </w:tcPr>
          <w:p>
            <w:pPr>
              <w:pStyle w:val="Text1"/>
              <w:numPr>
                <w:ilvl w:val="0"/>
                <w:numId w:val="1"/>
              </w:numPr>
              <w:rPr>
                <w:noProof/>
                <w:sz w:val="16"/>
              </w:rPr>
            </w:pPr>
            <w:r>
              <w:rPr>
                <w:b/>
                <w:noProof/>
                <w:sz w:val="16"/>
              </w:rPr>
              <w:sym w:font="Wingdings" w:char="F09F"/>
            </w:r>
            <w:r>
              <w:rPr>
                <w:b/>
                <w:noProof/>
                <w:sz w:val="16"/>
              </w:rPr>
              <w:t xml:space="preserve"> Posturi din schema de personal (funcționari și agenți temporari)</w:t>
            </w:r>
          </w:p>
        </w:tc>
      </w:tr>
      <w:tr>
        <w:trPr>
          <w:trHeight w:val="289"/>
        </w:trPr>
        <w:tc>
          <w:tcPr>
            <w:tcW w:w="2809" w:type="pct"/>
            <w:gridSpan w:val="3"/>
          </w:tcPr>
          <w:p>
            <w:pPr>
              <w:pStyle w:val="Text1"/>
              <w:numPr>
                <w:ilvl w:val="0"/>
                <w:numId w:val="1"/>
              </w:numPr>
              <w:rPr>
                <w:noProof/>
                <w:sz w:val="16"/>
              </w:rPr>
            </w:pPr>
            <w:r>
              <w:rPr>
                <w:noProof/>
                <w:sz w:val="16"/>
              </w:rPr>
              <w:t>08 01 01 01 (la sediu și în birourile de reprezentare ale Comisiei)</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1"/>
              </w:numPr>
              <w:rPr>
                <w:noProof/>
                <w:sz w:val="16"/>
              </w:rPr>
            </w:pPr>
            <w:r>
              <w:rPr>
                <w:noProof/>
                <w:sz w:val="16"/>
              </w:rPr>
              <w:t>08 01 01 02 (în delegații)</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1"/>
              </w:numPr>
              <w:rPr>
                <w:noProof/>
                <w:sz w:val="16"/>
              </w:rPr>
            </w:pPr>
            <w:r>
              <w:rPr>
                <w:noProof/>
                <w:sz w:val="16"/>
              </w:rPr>
              <w:t>08 01 05 01 (cercetare indirectă)</w:t>
            </w:r>
          </w:p>
        </w:tc>
        <w:tc>
          <w:tcPr>
            <w:tcW w:w="698" w:type="pct"/>
          </w:tcPr>
          <w:p>
            <w:pPr>
              <w:pStyle w:val="Text1"/>
              <w:rPr>
                <w:noProof/>
                <w:sz w:val="16"/>
              </w:rPr>
            </w:pPr>
            <w:r>
              <w:rPr>
                <w:noProof/>
                <w:sz w:val="16"/>
              </w:rPr>
              <w:t>1</w:t>
            </w:r>
          </w:p>
        </w:tc>
        <w:tc>
          <w:tcPr>
            <w:tcW w:w="706" w:type="pct"/>
          </w:tcPr>
          <w:p>
            <w:pPr>
              <w:pStyle w:val="Text1"/>
              <w:rPr>
                <w:noProof/>
                <w:sz w:val="16"/>
              </w:rPr>
            </w:pPr>
            <w:r>
              <w:rPr>
                <w:noProof/>
                <w:sz w:val="16"/>
              </w:rPr>
              <w:t>1</w:t>
            </w:r>
          </w:p>
        </w:tc>
        <w:tc>
          <w:tcPr>
            <w:tcW w:w="706" w:type="pct"/>
          </w:tcPr>
          <w:p>
            <w:pPr>
              <w:pStyle w:val="Text1"/>
              <w:rPr>
                <w:noProof/>
                <w:sz w:val="16"/>
              </w:rPr>
            </w:pPr>
            <w:r>
              <w:rPr>
                <w:noProof/>
                <w:sz w:val="16"/>
              </w:rPr>
              <w:t>1</w:t>
            </w:r>
          </w:p>
        </w:tc>
      </w:tr>
      <w:tr>
        <w:trPr>
          <w:trHeight w:val="289"/>
        </w:trPr>
        <w:tc>
          <w:tcPr>
            <w:tcW w:w="2809" w:type="pct"/>
            <w:gridSpan w:val="3"/>
          </w:tcPr>
          <w:p>
            <w:pPr>
              <w:pStyle w:val="Text1"/>
              <w:numPr>
                <w:ilvl w:val="0"/>
                <w:numId w:val="1"/>
              </w:numPr>
              <w:rPr>
                <w:noProof/>
                <w:sz w:val="16"/>
              </w:rPr>
            </w:pPr>
            <w:r>
              <w:rPr>
                <w:noProof/>
                <w:sz w:val="16"/>
              </w:rPr>
              <w:t>10 01 05 01 (cercetare directă)</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48"/>
        </w:trPr>
        <w:tc>
          <w:tcPr>
            <w:tcW w:w="627" w:type="pct"/>
          </w:tcPr>
          <w:p>
            <w:pPr>
              <w:pStyle w:val="Text1"/>
              <w:numPr>
                <w:ilvl w:val="0"/>
                <w:numId w:val="1"/>
              </w:numPr>
              <w:rPr>
                <w:b/>
                <w:noProof/>
                <w:sz w:val="16"/>
              </w:rPr>
            </w:pPr>
          </w:p>
        </w:tc>
        <w:tc>
          <w:tcPr>
            <w:tcW w:w="4373" w:type="pct"/>
            <w:gridSpan w:val="5"/>
          </w:tcPr>
          <w:p>
            <w:pPr>
              <w:pStyle w:val="Text1"/>
              <w:numPr>
                <w:ilvl w:val="0"/>
                <w:numId w:val="1"/>
              </w:numPr>
              <w:rPr>
                <w:b/>
                <w:noProof/>
                <w:sz w:val="16"/>
              </w:rPr>
            </w:pPr>
            <w:r>
              <w:rPr>
                <w:b/>
                <w:noProof/>
                <w:sz w:val="16"/>
              </w:rPr>
              <w:sym w:font="Wingdings" w:char="F09F"/>
            </w:r>
            <w:r>
              <w:rPr>
                <w:b/>
                <w:noProof/>
                <w:sz w:val="16"/>
              </w:rPr>
              <w:t xml:space="preserve"> Personal extern (în echivalent normă întreagă: ENI</w:t>
            </w:r>
            <w:r>
              <w:rPr>
                <w:rStyle w:val="FootnoteReference"/>
                <w:noProof/>
              </w:rPr>
              <w:footnoteReference w:id="23"/>
            </w:r>
          </w:p>
          <w:p>
            <w:pPr>
              <w:pStyle w:val="Text1"/>
              <w:numPr>
                <w:ilvl w:val="0"/>
                <w:numId w:val="1"/>
              </w:numPr>
              <w:rPr>
                <w:noProof/>
                <w:sz w:val="16"/>
              </w:rPr>
            </w:pPr>
          </w:p>
        </w:tc>
      </w:tr>
      <w:tr>
        <w:trPr>
          <w:trHeight w:val="289"/>
        </w:trPr>
        <w:tc>
          <w:tcPr>
            <w:tcW w:w="2809" w:type="pct"/>
            <w:gridSpan w:val="3"/>
          </w:tcPr>
          <w:p>
            <w:pPr>
              <w:pStyle w:val="Text1"/>
              <w:numPr>
                <w:ilvl w:val="0"/>
                <w:numId w:val="1"/>
              </w:numPr>
              <w:rPr>
                <w:noProof/>
                <w:sz w:val="16"/>
              </w:rPr>
            </w:pPr>
            <w:r>
              <w:rPr>
                <w:noProof/>
                <w:sz w:val="16"/>
              </w:rPr>
              <w:t>XX 01 02 01 (AC, INT, END din „pachetul global”)</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1"/>
              </w:numPr>
              <w:rPr>
                <w:noProof/>
                <w:sz w:val="16"/>
              </w:rPr>
            </w:pPr>
            <w:r>
              <w:rPr>
                <w:noProof/>
                <w:sz w:val="16"/>
              </w:rPr>
              <w:t>XX 01 02 02 (AC, INT, JED, AL și END în delegații)</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1399" w:type="pct"/>
            <w:gridSpan w:val="2"/>
            <w:vMerge w:val="restart"/>
          </w:tcPr>
          <w:p>
            <w:pPr>
              <w:pStyle w:val="Text1"/>
              <w:numPr>
                <w:ilvl w:val="0"/>
                <w:numId w:val="1"/>
              </w:numPr>
              <w:rPr>
                <w:b/>
                <w:noProof/>
                <w:sz w:val="16"/>
              </w:rPr>
            </w:pPr>
            <w:r>
              <w:rPr>
                <w:b/>
                <w:noProof/>
                <w:sz w:val="16"/>
              </w:rPr>
              <w:t>XX</w:t>
            </w:r>
            <w:r>
              <w:rPr>
                <w:noProof/>
                <w:sz w:val="16"/>
              </w:rPr>
              <w:t xml:space="preserve"> 01 04 </w:t>
            </w:r>
            <w:r>
              <w:rPr>
                <w:b/>
                <w:noProof/>
                <w:sz w:val="16"/>
              </w:rPr>
              <w:t>yy</w:t>
            </w:r>
            <w:r>
              <w:rPr>
                <w:rStyle w:val="FootnoteReference"/>
                <w:noProof/>
              </w:rPr>
              <w:footnoteReference w:id="24"/>
            </w:r>
          </w:p>
          <w:p>
            <w:pPr>
              <w:pStyle w:val="Text1"/>
              <w:numPr>
                <w:ilvl w:val="0"/>
                <w:numId w:val="1"/>
              </w:numPr>
              <w:rPr>
                <w:b/>
                <w:noProof/>
                <w:sz w:val="16"/>
              </w:rPr>
            </w:pPr>
          </w:p>
        </w:tc>
        <w:tc>
          <w:tcPr>
            <w:tcW w:w="1410" w:type="pct"/>
          </w:tcPr>
          <w:p>
            <w:pPr>
              <w:pStyle w:val="Text1"/>
              <w:numPr>
                <w:ilvl w:val="0"/>
                <w:numId w:val="1"/>
              </w:numPr>
              <w:rPr>
                <w:b/>
                <w:noProof/>
                <w:sz w:val="16"/>
              </w:rPr>
            </w:pPr>
            <w:r>
              <w:rPr>
                <w:noProof/>
                <w:sz w:val="16"/>
              </w:rPr>
              <w:t>- la sediu</w:t>
            </w:r>
          </w:p>
          <w:p>
            <w:pPr>
              <w:pStyle w:val="Text1"/>
              <w:numPr>
                <w:ilvl w:val="0"/>
                <w:numId w:val="1"/>
              </w:numPr>
              <w:rPr>
                <w:b/>
                <w:noProof/>
                <w:sz w:val="16"/>
              </w:rPr>
            </w:pPr>
          </w:p>
        </w:tc>
        <w:tc>
          <w:tcPr>
            <w:tcW w:w="698" w:type="pct"/>
          </w:tcPr>
          <w:p>
            <w:pPr>
              <w:pStyle w:val="Text1"/>
              <w:numPr>
                <w:ilvl w:val="0"/>
                <w:numId w:val="1"/>
              </w:numPr>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1399" w:type="pct"/>
            <w:gridSpan w:val="2"/>
            <w:vMerge/>
          </w:tcPr>
          <w:p>
            <w:pPr>
              <w:pStyle w:val="Text1"/>
              <w:numPr>
                <w:ilvl w:val="0"/>
                <w:numId w:val="1"/>
              </w:numPr>
              <w:rPr>
                <w:b/>
                <w:noProof/>
                <w:sz w:val="16"/>
              </w:rPr>
            </w:pPr>
          </w:p>
        </w:tc>
        <w:tc>
          <w:tcPr>
            <w:tcW w:w="1410" w:type="pct"/>
          </w:tcPr>
          <w:p>
            <w:pPr>
              <w:pStyle w:val="Text1"/>
              <w:numPr>
                <w:ilvl w:val="0"/>
                <w:numId w:val="1"/>
              </w:numPr>
              <w:rPr>
                <w:noProof/>
                <w:sz w:val="16"/>
              </w:rPr>
            </w:pPr>
            <w:r>
              <w:rPr>
                <w:noProof/>
                <w:sz w:val="16"/>
              </w:rPr>
              <w:t xml:space="preserve">- în delegații </w:t>
            </w:r>
          </w:p>
        </w:tc>
        <w:tc>
          <w:tcPr>
            <w:tcW w:w="698" w:type="pct"/>
          </w:tcPr>
          <w:p>
            <w:pPr>
              <w:pStyle w:val="Text1"/>
              <w:numPr>
                <w:ilvl w:val="0"/>
                <w:numId w:val="1"/>
              </w:numPr>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1"/>
              </w:numPr>
              <w:rPr>
                <w:noProof/>
                <w:sz w:val="16"/>
              </w:rPr>
            </w:pPr>
            <w:r>
              <w:rPr>
                <w:b/>
                <w:noProof/>
                <w:sz w:val="16"/>
              </w:rPr>
              <w:t>08</w:t>
            </w:r>
            <w:r>
              <w:rPr>
                <w:noProof/>
                <w:sz w:val="16"/>
              </w:rPr>
              <w:t xml:space="preserve"> 01 05 02 (AC, END, INT – Cercetare indirectă)</w:t>
            </w:r>
          </w:p>
          <w:p>
            <w:pPr>
              <w:pStyle w:val="Text1"/>
              <w:numPr>
                <w:ilvl w:val="0"/>
                <w:numId w:val="1"/>
              </w:numPr>
              <w:rPr>
                <w:noProof/>
                <w:sz w:val="16"/>
              </w:rPr>
            </w:pPr>
          </w:p>
        </w:tc>
        <w:tc>
          <w:tcPr>
            <w:tcW w:w="698" w:type="pct"/>
          </w:tcPr>
          <w:p>
            <w:pPr>
              <w:pStyle w:val="Text1"/>
              <w:rPr>
                <w:noProof/>
                <w:sz w:val="16"/>
              </w:rPr>
            </w:pPr>
            <w:r>
              <w:rPr>
                <w:noProof/>
                <w:sz w:val="16"/>
              </w:rPr>
              <w:t>1</w:t>
            </w:r>
          </w:p>
        </w:tc>
        <w:tc>
          <w:tcPr>
            <w:tcW w:w="706" w:type="pct"/>
          </w:tcPr>
          <w:p>
            <w:pPr>
              <w:pStyle w:val="Text1"/>
              <w:rPr>
                <w:noProof/>
                <w:sz w:val="16"/>
              </w:rPr>
            </w:pPr>
            <w:r>
              <w:rPr>
                <w:noProof/>
                <w:sz w:val="16"/>
              </w:rPr>
              <w:t>1</w:t>
            </w:r>
          </w:p>
        </w:tc>
        <w:tc>
          <w:tcPr>
            <w:tcW w:w="706" w:type="pct"/>
          </w:tcPr>
          <w:p>
            <w:pPr>
              <w:pStyle w:val="Text1"/>
              <w:rPr>
                <w:noProof/>
                <w:sz w:val="16"/>
              </w:rPr>
            </w:pPr>
            <w:r>
              <w:rPr>
                <w:noProof/>
                <w:sz w:val="16"/>
              </w:rPr>
              <w:t>1</w:t>
            </w:r>
          </w:p>
        </w:tc>
      </w:tr>
      <w:tr>
        <w:trPr>
          <w:trHeight w:val="289"/>
        </w:trPr>
        <w:tc>
          <w:tcPr>
            <w:tcW w:w="2809" w:type="pct"/>
            <w:gridSpan w:val="3"/>
          </w:tcPr>
          <w:p>
            <w:pPr>
              <w:pStyle w:val="Text1"/>
              <w:numPr>
                <w:ilvl w:val="0"/>
                <w:numId w:val="1"/>
              </w:numPr>
              <w:rPr>
                <w:noProof/>
                <w:sz w:val="16"/>
              </w:rPr>
            </w:pPr>
            <w:r>
              <w:rPr>
                <w:noProof/>
                <w:sz w:val="16"/>
              </w:rPr>
              <w:t>10 01 05 02 (AC, END, INT – Cercetare directă)</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1"/>
              </w:numPr>
              <w:rPr>
                <w:noProof/>
                <w:sz w:val="16"/>
              </w:rPr>
            </w:pPr>
            <w:r>
              <w:rPr>
                <w:noProof/>
                <w:sz w:val="16"/>
              </w:rPr>
              <w:t>Alte linii bugetare (a se preciza)</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1"/>
              </w:numPr>
              <w:rPr>
                <w:noProof/>
                <w:sz w:val="16"/>
              </w:rPr>
            </w:pPr>
            <w:r>
              <w:rPr>
                <w:b/>
                <w:noProof/>
                <w:sz w:val="16"/>
              </w:rPr>
              <w:t>TOTAL</w:t>
            </w:r>
          </w:p>
        </w:tc>
        <w:tc>
          <w:tcPr>
            <w:tcW w:w="698" w:type="pct"/>
          </w:tcPr>
          <w:p>
            <w:pPr>
              <w:pStyle w:val="Text1"/>
              <w:rPr>
                <w:b/>
                <w:noProof/>
                <w:sz w:val="16"/>
              </w:rPr>
            </w:pPr>
            <w:r>
              <w:rPr>
                <w:b/>
                <w:noProof/>
                <w:sz w:val="16"/>
              </w:rPr>
              <w:t>2</w:t>
            </w:r>
          </w:p>
        </w:tc>
        <w:tc>
          <w:tcPr>
            <w:tcW w:w="706" w:type="pct"/>
          </w:tcPr>
          <w:p>
            <w:pPr>
              <w:pStyle w:val="Text1"/>
              <w:rPr>
                <w:b/>
                <w:noProof/>
                <w:sz w:val="16"/>
              </w:rPr>
            </w:pPr>
            <w:r>
              <w:rPr>
                <w:b/>
                <w:noProof/>
                <w:sz w:val="16"/>
              </w:rPr>
              <w:t>2</w:t>
            </w:r>
          </w:p>
        </w:tc>
        <w:tc>
          <w:tcPr>
            <w:tcW w:w="706" w:type="pct"/>
          </w:tcPr>
          <w:p>
            <w:pPr>
              <w:pStyle w:val="Text1"/>
              <w:rPr>
                <w:b/>
                <w:noProof/>
                <w:sz w:val="16"/>
              </w:rPr>
            </w:pPr>
            <w:r>
              <w:rPr>
                <w:b/>
                <w:noProof/>
                <w:sz w:val="16"/>
              </w:rPr>
              <w:t>2</w:t>
            </w:r>
          </w:p>
        </w:tc>
      </w:tr>
    </w:tbl>
    <w:p>
      <w:pPr>
        <w:pStyle w:val="Text1"/>
        <w:rPr>
          <w:noProof/>
          <w:sz w:val="16"/>
        </w:rPr>
      </w:pPr>
      <w:r>
        <w:rPr>
          <w:b/>
          <w:noProof/>
          <w:sz w:val="16"/>
        </w:rPr>
        <w:t>XX</w:t>
      </w:r>
      <w:r>
        <w:rPr>
          <w:noProof/>
          <w:sz w:val="16"/>
        </w:rPr>
        <w:t xml:space="preserve"> este domeniul de politică sau titlul din buget în cauză.</w:t>
      </w:r>
    </w:p>
    <w:p>
      <w:pPr>
        <w:pStyle w:val="Text1"/>
        <w:rPr>
          <w:noProof/>
          <w:sz w:val="18"/>
          <w:szCs w:val="18"/>
        </w:rPr>
      </w:pPr>
      <w:r>
        <w:rPr>
          <w:noProof/>
          <w:sz w:val="18"/>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în lumina constrângerilor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personal temporar</w:t>
            </w:r>
          </w:p>
        </w:tc>
        <w:tc>
          <w:tcPr>
            <w:tcW w:w="7200" w:type="dxa"/>
          </w:tcPr>
          <w:p>
            <w:pPr>
              <w:pStyle w:val="Text2"/>
              <w:spacing w:before="40" w:after="0"/>
              <w:ind w:left="0"/>
              <w:jc w:val="left"/>
              <w:rPr>
                <w:noProof/>
                <w:sz w:val="20"/>
                <w:szCs w:val="20"/>
                <w:u w:val="single"/>
              </w:rPr>
            </w:pPr>
            <w:r>
              <w:rPr>
                <w:noProof/>
                <w:sz w:val="20"/>
                <w:u w:val="single"/>
              </w:rPr>
              <w:t>Funcționari și agenți contractuali</w:t>
            </w:r>
          </w:p>
          <w:p>
            <w:pPr>
              <w:pStyle w:val="Text2"/>
              <w:spacing w:before="40" w:after="0"/>
              <w:ind w:left="0"/>
              <w:jc w:val="left"/>
              <w:rPr>
                <w:bCs/>
                <w:iCs/>
                <w:noProof/>
                <w:sz w:val="20"/>
                <w:szCs w:val="20"/>
              </w:rPr>
            </w:pPr>
            <w:r>
              <w:rPr>
                <w:noProof/>
                <w:sz w:val="20"/>
              </w:rPr>
              <w:t xml:space="preserve">Resursele umane din secțiunea 8.2.1 sunt calculate cu un cost mediu de 134 000 EUR per funcționar și de 70 000 EUR per agent contractual și au crescut cu 2 % pe an. </w:t>
            </w:r>
          </w:p>
          <w:p>
            <w:pPr>
              <w:pStyle w:val="Text1"/>
              <w:jc w:val="left"/>
              <w:rPr>
                <w:noProof/>
                <w:sz w:val="20"/>
                <w:szCs w:val="20"/>
              </w:rPr>
            </w:pPr>
            <w:r>
              <w:rPr>
                <w:noProof/>
                <w:sz w:val="20"/>
              </w:rPr>
              <w:t>Principalele sarcini rezultate din acțiune vor fi:</w:t>
            </w:r>
          </w:p>
          <w:p>
            <w:pPr>
              <w:pStyle w:val="Text1"/>
              <w:jc w:val="left"/>
              <w:rPr>
                <w:noProof/>
                <w:sz w:val="20"/>
                <w:szCs w:val="20"/>
              </w:rPr>
            </w:pPr>
            <w:r>
              <w:rPr>
                <w:noProof/>
                <w:sz w:val="20"/>
              </w:rPr>
              <w:t xml:space="preserve">Participarea la reuniunile Comitetului PRIMA și la reuniunile Consiliului de cercetare PRIMA ca membru, +/- 3-4 reuniuni de două zile/an </w:t>
            </w:r>
          </w:p>
          <w:p>
            <w:pPr>
              <w:pStyle w:val="Text1"/>
              <w:jc w:val="left"/>
              <w:rPr>
                <w:noProof/>
                <w:sz w:val="20"/>
                <w:szCs w:val="20"/>
              </w:rPr>
            </w:pPr>
            <w:r>
              <w:rPr>
                <w:noProof/>
                <w:sz w:val="20"/>
              </w:rPr>
              <w:t xml:space="preserve">Observator în cadrul procesului de evaluare a propunerilor PRIMA, 2-3 zile pe an </w:t>
            </w:r>
          </w:p>
          <w:p>
            <w:pPr>
              <w:pStyle w:val="Text1"/>
              <w:jc w:val="left"/>
              <w:rPr>
                <w:noProof/>
                <w:sz w:val="20"/>
                <w:szCs w:val="20"/>
              </w:rPr>
            </w:pPr>
            <w:r>
              <w:rPr>
                <w:noProof/>
                <w:sz w:val="20"/>
              </w:rPr>
              <w:t>Participarea la ateliere și la evenimente de diseminare, 2-3 ori</w:t>
            </w:r>
            <w:r>
              <w:rPr>
                <w:rFonts w:ascii="Arial" w:hAnsi="Arial"/>
                <w:noProof/>
                <w:sz w:val="22"/>
              </w:rPr>
              <w:t xml:space="preserve"> </w:t>
            </w:r>
            <w:r>
              <w:rPr>
                <w:noProof/>
                <w:sz w:val="20"/>
              </w:rPr>
              <w:t>pe an</w:t>
            </w:r>
          </w:p>
          <w:p>
            <w:pPr>
              <w:pStyle w:val="Text1"/>
              <w:jc w:val="left"/>
              <w:rPr>
                <w:noProof/>
                <w:sz w:val="20"/>
                <w:szCs w:val="20"/>
              </w:rPr>
            </w:pPr>
            <w:r>
              <w:rPr>
                <w:noProof/>
                <w:sz w:val="20"/>
              </w:rPr>
              <w:t>Negocierea și pregătirea acordului cu PRIMA-IS</w:t>
            </w:r>
          </w:p>
          <w:p>
            <w:pPr>
              <w:pStyle w:val="Text1"/>
              <w:jc w:val="left"/>
              <w:rPr>
                <w:noProof/>
                <w:sz w:val="20"/>
                <w:szCs w:val="20"/>
              </w:rPr>
            </w:pPr>
            <w:r>
              <w:rPr>
                <w:noProof/>
                <w:sz w:val="20"/>
              </w:rPr>
              <w:t>Pregătirea deciziei anuale de finanțare și a plăților conexe</w:t>
            </w:r>
          </w:p>
          <w:p>
            <w:pPr>
              <w:pStyle w:val="Text1"/>
              <w:jc w:val="left"/>
              <w:rPr>
                <w:noProof/>
                <w:sz w:val="20"/>
                <w:szCs w:val="20"/>
              </w:rPr>
            </w:pPr>
            <w:r>
              <w:rPr>
                <w:noProof/>
                <w:sz w:val="20"/>
              </w:rPr>
              <w:t>Aprobarea planului anual de activitate</w:t>
            </w:r>
          </w:p>
          <w:p>
            <w:pPr>
              <w:pStyle w:val="Text1"/>
              <w:jc w:val="left"/>
              <w:rPr>
                <w:noProof/>
                <w:sz w:val="20"/>
                <w:szCs w:val="20"/>
              </w:rPr>
            </w:pPr>
            <w:r>
              <w:rPr>
                <w:noProof/>
                <w:sz w:val="20"/>
              </w:rPr>
              <w:t>Monitorizarea punerii în aplicare pe baza rapoartelor anuale și coordonarea evaluărilor intermediare și finale</w:t>
            </w:r>
          </w:p>
          <w:p>
            <w:pPr>
              <w:rPr>
                <w:noProof/>
                <w:sz w:val="20"/>
              </w:rPr>
            </w:pPr>
            <w:r>
              <w:rPr>
                <w:noProof/>
                <w:sz w:val="20"/>
              </w:rPr>
              <w:t>Auditarea financiară și juridică vizând punerea în aplicare a PRIMA</w:t>
            </w:r>
          </w:p>
        </w:tc>
      </w:tr>
      <w:tr>
        <w:tc>
          <w:tcPr>
            <w:tcW w:w="3240" w:type="dxa"/>
          </w:tcPr>
          <w:p>
            <w:pPr>
              <w:spacing w:before="60" w:after="60"/>
              <w:rPr>
                <w:noProof/>
                <w:sz w:val="20"/>
              </w:rPr>
            </w:pPr>
            <w:r>
              <w:rPr>
                <w:noProof/>
                <w:sz w:val="20"/>
              </w:rPr>
              <w:t>Personal extern</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Compatibilitatea cu actualul cadru financiar multianual </w:t>
      </w:r>
    </w:p>
    <w:p>
      <w:pPr>
        <w:pStyle w:val="ListDash1"/>
        <w:rPr>
          <w:noProof/>
        </w:rPr>
      </w:pPr>
      <w:r>
        <w:rPr>
          <w:noProof/>
        </w:rPr>
        <w:sym w:font="Wingdings" w:char="F078"/>
      </w:r>
      <w:r>
        <w:rPr>
          <w:noProof/>
        </w:rPr>
        <w:tab/>
        <w:t>Propunerea/inițiativa este compatibilă cu cadrul financiar multianual existent.</w:t>
      </w:r>
    </w:p>
    <w:p>
      <w:pPr>
        <w:pStyle w:val="ListDash1"/>
        <w:rPr>
          <w:noProof/>
        </w:rPr>
      </w:pPr>
      <w:r>
        <w:rPr>
          <w:noProof/>
        </w:rPr>
        <w:sym w:font="Wingdings" w:char="F0A8"/>
      </w:r>
      <w:r>
        <w:rPr>
          <w:noProof/>
        </w:rPr>
        <w:tab/>
        <w:t>Propunerea/inițiativa va necesita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reprogramarea necesară, precizându-se liniile bugetare în cauză și sumele aferente.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Propunerea/inițiativa necesită recurgerea la instrumentul de flexibilitate sau la revizuirea cadrului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necesitatea efectuării acestei acțiuni, precizând rubricile și liniile bugetare în cauză, precum și sumele aferente.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Contribuția terților </w:t>
      </w:r>
    </w:p>
    <w:p>
      <w:pPr>
        <w:pStyle w:val="ListDash1"/>
        <w:rPr>
          <w:noProof/>
        </w:rPr>
      </w:pPr>
      <w:r>
        <w:rPr>
          <w:noProof/>
        </w:rPr>
        <w:t xml:space="preserve">Propunerea/inițiativa nu prevede cofinanțare din partea terților. </w:t>
      </w:r>
    </w:p>
    <w:p>
      <w:pPr>
        <w:pStyle w:val="ListDash1"/>
        <w:rPr>
          <w:noProof/>
        </w:rPr>
      </w:pPr>
      <w:r>
        <w:rPr>
          <w:noProof/>
        </w:rPr>
        <w:sym w:font="Wingdings" w:char="F078"/>
      </w:r>
      <w:r>
        <w:rPr>
          <w:noProof/>
        </w:rPr>
        <w:t xml:space="preserve"> Propunerea/inițiativa prevede cofinanțare, estimată în cele ce urmează:</w:t>
      </w:r>
    </w:p>
    <w:p>
      <w:pPr>
        <w:jc w:val="right"/>
        <w:rPr>
          <w:noProof/>
          <w:sz w:val="20"/>
        </w:rPr>
      </w:pPr>
      <w:r>
        <w:rPr>
          <w:noProof/>
          <w:sz w:val="20"/>
        </w:rPr>
        <w:t>Credite de angajament în milioane EUR (cu 3 zecimale)</w:t>
      </w:r>
    </w:p>
    <w:tbl>
      <w:tblPr>
        <w:tblW w:w="10246" w:type="dxa"/>
        <w:jc w:val="center"/>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tcPr>
          <w:p>
            <w:pPr>
              <w:spacing w:before="60" w:after="60"/>
              <w:rPr>
                <w:noProof/>
                <w:sz w:val="20"/>
              </w:rPr>
            </w:pPr>
          </w:p>
        </w:tc>
        <w:tc>
          <w:tcPr>
            <w:tcW w:w="964" w:type="dxa"/>
            <w:vAlign w:val="center"/>
          </w:tcPr>
          <w:p>
            <w:pPr>
              <w:jc w:val="center"/>
              <w:rPr>
                <w:noProof/>
                <w:sz w:val="20"/>
              </w:rPr>
            </w:pPr>
            <w:r>
              <w:rPr>
                <w:noProof/>
                <w:sz w:val="20"/>
              </w:rPr>
              <w:t>An</w:t>
            </w:r>
            <w:r>
              <w:rPr>
                <w:noProof/>
                <w:sz w:val="22"/>
              </w:rPr>
              <w:br/>
            </w:r>
            <w:r>
              <w:rPr>
                <w:b/>
                <w:noProof/>
                <w:sz w:val="20"/>
              </w:rPr>
              <w:t>2018</w:t>
            </w:r>
          </w:p>
        </w:tc>
        <w:tc>
          <w:tcPr>
            <w:tcW w:w="964" w:type="dxa"/>
            <w:vAlign w:val="center"/>
          </w:tcPr>
          <w:p>
            <w:pPr>
              <w:jc w:val="center"/>
              <w:rPr>
                <w:noProof/>
                <w:sz w:val="20"/>
              </w:rPr>
            </w:pPr>
            <w:r>
              <w:rPr>
                <w:noProof/>
                <w:sz w:val="20"/>
              </w:rPr>
              <w:t>An</w:t>
            </w:r>
            <w:r>
              <w:rPr>
                <w:noProof/>
                <w:sz w:val="22"/>
              </w:rPr>
              <w:br/>
            </w:r>
            <w:r>
              <w:rPr>
                <w:b/>
                <w:noProof/>
                <w:sz w:val="20"/>
              </w:rPr>
              <w:t>2019</w:t>
            </w:r>
          </w:p>
        </w:tc>
        <w:tc>
          <w:tcPr>
            <w:tcW w:w="964" w:type="dxa"/>
            <w:vAlign w:val="center"/>
          </w:tcPr>
          <w:p>
            <w:pPr>
              <w:jc w:val="center"/>
              <w:rPr>
                <w:noProof/>
                <w:sz w:val="20"/>
              </w:rPr>
            </w:pPr>
            <w:r>
              <w:rPr>
                <w:noProof/>
                <w:sz w:val="20"/>
              </w:rPr>
              <w:t>An</w:t>
            </w:r>
            <w:r>
              <w:rPr>
                <w:noProof/>
                <w:sz w:val="22"/>
              </w:rPr>
              <w:br/>
            </w:r>
            <w:r>
              <w:rPr>
                <w:b/>
                <w:noProof/>
                <w:sz w:val="20"/>
              </w:rPr>
              <w:t>2020</w:t>
            </w:r>
          </w:p>
        </w:tc>
        <w:tc>
          <w:tcPr>
            <w:tcW w:w="964" w:type="dxa"/>
            <w:vAlign w:val="center"/>
          </w:tcPr>
          <w:p>
            <w:pPr>
              <w:spacing w:before="60" w:after="60"/>
              <w:jc w:val="center"/>
              <w:rPr>
                <w:noProof/>
                <w:sz w:val="20"/>
              </w:rPr>
            </w:pPr>
            <w:r>
              <w:rPr>
                <w:noProof/>
                <w:sz w:val="20"/>
              </w:rPr>
              <w:t>An</w:t>
            </w:r>
            <w:r>
              <w:rPr>
                <w:noProof/>
                <w:sz w:val="22"/>
              </w:rPr>
              <w:br/>
            </w:r>
            <w:r>
              <w:rPr>
                <w:b/>
                <w:noProof/>
                <w:sz w:val="20"/>
              </w:rPr>
              <w:t>2021</w:t>
            </w:r>
          </w:p>
        </w:tc>
        <w:tc>
          <w:tcPr>
            <w:tcW w:w="2892" w:type="dxa"/>
            <w:gridSpan w:val="3"/>
            <w:vAlign w:val="center"/>
          </w:tcPr>
          <w:p>
            <w:pPr>
              <w:spacing w:before="60" w:after="60"/>
              <w:jc w:val="center"/>
              <w:rPr>
                <w:noProof/>
                <w:sz w:val="20"/>
              </w:rPr>
            </w:pPr>
            <w:r>
              <w:rPr>
                <w:noProof/>
                <w:sz w:val="20"/>
              </w:rPr>
              <w:t>An</w:t>
            </w:r>
            <w:r>
              <w:rPr>
                <w:noProof/>
                <w:sz w:val="22"/>
              </w:rPr>
              <w:br/>
            </w:r>
            <w:r>
              <w:rPr>
                <w:b/>
                <w:noProof/>
                <w:sz w:val="20"/>
              </w:rPr>
              <w:t>2022</w:t>
            </w:r>
          </w:p>
        </w:tc>
        <w:tc>
          <w:tcPr>
            <w:tcW w:w="1158" w:type="dxa"/>
            <w:vAlign w:val="center"/>
          </w:tcPr>
          <w:p>
            <w:pPr>
              <w:spacing w:before="60" w:after="60"/>
              <w:jc w:val="center"/>
              <w:rPr>
                <w:noProof/>
                <w:sz w:val="20"/>
              </w:rPr>
            </w:pPr>
            <w:r>
              <w:rPr>
                <w:noProof/>
                <w:sz w:val="20"/>
              </w:rPr>
              <w:t>An</w:t>
            </w:r>
            <w:r>
              <w:rPr>
                <w:noProof/>
                <w:sz w:val="22"/>
              </w:rPr>
              <w:br/>
            </w:r>
            <w:r>
              <w:rPr>
                <w:b/>
                <w:noProof/>
                <w:sz w:val="20"/>
              </w:rPr>
              <w:t>2023</w:t>
            </w:r>
          </w:p>
        </w:tc>
      </w:tr>
      <w:tr>
        <w:trPr>
          <w:cantSplit/>
          <w:jc w:val="center"/>
        </w:trPr>
        <w:tc>
          <w:tcPr>
            <w:tcW w:w="2340" w:type="dxa"/>
          </w:tcPr>
          <w:p>
            <w:pPr>
              <w:rPr>
                <w:noProof/>
              </w:rPr>
            </w:pPr>
            <w:r>
              <w:rPr>
                <w:noProof/>
                <w:sz w:val="20"/>
              </w:rPr>
              <w:t>Angajamentele statelor participante la PRIMA</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30,000</w:t>
            </w:r>
          </w:p>
        </w:tc>
        <w:tc>
          <w:tcPr>
            <w:tcW w:w="964" w:type="dxa"/>
            <w:vAlign w:val="center"/>
          </w:tcPr>
          <w:p>
            <w:pPr>
              <w:spacing w:before="60" w:after="60"/>
              <w:jc w:val="center"/>
              <w:rPr>
                <w:noProof/>
                <w:sz w:val="20"/>
              </w:rPr>
            </w:pPr>
            <w:r>
              <w:rPr>
                <w:noProof/>
                <w:sz w:val="20"/>
              </w:rPr>
              <w:t>30,000</w:t>
            </w:r>
          </w:p>
        </w:tc>
        <w:tc>
          <w:tcPr>
            <w:tcW w:w="964" w:type="dxa"/>
            <w:vAlign w:val="center"/>
          </w:tcPr>
          <w:p>
            <w:pPr>
              <w:spacing w:before="60" w:after="60"/>
              <w:jc w:val="center"/>
              <w:rPr>
                <w:noProof/>
                <w:sz w:val="20"/>
              </w:rPr>
            </w:pPr>
            <w:r>
              <w:rPr>
                <w:noProof/>
                <w:sz w:val="20"/>
              </w:rPr>
              <w:t>40,000</w:t>
            </w:r>
          </w:p>
        </w:tc>
        <w:tc>
          <w:tcPr>
            <w:tcW w:w="964" w:type="dxa"/>
            <w:vAlign w:val="center"/>
          </w:tcPr>
          <w:p>
            <w:pPr>
              <w:spacing w:before="60" w:after="60"/>
              <w:jc w:val="center"/>
              <w:rPr>
                <w:noProof/>
                <w:sz w:val="20"/>
              </w:rPr>
            </w:pPr>
            <w:r>
              <w:rPr>
                <w:noProof/>
                <w:sz w:val="20"/>
              </w:rPr>
              <w:t>40,000</w:t>
            </w:r>
          </w:p>
        </w:tc>
        <w:tc>
          <w:tcPr>
            <w:tcW w:w="1158" w:type="dxa"/>
            <w:vAlign w:val="center"/>
          </w:tcPr>
          <w:p>
            <w:pPr>
              <w:spacing w:before="60" w:after="60"/>
              <w:jc w:val="center"/>
              <w:rPr>
                <w:noProof/>
                <w:sz w:val="20"/>
              </w:rPr>
            </w:pPr>
            <w:r>
              <w:rPr>
                <w:noProof/>
                <w:sz w:val="20"/>
              </w:rPr>
              <w:t>200,000</w:t>
            </w:r>
          </w:p>
        </w:tc>
      </w:tr>
      <w:tr>
        <w:trPr>
          <w:cantSplit/>
          <w:jc w:val="center"/>
        </w:trPr>
        <w:tc>
          <w:tcPr>
            <w:tcW w:w="2340" w:type="dxa"/>
          </w:tcPr>
          <w:p>
            <w:pPr>
              <w:spacing w:before="60" w:after="60"/>
              <w:jc w:val="left"/>
              <w:rPr>
                <w:noProof/>
                <w:sz w:val="20"/>
              </w:rPr>
            </w:pPr>
            <w:r>
              <w:rPr>
                <w:noProof/>
                <w:sz w:val="20"/>
              </w:rPr>
              <w:t xml:space="preserve">TOTAL credite cofinanțate </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30,000</w:t>
            </w:r>
          </w:p>
        </w:tc>
        <w:tc>
          <w:tcPr>
            <w:tcW w:w="964" w:type="dxa"/>
            <w:vAlign w:val="center"/>
          </w:tcPr>
          <w:p>
            <w:pPr>
              <w:spacing w:before="60" w:after="60"/>
              <w:jc w:val="center"/>
              <w:rPr>
                <w:noProof/>
                <w:sz w:val="20"/>
              </w:rPr>
            </w:pPr>
            <w:r>
              <w:rPr>
                <w:noProof/>
                <w:sz w:val="20"/>
              </w:rPr>
              <w:t>30,000</w:t>
            </w:r>
          </w:p>
        </w:tc>
        <w:tc>
          <w:tcPr>
            <w:tcW w:w="964" w:type="dxa"/>
            <w:vAlign w:val="center"/>
          </w:tcPr>
          <w:p>
            <w:pPr>
              <w:spacing w:before="60" w:after="60"/>
              <w:jc w:val="center"/>
              <w:rPr>
                <w:noProof/>
                <w:sz w:val="20"/>
              </w:rPr>
            </w:pPr>
            <w:r>
              <w:rPr>
                <w:noProof/>
                <w:sz w:val="20"/>
              </w:rPr>
              <w:t>40,000</w:t>
            </w:r>
          </w:p>
        </w:tc>
        <w:tc>
          <w:tcPr>
            <w:tcW w:w="964" w:type="dxa"/>
            <w:vAlign w:val="center"/>
          </w:tcPr>
          <w:p>
            <w:pPr>
              <w:spacing w:before="60" w:after="60"/>
              <w:jc w:val="center"/>
              <w:rPr>
                <w:noProof/>
                <w:sz w:val="20"/>
              </w:rPr>
            </w:pPr>
            <w:r>
              <w:rPr>
                <w:noProof/>
                <w:sz w:val="20"/>
              </w:rPr>
              <w:t>40,000</w:t>
            </w:r>
          </w:p>
        </w:tc>
        <w:tc>
          <w:tcPr>
            <w:tcW w:w="1158" w:type="dxa"/>
            <w:vAlign w:val="center"/>
          </w:tcPr>
          <w:p>
            <w:pPr>
              <w:spacing w:before="60" w:after="60"/>
              <w:jc w:val="center"/>
              <w:rPr>
                <w:noProof/>
                <w:sz w:val="20"/>
              </w:rPr>
            </w:pPr>
            <w:r>
              <w:rPr>
                <w:noProof/>
                <w:sz w:val="20"/>
              </w:rPr>
              <w:t>200,000</w:t>
            </w:r>
          </w:p>
        </w:tc>
      </w:tr>
    </w:tbl>
    <w:p>
      <w:pPr>
        <w:rPr>
          <w:noProof/>
        </w:rPr>
      </w:pPr>
      <w:r>
        <w:rPr>
          <w:noProof/>
        </w:rPr>
        <w:br/>
      </w:r>
    </w:p>
    <w:p>
      <w:pPr>
        <w:pStyle w:val="ManualHeading2"/>
        <w:rPr>
          <w:bCs/>
          <w:noProof/>
          <w:szCs w:val="24"/>
        </w:rPr>
      </w:pPr>
      <w:r>
        <w:rPr>
          <w:noProof/>
        </w:rPr>
        <w:br w:type="page"/>
      </w:r>
      <w:r>
        <w:t>3.3.</w:t>
      </w:r>
      <w:r>
        <w:tab/>
      </w:r>
      <w:r>
        <w:rPr>
          <w:noProof/>
        </w:rPr>
        <w:t xml:space="preserve">Impactul estimat asupra veniturilor </w:t>
      </w:r>
    </w:p>
    <w:p>
      <w:pPr>
        <w:pStyle w:val="ListDash1"/>
        <w:rPr>
          <w:noProof/>
        </w:rPr>
      </w:pPr>
      <w:r>
        <w:rPr>
          <w:noProof/>
        </w:rPr>
        <w:sym w:font="Wingdings" w:char="F078"/>
      </w:r>
      <w:r>
        <w:rPr>
          <w:noProof/>
        </w:rPr>
        <w:tab/>
        <w:t>Propunerea/inițiativa nu are impact financiar asupra veniturilor.</w:t>
      </w:r>
    </w:p>
    <w:p>
      <w:pPr>
        <w:pStyle w:val="ListDash1"/>
        <w:rPr>
          <w:noProof/>
        </w:rPr>
      </w:pPr>
      <w:r>
        <w:rPr>
          <w:noProof/>
        </w:rPr>
        <w:sym w:font="Wingdings" w:char="F0A8"/>
      </w:r>
      <w:r>
        <w:rPr>
          <w:noProof/>
        </w:rPr>
        <w:tab/>
        <w:t>Propunerea/inițiativa are următorul impact financiar:</w:t>
      </w:r>
    </w:p>
    <w:p>
      <w:pPr>
        <w:pStyle w:val="ListNumberLevel3"/>
        <w:rPr>
          <w:noProof/>
        </w:rPr>
      </w:pPr>
      <w:r>
        <w:rPr>
          <w:noProof/>
        </w:rPr>
        <w:sym w:font="Wingdings" w:char="F0A8"/>
      </w:r>
      <w:r>
        <w:rPr>
          <w:noProof/>
        </w:rPr>
        <w:tab/>
        <w:t xml:space="preserve">asupra resurselor proprii </w:t>
      </w:r>
    </w:p>
    <w:p>
      <w:pPr>
        <w:pStyle w:val="ListNumberLevel3"/>
        <w:rPr>
          <w:noProof/>
        </w:rPr>
      </w:pPr>
      <w:r>
        <w:rPr>
          <w:noProof/>
        </w:rPr>
        <w:sym w:font="Wingdings" w:char="F0A8"/>
      </w:r>
      <w:r>
        <w:rPr>
          <w:noProof/>
        </w:rPr>
        <w:tab/>
        <w:t xml:space="preserve">asupra diverselor venituri </w:t>
      </w:r>
    </w:p>
    <w:p>
      <w:pPr>
        <w:jc w:val="right"/>
        <w:rPr>
          <w:i/>
          <w:noProof/>
          <w:sz w:val="20"/>
        </w:rPr>
      </w:pPr>
      <w:r>
        <w:rPr>
          <w:noProof/>
        </w:rPr>
        <w:t>milioane EUR (cu trei zecimale)</w:t>
      </w:r>
    </w:p>
    <w:tbl>
      <w:tblPr>
        <w:tblW w:w="1062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rPr>
            </w:pPr>
            <w:r>
              <w:rPr>
                <w:noProof/>
                <w:sz w:val="18"/>
              </w:rPr>
              <w:t>Impactul propunerii/inițiativei</w:t>
            </w:r>
            <w:r>
              <w:rPr>
                <w:rStyle w:val="FootnoteReference"/>
                <w:noProof/>
                <w:sz w:val="18"/>
              </w:rPr>
              <w:footnoteReference w:id="25"/>
            </w:r>
          </w:p>
        </w:tc>
      </w:tr>
      <w:tr>
        <w:trPr>
          <w:trHeight w:val="388"/>
          <w:jc w:val="center"/>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w:t>
            </w:r>
            <w:r>
              <w:rPr>
                <w:noProof/>
                <w:sz w:val="22"/>
              </w:rPr>
              <w:br/>
            </w:r>
            <w:r>
              <w:rPr>
                <w:b/>
                <w:noProof/>
                <w:sz w:val="18"/>
              </w:rPr>
              <w:t>N</w:t>
            </w:r>
          </w:p>
        </w:tc>
        <w:tc>
          <w:tcPr>
            <w:tcW w:w="900" w:type="dxa"/>
            <w:vAlign w:val="center"/>
          </w:tcPr>
          <w:p>
            <w:pPr>
              <w:jc w:val="center"/>
              <w:rPr>
                <w:noProof/>
                <w:sz w:val="18"/>
              </w:rPr>
            </w:pPr>
            <w:r>
              <w:rPr>
                <w:noProof/>
                <w:sz w:val="18"/>
              </w:rPr>
              <w:t>An</w:t>
            </w:r>
            <w:r>
              <w:rPr>
                <w:noProof/>
                <w:sz w:val="22"/>
              </w:rPr>
              <w:br/>
            </w:r>
            <w:r>
              <w:rPr>
                <w:b/>
                <w:noProof/>
                <w:sz w:val="18"/>
              </w:rPr>
              <w:t>N + 1</w:t>
            </w:r>
          </w:p>
        </w:tc>
        <w:tc>
          <w:tcPr>
            <w:tcW w:w="900" w:type="dxa"/>
            <w:vAlign w:val="center"/>
          </w:tcPr>
          <w:p>
            <w:pPr>
              <w:jc w:val="center"/>
              <w:rPr>
                <w:noProof/>
                <w:sz w:val="18"/>
              </w:rPr>
            </w:pPr>
            <w:r>
              <w:rPr>
                <w:noProof/>
                <w:sz w:val="18"/>
              </w:rPr>
              <w:t>An</w:t>
            </w:r>
            <w:r>
              <w:rPr>
                <w:noProof/>
                <w:sz w:val="22"/>
              </w:rPr>
              <w:br/>
            </w:r>
            <w:r>
              <w:rPr>
                <w:b/>
                <w:noProof/>
                <w:sz w:val="18"/>
              </w:rPr>
              <w:t>N + 2</w:t>
            </w:r>
          </w:p>
        </w:tc>
        <w:tc>
          <w:tcPr>
            <w:tcW w:w="1080" w:type="dxa"/>
            <w:vAlign w:val="center"/>
          </w:tcPr>
          <w:p>
            <w:pPr>
              <w:jc w:val="center"/>
              <w:rPr>
                <w:noProof/>
                <w:sz w:val="18"/>
              </w:rPr>
            </w:pPr>
            <w:r>
              <w:rPr>
                <w:noProof/>
                <w:sz w:val="18"/>
              </w:rPr>
              <w:t>An</w:t>
            </w:r>
            <w:r>
              <w:rPr>
                <w:noProof/>
                <w:sz w:val="22"/>
              </w:rPr>
              <w:br/>
            </w:r>
            <w:r>
              <w:rPr>
                <w:b/>
                <w:noProof/>
                <w:sz w:val="18"/>
              </w:rPr>
              <w:t>N + 3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(a se vedea punctul 1.6)</w:t>
            </w:r>
          </w:p>
        </w:tc>
      </w:tr>
      <w:tr>
        <w:trPr>
          <w:trHeight w:val="388"/>
          <w:jc w:val="center"/>
        </w:trPr>
        <w:tc>
          <w:tcPr>
            <w:tcW w:w="2144" w:type="dxa"/>
            <w:vAlign w:val="center"/>
          </w:tcPr>
          <w:p>
            <w:pPr>
              <w:spacing w:before="40" w:after="40"/>
              <w:rPr>
                <w:noProof/>
                <w:sz w:val="18"/>
              </w:rPr>
            </w:pPr>
            <w:r>
              <w:rPr>
                <w:noProof/>
                <w:sz w:val="18"/>
              </w:rPr>
              <w:t>Articolul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Pentru diversele venituri „alocate”, a se preciza linia bugetară (liniile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 se preciza metoda de calcul a impactului asupra veniturilor.</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Programul comun PRIMA implică 19 țări:</w:t>
      </w:r>
    </w:p>
    <w:p>
      <w:pPr>
        <w:pStyle w:val="FootnoteText"/>
      </w:pPr>
      <w:r>
        <w:tab/>
        <w:t>- 11 state membre: Croația, Cipru, Republica Cehă, Franța, Grecia, Italia, Luxemburg, Malta, Portugalia, Slovenia și Spania;</w:t>
      </w:r>
    </w:p>
    <w:p>
      <w:pPr>
        <w:pStyle w:val="FootnoteText"/>
      </w:pPr>
      <w:r>
        <w:tab/>
        <w:t>- 8 țări terțe: Algeria, Egipt, Israel, Iordania, Liban, Maroc, Tunisia și Turcia.</w:t>
      </w:r>
    </w:p>
    <w:p>
      <w:pPr>
        <w:pStyle w:val="FootnoteText"/>
      </w:pPr>
      <w:r>
        <w:tab/>
        <w:t>Dintre acestea, 14 țări (Cipru, Republica Cehă, Egipt, Franța, Grecia, Israel, Italia, Liban, Luxemburg, Malta, Maroc, Portugalia, Spania și Tunisia) au convenit să deruleze în comun inițiativa PRIMA.</w:t>
      </w:r>
    </w:p>
  </w:footnote>
  <w:footnote w:id="2">
    <w:p>
      <w:pPr>
        <w:pStyle w:val="Default"/>
      </w:pPr>
      <w:r>
        <w:rPr>
          <w:rStyle w:val="FootnoteReference"/>
        </w:rPr>
        <w:footnoteRef/>
      </w:r>
      <w:r>
        <w:tab/>
      </w:r>
      <w:r>
        <w:rPr>
          <w:sz w:val="20"/>
        </w:rPr>
        <w:t xml:space="preserve">Decizia Comisiei Europene </w:t>
      </w:r>
      <w:r>
        <w:rPr>
          <w:color w:val="auto"/>
          <w:sz w:val="20"/>
        </w:rPr>
        <w:t>C(2016)4614 din 25 iulie 2016</w:t>
      </w:r>
    </w:p>
  </w:footnote>
  <w:footnote w:id="3">
    <w:p>
      <w:pPr>
        <w:pStyle w:val="FootnoteText"/>
      </w:pPr>
      <w:r>
        <w:rPr>
          <w:rStyle w:val="FootnoteReference"/>
        </w:rPr>
        <w:footnoteRef/>
      </w:r>
      <w:r>
        <w:tab/>
        <w:t>JO C … [avizul CES]</w:t>
      </w:r>
    </w:p>
  </w:footnote>
  <w:footnote w:id="4">
    <w:p>
      <w:pPr>
        <w:pStyle w:val="FootnoteText"/>
      </w:pPr>
      <w:r>
        <w:rPr>
          <w:rStyle w:val="FootnoteReference"/>
        </w:rPr>
        <w:footnoteRef/>
      </w:r>
      <w:r>
        <w:tab/>
        <w:t>Regulamentul (UE) nr. 1291/2013 al Parlamentului European și a Consiliului din 11 decembrie 2013 de instituire a Programului-cadru pentru cercetare și inovare (2014-2020) – Orizont 2020 și de abrogare a Deciziei nr. 1982/2006/CE (JO L 347, 20.12.2013, p. 104).</w:t>
      </w:r>
    </w:p>
  </w:footnote>
  <w:footnote w:id="5">
    <w:p>
      <w:pPr>
        <w:pStyle w:val="FootnoteText"/>
      </w:pPr>
      <w:r>
        <w:rPr>
          <w:rStyle w:val="FootnoteReference"/>
        </w:rPr>
        <w:footnoteRef/>
      </w:r>
      <w:r>
        <w:tab/>
        <w:t>Regulamentul (UE, Euratom) nr. 966/2012 al Parlamentului European și al Consiliului din 25 octombrie 2012 privind normele financiare aplicabile bugetului general al Uniunii și de abrogare a Regulamentului (CE, Euratom) nr. 1605/2002 al Consiliului (JO L 298, 26.10.2012, p. 1).</w:t>
      </w:r>
    </w:p>
  </w:footnote>
  <w:footnote w:id="6">
    <w:p>
      <w:pPr>
        <w:pStyle w:val="FootnoteText"/>
      </w:pPr>
      <w:r>
        <w:rPr>
          <w:rStyle w:val="FootnoteReference"/>
        </w:rPr>
        <w:footnoteRef/>
      </w:r>
      <w:r>
        <w:tab/>
        <w:t>Regulamentul delegat (UE) nr. 1268/2012 al Comisiei din 29 octombrie 2012 privind normele de aplicare a Regulamentului (UE, Euratom) nr. 966/2012 (JO L 362, 31.12.2012, p. 1).</w:t>
      </w:r>
    </w:p>
  </w:footnote>
  <w:footnote w:id="7">
    <w:p>
      <w:pPr>
        <w:pStyle w:val="FootnoteText"/>
      </w:pPr>
      <w:r>
        <w:rPr>
          <w:rStyle w:val="FootnoteReference"/>
        </w:rPr>
        <w:footnoteRef/>
      </w:r>
      <w:r>
        <w:tab/>
        <w:t>Regulamentul (UE) nr. 1290/2013 al Parlamentului European și al Consiliului din 11 decembrie 2013 de stabilire a normelor de participare și diseminare pentru „Programul-cadru pentru cercetare și inovare (2014-2020) – Orizont 2020” și de abrogare a Regulamentului (CE) nr. 1906/2006 (JO L 347, 20.12.2013, p. 81).</w:t>
      </w:r>
    </w:p>
  </w:footnote>
  <w:footnote w:id="8">
    <w:p>
      <w:pPr>
        <w:pStyle w:val="FootnoteText"/>
      </w:pPr>
      <w:r>
        <w:rPr>
          <w:rStyle w:val="FootnoteReference"/>
        </w:rPr>
        <w:footnoteRef/>
      </w:r>
      <w:r>
        <w:tab/>
        <w:t>Decizia 2013/743/UE a Consiliului din 3 decembrie 2013 de instituire a programului specific de punere în aplicare a Programului-cadru pentru cercetare și inovare (2014-2020) - Orizont 2020 și de abrogare a Deciziilor 2006/971/CE, 2006/972/CE, 2006/973/CE, 2006/974/CE și 2006/975/CE (JO L 347, 20.12.2013, p. 965).</w:t>
      </w:r>
    </w:p>
  </w:footnote>
  <w:footnote w:id="9">
    <w:p>
      <w:pPr>
        <w:pStyle w:val="FootnoteText"/>
      </w:pPr>
      <w:r>
        <w:rPr>
          <w:rStyle w:val="FootnoteReference"/>
        </w:rPr>
        <w:footnoteRef/>
      </w:r>
      <w:r>
        <w:tab/>
        <w:t>Regulamentul (Euratom, CE) nr. 2185/96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10">
    <w:p>
      <w:pPr>
        <w:pStyle w:val="FootnoteText"/>
      </w:pPr>
      <w:r>
        <w:rPr>
          <w:rStyle w:val="FootnoteReference"/>
        </w:rPr>
        <w:footnoteRef/>
      </w:r>
      <w:r>
        <w:tab/>
        <w:t>Regulamentul (UE, Euratom) nr. 883/2013 al Parlamentului European și al Consiliului din 11 septembrie 2013 privind investigațiile efectuate de Oficiul European de Luptă Antifraudă (OLAF) și de abrogare a Regulamentului (CE) nr. 1073/1999 al Parlamentului European și al Consiliului și a Regulamentului (Euratom) nr. 1074/1999 al Consiliului (JO L 248, 18.9.2013, p. 1).</w:t>
      </w:r>
    </w:p>
  </w:footnote>
  <w:footnote w:id="11">
    <w:p>
      <w:pPr>
        <w:pStyle w:val="FootnoteText"/>
        <w:rPr>
          <w:szCs w:val="24"/>
        </w:rPr>
      </w:pPr>
      <w:r>
        <w:rPr>
          <w:rStyle w:val="FootnoteReference"/>
        </w:rPr>
        <w:footnoteRef/>
      </w:r>
      <w:r>
        <w:tab/>
        <w:t>ABM: gestiune pe activități; ABB: întocmirea bugetului pe activități.</w:t>
      </w:r>
    </w:p>
  </w:footnote>
  <w:footnote w:id="12">
    <w:p>
      <w:pPr>
        <w:pStyle w:val="FootnoteText"/>
        <w:rPr>
          <w:szCs w:val="24"/>
        </w:rPr>
      </w:pPr>
      <w:r>
        <w:rPr>
          <w:rStyle w:val="FootnoteReference"/>
        </w:rPr>
        <w:footnoteRef/>
      </w:r>
      <w:r>
        <w:tab/>
        <w:t>Astfel cum sunt menționate la articolul 54 alineatul (2) litera (a) sau (b) din Regulamentul financiar.</w:t>
      </w:r>
    </w:p>
  </w:footnote>
  <w:footnote w:id="13">
    <w:p>
      <w:pPr>
        <w:pStyle w:val="FootnoteText"/>
        <w:rPr>
          <w:szCs w:val="24"/>
        </w:rPr>
      </w:pPr>
      <w:r>
        <w:rPr>
          <w:rStyle w:val="FootnoteReference"/>
        </w:rPr>
        <w:footnoteRef/>
      </w:r>
      <w:r>
        <w:tab/>
        <w:t xml:space="preserve">Explicațiile privind modurile de gestiune, precum și trimiterile la Regulamentul financiar sunt disponibile pe site-ul BudgWeb: </w:t>
      </w:r>
      <w:hyperlink r:id="rId1">
        <w:r>
          <w:rPr>
            <w:rStyle w:val="Hyperlink"/>
            <w:sz w:val="18"/>
          </w:rPr>
          <w:t>http://www.cc.cec/budg/man/budgmanag/budgmanag_en.html</w:t>
        </w:r>
      </w:hyperlink>
      <w:r>
        <w:rPr>
          <w:rStyle w:val="Hyperlink"/>
          <w:sz w:val="18"/>
        </w:rPr>
        <w:t>.</w:t>
      </w:r>
    </w:p>
  </w:footnote>
  <w:footnote w:id="14">
    <w:p>
      <w:pPr>
        <w:pStyle w:val="FootnoteText"/>
        <w:rPr>
          <w:szCs w:val="24"/>
        </w:rPr>
      </w:pPr>
      <w:r>
        <w:rPr>
          <w:rStyle w:val="FootnoteReference"/>
        </w:rPr>
        <w:footnoteRef/>
      </w:r>
      <w:r>
        <w:tab/>
        <w:t>Dif. = Credite diferențiate / Nedif. = Credite nediferențiate.</w:t>
      </w:r>
    </w:p>
  </w:footnote>
  <w:footnote w:id="15">
    <w:p>
      <w:pPr>
        <w:pStyle w:val="FootnoteText"/>
        <w:rPr>
          <w:szCs w:val="24"/>
        </w:rPr>
      </w:pPr>
      <w:r>
        <w:rPr>
          <w:rStyle w:val="FootnoteReference"/>
        </w:rPr>
        <w:footnoteRef/>
      </w:r>
      <w:r>
        <w:tab/>
        <w:t>AELS: Asociația Europeană a Liberului Schimb. .</w:t>
      </w:r>
    </w:p>
  </w:footnote>
  <w:footnote w:id="16">
    <w:p>
      <w:pPr>
        <w:pStyle w:val="FootnoteText"/>
        <w:rPr>
          <w:szCs w:val="24"/>
        </w:rPr>
      </w:pPr>
      <w:r>
        <w:rPr>
          <w:rStyle w:val="FootnoteReference"/>
        </w:rPr>
        <w:footnoteRef/>
      </w:r>
      <w:r>
        <w:tab/>
        <w:t>Țările candidate și, după caz, țările potențial candidate din Balcanii de Vest.</w:t>
      </w:r>
    </w:p>
  </w:footnote>
  <w:footnote w:id="17">
    <w:p>
      <w:pPr>
        <w:pStyle w:val="FootnoteText"/>
        <w:rPr>
          <w:szCs w:val="24"/>
        </w:rPr>
      </w:pPr>
      <w:r>
        <w:rPr>
          <w:rStyle w:val="FootnoteReference"/>
        </w:rPr>
        <w:footnoteRef/>
      </w:r>
      <w:r>
        <w:tab/>
        <w:t>Anul N este anul în care începe punerea în aplicare a propunerii/inițiativei.</w:t>
      </w:r>
    </w:p>
  </w:footnote>
  <w:footnote w:id="18">
    <w:p>
      <w:pPr>
        <w:pStyle w:val="FootnoteText"/>
        <w:rPr>
          <w:szCs w:val="24"/>
        </w:rPr>
      </w:pPr>
      <w:r>
        <w:rPr>
          <w:rStyle w:val="FootnoteReference"/>
        </w:rPr>
        <w:footnoteRef/>
      </w:r>
      <w:r>
        <w:tab/>
        <w:t>Anul N este anul în care începe punerea în aplicare a propunerii/inițiativei.</w:t>
      </w:r>
    </w:p>
  </w:footnote>
  <w:footnote w:id="19">
    <w:p>
      <w:pPr>
        <w:pStyle w:val="FootnoteText"/>
        <w:rPr>
          <w:szCs w:val="24"/>
        </w:rPr>
      </w:pPr>
      <w:r>
        <w:rPr>
          <w:rStyle w:val="FootnoteReference"/>
        </w:rPr>
        <w:footnoteRef/>
      </w:r>
      <w:r>
        <w:tab/>
        <w:t>Anul N este anul în care începe punerea în aplicare a propunerii/inițiativei.</w:t>
      </w:r>
    </w:p>
  </w:footnote>
  <w:footnote w:id="20">
    <w:p>
      <w:pPr>
        <w:pStyle w:val="FootnoteText"/>
        <w:rPr>
          <w:szCs w:val="24"/>
        </w:rPr>
      </w:pPr>
      <w:r>
        <w:rPr>
          <w:rStyle w:val="FootnoteReference"/>
        </w:rPr>
        <w:footnoteRef/>
      </w:r>
      <w:r>
        <w:tab/>
        <w:t>Realizările se referă la produsele și serviciile care vor fi furnizate (de ex .: numărul de schimburi de studenți finanțate, numărul de km de șosea construiți etc.).</w:t>
      </w:r>
    </w:p>
  </w:footnote>
  <w:footnote w:id="21">
    <w:p>
      <w:pPr>
        <w:pStyle w:val="FootnoteText"/>
        <w:rPr>
          <w:szCs w:val="24"/>
        </w:rPr>
      </w:pPr>
      <w:r>
        <w:rPr>
          <w:rStyle w:val="FootnoteReference"/>
        </w:rPr>
        <w:footnoteRef/>
      </w:r>
      <w:r>
        <w:tab/>
        <w:t xml:space="preserve">Conform descrierii de la punctul 1.4.2. „Obiectiv(e) specific(e)…” </w:t>
      </w:r>
    </w:p>
  </w:footnote>
  <w:footnote w:id="22">
    <w:p>
      <w:pPr>
        <w:pStyle w:val="FootnoteText"/>
        <w:rPr>
          <w:szCs w:val="24"/>
        </w:rPr>
      </w:pPr>
      <w:r>
        <w:rPr>
          <w:rStyle w:val="FootnoteReference"/>
        </w:rPr>
        <w:footnoteRef/>
      </w:r>
      <w:r>
        <w:tab/>
        <w:t>Asistență tehnică și/sau administrativă și cheltuieli pentru sprijinirea punerii în aplicare a programelor și/sau a acțiunilor UE (fostele linii „BA”), cercetare indirectă și cercetare directă.</w:t>
      </w:r>
    </w:p>
  </w:footnote>
  <w:footnote w:id="23">
    <w:p>
      <w:pPr>
        <w:pStyle w:val="FootnoteText"/>
      </w:pPr>
      <w:r>
        <w:rPr>
          <w:rStyle w:val="FootnoteReference"/>
        </w:rPr>
        <w:footnoteRef/>
      </w:r>
      <w:r>
        <w:tab/>
        <w:t>AC = agent contractual; AL = agent local; END = expert național detașat; INT = personal pus la dispoziție de agenții de muncă temporară („Intérimaire”); JED = „Jeune Expert en Délégation” (expert tânăr în delegații).</w:t>
      </w:r>
    </w:p>
  </w:footnote>
  <w:footnote w:id="24">
    <w:p>
      <w:pPr>
        <w:pStyle w:val="FootnoteText"/>
      </w:pPr>
      <w:r>
        <w:rPr>
          <w:rStyle w:val="FootnoteReference"/>
        </w:rPr>
        <w:footnoteRef/>
      </w:r>
      <w:r>
        <w:tab/>
        <w:t>Subplafonul pentru personal extern din credite operaționale (fostele linii „BA”).</w:t>
      </w:r>
    </w:p>
  </w:footnote>
  <w:footnote w:id="25">
    <w:p>
      <w:pPr>
        <w:pStyle w:val="FootnoteText"/>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25 %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44A08"/>
    <w:lvl w:ilvl="0">
      <w:start w:val="1"/>
      <w:numFmt w:val="decimal"/>
      <w:pStyle w:val="ListNumber4"/>
      <w:lvlText w:val="%1."/>
      <w:lvlJc w:val="left"/>
      <w:pPr>
        <w:tabs>
          <w:tab w:val="num" w:pos="1351"/>
        </w:tabs>
        <w:ind w:left="1351" w:hanging="360"/>
      </w:pPr>
    </w:lvl>
  </w:abstractNum>
  <w:abstractNum w:abstractNumId="1">
    <w:nsid w:val="FFFFFF7E"/>
    <w:multiLevelType w:val="singleLevel"/>
    <w:tmpl w:val="197871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2074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3C90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0021A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num>
  <w:num w:numId="2">
    <w:abstractNumId w:val="5"/>
  </w:num>
  <w:num w:numId="3">
    <w:abstractNumId w:val="14"/>
  </w:num>
  <w:num w:numId="4">
    <w:abstractNumId w:val="13"/>
  </w:num>
  <w:num w:numId="5">
    <w:abstractNumId w:val="22"/>
  </w:num>
  <w:num w:numId="6">
    <w:abstractNumId w:val="19"/>
  </w:num>
  <w:num w:numId="7">
    <w:abstractNumId w:val="2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num>
  <w:num w:numId="13">
    <w:abstractNumId w:val="2"/>
  </w:num>
  <w:num w:numId="14">
    <w:abstractNumId w:val="1"/>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num>
  <w:num w:numId="35">
    <w:abstractNumId w:val="18"/>
  </w:num>
  <w:num w:numId="36">
    <w:abstractNumId w:val="10"/>
  </w:num>
  <w:num w:numId="37">
    <w:abstractNumId w:val="21"/>
  </w:num>
  <w:num w:numId="38">
    <w:abstractNumId w:val="9"/>
  </w:num>
  <w:num w:numId="39">
    <w:abstractNumId w:val="11"/>
  </w:num>
  <w:num w:numId="40">
    <w:abstractNumId w:val="7"/>
  </w:num>
  <w:num w:numId="41">
    <w:abstractNumId w:val="20"/>
  </w:num>
  <w:num w:numId="42">
    <w:abstractNumId w:val="6"/>
  </w:num>
  <w:num w:numId="43">
    <w:abstractNumId w:val="12"/>
  </w:num>
  <w:num w:numId="44">
    <w:abstractNumId w:val="16"/>
  </w:num>
  <w:num w:numId="45">
    <w:abstractNumId w:val="17"/>
  </w:num>
  <w:num w:numId="46">
    <w:abstractNumId w:val="8"/>
  </w:num>
  <w:num w:numId="47">
    <w:abstractNumId w:val="15"/>
  </w:num>
  <w:num w:numId="48">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1 18:02:3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2"/>
    <w:docVar w:name="DQCResult_ModifiedMarkers" w:val="0;0"/>
    <w:docVar w:name="DQCResult_ModifiedNumbering" w:val="0;0"/>
    <w:docVar w:name="DQCResult_Objects" w:val="0;0"/>
    <w:docVar w:name="DQCResult_Sections" w:val="0;1"/>
    <w:docVar w:name="DQCResult_StructureCheck" w:val="0;0"/>
    <w:docVar w:name="DQCResult_SuperfluousWhitespace" w:val="0;21"/>
    <w:docVar w:name="DQCResult_UnknownFonts" w:val="0;0"/>
    <w:docVar w:name="DQCResult_UnknownStyles" w:val="0;9"/>
    <w:docVar w:name="DQCStatus" w:val="Green"/>
    <w:docVar w:name="DQCVersion" w:val="3"/>
    <w:docVar w:name="DQCWithWarnings" w:val="0"/>
    <w:docVar w:name="LW_CONFIDENCE" w:val=" "/>
    <w:docVar w:name="LW_CONST_RESTREINT_UE" w:val="RESTREINT UE"/>
    <w:docVar w:name="LW_CORRIGENDUM" w:val="&lt;UNUSED&gt;"/>
    <w:docVar w:name="LW_COVERPAGE_GUID" w:val="9DE4E4146BEE4242B1FE313DA6F0B729"/>
    <w:docVar w:name="LW_CROSSREFERENCE" w:val="{SWD(2016) 331 final}_x000b_{SWD(2016) 332 final}"/>
    <w:docVar w:name="LW_DocType" w:val="COM"/>
    <w:docVar w:name="LW_EMISSION" w:val="18.10.2016"/>
    <w:docVar w:name="LW_EMISSION_ISODATE" w:val="2016-10-18"/>
    <w:docVar w:name="LW_EMISSION_LOCATION" w:val="BRX"/>
    <w:docVar w:name="LW_EMISSION_PREFIX" w:val="Bruxelles,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325"/>
    <w:docVar w:name="LW_REF.II.NEW.CP_YEAR" w:val="2016"/>
    <w:docVar w:name="LW_REF.INST.NEW" w:val="COM"/>
    <w:docVar w:name="LW_REF.INST.NEW_ADOPTED" w:val="final"/>
    <w:docVar w:name="LW_REF.INST.NEW_TEXT" w:val="(2016) 662"/>
    <w:docVar w:name="LW_REF.INTERNE" w:val="&lt;UNUSED&gt;"/>
    <w:docVar w:name="LW_SOUS.TITRE.OBJ.CP" w:val="&lt;UNUSED&gt;"/>
    <w:docVar w:name="LW_STATUT.CP" w:val="Propunere de"/>
    <w:docVar w:name="LW_SUPERTITRE" w:val="&lt;UNUSED&gt;"/>
    <w:docVar w:name="LW_TITRE.OBJ.CP" w:val="privind participarea Uniunii _x000b_la Parteneriatul în domeniul cercet\u259?rii \u537?i inov\u259?rii în zona mediteranean\u259? (PRIMA) _x000b_derulat în comun de mai multe state membre"/>
    <w:docVar w:name="LW_TYPE.DOC.CP" w:val="DECIZIE A PARLAMENTULUI EUROPEAN \u350?I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TextValue">
    <w:name w:val="TextValue"/>
    <w:basedOn w:val="Normal"/>
    <w:link w:val="TextValueChar"/>
    <w:qFormat/>
    <w:pPr>
      <w:spacing w:before="0" w:after="200" w:line="276" w:lineRule="auto"/>
    </w:pPr>
    <w:rPr>
      <w:rFonts w:eastAsiaTheme="minorEastAsia"/>
      <w:szCs w:val="24"/>
    </w:rPr>
  </w:style>
  <w:style w:type="character" w:customStyle="1" w:styleId="TextValueChar">
    <w:name w:val="TextValue Char"/>
    <w:basedOn w:val="DefaultParagraphFont"/>
    <w:link w:val="TextValue"/>
    <w:rPr>
      <w:rFonts w:ascii="Times New Roman" w:eastAsiaTheme="minorEastAsia" w:hAnsi="Times New Roman" w:cs="Times New Roman"/>
      <w:sz w:val="24"/>
      <w:szCs w:val="24"/>
      <w:lang w:val="ro-RO" w:eastAsia="ro-RO"/>
    </w:rPr>
  </w:style>
  <w:style w:type="character" w:styleId="CommentReference">
    <w:name w:val="annotation reference"/>
    <w:rPr>
      <w:rFonts w:cs="Times New Roman"/>
      <w:sz w:val="16"/>
      <w:szCs w:val="16"/>
      <w:lang w:val="ro-RO" w:eastAsia="ro-RO"/>
    </w:rPr>
  </w:style>
  <w:style w:type="paragraph" w:styleId="CommentText">
    <w:name w:val="annotation text"/>
    <w:basedOn w:val="Normal"/>
    <w:link w:val="CommentTextChar"/>
    <w:rPr>
      <w:rFonts w:eastAsia="Times New Roman"/>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lang w:val="ro-RO" w:eastAsia="ro-RO"/>
    </w:rPr>
  </w:style>
  <w:style w:type="paragraph" w:styleId="CommentSubject">
    <w:name w:val="annotation subject"/>
    <w:basedOn w:val="CommentText"/>
    <w:next w:val="CommentText"/>
    <w:link w:val="CommentSubjectChar"/>
    <w:uiPriority w:val="99"/>
    <w:semiHidden/>
    <w:unhideWhenUsed/>
    <w:rPr>
      <w:rFonts w:eastAsiaTheme="minorHAnsi"/>
      <w:b/>
      <w:bCs/>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ro-RO" w:eastAsia="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TextValue">
    <w:name w:val="TextValue"/>
    <w:basedOn w:val="Normal"/>
    <w:link w:val="TextValueChar"/>
    <w:qFormat/>
    <w:pPr>
      <w:spacing w:before="0" w:after="200" w:line="276" w:lineRule="auto"/>
    </w:pPr>
    <w:rPr>
      <w:rFonts w:eastAsiaTheme="minorEastAsia"/>
      <w:szCs w:val="24"/>
    </w:rPr>
  </w:style>
  <w:style w:type="character" w:customStyle="1" w:styleId="TextValueChar">
    <w:name w:val="TextValue Char"/>
    <w:basedOn w:val="DefaultParagraphFont"/>
    <w:link w:val="TextValue"/>
    <w:rPr>
      <w:rFonts w:ascii="Times New Roman" w:eastAsiaTheme="minorEastAsia" w:hAnsi="Times New Roman" w:cs="Times New Roman"/>
      <w:sz w:val="24"/>
      <w:szCs w:val="24"/>
      <w:lang w:val="ro-RO" w:eastAsia="ro-RO"/>
    </w:rPr>
  </w:style>
  <w:style w:type="character" w:styleId="CommentReference">
    <w:name w:val="annotation reference"/>
    <w:rPr>
      <w:rFonts w:cs="Times New Roman"/>
      <w:sz w:val="16"/>
      <w:szCs w:val="16"/>
      <w:lang w:val="ro-RO" w:eastAsia="ro-RO"/>
    </w:rPr>
  </w:style>
  <w:style w:type="paragraph" w:styleId="CommentText">
    <w:name w:val="annotation text"/>
    <w:basedOn w:val="Normal"/>
    <w:link w:val="CommentTextChar"/>
    <w:rPr>
      <w:rFonts w:eastAsia="Times New Roman"/>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lang w:val="ro-RO" w:eastAsia="ro-RO"/>
    </w:rPr>
  </w:style>
  <w:style w:type="paragraph" w:styleId="CommentSubject">
    <w:name w:val="annotation subject"/>
    <w:basedOn w:val="CommentText"/>
    <w:next w:val="CommentText"/>
    <w:link w:val="CommentSubjectChar"/>
    <w:uiPriority w:val="99"/>
    <w:semiHidden/>
    <w:unhideWhenUsed/>
    <w:rPr>
      <w:rFonts w:eastAsiaTheme="minorHAnsi"/>
      <w:b/>
      <w:bCs/>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ro-RO" w:eastAsia="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c.cec/budg/leg/internal/leg-070_internal_en.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47</Pages>
  <Words>14657</Words>
  <Characters>87943</Characters>
  <Application>Microsoft Office Word</Application>
  <DocSecurity>0</DocSecurity>
  <Lines>2144</Lines>
  <Paragraphs>1057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2016-10-21T12:00:00Z</dcterms:created>
  <dcterms:modified xsi:type="dcterms:W3CDTF">2016-10-21T16:02:00Z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SJ-025</vt:lpwstr>
  </property>
  <property fmtid="{D5CDD505-2E9C-101B-9397-08002B2CF9AE}" pid="10" name="DQCStatus">
    <vt:lpwstr>Green (DQC version 03)</vt:lpwstr>
  </property>
</Properties>
</file>