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A780C71766D4949A56FAC9F663808F0" style="width:450.75pt;height:405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2013/0028 (COD)</w:t>
      </w:r>
    </w:p>
    <w:p>
      <w:pPr>
        <w:pStyle w:val="Typedudocument"/>
        <w:rPr>
          <w:noProof/>
        </w:rPr>
      </w:pPr>
      <w:r>
        <w:rPr>
          <w:noProof/>
        </w:rPr>
        <w:t xml:space="preserve">A BIZOTTSÁG KÖZLEMÉNYE AZ EURÓPAI PARLAMENTNEK </w:t>
      </w:r>
      <w:r>
        <w:rPr>
          <w:noProof/>
        </w:rPr>
        <w:br/>
      </w:r>
      <w:r>
        <w:rPr>
          <w:noProof/>
        </w:rPr>
        <w:br/>
        <w:t>az Európai Unió működéséről szóló szerződés 294. cikkének (6) bekezdése alapján</w:t>
      </w:r>
    </w:p>
    <w:p>
      <w:pPr>
        <w:pStyle w:val="Titreobjet"/>
        <w:rPr>
          <w:noProof/>
        </w:rPr>
      </w:pPr>
      <w:r>
        <w:rPr>
          <w:noProof/>
        </w:rPr>
        <w:t>az 1370/2007/EK rendeletnek a belföldi vasúti személyszállítási szolgáltatások piacának megnyitása tekintetében történő módosításáról szóló európai parlamenti és tanácsi rendelet elfogadására vonatkozó tanácsi álláspontról</w:t>
      </w:r>
    </w:p>
    <w:p>
      <w:pPr>
        <w:pStyle w:val="IntrtEEE"/>
        <w:rPr>
          <w:noProof/>
        </w:rPr>
      </w:pPr>
      <w:r>
        <w:rPr>
          <w:noProof/>
        </w:rPr>
        <w:t>(EGT-vonatkozású szöveg)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Előzmények</w:t>
      </w:r>
    </w:p>
    <w:p>
      <w:pPr>
        <w:tabs>
          <w:tab w:val="left" w:pos="426"/>
          <w:tab w:val="left" w:pos="851"/>
          <w:tab w:val="left" w:pos="1276"/>
        </w:tabs>
        <w:spacing w:after="100" w:afterAutospacing="1"/>
        <w:rPr>
          <w:noProof/>
        </w:rPr>
      </w:pPr>
      <w:r>
        <w:rPr>
          <w:noProof/>
        </w:rPr>
        <w:t>2013. január 30-án a Bizottság elfogadott egy hat jogalkotási javaslatból álló, átfogó csomagot az európai vasúti hálózati szolgáltatások minőségének javítására és választékuk szélesítésére.</w:t>
      </w:r>
    </w:p>
    <w:p>
      <w:pPr>
        <w:spacing w:after="100" w:afterAutospacing="1"/>
        <w:rPr>
          <w:noProof/>
        </w:rPr>
      </w:pPr>
      <w:r>
        <w:rPr>
          <w:noProof/>
        </w:rPr>
        <w:t>Ahhoz, hogy a vasút vonzóbb alternatívát jelentsen az utasok számára, és a modális váltás lendületet kapjon, javulnia kell a szolgáltatás színvonalának és hatékonyságának. Így a szűkös közforrások esetében jobb ár-érték arányt és fenntarthatóságot lehetne elérni.</w:t>
      </w:r>
    </w:p>
    <w:p>
      <w:pPr>
        <w:tabs>
          <w:tab w:val="left" w:pos="426"/>
          <w:tab w:val="left" w:pos="851"/>
          <w:tab w:val="left" w:pos="1276"/>
        </w:tabs>
        <w:rPr>
          <w:noProof/>
        </w:rPr>
      </w:pPr>
      <w:r>
        <w:rPr>
          <w:noProof/>
        </w:rPr>
        <w:t>A felhasználói igények kielégítése érdekében a csomag az innovációt is támogatni kívánja az európai vasúti szolgáltatások terén, mégpedig a következő három – egymástól különböző, mégis egymással összefüggő – módon:</w:t>
      </w:r>
    </w:p>
    <w:p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a belföldi személyszállítási piacok megnyitása a verseny előtt, valamint a közszolgáltatási szerződésekkel kapcsolatban a pályázatkiírás kötelezővé tétele;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a pályahálózat-működtetők függetlenségének megerősítése oly módon, hogy képesek legyenek a vasúti hálózat valamennyi fő funkciójának ellenőrzésére, valamint a vasúti infrastruktúrához való méltányos hozzáférés mindenki számára való biztosítása;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az Európai Unió Vasúti Ügynöksége szerepének erősítése annak érdekében, hogy „egyablakos ügyintézőhellyé” váljon, amely jogosult az egész EU-ban érvényes forgalombahozatali járműengedélyek és üzemeltetői biztonsági tanúsítványok kiadására.</w:t>
      </w:r>
    </w:p>
    <w:p>
      <w:pPr>
        <w:pStyle w:val="Text1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 javaslat Európai Parlament, illetve Tanács számára történő megküldésének időpontja</w:t>
            </w:r>
            <w:r>
              <w:rPr>
                <w:noProof/>
              </w:rPr>
              <w:br/>
              <w:t>(COM(2013) 28 final – 2013/0028 COD dokumentum):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  <w:t>2013. január 31.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Az Európai Gazdasági és Szociális Bizottság véleményének időpontja: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br/>
              <w:t>2013. július 11.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 Régiók Bizottsága véleményének időpontja: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2013. október 8.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Az Európai Parlament álláspontjának időpontja (első olvasat):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2014. február 26.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 Tanács álláspontja elfogadásának időpontja: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2016. október 17.</w:t>
            </w:r>
            <w:r>
              <w:rPr>
                <w:noProof/>
              </w:rPr>
              <w:tab/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A Bizottság javaslatának célja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Az 1370/2007/EK rendelet módosítására irányuló bizottsági javaslat általános célja </w:t>
      </w:r>
      <w:hyperlink r:id="rId16" w:tooltip="Javaslat – Az Európai Parlament és a Tanács rendelete az 1370/2007/EK rendeletnek a belföldi vasúti személyszállítási szolgáltatások piacának megnyitása tekintetében történő módosításáról">
        <w:r>
          <w:rPr>
            <w:noProof/>
          </w:rPr>
          <w:t>a vasúti személyszállítási szolgáltatások minőségének és működési hatékonyságának javítása. Ezáltal minden bizonnyal javulni fog a vasút versenyképessége és vonzereje más szállítási módokkal szemben, valamint az az egységes európai vasúti térség is tovább fejlődik.</w:t>
        </w:r>
        <w:r>
          <w:rPr>
            <w:rStyle w:val="Hyperlink"/>
            <w:noProof/>
          </w:rPr>
          <w:t xml:space="preserve"> </w:t>
        </w:r>
        <w:r>
          <w:rPr>
            <w:noProof/>
            <w:color w:val="0000FF"/>
            <w:lang w:val="en-US" w:eastAsia="en-US" w:bidi="ar-SA"/>
          </w:rPr>
          <w:drawing>
            <wp:inline distT="0" distB="0" distL="0" distR="0">
              <wp:extent cx="120650" cy="112395"/>
              <wp:effectExtent l="0" t="0" r="0" b="1905"/>
              <wp:docPr id="3" name="Picture 3" descr="http://ec.europa.eu/transport/_static/images/content/ext-link.png">
                <a:hlinkClick xmlns:a="http://schemas.openxmlformats.org/drawingml/2006/main" r:id="rId16" tgtFrame="&quot;_blank&quot;" tooltip="„Javaslat – Az Európai Parlament és a Tanács rendelete az 1370/2007/EK rendeletnek a belföldi vasúti személyszállítási szolgáltatások piacának megnyitása tekintetében történő módosításáról”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ec.europa.eu/transport/_static/images/content/ext-link.png">
                        <a:hlinkClick r:id="rId16" tgtFrame="&quot;_blank&quot;" tooltip="&quot;Proposal for a Regulation of the European Parliament and of the Council amending Regulation (EC) No 1370/2007 concerning the opening of the market for domestic passenger transport services by r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65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t xml:space="preserve"> 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Az általános célkitűzések elérése érdekében a Bizottság javasolta a kötelező versenytárgyalásos eljárások bevezetését a közszolgáltatási szerződésekkel kapcsolatban, hogy ezáltal fokozza a versenykényszert a belföldi vasúti szolgáltatások piacán. A cél a vasúti személyszállítási szolgáltatások minőségének és hatékonyságának javítása. Ezeket az intézkedéseket a versenytárgyalásos eljárásoknak kedvező keretfeltételeket biztosító előírások – többek között a vasúti járművekhez való hozzáférésre vonatkozó szabályok – kísérik.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A bizottsági javaslat szorosan kapcsolódik az egységes európai vasúti térség létrehozásáról szóló, 2012. november 21-i 2012/34/EU európai parlamenti és tanácsi rendelet (átdolgozás) javasolt módosításaihoz, amelyek nyílt hozzáférési jogokat biztosítanának a vállalkozó vasúti társaságok számára, valamint megerősítenék pályahálózat működtetésének irányítási szabályaira vonatkozó rendelkezéseket a vasúti infrastruktúrához való megkülönböztetésmentes hozzáférés elősegítésére való tekintettel.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 Tanács álláspontjával kapcsolatos megjegyzések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A Tanács 2016. október 17-én</w:t>
      </w:r>
      <w:r>
        <w:rPr>
          <w:noProof/>
          <w:color w:val="FF0000"/>
        </w:rPr>
        <w:t xml:space="preserve"> </w:t>
      </w:r>
      <w:r>
        <w:rPr>
          <w:noProof/>
        </w:rPr>
        <w:t xml:space="preserve">első olvasatban elfogadott álláspontja támogatja a bizottsági javaslat fő célkitűzéseit, vagyis azt, hogy a vasúti közszolgáltatási szerződésekre vonatkozó kötelező versenytárgyalásos eljárás elvének bevezetése által javítani kell a vasúti személyszállítási szolgáltatások minőségét és hatékonyságát. Szintén támogatja a versenytárgyalásos eljárások kedvező keretfeltételeinek biztosítása érdekében javasolt rendelkezéseket. 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Noha a tanácsi álláspont több ponton nem megy olyan messzire, mint azt a Bizottság szerette volna, ki kell emelni, hogy több okból jelentős előrelépés a jelenlegi 1370/2007/EK rendelethez képest:</w:t>
      </w:r>
    </w:p>
    <w:p>
      <w:pPr>
        <w:pStyle w:val="Bullet0"/>
        <w:numPr>
          <w:ilvl w:val="0"/>
          <w:numId w:val="11"/>
        </w:numPr>
        <w:rPr>
          <w:noProof/>
          <w:szCs w:val="24"/>
        </w:rPr>
      </w:pPr>
      <w:r>
        <w:rPr>
          <w:noProof/>
        </w:rPr>
        <w:t xml:space="preserve">A Bizottság javasolta az odaítélési szabályok egymáshoz igazítását a rendelet hatálya alá tartozó összes szállítási mód tekintetében, valamint a vasúti közszolgáltatási szerződésekkel kapcsolatban a kötelező versenytárgyalásos eljárás elvének bevezetését. A tanácsi álláspont megerősíti a bizottsági javaslatot, amennyiben a vasúti közszolgáltatási szerződések további indoklás nélküli közvetlen odaítélése lehetőségét megszüntetve általános elvként bevezeti a kötelező versenytárgyalásos eljárás alkalmazását a vasúti közszolgáltatási szerződésekkel kapcsolatban. Még ha megenged is számos kivételt, e kivételek korlátozottak, pontosan és objektíven vannak megfogalmazva, valamint biztosítékokat tartalmaznak annak megelőzésére, hogy a versenytárgyalásos eljárás elve csalárd módon megkerülhető legyen. Ezenfelül a szöveg biztosítja, hogy ha a különleges piaci struktúrákhoz kötődő kivétel alapján közvetlenül ítélnek oda szerződéseket, a közszolgáltatási </w:t>
      </w:r>
      <w:r>
        <w:rPr>
          <w:noProof/>
        </w:rPr>
        <w:lastRenderedPageBreak/>
        <w:t>szerződéseknek követniük kell a javaslat céljait, vagyis a vasúti személyszállítási szolgáltatások minőségének és hatékonyságának javítását. Ebből a szempontból a tanácsi álláspont követi a bizottsági javaslat általános célját, a vasúti személyszállítási szolgáltatások minőségének és működési hatékonyságának javítását.</w:t>
      </w:r>
    </w:p>
    <w:p>
      <w:pPr>
        <w:pStyle w:val="Bullet0"/>
        <w:rPr>
          <w:noProof/>
          <w:szCs w:val="24"/>
        </w:rPr>
      </w:pPr>
      <w:r>
        <w:rPr>
          <w:noProof/>
        </w:rPr>
        <w:t xml:space="preserve">A Bizottság szigorúbb szabályokat javasolt a közszolgáltatási kötelezettségek meghatározására. Az volt a célja, hogy az illetékes hatóságoktól megkövetelje a személyszállítási közszolgáltatási szakpolitika célkitűzéseit meghatározó, részletes tömegközlekedési tervek kidolgozását. Az illetékes hatóságok a tömegközlekedési tervekben meghatározott célok elérése szempontjából kötelesek lennének – meghatározott kritériumok alapján – indokolni a közlekedési szolgáltatókkal szemben bevezetni kívánt közszolgáltatási kötelezettségek jellegét és mértékét, valamint a közszolgáltatási szerződés hatályát. A tanácsi álláspont nem megy olyan messzire, mint a Bizottság javaslata, ám a Bizottság elismeri, hogy mégis világosabb szabályokat tartalmaz a közszolgáltatási kötelezettségek meghatározására és specifikációira vonatkozóan. A szöveg általános kritériumokat is meghatároz az illetékes hatóságok számára a közszolgáltatási kötelezettségek meghatározásánál, emellett szükség szerint rugalmasságot is engedélyezve. </w:t>
      </w:r>
    </w:p>
    <w:p>
      <w:pPr>
        <w:pStyle w:val="Bullet0"/>
        <w:rPr>
          <w:noProof/>
        </w:rPr>
      </w:pPr>
      <w:r>
        <w:rPr>
          <w:noProof/>
        </w:rPr>
        <w:t>A tanácsi álláspont valamennyi ajánlattevő számára biztosítja a releváns információkhoz való, tisztességes és átlátható módon történő hozzáférést, ami biztosítékot nyújt az egyenlő bánásmódra a pályázati eljárás során. Ez az új rendelkezés összhangban van a Bizottság javaslatával.</w:t>
      </w:r>
    </w:p>
    <w:p>
      <w:pPr>
        <w:pStyle w:val="Bullet0"/>
        <w:rPr>
          <w:noProof/>
        </w:rPr>
      </w:pPr>
      <w:r>
        <w:rPr>
          <w:noProof/>
        </w:rPr>
        <w:t>A Bizottság konkrét felső határértékeket vezetett be a vasúti közlekedés terén közvetlenül odaítélhető, alacsony volumenről szóló szerződésekre vonatkozóan. A tanácsi álláspont magasabbra emeli ezeket a határértékeket. A Bizottság ennek ellenére úgy véli, hogy ezek megfelelően tükrözik azt az elvet, hogy egy szerződés közvetlen odaítélése akkor engedélyezhető, ha a pályázati eljárás megszervezésének költsége meghaladja a várható előnyöket.</w:t>
      </w:r>
    </w:p>
    <w:p>
      <w:pPr>
        <w:pStyle w:val="Bullet0"/>
        <w:rPr>
          <w:noProof/>
        </w:rPr>
      </w:pPr>
      <w:r>
        <w:rPr>
          <w:noProof/>
        </w:rPr>
        <w:t>A Bizottság javasolta, hogy az illetékes hatóságok legyenek kötelesek biztosítani a megkülönböztetésmentes hozzáférést a vasúti járművekhez, mivel ez az egyik legnagyobb akadálya annak, hogy a vasúttársaságok részt vehessenek a pályázati eljárásokon. A tanácsi álláspont nem vezeti be ezt a kötelezettséget, mert az kedvezőtlen hatást gyakorolhat az államháztartásra. Kötelezi viszont az illetékes hatóságokat, hogy megvizsgálják, hogy az adott versenytárgyalási eljárás céljából szükség van-e olyan intézkedések meghozatalára, amelyek biztosítják a vasúti járművekhez való, megkülönböztetéstől mentes hozzáférést, és hogy az értékelést hozzák nyilvánosságra. A Tanács álláspontja az intézkedések olyan eszköztárát is kínálja, amelyet az illetékes hatóságok felhasználhatnak a szolgáltatók vasúti járművekhez való hozzáférésének biztosítására. A Bizottság elismeri, hogy a járművekhez való hozzáférés jövőbeni értékeléseire vonatkozó nyilvánosságra hozatali kötelezettséggel a tanácsi álláspont fontos alapot teremt a szolgáltatók és a Bizottság részére annak ellenőrzéséhez, hogy a versenytárgyalási eljárások biztosították-e az egyenlő bánásmódot valamennyi szolgáltató számára.</w:t>
      </w:r>
    </w:p>
    <w:p>
      <w:pPr>
        <w:pStyle w:val="Bullet0"/>
        <w:rPr>
          <w:noProof/>
        </w:rPr>
      </w:pPr>
      <w:r>
        <w:rPr>
          <w:noProof/>
        </w:rPr>
        <w:t xml:space="preserve">A tanácsi álláspont fenntartja azokat a releváns nemzeti és európai uniós szociális előírásokat, amelyeket be kell tartani abban az esetben, amikor változik a közszolgáltatási szerződést végrehajtó közszolgáltató. A Bizottság támogatni tudja </w:t>
      </w:r>
      <w:r>
        <w:rPr>
          <w:noProof/>
        </w:rPr>
        <w:lastRenderedPageBreak/>
        <w:t xml:space="preserve">ezeket a rendelkezéseket, mivel pontosítják a jelenleg alkalmazandó szociális jogokat és kötelezettségeket. </w:t>
      </w:r>
    </w:p>
    <w:p>
      <w:pPr>
        <w:pStyle w:val="Bullet0"/>
        <w:rPr>
          <w:noProof/>
        </w:rPr>
      </w:pPr>
      <w:r>
        <w:rPr>
          <w:noProof/>
        </w:rPr>
        <w:t>A Bizottság javasolta a kötelező versenytárgyalásos eljárás elvének alkalmazására való gyors áttérést. A tanácsi álláspont hosszabb átmeneti időszakot vezet be, elhalasztva a szerződések feltétel nélküli közvetlen odaítélési lehetőségének eltörlését. Végeredményben a vasúti közszolgáltatási szerződésekkel kapcsolatban a kötelező versenytárgyalásos eljárás elvét az új rendelet hatályba lépése után hat évvel kell alkalmazni. Ez a halasztás késleltetni fogja az új szabályok jótékony hatásait, lehetővé fogja tenni azonban a tagállamoknak, hogy felkészítsék a piacot ezekre a változásokra, elkerülve az esetleg felmerülő strukturális problémákat.</w:t>
      </w:r>
    </w:p>
    <w:p>
      <w:pPr>
        <w:pStyle w:val="Bullet0"/>
        <w:rPr>
          <w:noProof/>
        </w:rPr>
      </w:pPr>
      <w:r>
        <w:rPr>
          <w:noProof/>
        </w:rPr>
        <w:t>A Bizottság azt javasolta, hogy a vasúti szállításra vonatkozó kivétel alapján közvetlenül odaítélt szerződések legkésőbb 2022. december 31-éig szűnjenek meg. A Bizottság sajnálja, hogy a Tanács álláspontja lehetővé teszi, hogy ezek a szerződések lejáratukig érvényben maradjanak. Ez azt fogja jelenteni, hogy az átmeneti időszak vége előtt közvetlenül odaítélt vasúti közszolgáltatási szerződések 2032 decemberéig érvényben maradhatnak, ami hosszú átmeneti időszak. A Bizottság ugyanakkor megállapítja, hogy a tanácsi álláspont garantálja a meglévő szerződéses jogok védelmét, és biztosítékokat nyújt azok jogfolytonosságára.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Következtetés</w:t>
      </w:r>
    </w:p>
    <w:p>
      <w:pPr>
        <w:rPr>
          <w:noProof/>
        </w:rPr>
      </w:pPr>
      <w:r>
        <w:rPr>
          <w:noProof/>
        </w:rPr>
        <w:t>A Bizottság úgy ítéli meg, hogy a tanácsi álláspont hiányosságai ellenére a fent leírt új és pontosabb rendelkezések bevezetése nagyobb jogbiztonságot teremt. Szilárd alapot teremt a vasúti piac megnyitásának jövőbeli érvényesítéséhez mind a közlekedéspolitikai, mind a vonatkozó versenyjogi szabályok keretén belül.</w:t>
      </w:r>
    </w:p>
    <w:p>
      <w:pPr>
        <w:rPr>
          <w:noProof/>
        </w:rPr>
      </w:pPr>
      <w:r>
        <w:rPr>
          <w:noProof/>
        </w:rPr>
        <w:t>A Bizottság úgy ítéli meg, hogy a vasúti szállítási közszolgáltatási kötelezettségekre vonatkozó jogszabályok megváltoztatása, a vasúti közszolgáltatási szerződésekkel kapcsolatban a versenytárgyalásos eljárás elvének bevezetése, valamint az ilyen odaítélésnek kedvező keretfeltételek megteremtése alapvető lépés a európai uniós vasúti szállítási szolgáltatások minőségének és hatékonyságának javítása felé. A vasúti szerződések versenytárgyaláson alapuló pályáztatásának szélesebb körű alkalmazása emellett a közlekedési közszolgáltatásokra fordított közforrások kedvezőbb ár-érték arányát is biztosíthatja.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A Bizottság a kompromisszum jegyében elfogadja Tanács álláspontját, lehetővé téve az Európai Parlamentnek a végső szöveg második olvasatban történő elfogadását. A Bizottság valóban úgy látja, hogy a piaci pillér és a műszaki pillér elfogadása maximalizálná a fogyasztói előnyöket a vasúti szállítási ágazat szolgáltatásminősége, hatékonysága és versenyképessége terén.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7C4C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EEED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A9874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7A8BC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B42DC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B68D1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42258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1E9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24 12:07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FA780C71766D4949A56FAC9F663808F0"/>
    <w:docVar w:name="LW_CROSSREFERENCE" w:val="&lt;UNUSED&gt;"/>
    <w:docVar w:name="LW_DocType" w:val="COM"/>
    <w:docVar w:name="LW_EMISSION" w:val="2016.10.24."/>
    <w:docVar w:name="LW_EMISSION_ISODATE" w:val="2016-10-24"/>
    <w:docVar w:name="LW_EMISSION_LOCATION" w:val="BRX"/>
    <w:docVar w:name="LW_EMISSION_PREFIX" w:val="Brüssze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EGT-vonatkozású szöveg)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28"/>
    <w:docVar w:name="LW_REF.II.NEW.CP_YEAR" w:val="2013"/>
    <w:docVar w:name="LW_REF.INST.NEW" w:val="COM"/>
    <w:docVar w:name="LW_REF.INST.NEW_ADOPTED" w:val="final"/>
    <w:docVar w:name="LW_REF.INST.NEW_TEXT" w:val="(2016) 689"/>
    <w:docVar w:name="LW_REF.INTERNE" w:val="&lt;UNUSED&gt;"/>
    <w:docVar w:name="LW_SOUS.TITRE.OBJ.CP" w:val="&lt;UNUSED&gt;"/>
    <w:docVar w:name="LW_SUPERTITRE" w:val="&lt;UNUSED&gt;"/>
    <w:docVar w:name="LW_TITRE.OBJ.CP" w:val="az 1370/2007/EK rendeletnek a belföldi vasúti személyszállítási szolgáltatások piacának megnyitása tekintetében történ\u337? módosításáról szóló európai parlamenti és tanácsi rendelet elfogadására vonatkozó tanácsi álláspontról"/>
    <w:docVar w:name="LW_TYPE.DOC.CP" w:val="A BIZOTTSÁG KÖZLEMÉNYE AZ EURÓPAI PARLAMENTNEK _x000b__x000b_az Európai Unió m\u369?ködésér\u337?l szóló szerz\u337?dés 294. cikkének (6) bekezdése alapján"/>
    <w:docVar w:name="Stamp" w:val="\\dossiers.dgt.cec.eu.int\dossiers\MOVE\MOVE-2015-01767\MOVE-2015-01767-00-02-EN-REV-00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hu-HU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hu-HU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HU/ALL/?uri=CELEX:52013PC00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D92F-75BE-438D-9914-B0BA58E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1370</Words>
  <Characters>10332</Characters>
  <Application>Microsoft Office Word</Application>
  <DocSecurity>0</DocSecurity>
  <Lines>175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2016-10-11T11:10:00Z</cp:lastPrinted>
  <dcterms:created xsi:type="dcterms:W3CDTF">2016-10-24T08:07:00Z</dcterms:created>
  <dcterms:modified xsi:type="dcterms:W3CDTF">2016-10-24T10:07:00Z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