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A0" w:rsidRDefault="00BA3809" w:rsidP="00BA3809">
      <w:pPr>
        <w:pStyle w:val="Pagedecouverture"/>
        <w:rPr>
          <w:noProof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4" type="#_x0000_t75" alt="716713AB440D4BF0B2F0DD8C35E02989" style="width:451.35pt;height:410.5pt">
            <v:imagedata r:id="rId12" o:title=""/>
          </v:shape>
        </w:pict>
      </w:r>
    </w:p>
    <w:p w:rsidR="000C73A0" w:rsidRDefault="000C73A0">
      <w:pPr>
        <w:rPr>
          <w:noProof/>
        </w:rPr>
        <w:sectPr w:rsidR="000C73A0" w:rsidSect="00BA380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0C73A0" w:rsidRDefault="00BA3809">
      <w:pPr>
        <w:pStyle w:val="Typedudocument"/>
        <w:rPr>
          <w:noProof/>
        </w:rPr>
      </w:pPr>
      <w:bookmarkStart w:id="1" w:name="_Toc285188014"/>
      <w:r>
        <w:rPr>
          <w:noProof/>
        </w:rPr>
        <w:lastRenderedPageBreak/>
        <w:t>ANEXE</w:t>
      </w:r>
    </w:p>
    <w:p w:rsidR="000C73A0" w:rsidRDefault="00BA3809">
      <w:pPr>
        <w:pStyle w:val="Accompagnant"/>
        <w:rPr>
          <w:noProof/>
        </w:rPr>
      </w:pPr>
      <w:r>
        <w:rPr>
          <w:noProof/>
        </w:rPr>
        <w:t>la</w:t>
      </w:r>
    </w:p>
    <w:p w:rsidR="000C73A0" w:rsidRDefault="00BA3809">
      <w:pPr>
        <w:pStyle w:val="Typeacteprincipal"/>
        <w:rPr>
          <w:noProof/>
        </w:rPr>
      </w:pPr>
      <w:r>
        <w:rPr>
          <w:noProof/>
        </w:rPr>
        <w:t xml:space="preserve">Propunerea de DIRECTIVĂ A CONSILIULUI </w:t>
      </w:r>
    </w:p>
    <w:p w:rsidR="000C73A0" w:rsidRDefault="00BA3809">
      <w:pPr>
        <w:pStyle w:val="Objetacteprincipal"/>
        <w:rPr>
          <w:noProof/>
        </w:rPr>
      </w:pPr>
      <w:r>
        <w:rPr>
          <w:noProof/>
        </w:rPr>
        <w:t xml:space="preserve">privind mecanismele de soluționare a litigiilor </w:t>
      </w:r>
      <w:r>
        <w:rPr>
          <w:noProof/>
        </w:rPr>
        <w:t>legate de dubla impunere în Uniunea Europeană</w:t>
      </w:r>
    </w:p>
    <w:p w:rsidR="000C73A0" w:rsidRDefault="00BA3809">
      <w:pPr>
        <w:pStyle w:val="ManualHeading1"/>
        <w:spacing w:after="240"/>
        <w:rPr>
          <w:noProof/>
        </w:rPr>
      </w:pPr>
      <w:r>
        <w:rPr>
          <w:noProof/>
        </w:rPr>
        <w:t>ANEXA I</w:t>
      </w:r>
      <w:bookmarkEnd w:id="1"/>
    </w:p>
    <w:p w:rsidR="000C73A0" w:rsidRDefault="00BA3809">
      <w:pPr>
        <w:spacing w:after="0"/>
        <w:rPr>
          <w:b/>
          <w:noProof/>
        </w:rPr>
      </w:pPr>
      <w:r>
        <w:rPr>
          <w:b/>
          <w:noProof/>
          <w:snapToGrid w:val="0"/>
        </w:rPr>
        <w:t>Belgien / Belgique</w:t>
      </w:r>
    </w:p>
    <w:p w:rsidR="000C73A0" w:rsidRDefault="00BA3809">
      <w:pPr>
        <w:rPr>
          <w:noProof/>
        </w:rPr>
      </w:pPr>
      <w:r>
        <w:rPr>
          <w:noProof/>
        </w:rPr>
        <w:t>impôt des personnes physiques/personenbelasting,</w:t>
      </w:r>
    </w:p>
    <w:p w:rsidR="000C73A0" w:rsidRDefault="00BA3809">
      <w:pPr>
        <w:rPr>
          <w:noProof/>
        </w:rPr>
      </w:pPr>
      <w:r>
        <w:rPr>
          <w:noProof/>
        </w:rPr>
        <w:t>impôt des personnes morales/rechtspersonenbelasting,</w:t>
      </w:r>
    </w:p>
    <w:p w:rsidR="000C73A0" w:rsidRDefault="00BA3809">
      <w:pPr>
        <w:rPr>
          <w:noProof/>
        </w:rPr>
      </w:pPr>
      <w:r>
        <w:rPr>
          <w:noProof/>
        </w:rPr>
        <w:t>impôt des non-résidents/belasting der niet-verblijfhouders</w:t>
      </w:r>
    </w:p>
    <w:p w:rsidR="000C73A0" w:rsidRDefault="00BA3809">
      <w:pPr>
        <w:rPr>
          <w:noProof/>
        </w:rPr>
      </w:pPr>
      <w:r>
        <w:rPr>
          <w:noProof/>
        </w:rPr>
        <w:t>impôt des sociétés/ven</w:t>
      </w:r>
      <w:r>
        <w:rPr>
          <w:noProof/>
        </w:rPr>
        <w:t>nootschapsbelasting</w:t>
      </w:r>
    </w:p>
    <w:p w:rsidR="000C73A0" w:rsidRDefault="00BA3809">
      <w:pPr>
        <w:spacing w:after="0"/>
        <w:rPr>
          <w:b/>
          <w:noProof/>
        </w:rPr>
      </w:pPr>
      <w:r>
        <w:rPr>
          <w:b/>
          <w:noProof/>
        </w:rPr>
        <w:t>България</w:t>
      </w:r>
    </w:p>
    <w:p w:rsidR="000C73A0" w:rsidRDefault="00BA3809">
      <w:pPr>
        <w:rPr>
          <w:noProof/>
        </w:rPr>
      </w:pPr>
      <w:r>
        <w:rPr>
          <w:noProof/>
        </w:rPr>
        <w:t>данък върху доходите на физическите лица</w:t>
      </w:r>
    </w:p>
    <w:p w:rsidR="000C73A0" w:rsidRDefault="00BA3809">
      <w:pPr>
        <w:rPr>
          <w:noProof/>
        </w:rPr>
      </w:pPr>
      <w:r>
        <w:rPr>
          <w:noProof/>
        </w:rPr>
        <w:t>корпоративен данък</w:t>
      </w:r>
    </w:p>
    <w:p w:rsidR="000C73A0" w:rsidRDefault="00BA3809">
      <w:pPr>
        <w:spacing w:after="0"/>
        <w:rPr>
          <w:b/>
          <w:noProof/>
        </w:rPr>
      </w:pPr>
      <w:r>
        <w:rPr>
          <w:b/>
          <w:noProof/>
        </w:rPr>
        <w:t>Česká republika</w:t>
      </w:r>
    </w:p>
    <w:p w:rsidR="000C73A0" w:rsidRDefault="00BA3809">
      <w:pPr>
        <w:rPr>
          <w:noProof/>
        </w:rPr>
      </w:pPr>
      <w:r>
        <w:rPr>
          <w:noProof/>
        </w:rPr>
        <w:t>Daň z příjmů fyzických osob</w:t>
      </w:r>
    </w:p>
    <w:p w:rsidR="000C73A0" w:rsidRDefault="00BA3809">
      <w:pPr>
        <w:rPr>
          <w:noProof/>
        </w:rPr>
      </w:pPr>
      <w:r>
        <w:rPr>
          <w:noProof/>
        </w:rPr>
        <w:t>Daň z příjmů právnických osob</w:t>
      </w:r>
    </w:p>
    <w:p w:rsidR="000C73A0" w:rsidRDefault="00BA3809">
      <w:pPr>
        <w:spacing w:after="0"/>
        <w:rPr>
          <w:b/>
          <w:noProof/>
        </w:rPr>
      </w:pPr>
      <w:r>
        <w:rPr>
          <w:b/>
          <w:noProof/>
        </w:rPr>
        <w:t>Danmark</w:t>
      </w:r>
    </w:p>
    <w:p w:rsidR="000C73A0" w:rsidRDefault="00BA3809">
      <w:pPr>
        <w:spacing w:after="0"/>
        <w:rPr>
          <w:noProof/>
        </w:rPr>
      </w:pPr>
      <w:r>
        <w:rPr>
          <w:noProof/>
        </w:rPr>
        <w:t>selskabsskat</w:t>
      </w:r>
    </w:p>
    <w:p w:rsidR="000C73A0" w:rsidRDefault="00BA3809">
      <w:pPr>
        <w:spacing w:after="0"/>
        <w:rPr>
          <w:noProof/>
        </w:rPr>
      </w:pPr>
      <w:r>
        <w:rPr>
          <w:noProof/>
        </w:rPr>
        <w:t>indkomstskat til staten</w:t>
      </w:r>
    </w:p>
    <w:p w:rsidR="000C73A0" w:rsidRDefault="00BA3809">
      <w:pPr>
        <w:spacing w:after="0"/>
        <w:rPr>
          <w:noProof/>
        </w:rPr>
      </w:pPr>
      <w:r>
        <w:rPr>
          <w:noProof/>
        </w:rPr>
        <w:t>kommunale indkomstskat</w:t>
      </w:r>
    </w:p>
    <w:p w:rsidR="000C73A0" w:rsidRDefault="00BA3809">
      <w:pPr>
        <w:spacing w:after="0"/>
        <w:rPr>
          <w:noProof/>
        </w:rPr>
      </w:pPr>
      <w:r>
        <w:rPr>
          <w:noProof/>
        </w:rPr>
        <w:t>amtskommunal indkomstskat</w:t>
      </w:r>
    </w:p>
    <w:p w:rsidR="000C73A0" w:rsidRDefault="00BA3809">
      <w:pPr>
        <w:rPr>
          <w:noProof/>
        </w:rPr>
      </w:pPr>
      <w:r>
        <w:rPr>
          <w:noProof/>
        </w:rPr>
        <w:t>saerlig indkomstskat</w:t>
      </w:r>
    </w:p>
    <w:p w:rsidR="000C73A0" w:rsidRDefault="00BA3809">
      <w:pPr>
        <w:rPr>
          <w:noProof/>
        </w:rPr>
      </w:pPr>
      <w:r>
        <w:rPr>
          <w:noProof/>
        </w:rPr>
        <w:t>selskabsskat</w:t>
      </w:r>
    </w:p>
    <w:p w:rsidR="000C73A0" w:rsidRDefault="00BA3809">
      <w:pPr>
        <w:spacing w:after="0"/>
        <w:rPr>
          <w:b/>
          <w:noProof/>
        </w:rPr>
      </w:pPr>
      <w:r>
        <w:rPr>
          <w:b/>
          <w:noProof/>
        </w:rPr>
        <w:t>Deutschland</w:t>
      </w:r>
    </w:p>
    <w:p w:rsidR="000C73A0" w:rsidRDefault="00BA3809">
      <w:pPr>
        <w:rPr>
          <w:noProof/>
        </w:rPr>
      </w:pPr>
      <w:r>
        <w:rPr>
          <w:noProof/>
        </w:rPr>
        <w:t>Einkommensteuer</w:t>
      </w:r>
    </w:p>
    <w:p w:rsidR="000C73A0" w:rsidRDefault="00BA3809">
      <w:pPr>
        <w:rPr>
          <w:noProof/>
        </w:rPr>
      </w:pPr>
      <w:r>
        <w:rPr>
          <w:noProof/>
        </w:rPr>
        <w:t>Körperschaftsteuer</w:t>
      </w:r>
    </w:p>
    <w:p w:rsidR="000C73A0" w:rsidRDefault="00BA3809">
      <w:pPr>
        <w:spacing w:after="0"/>
        <w:rPr>
          <w:b/>
          <w:noProof/>
        </w:rPr>
      </w:pPr>
      <w:r>
        <w:rPr>
          <w:b/>
          <w:noProof/>
        </w:rPr>
        <w:t>Eesti</w:t>
      </w:r>
    </w:p>
    <w:p w:rsidR="000C73A0" w:rsidRDefault="00BA3809">
      <w:pPr>
        <w:rPr>
          <w:noProof/>
        </w:rPr>
      </w:pPr>
      <w:r>
        <w:rPr>
          <w:noProof/>
        </w:rPr>
        <w:t>Tulumaks</w:t>
      </w:r>
    </w:p>
    <w:p w:rsidR="000C73A0" w:rsidRDefault="00BA3809">
      <w:pPr>
        <w:spacing w:after="0"/>
        <w:rPr>
          <w:b/>
          <w:noProof/>
        </w:rPr>
      </w:pPr>
      <w:r>
        <w:rPr>
          <w:b/>
          <w:noProof/>
        </w:rPr>
        <w:t>Éire/Ireland</w:t>
      </w:r>
    </w:p>
    <w:p w:rsidR="000C73A0" w:rsidRDefault="00BA3809">
      <w:pPr>
        <w:rPr>
          <w:noProof/>
        </w:rPr>
      </w:pPr>
      <w:r>
        <w:rPr>
          <w:noProof/>
        </w:rPr>
        <w:t>Income Tax</w:t>
      </w:r>
    </w:p>
    <w:p w:rsidR="000C73A0" w:rsidRDefault="00BA3809">
      <w:pPr>
        <w:rPr>
          <w:noProof/>
        </w:rPr>
      </w:pPr>
      <w:r>
        <w:rPr>
          <w:noProof/>
        </w:rPr>
        <w:t>Corporation Tax</w:t>
      </w:r>
    </w:p>
    <w:p w:rsidR="000C73A0" w:rsidRDefault="00BA3809">
      <w:pPr>
        <w:spacing w:after="0"/>
        <w:rPr>
          <w:b/>
          <w:noProof/>
        </w:rPr>
      </w:pPr>
      <w:r>
        <w:rPr>
          <w:b/>
          <w:noProof/>
        </w:rPr>
        <w:t>Ελλάδα</w:t>
      </w:r>
    </w:p>
    <w:p w:rsidR="000C73A0" w:rsidRDefault="00BA3809">
      <w:pPr>
        <w:rPr>
          <w:noProof/>
        </w:rPr>
      </w:pPr>
      <w:r>
        <w:rPr>
          <w:noProof/>
        </w:rPr>
        <w:lastRenderedPageBreak/>
        <w:t>Φόρος εισοδήματος φυσικών προσώπων</w:t>
      </w:r>
    </w:p>
    <w:p w:rsidR="000C73A0" w:rsidRDefault="00BA3809">
      <w:pPr>
        <w:rPr>
          <w:noProof/>
        </w:rPr>
      </w:pPr>
      <w:r>
        <w:rPr>
          <w:noProof/>
        </w:rPr>
        <w:t>Φόρος εισοδήματος νομικών προσώπων (κερδοσκοπικού χαρακτήρα)</w:t>
      </w:r>
    </w:p>
    <w:p w:rsidR="000C73A0" w:rsidRDefault="00BA3809">
      <w:pPr>
        <w:spacing w:after="0"/>
        <w:rPr>
          <w:b/>
          <w:noProof/>
        </w:rPr>
      </w:pPr>
      <w:r>
        <w:rPr>
          <w:b/>
          <w:noProof/>
        </w:rPr>
        <w:t>España</w:t>
      </w:r>
    </w:p>
    <w:p w:rsidR="000C73A0" w:rsidRDefault="00BA3809">
      <w:pPr>
        <w:rPr>
          <w:noProof/>
        </w:rPr>
      </w:pPr>
      <w:r>
        <w:rPr>
          <w:noProof/>
        </w:rPr>
        <w:t xml:space="preserve">Impuesto </w:t>
      </w:r>
      <w:r>
        <w:rPr>
          <w:noProof/>
        </w:rPr>
        <w:t>sobre la renta de las personas fisicas</w:t>
      </w:r>
    </w:p>
    <w:p w:rsidR="000C73A0" w:rsidRDefault="00BA3809">
      <w:pPr>
        <w:rPr>
          <w:noProof/>
        </w:rPr>
      </w:pPr>
      <w:r>
        <w:rPr>
          <w:noProof/>
        </w:rPr>
        <w:t>Impuesto sobre sociedades</w:t>
      </w:r>
    </w:p>
    <w:p w:rsidR="000C73A0" w:rsidRDefault="00BA3809">
      <w:pPr>
        <w:spacing w:after="0"/>
        <w:rPr>
          <w:b/>
          <w:noProof/>
        </w:rPr>
      </w:pPr>
      <w:r>
        <w:rPr>
          <w:b/>
          <w:noProof/>
        </w:rPr>
        <w:t>France</w:t>
      </w:r>
    </w:p>
    <w:p w:rsidR="000C73A0" w:rsidRDefault="00BA3809">
      <w:pPr>
        <w:rPr>
          <w:noProof/>
        </w:rPr>
      </w:pPr>
      <w:r>
        <w:rPr>
          <w:noProof/>
        </w:rPr>
        <w:t>Impôt sur le revenu</w:t>
      </w:r>
    </w:p>
    <w:p w:rsidR="000C73A0" w:rsidRDefault="00BA3809">
      <w:pPr>
        <w:rPr>
          <w:noProof/>
        </w:rPr>
      </w:pPr>
      <w:r>
        <w:rPr>
          <w:noProof/>
        </w:rPr>
        <w:t>Ιmpôt sur les sociétés</w:t>
      </w:r>
    </w:p>
    <w:p w:rsidR="000C73A0" w:rsidRDefault="00BA3809">
      <w:pPr>
        <w:rPr>
          <w:b/>
          <w:noProof/>
        </w:rPr>
      </w:pPr>
      <w:r>
        <w:rPr>
          <w:rFonts w:ascii="Arial" w:hAnsi="Arial"/>
          <w:b/>
          <w:noProof/>
          <w:color w:val="252525"/>
          <w:sz w:val="21"/>
          <w:shd w:val="clear" w:color="auto" w:fill="FFFFFF"/>
        </w:rPr>
        <w:t>Republika Hrvatska</w:t>
      </w:r>
    </w:p>
    <w:p w:rsidR="000C73A0" w:rsidRDefault="00BA3809">
      <w:pPr>
        <w:rPr>
          <w:noProof/>
        </w:rPr>
      </w:pPr>
      <w:r>
        <w:rPr>
          <w:noProof/>
        </w:rPr>
        <w:t>Porez na dohodak</w:t>
      </w:r>
    </w:p>
    <w:p w:rsidR="000C73A0" w:rsidRDefault="00BA3809">
      <w:pPr>
        <w:rPr>
          <w:noProof/>
        </w:rPr>
      </w:pPr>
      <w:r>
        <w:rPr>
          <w:noProof/>
        </w:rPr>
        <w:t>Porez na dobit</w:t>
      </w:r>
    </w:p>
    <w:p w:rsidR="000C73A0" w:rsidRDefault="00BA3809">
      <w:pPr>
        <w:spacing w:after="0"/>
        <w:rPr>
          <w:b/>
          <w:noProof/>
        </w:rPr>
      </w:pPr>
      <w:r>
        <w:rPr>
          <w:b/>
          <w:noProof/>
        </w:rPr>
        <w:t>Italia</w:t>
      </w:r>
    </w:p>
    <w:p w:rsidR="000C73A0" w:rsidRDefault="00BA3809">
      <w:pPr>
        <w:rPr>
          <w:noProof/>
        </w:rPr>
      </w:pPr>
      <w:r>
        <w:rPr>
          <w:noProof/>
        </w:rPr>
        <w:t>Imposta sul reddito delle persone fisiche</w:t>
      </w:r>
    </w:p>
    <w:p w:rsidR="000C73A0" w:rsidRDefault="00BA3809">
      <w:pPr>
        <w:rPr>
          <w:noProof/>
        </w:rPr>
      </w:pPr>
      <w:r>
        <w:rPr>
          <w:noProof/>
        </w:rPr>
        <w:t>Imposta sul reddito delle società</w:t>
      </w:r>
    </w:p>
    <w:p w:rsidR="000C73A0" w:rsidRDefault="00BA3809">
      <w:pPr>
        <w:spacing w:after="0"/>
        <w:rPr>
          <w:b/>
          <w:noProof/>
        </w:rPr>
      </w:pPr>
      <w:r>
        <w:rPr>
          <w:b/>
          <w:noProof/>
        </w:rPr>
        <w:t>Κύπρος</w:t>
      </w:r>
    </w:p>
    <w:p w:rsidR="000C73A0" w:rsidRDefault="00BA3809">
      <w:pPr>
        <w:rPr>
          <w:noProof/>
        </w:rPr>
      </w:pPr>
      <w:r>
        <w:rPr>
          <w:noProof/>
        </w:rPr>
        <w:t>Έκτακτη Εισφορά για την Άμυνα της Δημοκρατίας</w:t>
      </w:r>
    </w:p>
    <w:p w:rsidR="000C73A0" w:rsidRDefault="00BA3809">
      <w:pPr>
        <w:rPr>
          <w:noProof/>
        </w:rPr>
      </w:pPr>
      <w:r>
        <w:rPr>
          <w:noProof/>
        </w:rPr>
        <w:t>Φόρος Εισοδήματος</w:t>
      </w:r>
    </w:p>
    <w:p w:rsidR="000C73A0" w:rsidRDefault="00BA3809">
      <w:pPr>
        <w:spacing w:after="0"/>
        <w:rPr>
          <w:b/>
          <w:noProof/>
        </w:rPr>
      </w:pPr>
      <w:r>
        <w:rPr>
          <w:b/>
          <w:noProof/>
        </w:rPr>
        <w:t>Latvija</w:t>
      </w:r>
    </w:p>
    <w:p w:rsidR="000C73A0" w:rsidRDefault="00BA3809">
      <w:pPr>
        <w:rPr>
          <w:noProof/>
        </w:rPr>
      </w:pPr>
      <w:r>
        <w:rPr>
          <w:noProof/>
        </w:rPr>
        <w:t>iedzīvotāju ienākuma nodoklis</w:t>
      </w:r>
    </w:p>
    <w:p w:rsidR="000C73A0" w:rsidRDefault="00BA3809">
      <w:pPr>
        <w:rPr>
          <w:noProof/>
        </w:rPr>
      </w:pPr>
      <w:r>
        <w:rPr>
          <w:noProof/>
        </w:rPr>
        <w:t>uzņēmumu ienākuma nodoklis</w:t>
      </w:r>
    </w:p>
    <w:p w:rsidR="000C73A0" w:rsidRDefault="00BA3809">
      <w:pPr>
        <w:spacing w:after="0"/>
        <w:rPr>
          <w:b/>
          <w:noProof/>
        </w:rPr>
      </w:pPr>
      <w:r>
        <w:rPr>
          <w:b/>
          <w:noProof/>
        </w:rPr>
        <w:t>Lietuva</w:t>
      </w:r>
    </w:p>
    <w:p w:rsidR="000C73A0" w:rsidRDefault="00BA3809">
      <w:pPr>
        <w:rPr>
          <w:noProof/>
        </w:rPr>
      </w:pPr>
      <w:r>
        <w:rPr>
          <w:noProof/>
        </w:rPr>
        <w:t>Gyventojų pajamų mokestis</w:t>
      </w:r>
    </w:p>
    <w:p w:rsidR="000C73A0" w:rsidRDefault="00BA3809">
      <w:pPr>
        <w:rPr>
          <w:noProof/>
        </w:rPr>
      </w:pPr>
      <w:r>
        <w:rPr>
          <w:noProof/>
        </w:rPr>
        <w:t>Pelno mokestis</w:t>
      </w:r>
    </w:p>
    <w:p w:rsidR="000C73A0" w:rsidRDefault="00BA3809">
      <w:pPr>
        <w:spacing w:before="240" w:after="0"/>
        <w:rPr>
          <w:b/>
          <w:noProof/>
        </w:rPr>
      </w:pPr>
      <w:r>
        <w:rPr>
          <w:b/>
          <w:noProof/>
        </w:rPr>
        <w:t>Luxembourg</w:t>
      </w:r>
    </w:p>
    <w:p w:rsidR="000C73A0" w:rsidRDefault="00BA3809">
      <w:pPr>
        <w:rPr>
          <w:noProof/>
        </w:rPr>
      </w:pPr>
      <w:r>
        <w:rPr>
          <w:noProof/>
        </w:rPr>
        <w:t>impôt sur le revenu des personnes physiques</w:t>
      </w:r>
    </w:p>
    <w:p w:rsidR="000C73A0" w:rsidRDefault="00BA3809">
      <w:pPr>
        <w:rPr>
          <w:noProof/>
        </w:rPr>
      </w:pPr>
      <w:r>
        <w:rPr>
          <w:noProof/>
        </w:rPr>
        <w:t>impôt sur le revenu des</w:t>
      </w:r>
      <w:r>
        <w:rPr>
          <w:noProof/>
        </w:rPr>
        <w:t xml:space="preserve"> collectivités</w:t>
      </w:r>
    </w:p>
    <w:p w:rsidR="000C73A0" w:rsidRDefault="00BA3809">
      <w:pPr>
        <w:spacing w:after="0"/>
        <w:rPr>
          <w:b/>
          <w:noProof/>
        </w:rPr>
      </w:pPr>
      <w:r>
        <w:rPr>
          <w:b/>
          <w:noProof/>
        </w:rPr>
        <w:t>Magyarország</w:t>
      </w:r>
    </w:p>
    <w:p w:rsidR="000C73A0" w:rsidRDefault="00BA3809">
      <w:pPr>
        <w:rPr>
          <w:noProof/>
        </w:rPr>
      </w:pPr>
      <w:r>
        <w:rPr>
          <w:noProof/>
        </w:rPr>
        <w:t>személyi jövedelemadó</w:t>
      </w:r>
    </w:p>
    <w:p w:rsidR="000C73A0" w:rsidRDefault="00BA3809">
      <w:pPr>
        <w:rPr>
          <w:noProof/>
        </w:rPr>
      </w:pPr>
      <w:r>
        <w:rPr>
          <w:noProof/>
        </w:rPr>
        <w:t>Társasági adó</w:t>
      </w:r>
    </w:p>
    <w:p w:rsidR="000C73A0" w:rsidRDefault="00BA3809">
      <w:pPr>
        <w:spacing w:after="0"/>
        <w:rPr>
          <w:b/>
          <w:noProof/>
        </w:rPr>
      </w:pPr>
      <w:r>
        <w:rPr>
          <w:b/>
          <w:noProof/>
        </w:rPr>
        <w:t>Malta</w:t>
      </w:r>
    </w:p>
    <w:p w:rsidR="000C73A0" w:rsidRDefault="00BA3809">
      <w:pPr>
        <w:rPr>
          <w:noProof/>
        </w:rPr>
      </w:pPr>
      <w:r>
        <w:rPr>
          <w:noProof/>
        </w:rPr>
        <w:t>Taxxa fuq l-income</w:t>
      </w:r>
    </w:p>
    <w:p w:rsidR="000C73A0" w:rsidRDefault="00BA3809">
      <w:pPr>
        <w:spacing w:after="0"/>
        <w:rPr>
          <w:b/>
          <w:noProof/>
        </w:rPr>
      </w:pPr>
      <w:r>
        <w:rPr>
          <w:b/>
          <w:noProof/>
        </w:rPr>
        <w:t>Nederland</w:t>
      </w:r>
    </w:p>
    <w:p w:rsidR="000C73A0" w:rsidRDefault="00BA3809">
      <w:pPr>
        <w:rPr>
          <w:noProof/>
        </w:rPr>
      </w:pPr>
      <w:r>
        <w:rPr>
          <w:noProof/>
        </w:rPr>
        <w:t>inkomstenbelasting</w:t>
      </w:r>
    </w:p>
    <w:p w:rsidR="000C73A0" w:rsidRDefault="00BA3809">
      <w:pPr>
        <w:rPr>
          <w:noProof/>
        </w:rPr>
      </w:pPr>
      <w:r>
        <w:rPr>
          <w:noProof/>
        </w:rPr>
        <w:t>vennootschapsbelasting</w:t>
      </w:r>
    </w:p>
    <w:p w:rsidR="000C73A0" w:rsidRDefault="00BA3809">
      <w:pPr>
        <w:spacing w:after="0"/>
        <w:rPr>
          <w:noProof/>
        </w:rPr>
      </w:pPr>
      <w:r>
        <w:rPr>
          <w:b/>
          <w:noProof/>
        </w:rPr>
        <w:t>Österreich</w:t>
      </w:r>
    </w:p>
    <w:p w:rsidR="000C73A0" w:rsidRDefault="00BA3809">
      <w:pPr>
        <w:rPr>
          <w:noProof/>
        </w:rPr>
      </w:pPr>
      <w:r>
        <w:rPr>
          <w:noProof/>
        </w:rPr>
        <w:lastRenderedPageBreak/>
        <w:t>Einkommensteuer</w:t>
      </w:r>
    </w:p>
    <w:p w:rsidR="000C73A0" w:rsidRDefault="00BA3809">
      <w:pPr>
        <w:rPr>
          <w:noProof/>
        </w:rPr>
      </w:pPr>
      <w:r>
        <w:rPr>
          <w:noProof/>
        </w:rPr>
        <w:t>Körperschaftsteuer</w:t>
      </w:r>
    </w:p>
    <w:p w:rsidR="000C73A0" w:rsidRDefault="00BA3809">
      <w:pPr>
        <w:spacing w:after="0"/>
        <w:rPr>
          <w:b/>
          <w:noProof/>
        </w:rPr>
      </w:pPr>
      <w:r>
        <w:rPr>
          <w:b/>
          <w:noProof/>
        </w:rPr>
        <w:t>Polska</w:t>
      </w:r>
    </w:p>
    <w:p w:rsidR="000C73A0" w:rsidRDefault="00BA3809">
      <w:pPr>
        <w:rPr>
          <w:noProof/>
        </w:rPr>
      </w:pPr>
      <w:r>
        <w:rPr>
          <w:noProof/>
        </w:rPr>
        <w:t>Podatek dochodowy od osób fizycznych</w:t>
      </w:r>
    </w:p>
    <w:p w:rsidR="000C73A0" w:rsidRDefault="00BA3809">
      <w:pPr>
        <w:rPr>
          <w:noProof/>
        </w:rPr>
      </w:pPr>
      <w:r>
        <w:rPr>
          <w:noProof/>
        </w:rPr>
        <w:t>Podatek dochodowy od osób</w:t>
      </w:r>
      <w:r>
        <w:rPr>
          <w:noProof/>
        </w:rPr>
        <w:t xml:space="preserve"> prawnych</w:t>
      </w:r>
    </w:p>
    <w:p w:rsidR="000C73A0" w:rsidRDefault="00BA3809">
      <w:pPr>
        <w:spacing w:after="0"/>
        <w:rPr>
          <w:b/>
          <w:noProof/>
        </w:rPr>
      </w:pPr>
      <w:r>
        <w:rPr>
          <w:b/>
          <w:noProof/>
        </w:rPr>
        <w:t>Portugal</w:t>
      </w:r>
    </w:p>
    <w:p w:rsidR="000C73A0" w:rsidRDefault="00BA3809">
      <w:pPr>
        <w:rPr>
          <w:noProof/>
        </w:rPr>
      </w:pPr>
      <w:r>
        <w:rPr>
          <w:noProof/>
        </w:rPr>
        <w:t>imposto sobre o rendimento das pessoas singulares</w:t>
      </w:r>
    </w:p>
    <w:p w:rsidR="000C73A0" w:rsidRDefault="00BA3809">
      <w:pPr>
        <w:rPr>
          <w:noProof/>
        </w:rPr>
      </w:pPr>
      <w:r>
        <w:rPr>
          <w:noProof/>
        </w:rPr>
        <w:t>imposto sobre o rendimento das pessoas colectivas</w:t>
      </w:r>
    </w:p>
    <w:p w:rsidR="000C73A0" w:rsidRDefault="00BA3809">
      <w:pPr>
        <w:spacing w:after="0"/>
        <w:rPr>
          <w:b/>
          <w:noProof/>
        </w:rPr>
      </w:pPr>
      <w:r>
        <w:rPr>
          <w:b/>
          <w:noProof/>
        </w:rPr>
        <w:t>România</w:t>
      </w:r>
    </w:p>
    <w:p w:rsidR="000C73A0" w:rsidRDefault="00BA3809">
      <w:pPr>
        <w:rPr>
          <w:noProof/>
        </w:rPr>
      </w:pPr>
      <w:r>
        <w:rPr>
          <w:noProof/>
        </w:rPr>
        <w:t>impozitul pe venit</w:t>
      </w:r>
    </w:p>
    <w:p w:rsidR="000C73A0" w:rsidRDefault="00BA3809">
      <w:pPr>
        <w:rPr>
          <w:noProof/>
        </w:rPr>
      </w:pPr>
      <w:r>
        <w:rPr>
          <w:noProof/>
        </w:rPr>
        <w:t>impozit pe profit</w:t>
      </w:r>
    </w:p>
    <w:p w:rsidR="000C73A0" w:rsidRDefault="00BA3809">
      <w:pPr>
        <w:spacing w:after="0"/>
        <w:rPr>
          <w:b/>
          <w:noProof/>
        </w:rPr>
      </w:pPr>
      <w:r>
        <w:rPr>
          <w:b/>
          <w:noProof/>
        </w:rPr>
        <w:t>Slovenija</w:t>
      </w:r>
    </w:p>
    <w:p w:rsidR="000C73A0" w:rsidRDefault="00BA3809">
      <w:pPr>
        <w:rPr>
          <w:noProof/>
        </w:rPr>
      </w:pPr>
      <w:r>
        <w:rPr>
          <w:noProof/>
        </w:rPr>
        <w:t>Dohodnina</w:t>
      </w:r>
    </w:p>
    <w:p w:rsidR="000C73A0" w:rsidRDefault="00BA3809">
      <w:pPr>
        <w:rPr>
          <w:noProof/>
        </w:rPr>
      </w:pPr>
      <w:r>
        <w:rPr>
          <w:noProof/>
        </w:rPr>
        <w:t>Davek od dobička pravnih oseb</w:t>
      </w:r>
    </w:p>
    <w:p w:rsidR="000C73A0" w:rsidRDefault="00BA3809">
      <w:pPr>
        <w:spacing w:after="0"/>
        <w:rPr>
          <w:b/>
          <w:noProof/>
        </w:rPr>
      </w:pPr>
      <w:r>
        <w:rPr>
          <w:b/>
          <w:noProof/>
        </w:rPr>
        <w:t>Slovensko</w:t>
      </w:r>
    </w:p>
    <w:p w:rsidR="000C73A0" w:rsidRDefault="00BA3809">
      <w:pPr>
        <w:rPr>
          <w:noProof/>
        </w:rPr>
      </w:pPr>
      <w:r>
        <w:rPr>
          <w:noProof/>
        </w:rPr>
        <w:t>Daň z príjmov fyzických osôb</w:t>
      </w:r>
    </w:p>
    <w:p w:rsidR="000C73A0" w:rsidRDefault="00BA3809">
      <w:pPr>
        <w:rPr>
          <w:noProof/>
        </w:rPr>
      </w:pPr>
      <w:r>
        <w:rPr>
          <w:noProof/>
        </w:rPr>
        <w:t>Daň</w:t>
      </w:r>
      <w:r>
        <w:rPr>
          <w:noProof/>
        </w:rPr>
        <w:t xml:space="preserve"> z príjmov právnických osôb</w:t>
      </w:r>
    </w:p>
    <w:p w:rsidR="000C73A0" w:rsidRDefault="00BA3809">
      <w:pPr>
        <w:spacing w:after="0"/>
        <w:rPr>
          <w:b/>
          <w:noProof/>
        </w:rPr>
      </w:pPr>
      <w:r>
        <w:rPr>
          <w:b/>
          <w:noProof/>
        </w:rPr>
        <w:t>Suomi/Finland</w:t>
      </w:r>
    </w:p>
    <w:p w:rsidR="000C73A0" w:rsidRDefault="00BA3809">
      <w:pPr>
        <w:rPr>
          <w:noProof/>
        </w:rPr>
      </w:pPr>
      <w:r>
        <w:rPr>
          <w:noProof/>
        </w:rPr>
        <w:t>valtion tuloverot/de statliga inkomstskatterna</w:t>
      </w:r>
    </w:p>
    <w:p w:rsidR="000C73A0" w:rsidRDefault="00BA3809">
      <w:pPr>
        <w:rPr>
          <w:noProof/>
        </w:rPr>
      </w:pPr>
      <w:r>
        <w:rPr>
          <w:noProof/>
        </w:rPr>
        <w:t>yhteisöjen tulovero/inkomstskatten för samfund</w:t>
      </w:r>
    </w:p>
    <w:p w:rsidR="000C73A0" w:rsidRDefault="00BA3809">
      <w:pPr>
        <w:spacing w:after="0"/>
        <w:rPr>
          <w:b/>
          <w:noProof/>
        </w:rPr>
      </w:pPr>
      <w:r>
        <w:rPr>
          <w:b/>
          <w:noProof/>
        </w:rPr>
        <w:t>Sverige</w:t>
      </w:r>
    </w:p>
    <w:p w:rsidR="000C73A0" w:rsidRDefault="00BA3809">
      <w:pPr>
        <w:rPr>
          <w:noProof/>
        </w:rPr>
      </w:pPr>
      <w:r>
        <w:rPr>
          <w:noProof/>
        </w:rPr>
        <w:t>statlig inkomstskatt</w:t>
      </w:r>
    </w:p>
    <w:p w:rsidR="000C73A0" w:rsidRDefault="00BA3809">
      <w:pPr>
        <w:spacing w:after="0"/>
        <w:rPr>
          <w:b/>
          <w:noProof/>
        </w:rPr>
      </w:pPr>
      <w:r>
        <w:rPr>
          <w:b/>
          <w:noProof/>
        </w:rPr>
        <w:t>United Kingdom</w:t>
      </w:r>
    </w:p>
    <w:p w:rsidR="000C73A0" w:rsidRDefault="00BA3809">
      <w:pPr>
        <w:rPr>
          <w:noProof/>
        </w:rPr>
      </w:pPr>
      <w:r>
        <w:rPr>
          <w:noProof/>
        </w:rPr>
        <w:t>Income Tax</w:t>
      </w:r>
    </w:p>
    <w:p w:rsidR="000C73A0" w:rsidRDefault="00BA3809">
      <w:pPr>
        <w:rPr>
          <w:noProof/>
        </w:rPr>
      </w:pPr>
      <w:r>
        <w:rPr>
          <w:noProof/>
        </w:rPr>
        <w:t>Corporation Tax</w:t>
      </w:r>
    </w:p>
    <w:p w:rsidR="000C73A0" w:rsidRDefault="00BA3809">
      <w:pPr>
        <w:spacing w:before="0" w:after="0"/>
        <w:jc w:val="left"/>
        <w:rPr>
          <w:noProof/>
        </w:rPr>
      </w:pPr>
      <w:r>
        <w:rPr>
          <w:noProof/>
        </w:rPr>
        <w:br w:type="page"/>
      </w:r>
    </w:p>
    <w:p w:rsidR="000C73A0" w:rsidRDefault="00BA3809">
      <w:pPr>
        <w:pStyle w:val="ManualHeading1"/>
        <w:spacing w:after="240"/>
        <w:rPr>
          <w:noProof/>
        </w:rPr>
      </w:pPr>
      <w:r>
        <w:rPr>
          <w:noProof/>
        </w:rPr>
        <w:lastRenderedPageBreak/>
        <w:t>ANEXA II</w:t>
      </w:r>
    </w:p>
    <w:p w:rsidR="000C73A0" w:rsidRDefault="00BA3809">
      <w:pPr>
        <w:spacing w:before="150" w:after="150"/>
        <w:ind w:right="975"/>
        <w:jc w:val="center"/>
        <w:rPr>
          <w:b/>
          <w:smallCaps/>
          <w:noProof/>
          <w:szCs w:val="18"/>
        </w:rPr>
      </w:pPr>
      <w:r>
        <w:rPr>
          <w:b/>
          <w:smallCaps/>
          <w:noProof/>
        </w:rPr>
        <w:t xml:space="preserve">Regulile de funcționare a comisiei consultative sau a comisiei de soluționare alternativă a litigiilor </w:t>
      </w:r>
    </w:p>
    <w:p w:rsidR="000C73A0" w:rsidRDefault="000C73A0">
      <w:pPr>
        <w:spacing w:before="150" w:after="150"/>
        <w:ind w:right="975"/>
        <w:jc w:val="center"/>
        <w:rPr>
          <w:noProof/>
          <w:szCs w:val="18"/>
        </w:rPr>
      </w:pPr>
    </w:p>
    <w:p w:rsidR="000C73A0" w:rsidRDefault="00BA3809">
      <w:pPr>
        <w:pStyle w:val="Heading1"/>
        <w:numPr>
          <w:ilvl w:val="0"/>
          <w:numId w:val="13"/>
        </w:numPr>
        <w:rPr>
          <w:noProof/>
        </w:rPr>
      </w:pPr>
      <w:r>
        <w:rPr>
          <w:noProof/>
        </w:rPr>
        <w:t xml:space="preserve"> Informații generale</w: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</w:rPr>
        <w:t xml:space="preserve">Numele părților: </w:t>
      </w:r>
    </w:p>
    <w:p w:rsidR="000C73A0" w:rsidRDefault="000C73A0">
      <w:pPr>
        <w:pStyle w:val="ListParagraph"/>
        <w:spacing w:before="150" w:after="150"/>
        <w:ind w:left="0" w:right="975"/>
        <w:rPr>
          <w:noProof/>
          <w:szCs w:val="18"/>
        </w:rPr>
      </w:pP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</w:rPr>
        <w:t>Statul membru de rezidență sau de stabilire:</w:t>
      </w:r>
    </w:p>
    <w:p w:rsidR="000C73A0" w:rsidRDefault="000C73A0">
      <w:pPr>
        <w:pStyle w:val="ListParagraph"/>
        <w:spacing w:before="150" w:after="150"/>
        <w:ind w:left="0" w:right="975"/>
        <w:rPr>
          <w:noProof/>
          <w:szCs w:val="18"/>
        </w:rPr>
      </w:pP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</w:rPr>
        <w:t>Adresa și datele complete ale unei persoane de contact pentru păr</w:t>
      </w:r>
      <w:r>
        <w:rPr>
          <w:noProof/>
        </w:rPr>
        <w:t>ți (inclusiv numărul de telefon și adresa de e-mail):</w:t>
      </w:r>
    </w:p>
    <w:p w:rsidR="000C73A0" w:rsidRDefault="000C73A0">
      <w:pPr>
        <w:pStyle w:val="ListParagraph"/>
        <w:spacing w:before="150" w:after="150"/>
        <w:ind w:left="0" w:right="975"/>
        <w:rPr>
          <w:noProof/>
          <w:szCs w:val="18"/>
        </w:rPr>
      </w:pP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</w:rPr>
        <w:t>Numele și datele de contact ale avocatului părților:</w:t>
      </w:r>
    </w:p>
    <w:p w:rsidR="000C73A0" w:rsidRDefault="00BA3809">
      <w:pPr>
        <w:pStyle w:val="Heading1"/>
        <w:rPr>
          <w:noProof/>
        </w:rPr>
      </w:pPr>
      <w:r>
        <w:rPr>
          <w:noProof/>
        </w:rPr>
        <w:t>Componența comisiei consultative sau a comisiei de soluționare alternativă a litigiilor</w:t>
      </w:r>
    </w:p>
    <w:p w:rsidR="000C73A0" w:rsidRDefault="00BA3809">
      <w:pPr>
        <w:pStyle w:val="Heading2"/>
        <w:rPr>
          <w:noProof/>
          <w:szCs w:val="18"/>
        </w:rPr>
      </w:pPr>
      <w:r>
        <w:rPr>
          <w:noProof/>
        </w:rPr>
        <w:t>Forma:</w:t>
      </w:r>
    </w:p>
    <w:p w:rsidR="000C73A0" w:rsidRDefault="00BA3809">
      <w:pPr>
        <w:ind w:left="850"/>
        <w:rPr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b/>
          <w:noProof/>
        </w:rPr>
        <w:t>Comisie consultativă</w:t>
      </w:r>
      <w:r>
        <w:rPr>
          <w:noProof/>
        </w:rPr>
        <w:t xml:space="preserve"> </w:t>
      </w:r>
    </w:p>
    <w:p w:rsidR="000C73A0" w:rsidRDefault="00BA3809">
      <w:pPr>
        <w:ind w:left="850"/>
        <w:jc w:val="left"/>
        <w:rPr>
          <w:i/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b/>
          <w:noProof/>
        </w:rPr>
        <w:t xml:space="preserve">Comisie de soluționare </w:t>
      </w:r>
      <w:r>
        <w:rPr>
          <w:b/>
          <w:noProof/>
        </w:rPr>
        <w:t>alternativă a litigiilor</w:t>
      </w:r>
      <w:r>
        <w:rPr>
          <w:noProof/>
        </w:rPr>
        <w:t xml:space="preserve">, </w:t>
      </w:r>
      <w:r>
        <w:rPr>
          <w:i/>
          <w:noProof/>
        </w:rPr>
        <w:t>a se preciza (conciliere, mediere etc.): _________________</w:t>
      </w:r>
    </w:p>
    <w:p w:rsidR="000C73A0" w:rsidRDefault="000C73A0">
      <w:pPr>
        <w:ind w:left="850"/>
        <w:rPr>
          <w:i/>
          <w:noProof/>
        </w:rPr>
      </w:pPr>
    </w:p>
    <w:p w:rsidR="000C73A0" w:rsidRDefault="00BA3809">
      <w:pPr>
        <w:ind w:left="850"/>
        <w:rPr>
          <w:b/>
          <w:noProof/>
        </w:rPr>
      </w:pPr>
      <w:r>
        <w:rPr>
          <w:b/>
          <w:noProof/>
        </w:rPr>
        <w:t>Numărul de membri:</w:t>
      </w:r>
    </w:p>
    <w:p w:rsidR="000C73A0" w:rsidRDefault="00BA3809">
      <w:pPr>
        <w:pStyle w:val="ListDash2"/>
        <w:numPr>
          <w:ilvl w:val="0"/>
          <w:numId w:val="6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Președintele</w:t>
      </w:r>
    </w:p>
    <w:p w:rsidR="000C73A0" w:rsidRDefault="00BA3809">
      <w:pPr>
        <w:pStyle w:val="ListDash2"/>
        <w:numPr>
          <w:ilvl w:val="0"/>
          <w:numId w:val="6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____ personalități independente </w:t>
      </w:r>
      <w:r>
        <w:rPr>
          <w:i/>
          <w:noProof/>
          <w:sz w:val="20"/>
        </w:rPr>
        <w:t>(număr par)</w:t>
      </w:r>
    </w:p>
    <w:p w:rsidR="000C73A0" w:rsidRDefault="00BA3809">
      <w:pPr>
        <w:pStyle w:val="ListDash2"/>
        <w:numPr>
          <w:ilvl w:val="0"/>
          <w:numId w:val="6"/>
        </w:numPr>
        <w:spacing w:after="360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____ reprezentanți ai autorităților competente </w:t>
      </w:r>
      <w:r>
        <w:rPr>
          <w:i/>
          <w:noProof/>
          <w:sz w:val="20"/>
        </w:rPr>
        <w:t>(maximum 4, și anume câte 2 din partea fi</w:t>
      </w:r>
      <w:r>
        <w:rPr>
          <w:i/>
          <w:noProof/>
          <w:sz w:val="20"/>
        </w:rPr>
        <w:t>ecărei autorități competente; numărul poate fi redus la 2)</w:t>
      </w:r>
    </w:p>
    <w:p w:rsidR="000C73A0" w:rsidRDefault="00BA3809">
      <w:pPr>
        <w:pStyle w:val="Heading2"/>
        <w:rPr>
          <w:noProof/>
        </w:rPr>
      </w:pPr>
      <w:r>
        <w:rPr>
          <w:rStyle w:val="Heading2Char"/>
          <w:b/>
          <w:noProof/>
          <w:lang w:val="ro-RO"/>
        </w:rPr>
        <w:t xml:space="preserve">Coordonatele complete ale membrilor </w:t>
      </w:r>
      <w:r>
        <w:rPr>
          <w:i/>
          <w:noProof/>
          <w:sz w:val="20"/>
        </w:rPr>
        <w:t>(inclusiv numele persoanei de contact, adresa poștală completă, adresa de e-mail și numărul de telefon, CV-urile și referințele persoanelor independente se anexe</w:t>
      </w:r>
      <w:r>
        <w:rPr>
          <w:i/>
          <w:noProof/>
          <w:sz w:val="20"/>
        </w:rPr>
        <w:t>ază la prezentele reguli. Referințele specifice privind independența și expertiza ar trebui să fie incluse în CV-urile anexate)</w:t>
      </w:r>
      <w:r>
        <w:rPr>
          <w:noProof/>
        </w:rPr>
        <w:t>:</w:t>
      </w:r>
    </w:p>
    <w:p w:rsidR="000C73A0" w:rsidRDefault="00BA380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</w:rPr>
        <w:t>Președintele:</w:t>
      </w:r>
    </w:p>
    <w:p w:rsidR="000C73A0" w:rsidRDefault="00BA380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26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27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697" w:right="975" w:firstLine="153"/>
        <w:rPr>
          <w:i/>
          <w:noProof/>
          <w:sz w:val="20"/>
          <w:szCs w:val="18"/>
        </w:rPr>
      </w:pPr>
      <w:r>
        <w:rPr>
          <w:i/>
          <w:noProof/>
          <w:sz w:val="20"/>
        </w:rPr>
        <w:t>Cetățenia: ______________________ Locul de reședință: _______________________</w:t>
      </w:r>
    </w:p>
    <w:p w:rsidR="000C73A0" w:rsidRDefault="000C73A0">
      <w:pPr>
        <w:pStyle w:val="ListParagraph"/>
        <w:spacing w:before="150" w:after="150"/>
        <w:ind w:left="567" w:right="975"/>
        <w:rPr>
          <w:noProof/>
          <w:szCs w:val="18"/>
        </w:rPr>
      </w:pPr>
    </w:p>
    <w:p w:rsidR="000C73A0" w:rsidRDefault="00BA380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</w:rPr>
        <w:t xml:space="preserve">Persoană independentă (numită </w:t>
      </w:r>
      <w:r>
        <w:rPr>
          <w:noProof/>
        </w:rPr>
        <w:t>de _______________):</w:t>
      </w:r>
    </w:p>
    <w:p w:rsidR="000C73A0" w:rsidRDefault="00BA380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28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29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697" w:right="975" w:firstLine="153"/>
        <w:rPr>
          <w:i/>
          <w:noProof/>
          <w:sz w:val="20"/>
          <w:szCs w:val="18"/>
        </w:rPr>
      </w:pPr>
      <w:r>
        <w:rPr>
          <w:i/>
          <w:noProof/>
          <w:sz w:val="20"/>
        </w:rPr>
        <w:t>Cetățenia: ______________________ Locul de reședință: _______________________</w:t>
      </w:r>
    </w:p>
    <w:p w:rsidR="000C73A0" w:rsidRDefault="000C73A0">
      <w:pPr>
        <w:pStyle w:val="ListParagraph"/>
        <w:spacing w:before="150" w:after="150"/>
        <w:ind w:left="567" w:right="975"/>
        <w:rPr>
          <w:noProof/>
          <w:szCs w:val="18"/>
        </w:rPr>
      </w:pPr>
    </w:p>
    <w:p w:rsidR="000C73A0" w:rsidRDefault="00BA380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</w:rPr>
        <w:t>Persoană independentă (numită de _______________):</w:t>
      </w:r>
    </w:p>
    <w:p w:rsidR="000C73A0" w:rsidRDefault="00BA380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0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lastRenderedPageBreak/>
        <w:pict>
          <v:rect id="_x0000_i1031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697" w:right="975" w:firstLine="153"/>
        <w:rPr>
          <w:i/>
          <w:noProof/>
          <w:sz w:val="20"/>
          <w:szCs w:val="18"/>
        </w:rPr>
      </w:pPr>
      <w:r>
        <w:rPr>
          <w:i/>
          <w:noProof/>
          <w:sz w:val="20"/>
        </w:rPr>
        <w:t>Cetățenia: ______________________ Locul de reședință: _______________________</w:t>
      </w:r>
    </w:p>
    <w:p w:rsidR="000C73A0" w:rsidRDefault="000C73A0">
      <w:pPr>
        <w:pStyle w:val="ListParagraph"/>
        <w:spacing w:before="150" w:after="150"/>
        <w:ind w:left="567" w:right="975"/>
        <w:rPr>
          <w:noProof/>
          <w:szCs w:val="18"/>
        </w:rPr>
      </w:pPr>
    </w:p>
    <w:p w:rsidR="000C73A0" w:rsidRDefault="00BA380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</w:rPr>
        <w:t>Autoritățile compe</w:t>
      </w:r>
      <w:r>
        <w:rPr>
          <w:noProof/>
        </w:rPr>
        <w:t>tente (reprezentant numit de _______________)</w:t>
      </w:r>
    </w:p>
    <w:p w:rsidR="000C73A0" w:rsidRDefault="00BA380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2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3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</w:rPr>
        <w:t>Autoritățile competente (reprezentant numit de _______________)</w:t>
      </w:r>
    </w:p>
    <w:p w:rsidR="000C73A0" w:rsidRDefault="00BA380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4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5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</w:rPr>
        <w:t>Autoritățile competente (reprezentant numit de _______________)</w:t>
      </w:r>
    </w:p>
    <w:p w:rsidR="000C73A0" w:rsidRDefault="00BA380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6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7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</w:rPr>
        <w:t>Autoritățile competente (reprezentant numit de _______________)</w:t>
      </w:r>
    </w:p>
    <w:p w:rsidR="000C73A0" w:rsidRDefault="00BA380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8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9" style="width:0;height:1.5pt" o:hralign="center" o:hrstd="t" o:hr="t" fillcolor="#a0a0a0" stroked="f"/>
        </w:pict>
      </w:r>
    </w:p>
    <w:p w:rsidR="000C73A0" w:rsidRDefault="00BA3809">
      <w:pPr>
        <w:pStyle w:val="Heading1"/>
        <w:rPr>
          <w:noProof/>
        </w:rPr>
      </w:pPr>
      <w:r>
        <w:rPr>
          <w:noProof/>
        </w:rPr>
        <w:t>Descrierea și caracteristicile cazului</w:t>
      </w:r>
    </w:p>
    <w:p w:rsidR="000C73A0" w:rsidRDefault="00BA3809">
      <w:pPr>
        <w:pStyle w:val="ListParagraph"/>
        <w:spacing w:before="150" w:after="150"/>
        <w:ind w:left="0" w:right="975"/>
        <w:rPr>
          <w:b/>
          <w:noProof/>
          <w:szCs w:val="18"/>
        </w:rPr>
      </w:pPr>
      <w:r>
        <w:rPr>
          <w:b/>
          <w:noProof/>
        </w:rPr>
        <w:t>Descrierea obiectului litigiului:</w: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0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1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2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3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0" w:right="975"/>
        <w:rPr>
          <w:b/>
          <w:noProof/>
          <w:szCs w:val="18"/>
        </w:rPr>
      </w:pPr>
      <w:r>
        <w:rPr>
          <w:b/>
          <w:noProof/>
        </w:rPr>
        <w:t>Perioada (perioadele) fiscală (fiscale):</w: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4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5" style="width:0;height:1.5pt" o:hralign="center" o:hrstd="t" o:hr="t" fillcolor="#a0a0a0" stroked="f"/>
        </w:pict>
      </w:r>
    </w:p>
    <w:p w:rsidR="000C73A0" w:rsidRDefault="000C73A0">
      <w:pPr>
        <w:pStyle w:val="ListParagraph"/>
        <w:spacing w:before="150" w:after="150"/>
        <w:ind w:left="0" w:right="975"/>
        <w:rPr>
          <w:noProof/>
          <w:szCs w:val="18"/>
        </w:rPr>
      </w:pPr>
    </w:p>
    <w:p w:rsidR="000C73A0" w:rsidRDefault="00BA3809">
      <w:pPr>
        <w:pStyle w:val="ListParagraph"/>
        <w:spacing w:before="150" w:after="150"/>
        <w:ind w:left="0" w:right="975"/>
        <w:rPr>
          <w:b/>
          <w:noProof/>
          <w:szCs w:val="18"/>
        </w:rPr>
      </w:pPr>
      <w:r>
        <w:rPr>
          <w:b/>
          <w:noProof/>
        </w:rPr>
        <w:t>Categorii sectoriale/industriale:</w: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6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7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8" style="width:0;height:1.5pt" o:hralign="center" o:hrstd="t" o:hr="t" fillcolor="#a0a0a0" stroked="f"/>
        </w:pict>
      </w:r>
    </w:p>
    <w:p w:rsidR="000C73A0" w:rsidRDefault="000C73A0">
      <w:pPr>
        <w:pStyle w:val="ListParagraph"/>
        <w:spacing w:before="150" w:after="150"/>
        <w:ind w:left="0" w:right="975"/>
        <w:rPr>
          <w:noProof/>
          <w:szCs w:val="18"/>
        </w:rPr>
      </w:pPr>
    </w:p>
    <w:p w:rsidR="000C73A0" w:rsidRDefault="00BA3809">
      <w:pPr>
        <w:pStyle w:val="ListParagraph"/>
        <w:spacing w:before="150" w:after="150"/>
        <w:ind w:left="0" w:right="975"/>
        <w:rPr>
          <w:b/>
          <w:noProof/>
          <w:szCs w:val="18"/>
        </w:rPr>
      </w:pPr>
      <w:r>
        <w:rPr>
          <w:b/>
          <w:noProof/>
        </w:rPr>
        <w:t>Referințe juridice (legislația și tratatul implicate - practici internaționale):</w:t>
      </w:r>
    </w:p>
    <w:p w:rsidR="000C73A0" w:rsidRDefault="000C73A0">
      <w:pPr>
        <w:pStyle w:val="ListParagraph"/>
        <w:spacing w:before="150" w:after="150"/>
        <w:ind w:left="0" w:right="975"/>
        <w:rPr>
          <w:b/>
          <w:noProof/>
          <w:szCs w:val="18"/>
        </w:rPr>
      </w:pP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</w:rPr>
        <w:sym w:font="Wingdings" w:char="F0A8"/>
      </w:r>
      <w:r>
        <w:rPr>
          <w:noProof/>
        </w:rPr>
        <w:t xml:space="preserve"> </w:t>
      </w:r>
      <w:r>
        <w:rPr>
          <w:b/>
          <w:noProof/>
        </w:rPr>
        <w:t>Disp</w:t>
      </w:r>
      <w:r>
        <w:rPr>
          <w:b/>
          <w:noProof/>
        </w:rPr>
        <w:t>oziții ale dreptului național</w:t>
      </w:r>
      <w:r>
        <w:rPr>
          <w:noProof/>
        </w:rPr>
        <w:t xml:space="preserve"> </w:t>
      </w:r>
      <w:r>
        <w:rPr>
          <w:i/>
          <w:noProof/>
          <w:sz w:val="20"/>
        </w:rPr>
        <w:t>(se furnizează trimiteri detaliate la articolele corespunzătoare - pot fi anexate dispozițiile complete)</w:t>
      </w:r>
      <w:r>
        <w:rPr>
          <w:noProof/>
          <w:szCs w:val="18"/>
        </w:rPr>
        <w:pict>
          <v:rect id="_x0000_i1049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50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51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</w:rPr>
        <w:sym w:font="Wingdings" w:char="F0A8"/>
      </w:r>
      <w:r>
        <w:rPr>
          <w:noProof/>
        </w:rPr>
        <w:t xml:space="preserve"> </w:t>
      </w:r>
      <w:r>
        <w:rPr>
          <w:b/>
          <w:noProof/>
        </w:rPr>
        <w:t>Convenția de evitare a dublei impuneri</w:t>
      </w:r>
      <w:r>
        <w:rPr>
          <w:noProof/>
        </w:rPr>
        <w:t xml:space="preserve"> </w:t>
      </w:r>
      <w:r>
        <w:rPr>
          <w:i/>
          <w:noProof/>
          <w:sz w:val="20"/>
        </w:rPr>
        <w:t>(se furnizează trimiteri detaliate la articolele corespunzătoare - pot fi a</w:t>
      </w:r>
      <w:r>
        <w:rPr>
          <w:i/>
          <w:noProof/>
          <w:sz w:val="20"/>
        </w:rPr>
        <w:t>nexate dispozițiile complete)</w:t>
      </w:r>
    </w:p>
    <w:p w:rsidR="000C73A0" w:rsidRDefault="000C73A0">
      <w:pPr>
        <w:pStyle w:val="ListParagraph"/>
        <w:spacing w:before="150" w:after="150"/>
        <w:ind w:left="0" w:right="975"/>
        <w:rPr>
          <w:noProof/>
          <w:szCs w:val="18"/>
        </w:rPr>
      </w:pP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</w:rPr>
        <w:t>Precizați dacă:</w:t>
      </w:r>
    </w:p>
    <w:p w:rsidR="000C73A0" w:rsidRDefault="00BA3809">
      <w:pPr>
        <w:pStyle w:val="ListDash2"/>
        <w:numPr>
          <w:ilvl w:val="0"/>
          <w:numId w:val="6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A fost semnată o convenție de evitare a dublei impuneri între cele două [sau mai multe] state membre (data semnăturii _________________ )</w:t>
      </w:r>
    </w:p>
    <w:p w:rsidR="000C73A0" w:rsidRDefault="00BA3809">
      <w:pPr>
        <w:pStyle w:val="Text1"/>
        <w:rPr>
          <w:noProof/>
        </w:rPr>
      </w:pPr>
      <w:r>
        <w:rPr>
          <w:noProof/>
        </w:rPr>
        <w:t>Ș</w:t>
      </w:r>
      <w:r>
        <w:rPr>
          <w:noProof/>
        </w:rPr>
        <w:t>i, dacă nu sunt în vigoare convenții de evitare a dublei impuneri:</w:t>
      </w:r>
    </w:p>
    <w:p w:rsidR="000C73A0" w:rsidRDefault="00BA3809">
      <w:pPr>
        <w:pStyle w:val="ListDash2"/>
        <w:numPr>
          <w:ilvl w:val="0"/>
          <w:numId w:val="6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Modelul de convenție fiscală al OCDE (data: _________________ )</w:t>
      </w:r>
    </w:p>
    <w:p w:rsidR="000C73A0" w:rsidRDefault="00BA3809">
      <w:pPr>
        <w:pStyle w:val="ListDash2"/>
        <w:numPr>
          <w:ilvl w:val="0"/>
          <w:numId w:val="6"/>
        </w:numPr>
        <w:spacing w:before="0" w:after="0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Orice altă referință aprobată de autoritățile competente:</w:t>
      </w:r>
    </w:p>
    <w:p w:rsidR="000C73A0" w:rsidRDefault="00BA3809">
      <w:pPr>
        <w:pStyle w:val="ListParagraph"/>
        <w:spacing w:before="0" w:after="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52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0" w:after="0"/>
        <w:ind w:left="0" w:right="975"/>
        <w:rPr>
          <w:noProof/>
          <w:szCs w:val="18"/>
        </w:rPr>
      </w:pPr>
      <w:r>
        <w:rPr>
          <w:noProof/>
          <w:szCs w:val="18"/>
        </w:rPr>
        <w:lastRenderedPageBreak/>
        <w:pict>
          <v:rect id="_x0000_i1053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0" w:after="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54" style="width:0;height:1.5pt" o:hralign="center" o:hrstd="t" o:hr="t" fillcolor="#a0a0a0" stroked="f"/>
        </w:pict>
      </w:r>
      <w:r>
        <w:rPr>
          <w:noProof/>
          <w:szCs w:val="18"/>
        </w:rPr>
        <w:pict>
          <v:rect id="_x0000_i1055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0" w:after="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56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57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</w:rPr>
        <w:t xml:space="preserve">Calcul estimativ al dublei impuneri care face obiectul litigiului </w:t>
      </w:r>
      <w:r>
        <w:rPr>
          <w:i/>
          <w:noProof/>
          <w:sz w:val="20"/>
        </w:rPr>
        <w:t>(suma totală și detaliile per exercițiu fiscal privind</w:t>
      </w:r>
      <w:r>
        <w:rPr>
          <w:i/>
          <w:noProof/>
          <w:sz w:val="20"/>
        </w:rPr>
        <w:t xml:space="preserve"> impozitul, dobânzile și penalitățile, cotele de impozitare aplicabile și baza de impozitare corespunzătoare)</w:t>
      </w:r>
      <w:r>
        <w:rPr>
          <w:noProof/>
          <w:szCs w:val="18"/>
        </w:rPr>
        <w:pict>
          <v:rect id="_x0000_i1058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59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60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61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62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63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64" style="width:0;height:1.5pt" o:hralign="center" o:hrstd="t" o:hr="t" fillcolor="#a0a0a0" stroked="f"/>
        </w:pict>
      </w:r>
    </w:p>
    <w:p w:rsidR="000C73A0" w:rsidRDefault="000C73A0">
      <w:pPr>
        <w:pStyle w:val="ListParagraph"/>
        <w:spacing w:before="150" w:after="150"/>
        <w:ind w:left="0" w:right="975"/>
        <w:rPr>
          <w:noProof/>
          <w:szCs w:val="18"/>
        </w:rPr>
      </w:pPr>
    </w:p>
    <w:p w:rsidR="000C73A0" w:rsidRDefault="00BA38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b/>
          <w:i/>
          <w:noProof/>
          <w:sz w:val="22"/>
          <w:szCs w:val="18"/>
        </w:rPr>
      </w:pPr>
      <w:r>
        <w:rPr>
          <w:b/>
          <w:i/>
          <w:noProof/>
          <w:sz w:val="22"/>
        </w:rPr>
        <w:t>Observații ale contribuabilului cu privire la informațiile menționate mai sus:</w:t>
      </w:r>
    </w:p>
    <w:p w:rsidR="000C73A0" w:rsidRDefault="00BA38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i/>
          <w:noProof/>
          <w:sz w:val="18"/>
        </w:rPr>
        <w:t>(Observațiile pot fi introduse în continuare de către</w:t>
      </w:r>
      <w:r>
        <w:rPr>
          <w:i/>
          <w:noProof/>
          <w:sz w:val="18"/>
        </w:rPr>
        <w:t xml:space="preserve"> contribuabil în cadrul procedurii</w:t>
      </w:r>
      <w:r>
        <w:rPr>
          <w:b/>
          <w:i/>
          <w:noProof/>
          <w:sz w:val="18"/>
        </w:rPr>
        <w:t>)</w:t>
      </w:r>
    </w:p>
    <w:p w:rsidR="000C73A0" w:rsidRDefault="00BA38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b/>
          <w:noProof/>
          <w:sz w:val="22"/>
          <w:szCs w:val="18"/>
        </w:rPr>
      </w:pPr>
      <w:r>
        <w:rPr>
          <w:b/>
          <w:noProof/>
          <w:sz w:val="22"/>
        </w:rPr>
        <w:t>Descrierea obiectului litigiului:</w:t>
      </w:r>
    </w:p>
    <w:p w:rsidR="000C73A0" w:rsidRDefault="00BA38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noProof/>
          <w:sz w:val="22"/>
          <w:szCs w:val="18"/>
        </w:rPr>
        <w:pict>
          <v:rect id="_x0000_i1065" style="width:0;height:1.5pt" o:hralign="center" o:hrstd="t" o:hr="t" fillcolor="#a0a0a0" stroked="f"/>
        </w:pict>
      </w:r>
    </w:p>
    <w:p w:rsidR="000C73A0" w:rsidRDefault="00BA38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noProof/>
          <w:sz w:val="22"/>
          <w:szCs w:val="18"/>
        </w:rPr>
        <w:pict>
          <v:rect id="_x0000_i1066" style="width:0;height:1.5pt" o:hralign="center" o:hrstd="t" o:hr="t" fillcolor="#a0a0a0" stroked="f"/>
        </w:pict>
      </w:r>
    </w:p>
    <w:p w:rsidR="000C73A0" w:rsidRDefault="00BA38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b/>
          <w:noProof/>
          <w:sz w:val="22"/>
          <w:szCs w:val="18"/>
        </w:rPr>
      </w:pPr>
      <w:r>
        <w:rPr>
          <w:b/>
          <w:noProof/>
          <w:sz w:val="22"/>
        </w:rPr>
        <w:t>Perioada fiscală:</w:t>
      </w:r>
    </w:p>
    <w:p w:rsidR="000C73A0" w:rsidRDefault="00BA38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noProof/>
          <w:sz w:val="22"/>
          <w:szCs w:val="18"/>
        </w:rPr>
        <w:pict>
          <v:rect id="_x0000_i1067" style="width:0;height:1.5pt" o:hralign="center" o:hrstd="t" o:hr="t" fillcolor="#a0a0a0" stroked="f"/>
        </w:pict>
      </w:r>
    </w:p>
    <w:p w:rsidR="000C73A0" w:rsidRDefault="00BA38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b/>
          <w:noProof/>
          <w:sz w:val="22"/>
          <w:szCs w:val="18"/>
        </w:rPr>
      </w:pPr>
      <w:r>
        <w:rPr>
          <w:b/>
          <w:noProof/>
          <w:sz w:val="22"/>
        </w:rPr>
        <w:t>Trimiteri la temeiul juridic (legislația și tratatul implicate):</w:t>
      </w:r>
    </w:p>
    <w:p w:rsidR="000C73A0" w:rsidRDefault="00BA38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noProof/>
          <w:sz w:val="22"/>
          <w:szCs w:val="18"/>
        </w:rPr>
        <w:pict>
          <v:rect id="_x0000_i1068" style="width:0;height:1.5pt" o:hralign="center" o:hrstd="t" o:hr="t" fillcolor="#a0a0a0" stroked="f"/>
        </w:pict>
      </w:r>
    </w:p>
    <w:p w:rsidR="000C73A0" w:rsidRDefault="00BA38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b/>
          <w:noProof/>
          <w:sz w:val="22"/>
        </w:rPr>
        <w:t xml:space="preserve">Calculul dublei impuneri care face obiectul litigiului </w:t>
      </w:r>
      <w:r>
        <w:rPr>
          <w:i/>
          <w:noProof/>
          <w:sz w:val="18"/>
        </w:rPr>
        <w:t xml:space="preserve">(suma totală și detaliile per exercițiu </w:t>
      </w:r>
      <w:r>
        <w:rPr>
          <w:i/>
          <w:noProof/>
          <w:sz w:val="18"/>
        </w:rPr>
        <w:t>fiscal privind impozitul, dobânzile și penalitățile, cotele de impozitare aplicabile și baza de impozitare corespunzătoare)</w:t>
      </w:r>
      <w:r>
        <w:rPr>
          <w:noProof/>
          <w:sz w:val="22"/>
        </w:rPr>
        <w:t xml:space="preserve"> </w:t>
      </w:r>
      <w:r>
        <w:rPr>
          <w:noProof/>
          <w:sz w:val="22"/>
          <w:szCs w:val="18"/>
        </w:rPr>
        <w:pict>
          <v:rect id="_x0000_i1069" style="width:0;height:1.5pt" o:hralign="center" o:hrstd="t" o:hr="t" fillcolor="#a0a0a0" stroked="f"/>
        </w:pict>
      </w:r>
    </w:p>
    <w:p w:rsidR="000C73A0" w:rsidRDefault="00BA38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noProof/>
          <w:sz w:val="22"/>
          <w:szCs w:val="18"/>
        </w:rPr>
        <w:pict>
          <v:rect id="_x0000_i1070" style="width:0;height:1.5pt" o:hralign="center" o:hrstd="t" o:hr="t" fillcolor="#a0a0a0" stroked="f"/>
        </w:pict>
      </w:r>
    </w:p>
    <w:p w:rsidR="000C73A0" w:rsidRDefault="00BA38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noProof/>
          <w:sz w:val="22"/>
          <w:szCs w:val="18"/>
        </w:rPr>
        <w:pict>
          <v:rect id="_x0000_i1071" style="width:0;height:1.5pt" o:hralign="center" o:hrstd="t" o:hr="t" fillcolor="#a0a0a0" stroked="f"/>
        </w:pict>
      </w:r>
    </w:p>
    <w:p w:rsidR="000C73A0" w:rsidRDefault="00BA38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noProof/>
          <w:sz w:val="22"/>
          <w:szCs w:val="18"/>
        </w:rPr>
        <w:pict>
          <v:rect id="_x0000_i1072" style="width:0;height:1.5pt" o:hralign="center" o:hrstd="t" o:hr="t" fillcolor="#a0a0a0" stroked="f"/>
        </w:pict>
      </w:r>
    </w:p>
    <w:p w:rsidR="000C73A0" w:rsidRDefault="00BA3809">
      <w:pPr>
        <w:pStyle w:val="Heading1"/>
        <w:rPr>
          <w:noProof/>
        </w:rPr>
      </w:pPr>
      <w:r>
        <w:rPr>
          <w:noProof/>
        </w:rPr>
        <w:t>Termenii de referință aprobați de autoritățile competente</w:t>
      </w:r>
    </w:p>
    <w:p w:rsidR="000C73A0" w:rsidRDefault="00BA3809">
      <w:pPr>
        <w:pStyle w:val="ListParagraph"/>
        <w:spacing w:before="150" w:after="150"/>
        <w:ind w:left="0" w:right="975"/>
        <w:rPr>
          <w:b/>
          <w:noProof/>
          <w:szCs w:val="18"/>
        </w:rPr>
      </w:pPr>
      <w:r>
        <w:rPr>
          <w:b/>
          <w:noProof/>
        </w:rPr>
        <w:t xml:space="preserve">Descrierea aspectelor juridice care fac obiectul interpretării în </w:t>
      </w:r>
      <w:r>
        <w:rPr>
          <w:b/>
          <w:noProof/>
        </w:rPr>
        <w:t>cadrul litigiului legat de dubla impunere:</w: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73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74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75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76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</w:rPr>
        <w:t>Descrierea circumstanțelor faptice care trebuie luate în considerare și a aspectelor faptice cu privire la care autoritățile competente au nevoie de clarificări și/sau interpretări din partea comisiei cons</w:t>
      </w:r>
      <w:r>
        <w:rPr>
          <w:b/>
          <w:noProof/>
        </w:rPr>
        <w:t>ultative sau a comisiei de soluționare alternativă a litigiilor:</w:t>
      </w:r>
      <w:r>
        <w:rPr>
          <w:b/>
          <w:noProof/>
          <w:szCs w:val="18"/>
        </w:rPr>
        <w:pict>
          <v:rect id="_x0000_i1077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78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79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80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</w:rPr>
        <w:t>Chestiuni care trebuie abordate de comisia consultativă sau de comisia de soluționare alternativă a litigiilor în avizul său:</w:t>
      </w:r>
      <w:r>
        <w:rPr>
          <w:b/>
          <w:noProof/>
          <w:szCs w:val="18"/>
        </w:rPr>
        <w:pict>
          <v:rect id="_x0000_i1081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82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lastRenderedPageBreak/>
        <w:pict>
          <v:rect id="_x0000_i1083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  <w:szCs w:val="18"/>
        </w:rPr>
        <w:pict>
          <v:rect id="_x0000_i1084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85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86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87" style="width:0;height:1.5pt" o:hralign="center" o:hrstd="t" o:hr="t" fillcolor="#a0a0a0" stroked="f"/>
        </w:pict>
      </w:r>
    </w:p>
    <w:p w:rsidR="000C73A0" w:rsidRDefault="00BA3809">
      <w:pPr>
        <w:pStyle w:val="Heading1"/>
        <w:rPr>
          <w:noProof/>
        </w:rPr>
      </w:pPr>
      <w:r>
        <w:rPr>
          <w:noProof/>
        </w:rPr>
        <w:t xml:space="preserve">Intervalul de timp și calendarul procesului </w:t>
      </w:r>
      <w:r>
        <w:rPr>
          <w:noProof/>
        </w:rPr>
        <w:t>de decizie</w:t>
      </w:r>
    </w:p>
    <w:p w:rsidR="000C73A0" w:rsidRDefault="00BA3809">
      <w:pPr>
        <w:pStyle w:val="ListParagraph"/>
        <w:spacing w:before="150" w:after="150"/>
        <w:ind w:left="0" w:right="975"/>
        <w:rPr>
          <w:b/>
          <w:noProof/>
          <w:szCs w:val="18"/>
        </w:rPr>
      </w:pPr>
      <w:r>
        <w:rPr>
          <w:b/>
          <w:noProof/>
        </w:rPr>
        <w:t>Data prevăzută pentru avizul final:</w: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88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89" style="width:0;height:1.5pt" o:hralign="center" o:hrstd="t" o:hr="t" fillcolor="#a0a0a0" stroked="f"/>
        </w:pict>
      </w:r>
    </w:p>
    <w:p w:rsidR="000C73A0" w:rsidRDefault="00BA3809">
      <w:pPr>
        <w:rPr>
          <w:b/>
          <w:noProof/>
          <w:szCs w:val="18"/>
        </w:rPr>
      </w:pPr>
      <w:r>
        <w:rPr>
          <w:b/>
          <w:noProof/>
        </w:rPr>
        <w:t>Calendarul prevăzut pentru observațiile scrise ale părților:</w: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90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91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</w:rPr>
        <w:t xml:space="preserve">Calendarul prevăzut pentru observațiile consecutive sau simultane </w:t>
      </w:r>
      <w:r>
        <w:rPr>
          <w:i/>
          <w:noProof/>
          <w:sz w:val="20"/>
        </w:rPr>
        <w:t>(dacă este cazul)</w:t>
      </w:r>
      <w:r>
        <w:rPr>
          <w:b/>
          <w:noProof/>
        </w:rPr>
        <w:t>:</w:t>
      </w:r>
      <w:r>
        <w:rPr>
          <w:b/>
          <w:noProof/>
          <w:szCs w:val="18"/>
        </w:rPr>
        <w:pict>
          <v:rect id="_x0000_i1092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93" style="width:0;height:1.5pt" o:hralign="center" o:hrstd="t" o:hr="t" fillcolor="#a0a0a0" stroked="f"/>
        </w:pict>
      </w:r>
    </w:p>
    <w:p w:rsidR="000C73A0" w:rsidRDefault="00BA3809">
      <w:pPr>
        <w:tabs>
          <w:tab w:val="left" w:pos="8222"/>
        </w:tabs>
        <w:ind w:right="993"/>
        <w:rPr>
          <w:b/>
          <w:noProof/>
          <w:szCs w:val="18"/>
        </w:rPr>
      </w:pPr>
      <w:r>
        <w:rPr>
          <w:b/>
          <w:noProof/>
        </w:rPr>
        <w:t>Calendarul prevăzut pentru prezentarea pozițiilor de</w:t>
      </w:r>
      <w:r>
        <w:rPr>
          <w:b/>
          <w:noProof/>
        </w:rPr>
        <w:t xml:space="preserve"> susținere ale autorităților competente</w:t>
      </w:r>
      <w:r>
        <w:rPr>
          <w:i/>
          <w:noProof/>
          <w:sz w:val="20"/>
        </w:rPr>
        <w:t xml:space="preserve"> (dacă este cazul)</w:t>
      </w:r>
      <w:r>
        <w:rPr>
          <w:b/>
          <w:noProof/>
        </w:rPr>
        <w:t>:</w: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94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95" style="width:0;height:1.5pt" o:hralign="center" o:hrstd="t" o:hr="t" fillcolor="#a0a0a0" stroked="f"/>
        </w:pict>
      </w:r>
    </w:p>
    <w:p w:rsidR="000C73A0" w:rsidRDefault="00BA3809">
      <w:pPr>
        <w:tabs>
          <w:tab w:val="left" w:pos="8222"/>
        </w:tabs>
        <w:ind w:right="993"/>
        <w:rPr>
          <w:noProof/>
        </w:rPr>
      </w:pPr>
      <w:r>
        <w:rPr>
          <w:b/>
          <w:noProof/>
        </w:rPr>
        <w:t xml:space="preserve">Termenele pentru depunerea documentelor justificative care trebuie să fie prezentate de către părți; consecințele depunerii cu întârziere </w:t>
      </w:r>
      <w:r>
        <w:rPr>
          <w:i/>
          <w:noProof/>
          <w:sz w:val="20"/>
        </w:rPr>
        <w:t>(dacă este cazul)</w:t>
      </w:r>
      <w:r>
        <w:rPr>
          <w:b/>
          <w:noProof/>
        </w:rPr>
        <w:t>:</w:t>
      </w:r>
      <w:r>
        <w:rPr>
          <w:b/>
          <w:noProof/>
          <w:szCs w:val="18"/>
        </w:rPr>
        <w:pict>
          <v:rect id="_x0000_i1096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97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98" style="width:0;height:1.5pt" o:hralign="center" o:hrstd="t" o:hr="t" fillcolor="#a0a0a0" stroked="f"/>
        </w:pict>
      </w:r>
    </w:p>
    <w:p w:rsidR="000C73A0" w:rsidRDefault="00BA3809">
      <w:pPr>
        <w:ind w:right="993"/>
        <w:rPr>
          <w:noProof/>
        </w:rPr>
      </w:pPr>
      <w:r>
        <w:rPr>
          <w:b/>
          <w:noProof/>
        </w:rPr>
        <w:t>Calendarul prevăzut pentru prez</w:t>
      </w:r>
      <w:r>
        <w:rPr>
          <w:b/>
          <w:noProof/>
        </w:rPr>
        <w:t xml:space="preserve">entarea avizului (avizelor) persoanelor independente, respectiv al(e) reprezentanților autorităților competente </w:t>
      </w:r>
      <w:r>
        <w:rPr>
          <w:i/>
          <w:noProof/>
          <w:sz w:val="20"/>
        </w:rPr>
        <w:t>(dacă este cazul)</w:t>
      </w:r>
      <w:r>
        <w:rPr>
          <w:b/>
          <w:noProof/>
        </w:rPr>
        <w:t>:</w:t>
      </w:r>
      <w:r>
        <w:rPr>
          <w:b/>
          <w:noProof/>
          <w:szCs w:val="18"/>
        </w:rPr>
        <w:pict>
          <v:rect id="_x0000_i1099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  <w:szCs w:val="18"/>
        </w:rPr>
        <w:pict>
          <v:rect id="_x0000_i1100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101" style="width:0;height:1.5pt" o:hralign="center" o:hrstd="t" o:hr="t" fillcolor="#a0a0a0" stroked="f"/>
        </w:pict>
      </w:r>
    </w:p>
    <w:p w:rsidR="000C73A0" w:rsidRDefault="00BA3809">
      <w:pPr>
        <w:rPr>
          <w:b/>
          <w:noProof/>
        </w:rPr>
      </w:pPr>
      <w:r>
        <w:rPr>
          <w:b/>
          <w:noProof/>
        </w:rPr>
        <w:t xml:space="preserve">Datele prevăzute pentru audieri (dacă este cazul) și locul audierilor </w:t>
      </w:r>
      <w:r>
        <w:rPr>
          <w:i/>
          <w:noProof/>
          <w:sz w:val="20"/>
        </w:rPr>
        <w:t>(dacă este cazul)</w:t>
      </w:r>
      <w:r>
        <w:rPr>
          <w:b/>
          <w:noProof/>
        </w:rPr>
        <w:t>:</w:t>
      </w:r>
    </w:p>
    <w:p w:rsidR="000C73A0" w:rsidRDefault="00BA3809">
      <w:pPr>
        <w:ind w:right="993"/>
        <w:rPr>
          <w:noProof/>
        </w:rPr>
      </w:pPr>
      <w:r>
        <w:rPr>
          <w:b/>
          <w:noProof/>
          <w:szCs w:val="18"/>
        </w:rPr>
        <w:pict>
          <v:rect id="_x0000_i1102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  <w:szCs w:val="18"/>
        </w:rPr>
        <w:pict>
          <v:rect id="_x0000_i1103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104" style="width:0;height:1.5pt" o:hralign="center" o:hrstd="t" o:hr="t" fillcolor="#a0a0a0" stroked="f"/>
        </w:pict>
      </w:r>
    </w:p>
    <w:p w:rsidR="000C73A0" w:rsidRDefault="00BA3809">
      <w:pPr>
        <w:pStyle w:val="Heading1"/>
        <w:rPr>
          <w:noProof/>
        </w:rPr>
      </w:pPr>
      <w:r>
        <w:rPr>
          <w:noProof/>
        </w:rPr>
        <w:t xml:space="preserve">Tipul procesului de </w:t>
      </w:r>
      <w:r>
        <w:rPr>
          <w:noProof/>
        </w:rPr>
        <w:t>soluționare</w:t>
      </w:r>
    </w:p>
    <w:p w:rsidR="000C73A0" w:rsidRDefault="00BA3809">
      <w:pPr>
        <w:ind w:left="850"/>
        <w:rPr>
          <w:noProof/>
        </w:rPr>
      </w:pPr>
      <w:r>
        <w:rPr>
          <w:noProof/>
        </w:rPr>
        <w:t xml:space="preserve">Proces de tipul </w:t>
      </w: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b/>
          <w:noProof/>
        </w:rPr>
        <w:t>„Aviz independent”</w:t>
      </w:r>
      <w:r>
        <w:rPr>
          <w:noProof/>
        </w:rPr>
        <w:t xml:space="preserve"> </w:t>
      </w:r>
    </w:p>
    <w:p w:rsidR="000C73A0" w:rsidRDefault="00BA3809">
      <w:pPr>
        <w:ind w:left="850"/>
        <w:rPr>
          <w:i/>
          <w:noProof/>
        </w:rPr>
      </w:pPr>
      <w:r>
        <w:rPr>
          <w:noProof/>
        </w:rPr>
        <w:t xml:space="preserve">Proces de tipul </w:t>
      </w:r>
      <w:r>
        <w:rPr>
          <w:noProof/>
        </w:rPr>
        <w:sym w:font="Wingdings" w:char="F0A8"/>
      </w:r>
      <w:r>
        <w:rPr>
          <w:noProof/>
        </w:rPr>
        <w:t xml:space="preserve"> </w:t>
      </w:r>
      <w:r>
        <w:rPr>
          <w:b/>
          <w:noProof/>
        </w:rPr>
        <w:t>„Ultimă ofertă finală”</w:t>
      </w:r>
    </w:p>
    <w:p w:rsidR="000C73A0" w:rsidRDefault="00BA3809">
      <w:pPr>
        <w:ind w:left="850"/>
        <w:rPr>
          <w:i/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b/>
          <w:noProof/>
        </w:rPr>
        <w:t>Altele</w:t>
      </w:r>
      <w:r>
        <w:rPr>
          <w:noProof/>
        </w:rPr>
        <w:t xml:space="preserve">, </w:t>
      </w:r>
      <w:r>
        <w:rPr>
          <w:i/>
          <w:noProof/>
        </w:rPr>
        <w:t>a se preciza: ______________________________________</w:t>
      </w:r>
    </w:p>
    <w:p w:rsidR="000C73A0" w:rsidRDefault="00BA3809">
      <w:pPr>
        <w:pStyle w:val="Heading1"/>
        <w:rPr>
          <w:noProof/>
        </w:rPr>
      </w:pPr>
      <w:r>
        <w:rPr>
          <w:noProof/>
        </w:rPr>
        <w:lastRenderedPageBreak/>
        <w:t>Costuri</w:t>
      </w:r>
    </w:p>
    <w:p w:rsidR="000C73A0" w:rsidRDefault="00BA3809">
      <w:pPr>
        <w:ind w:right="993"/>
        <w:rPr>
          <w:noProof/>
        </w:rPr>
      </w:pPr>
      <w:r>
        <w:rPr>
          <w:b/>
          <w:noProof/>
        </w:rPr>
        <w:t xml:space="preserve">Detalii privind costurile (natura, sumele estimate) care urmează să fie repartizate în mod </w:t>
      </w:r>
      <w:r>
        <w:rPr>
          <w:b/>
          <w:noProof/>
        </w:rPr>
        <w:t>egal între statele membre:</w:t>
      </w:r>
      <w:r>
        <w:rPr>
          <w:b/>
          <w:noProof/>
          <w:szCs w:val="18"/>
        </w:rPr>
        <w:pict>
          <v:rect id="_x0000_i1105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  <w:szCs w:val="18"/>
        </w:rPr>
        <w:pict>
          <v:rect id="_x0000_i1106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107" style="width:0;height:1.5pt" o:hralign="center" o:hrstd="t" o:hr="t" fillcolor="#a0a0a0" stroked="f"/>
        </w:pict>
      </w:r>
    </w:p>
    <w:p w:rsidR="000C73A0" w:rsidRDefault="00BA3809">
      <w:pPr>
        <w:spacing w:before="150" w:after="150"/>
        <w:ind w:right="975"/>
        <w:rPr>
          <w:noProof/>
          <w:szCs w:val="18"/>
        </w:rPr>
      </w:pPr>
      <w:r>
        <w:rPr>
          <w:noProof/>
        </w:rPr>
        <w:t>Inclusiv, dacă este cazul:</w:t>
      </w:r>
    </w:p>
    <w:p w:rsidR="000C73A0" w:rsidRDefault="00BA3809">
      <w:pPr>
        <w:pStyle w:val="ListDash2"/>
        <w:numPr>
          <w:ilvl w:val="0"/>
          <w:numId w:val="6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Remunerarea persoanelor independente _______________________</w:t>
      </w:r>
    </w:p>
    <w:p w:rsidR="000C73A0" w:rsidRDefault="00BA3809">
      <w:pPr>
        <w:pStyle w:val="ListDash2"/>
        <w:numPr>
          <w:ilvl w:val="0"/>
          <w:numId w:val="6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>Alte cheltuieli și diurne aferente persoanelor independente_________</w:t>
      </w:r>
    </w:p>
    <w:p w:rsidR="000C73A0" w:rsidRDefault="00BA3809">
      <w:pPr>
        <w:pStyle w:val="ListDash2"/>
        <w:numPr>
          <w:ilvl w:val="0"/>
          <w:numId w:val="6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Costuri cu traducerea</w:t>
      </w:r>
      <w:r>
        <w:rPr>
          <w:noProof/>
        </w:rPr>
        <w:tab/>
      </w:r>
      <w:r>
        <w:rPr>
          <w:noProof/>
        </w:rPr>
        <w:br/>
        <w:t>_______________________________________</w:t>
      </w:r>
      <w:r>
        <w:rPr>
          <w:noProof/>
        </w:rPr>
        <w:t>_________</w:t>
      </w:r>
    </w:p>
    <w:p w:rsidR="000C73A0" w:rsidRDefault="00BA3809">
      <w:pPr>
        <w:pStyle w:val="ListDash2"/>
        <w:numPr>
          <w:ilvl w:val="0"/>
          <w:numId w:val="6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Costuri cu interpretarea</w:t>
      </w:r>
      <w:r>
        <w:rPr>
          <w:noProof/>
        </w:rPr>
        <w:tab/>
      </w:r>
      <w:r>
        <w:rPr>
          <w:noProof/>
        </w:rPr>
        <w:br/>
        <w:t>______________________________________________</w:t>
      </w:r>
    </w:p>
    <w:p w:rsidR="000C73A0" w:rsidRDefault="00BA3809">
      <w:pPr>
        <w:pStyle w:val="ListDash2"/>
        <w:numPr>
          <w:ilvl w:val="0"/>
          <w:numId w:val="6"/>
        </w:numPr>
        <w:jc w:val="left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>Alte costuri administrative (inclusiv costuri secretariale) _______________________________________________________________</w:t>
      </w:r>
    </w:p>
    <w:p w:rsidR="000C73A0" w:rsidRDefault="00BA3809">
      <w:pPr>
        <w:pStyle w:val="ListDash2"/>
        <w:rPr>
          <w:noProof/>
        </w:rPr>
      </w:pPr>
      <w:r>
        <w:rPr>
          <w:noProof/>
        </w:rPr>
        <w:t>Alte informații și dispoziții privind costuril</w:t>
      </w:r>
      <w:r>
        <w:rPr>
          <w:noProof/>
        </w:rPr>
        <w:t xml:space="preserve">e </w:t>
      </w:r>
      <w:r>
        <w:rPr>
          <w:i/>
          <w:noProof/>
          <w:sz w:val="20"/>
        </w:rPr>
        <w:t>(a se preciza)</w:t>
      </w:r>
      <w:r>
        <w:rPr>
          <w:noProof/>
        </w:rPr>
        <w:t>:</w:t>
      </w:r>
    </w:p>
    <w:p w:rsidR="000C73A0" w:rsidRDefault="00BA3809">
      <w:pPr>
        <w:pStyle w:val="ListDash2"/>
        <w:tabs>
          <w:tab w:val="left" w:pos="7938"/>
          <w:tab w:val="left" w:pos="8789"/>
        </w:tabs>
        <w:rPr>
          <w:noProof/>
        </w:rPr>
      </w:pPr>
      <w:r>
        <w:rPr>
          <w:noProof/>
        </w:rPr>
        <w:pict>
          <v:rect id="_x0000_i1108" style="width:375.9pt;height:1.7pt" o:hrpct="947" o:hralign="center" o:hrstd="t" o:hr="t" fillcolor="#a0a0a0" stroked="f"/>
        </w:pict>
      </w:r>
    </w:p>
    <w:p w:rsidR="000C73A0" w:rsidRDefault="00BA3809">
      <w:pPr>
        <w:pStyle w:val="ListDash2"/>
        <w:tabs>
          <w:tab w:val="left" w:pos="8080"/>
        </w:tabs>
        <w:ind w:right="142"/>
        <w:rPr>
          <w:noProof/>
        </w:rPr>
      </w:pPr>
      <w:r>
        <w:rPr>
          <w:noProof/>
        </w:rPr>
        <w:pict>
          <v:rect id="_x0000_i1109" style="width:0;height:1.5pt" o:hralign="center" o:hrstd="t" o:hr="t" fillcolor="#a0a0a0" stroked="f"/>
        </w:pict>
      </w:r>
    </w:p>
    <w:p w:rsidR="000C73A0" w:rsidRDefault="00BA3809">
      <w:pPr>
        <w:pStyle w:val="ListDash2"/>
        <w:tabs>
          <w:tab w:val="left" w:pos="8080"/>
        </w:tabs>
        <w:rPr>
          <w:noProof/>
        </w:rPr>
      </w:pPr>
      <w:r>
        <w:rPr>
          <w:noProof/>
        </w:rPr>
        <w:pict>
          <v:rect id="_x0000_i1110" style="width:0;height:1.5pt" o:hralign="center" o:hrstd="t" o:hr="t" fillcolor="#a0a0a0" stroked="f"/>
        </w:pict>
      </w:r>
    </w:p>
    <w:p w:rsidR="000C73A0" w:rsidRDefault="00BA3809">
      <w:pPr>
        <w:pStyle w:val="ListDash2"/>
        <w:tabs>
          <w:tab w:val="left" w:pos="8931"/>
        </w:tabs>
        <w:rPr>
          <w:noProof/>
        </w:rPr>
      </w:pPr>
      <w:r>
        <w:rPr>
          <w:noProof/>
        </w:rPr>
        <w:pict>
          <v:rect id="_x0000_i1111" style="width:0;height:1.5pt" o:hralign="center" o:hrstd="t" o:hr="t" fillcolor="#a0a0a0" stroked="f"/>
        </w:pict>
      </w:r>
    </w:p>
    <w:p w:rsidR="000C73A0" w:rsidRDefault="00BA3809">
      <w:pPr>
        <w:pStyle w:val="ListDash2"/>
        <w:rPr>
          <w:noProof/>
        </w:rPr>
      </w:pPr>
      <w:r>
        <w:rPr>
          <w:noProof/>
        </w:rPr>
        <w:pict>
          <v:rect id="_x0000_i1112" style="width:0;height:1.5pt" o:hralign="center" o:hrstd="t" o:hr="t" fillcolor="#a0a0a0" stroked="f"/>
        </w:pict>
      </w:r>
    </w:p>
    <w:p w:rsidR="000C73A0" w:rsidRDefault="00BA3809">
      <w:pPr>
        <w:pStyle w:val="ListDash2"/>
        <w:rPr>
          <w:noProof/>
        </w:rPr>
      </w:pPr>
      <w:r>
        <w:rPr>
          <w:noProof/>
        </w:rPr>
        <w:pict>
          <v:rect id="_x0000_i1113" style="width:343.35pt;height:1.7pt" o:hrpct="865" o:hralign="center" o:hrstd="t" o:hr="t" fillcolor="#a0a0a0" stroked="f"/>
        </w:pict>
      </w:r>
    </w:p>
    <w:p w:rsidR="000C73A0" w:rsidRDefault="00BA3809">
      <w:pPr>
        <w:pStyle w:val="Heading1"/>
        <w:rPr>
          <w:noProof/>
        </w:rPr>
      </w:pPr>
      <w:r>
        <w:rPr>
          <w:noProof/>
        </w:rPr>
        <w:t>Organizare si funcționare</w:t>
      </w:r>
    </w:p>
    <w:p w:rsidR="000C73A0" w:rsidRDefault="00BA3809">
      <w:pPr>
        <w:spacing w:before="150" w:after="150"/>
        <w:ind w:right="975"/>
        <w:rPr>
          <w:b/>
          <w:smallCaps/>
          <w:noProof/>
          <w:szCs w:val="18"/>
        </w:rPr>
      </w:pPr>
      <w:r>
        <w:rPr>
          <w:i/>
          <w:noProof/>
          <w:sz w:val="20"/>
        </w:rPr>
        <w:t>[</w:t>
      </w:r>
      <w:r>
        <w:rPr>
          <w:b/>
          <w:i/>
          <w:noProof/>
          <w:sz w:val="20"/>
        </w:rPr>
        <w:t>NB: Mențiunile scrise cu caractere aldine din prezenta secțiune trebuie obligatoriu completate</w:t>
      </w:r>
      <w:r>
        <w:rPr>
          <w:noProof/>
        </w:rPr>
        <w:t>]</w:t>
      </w:r>
    </w:p>
    <w:p w:rsidR="000C73A0" w:rsidRDefault="00BA3809">
      <w:pPr>
        <w:jc w:val="left"/>
        <w:rPr>
          <w:b/>
          <w:noProof/>
          <w:szCs w:val="18"/>
        </w:rPr>
      </w:pPr>
      <w:r>
        <w:rPr>
          <w:b/>
          <w:noProof/>
          <w:szCs w:val="18"/>
        </w:rPr>
        <w:sym w:font="Wingdings" w:char="F0A8"/>
      </w:r>
      <w:r>
        <w:rPr>
          <w:b/>
          <w:noProof/>
          <w:szCs w:val="18"/>
        </w:rPr>
        <w:t xml:space="preserve"> </w:t>
      </w:r>
      <w:r>
        <w:rPr>
          <w:b/>
          <w:noProof/>
        </w:rPr>
        <w:t xml:space="preserve">Locul de întrunire al comisiei consultative sau al comisiei de soluționare alternativă a litigiilor: </w:t>
      </w:r>
      <w:r>
        <w:rPr>
          <w:b/>
          <w:noProof/>
        </w:rPr>
        <w:t>__________________________</w:t>
      </w:r>
    </w:p>
    <w:p w:rsidR="000C73A0" w:rsidRDefault="00BA3809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Posibilitatea reuniunilor în afara locului de întrunire al comisiei consultative sau al comisiei de soluționare alternativă a litigiilor: _____________________________________________________</w:t>
      </w:r>
    </w:p>
    <w:p w:rsidR="000C73A0" w:rsidRDefault="00BA3809">
      <w:pPr>
        <w:jc w:val="left"/>
        <w:rPr>
          <w:noProof/>
          <w:szCs w:val="18"/>
        </w:rPr>
      </w:pPr>
      <w:r>
        <w:rPr>
          <w:b/>
          <w:noProof/>
          <w:szCs w:val="18"/>
        </w:rPr>
        <w:sym w:font="Wingdings" w:char="F0A8"/>
      </w:r>
      <w:r>
        <w:rPr>
          <w:b/>
          <w:noProof/>
        </w:rPr>
        <w:t xml:space="preserve"> Servicii administrative de care a</w:t>
      </w:r>
      <w:r>
        <w:rPr>
          <w:b/>
          <w:noProof/>
        </w:rPr>
        <w:t>r putea avea nevoie comisia consultativă sau comisia de soluționare alternativă a litigiilor pentru a-și duce la îndeplinire sarcinile:</w:t>
      </w:r>
      <w:r>
        <w:rPr>
          <w:noProof/>
        </w:rPr>
        <w:t xml:space="preserve"> ________________________________________________________________________</w:t>
      </w:r>
    </w:p>
    <w:p w:rsidR="000C73A0" w:rsidRDefault="00BA3809">
      <w:pPr>
        <w:jc w:val="left"/>
        <w:rPr>
          <w:b/>
          <w:noProof/>
          <w:szCs w:val="18"/>
        </w:rPr>
      </w:pPr>
      <w:r>
        <w:rPr>
          <w:b/>
          <w:noProof/>
          <w:szCs w:val="18"/>
        </w:rPr>
        <w:sym w:font="Wingdings" w:char="F0A8"/>
      </w:r>
      <w:r>
        <w:rPr>
          <w:b/>
          <w:noProof/>
          <w:szCs w:val="18"/>
        </w:rPr>
        <w:t xml:space="preserve"> </w:t>
      </w:r>
      <w:r>
        <w:rPr>
          <w:b/>
          <w:noProof/>
        </w:rPr>
        <w:t>Limba de lucru comună în cadrul procedurii de</w:t>
      </w:r>
      <w:r>
        <w:rPr>
          <w:b/>
          <w:noProof/>
        </w:rPr>
        <w:t xml:space="preserve"> soluționare a litigiului: ____________________________</w:t>
      </w:r>
    </w:p>
    <w:p w:rsidR="000C73A0" w:rsidRDefault="00BA3809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Necesitatea eventuală a traducerii documentelor (integral sau parțial): _______________________</w:t>
      </w:r>
    </w:p>
    <w:p w:rsidR="000C73A0" w:rsidRDefault="00BA3809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Necesitatea eventuală a serviciilor de interpretare pentru prezentările orale: _____________________</w:t>
      </w:r>
      <w:r>
        <w:rPr>
          <w:noProof/>
        </w:rPr>
        <w:t>_________</w:t>
      </w:r>
    </w:p>
    <w:p w:rsidR="000C73A0" w:rsidRDefault="00BA3809">
      <w:pPr>
        <w:jc w:val="left"/>
        <w:rPr>
          <w:noProof/>
          <w:szCs w:val="18"/>
        </w:rPr>
      </w:pPr>
      <w:r>
        <w:rPr>
          <w:noProof/>
          <w:szCs w:val="18"/>
        </w:rPr>
        <w:lastRenderedPageBreak/>
        <w:sym w:font="Wingdings" w:char="F0A8"/>
      </w:r>
      <w:r>
        <w:rPr>
          <w:noProof/>
        </w:rPr>
        <w:t xml:space="preserve"> Modul de transmitere a comunicărilor scrise între părți (inclusiv modalitățile de trimitere a documentelor prin e-mail, comunicare orală, </w:t>
      </w:r>
      <w:r>
        <w:rPr>
          <w:i/>
          <w:noProof/>
        </w:rPr>
        <w:t>teleconferință webex,</w:t>
      </w:r>
      <w:r>
        <w:rPr>
          <w:noProof/>
        </w:rPr>
        <w:t xml:space="preserve"> instrumente IT speciale, etc.): ____________________________________________________</w:t>
      </w:r>
      <w:r>
        <w:rPr>
          <w:noProof/>
        </w:rPr>
        <w:t>____________________</w:t>
      </w:r>
    </w:p>
    <w:p w:rsidR="000C73A0" w:rsidRDefault="00BA3809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Detalii practice privind observațiile scrise și elementele justificative (de exemplu, modul de transmitere, copii, numerotare, referințe) ________________________________________________________________________</w:t>
      </w:r>
    </w:p>
    <w:p w:rsidR="000C73A0" w:rsidRDefault="00BA3809">
      <w:pPr>
        <w:jc w:val="left"/>
        <w:rPr>
          <w:b/>
          <w:noProof/>
          <w:szCs w:val="18"/>
        </w:rPr>
      </w:pPr>
      <w:r>
        <w:rPr>
          <w:b/>
          <w:noProof/>
          <w:szCs w:val="18"/>
        </w:rPr>
        <w:sym w:font="Wingdings" w:char="F0A8"/>
      </w:r>
      <w:r>
        <w:rPr>
          <w:b/>
          <w:noProof/>
        </w:rPr>
        <w:t xml:space="preserve"> Modul de transmitere</w:t>
      </w:r>
      <w:r>
        <w:rPr>
          <w:b/>
          <w:noProof/>
        </w:rPr>
        <w:t xml:space="preserve"> a comunicărilor scrise între părți (inclusiv modalitățile de trimitere a documentelor):</w:t>
      </w:r>
      <w:r>
        <w:rPr>
          <w:b/>
          <w:noProof/>
          <w:szCs w:val="18"/>
        </w:rPr>
        <w:br/>
      </w:r>
      <w:r>
        <w:rPr>
          <w:b/>
          <w:noProof/>
        </w:rPr>
        <w:t>________________________________________________________________________</w:t>
      </w:r>
    </w:p>
    <w:p w:rsidR="000C73A0" w:rsidRDefault="00BA3809">
      <w:pPr>
        <w:jc w:val="left"/>
        <w:rPr>
          <w:b/>
          <w:noProof/>
          <w:szCs w:val="18"/>
        </w:rPr>
      </w:pPr>
      <w:r>
        <w:rPr>
          <w:b/>
          <w:noProof/>
          <w:szCs w:val="18"/>
        </w:rPr>
        <w:sym w:font="Wingdings" w:char="F0A8"/>
      </w:r>
      <w:r>
        <w:rPr>
          <w:b/>
          <w:noProof/>
        </w:rPr>
        <w:t xml:space="preserve"> Modalități pentru schimbul de observații scrise: ____________________________</w:t>
      </w:r>
    </w:p>
    <w:p w:rsidR="000C73A0" w:rsidRDefault="00BA3809">
      <w:pPr>
        <w:jc w:val="left"/>
        <w:rPr>
          <w:b/>
          <w:noProof/>
          <w:szCs w:val="18"/>
        </w:rPr>
      </w:pPr>
      <w:r>
        <w:rPr>
          <w:b/>
          <w:noProof/>
          <w:szCs w:val="18"/>
        </w:rPr>
        <w:sym w:font="Wingdings" w:char="F0A8"/>
      </w:r>
      <w:r>
        <w:rPr>
          <w:b/>
          <w:noProof/>
          <w:szCs w:val="18"/>
        </w:rPr>
        <w:t xml:space="preserve"> </w:t>
      </w:r>
      <w:r>
        <w:rPr>
          <w:b/>
          <w:noProof/>
        </w:rPr>
        <w:t>Modalități p</w:t>
      </w:r>
      <w:r>
        <w:rPr>
          <w:b/>
          <w:noProof/>
        </w:rPr>
        <w:t>entru cererile de informații din partea comisiei consultative sau a comisiei de soluționare alternativă a litigiilor și răspunsurile ulterioare din partea contribuabililor și a autorităților competente: ______________________________________</w:t>
      </w:r>
    </w:p>
    <w:p w:rsidR="000C73A0" w:rsidRDefault="00BA3809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Detalii prac</w:t>
      </w:r>
      <w:r>
        <w:rPr>
          <w:noProof/>
        </w:rPr>
        <w:t>tice privind observațiile scrise și elementele justificative (de exemplu, modul de transmitere, copii, numerotare, referințe) ___________________________________________________________________________</w:t>
      </w:r>
    </w:p>
    <w:p w:rsidR="000C73A0" w:rsidRDefault="00BA3809">
      <w:pPr>
        <w:jc w:val="left"/>
        <w:rPr>
          <w:b/>
          <w:noProof/>
          <w:szCs w:val="18"/>
        </w:rPr>
      </w:pPr>
      <w:r>
        <w:rPr>
          <w:b/>
          <w:noProof/>
          <w:szCs w:val="18"/>
        </w:rPr>
        <w:sym w:font="Wingdings" w:char="F0A8"/>
      </w:r>
      <w:r>
        <w:rPr>
          <w:b/>
          <w:noProof/>
        </w:rPr>
        <w:t xml:space="preserve"> Prezentarea sau nu a documentelor justificative de c</w:t>
      </w:r>
      <w:r>
        <w:rPr>
          <w:b/>
          <w:noProof/>
        </w:rPr>
        <w:t>ătre părți: __________________</w:t>
      </w:r>
    </w:p>
    <w:p w:rsidR="000C73A0" w:rsidRDefault="00BA3809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Experți (termeni și condiții de prezentare a pozițiilor scrise și orale): ___________________________________________________________________________</w:t>
      </w:r>
    </w:p>
    <w:p w:rsidR="000C73A0" w:rsidRDefault="00BA3809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Afirmațiile referitoare la originea și recepționarea documentelor și la</w:t>
      </w:r>
      <w:r>
        <w:rPr>
          <w:noProof/>
        </w:rPr>
        <w:t xml:space="preserve"> corectitudinea fotocopiilor ar trebui considerate ca fiind exacte: _____________________________________________</w:t>
      </w:r>
    </w:p>
    <w:p w:rsidR="000C73A0" w:rsidRDefault="00BA3809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Documentele justificative voluminoase și complicate ar trebui prezentate sub formă de rezumate, tabele, grafice, extrase sau eșantioane: ___</w:t>
      </w:r>
      <w:r>
        <w:rPr>
          <w:noProof/>
        </w:rPr>
        <w:t>_______________________________</w:t>
      </w:r>
    </w:p>
    <w:p w:rsidR="000C73A0" w:rsidRDefault="00BA3809">
      <w:pPr>
        <w:jc w:val="left"/>
        <w:rPr>
          <w:b/>
          <w:noProof/>
          <w:szCs w:val="18"/>
        </w:rPr>
      </w:pPr>
      <w:r>
        <w:rPr>
          <w:b/>
          <w:noProof/>
          <w:szCs w:val="18"/>
        </w:rPr>
        <w:sym w:font="Wingdings" w:char="F0A8"/>
      </w:r>
      <w:r>
        <w:rPr>
          <w:b/>
          <w:noProof/>
        </w:rPr>
        <w:t xml:space="preserve"> Decizia de a organiza sau nu audieri (și numărul audierilor): ______________________________</w:t>
      </w:r>
    </w:p>
    <w:p w:rsidR="000C73A0" w:rsidRDefault="00BA3809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Ar trebui organizate audieri într-o singură perioadă sau în perioade separate: _________</w:t>
      </w:r>
    </w:p>
    <w:p w:rsidR="000C73A0" w:rsidRDefault="00BA3809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Ar trebui sau nu să existe o limită </w:t>
      </w:r>
      <w:r>
        <w:rPr>
          <w:noProof/>
        </w:rPr>
        <w:t>a duratei totale de care va dispune fiecare parte pentru a-și prezenta observațiile orale și pentru a audia martorii: _________________________________________</w:t>
      </w:r>
    </w:p>
    <w:p w:rsidR="000C73A0" w:rsidRDefault="00BA3809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Ordinea în care părțile își vor prezenta argumentele și elementele justificative: ____________</w:t>
      </w:r>
      <w:r>
        <w:rPr>
          <w:noProof/>
        </w:rPr>
        <w:t>__</w:t>
      </w:r>
    </w:p>
    <w:p w:rsidR="000C73A0" w:rsidRDefault="00BA3809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Durata audierilor: ___________________________________________________________________________</w:t>
      </w:r>
    </w:p>
    <w:p w:rsidR="000C73A0" w:rsidRDefault="00BA3809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Modalitățile de înregistrare a audierilor: ______________________________________</w:t>
      </w:r>
    </w:p>
    <w:p w:rsidR="000C73A0" w:rsidRDefault="00BA3809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Posibile cerințe privind prezentarea sau formularea poziției persoanelor independente, respectiv a reprezentanților autorităților competente: ___________________________________________________________________________</w:t>
      </w:r>
    </w:p>
    <w:p w:rsidR="000C73A0" w:rsidRDefault="00BA3809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Posibile cerințe privind prezentare</w:t>
      </w:r>
      <w:r>
        <w:rPr>
          <w:noProof/>
        </w:rPr>
        <w:t>a sau formularea avizului scris: ___________________________________________________________________________</w:t>
      </w:r>
    </w:p>
    <w:p w:rsidR="000C73A0" w:rsidRDefault="00BA3809">
      <w:pPr>
        <w:jc w:val="left"/>
        <w:rPr>
          <w:noProof/>
          <w:szCs w:val="18"/>
        </w:rPr>
      </w:pPr>
      <w:r>
        <w:rPr>
          <w:noProof/>
          <w:szCs w:val="18"/>
        </w:rPr>
        <w:lastRenderedPageBreak/>
        <w:sym w:font="Wingdings" w:char="F0A8"/>
      </w:r>
      <w:r>
        <w:rPr>
          <w:noProof/>
        </w:rPr>
        <w:t xml:space="preserve"> Altele (</w:t>
      </w:r>
      <w:r>
        <w:rPr>
          <w:i/>
          <w:noProof/>
          <w:sz w:val="20"/>
        </w:rPr>
        <w:t>a se preciza, inclusiv alte condiții care s-ar putea aplica în materie de proceduri, elemente justificative și logistică</w:t>
      </w:r>
      <w:r>
        <w:rPr>
          <w:noProof/>
        </w:rPr>
        <w:t xml:space="preserve">): </w:t>
      </w:r>
      <w:r>
        <w:rPr>
          <w:noProof/>
        </w:rPr>
        <w:t>___________________________________________________________________________</w:t>
      </w:r>
    </w:p>
    <w:p w:rsidR="000C73A0" w:rsidRDefault="00BA3809">
      <w:pPr>
        <w:jc w:val="left"/>
        <w:rPr>
          <w:noProof/>
          <w:szCs w:val="18"/>
        </w:rPr>
      </w:pPr>
      <w:r>
        <w:rPr>
          <w:noProof/>
        </w:rPr>
        <w:t>___________________________________________________________________________</w:t>
      </w:r>
    </w:p>
    <w:p w:rsidR="000C73A0" w:rsidRDefault="00BA3809">
      <w:pPr>
        <w:jc w:val="left"/>
        <w:rPr>
          <w:noProof/>
          <w:szCs w:val="18"/>
        </w:rPr>
      </w:pPr>
      <w:r>
        <w:rPr>
          <w:noProof/>
        </w:rPr>
        <w:t>___________________________________________________________________________</w:t>
      </w:r>
    </w:p>
    <w:p w:rsidR="000C73A0" w:rsidRDefault="00BA3809">
      <w:pPr>
        <w:pStyle w:val="Heading1"/>
        <w:rPr>
          <w:noProof/>
        </w:rPr>
      </w:pPr>
      <w:r>
        <w:rPr>
          <w:noProof/>
        </w:rPr>
        <w:t>Altele</w:t>
      </w:r>
    </w:p>
    <w:p w:rsidR="000C73A0" w:rsidRDefault="00BA3809">
      <w:pPr>
        <w:rPr>
          <w:b/>
          <w:noProof/>
        </w:rPr>
      </w:pPr>
      <w:r>
        <w:rPr>
          <w:noProof/>
        </w:rPr>
        <w:t>[</w:t>
      </w:r>
      <w:r>
        <w:rPr>
          <w:i/>
          <w:noProof/>
        </w:rPr>
        <w:t>a se completa</w:t>
      </w:r>
      <w:r>
        <w:rPr>
          <w:noProof/>
        </w:rPr>
        <w:t>]:</w:t>
      </w:r>
    </w:p>
    <w:p w:rsidR="000C73A0" w:rsidRDefault="00BA3809">
      <w:pPr>
        <w:ind w:right="993"/>
        <w:rPr>
          <w:noProof/>
        </w:rPr>
      </w:pPr>
      <w:r>
        <w:rPr>
          <w:b/>
          <w:noProof/>
          <w:szCs w:val="18"/>
        </w:rPr>
        <w:pict>
          <v:rect id="_x0000_i1114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  <w:szCs w:val="18"/>
        </w:rPr>
        <w:pict>
          <v:rect id="_x0000_i1115" style="width:0;height:1.5pt" o:hralign="center" o:hrstd="t" o:hr="t" fillcolor="#a0a0a0" stroked="f"/>
        </w:pict>
      </w:r>
    </w:p>
    <w:p w:rsidR="000C73A0" w:rsidRDefault="00BA3809">
      <w:pPr>
        <w:ind w:right="993"/>
        <w:rPr>
          <w:noProof/>
        </w:rPr>
      </w:pPr>
      <w:r>
        <w:rPr>
          <w:noProof/>
          <w:szCs w:val="18"/>
        </w:rPr>
        <w:pict>
          <v:rect id="_x0000_i1116" style="width:0;height:1.5pt" o:hralign="center" o:hrstd="t" o:hr="t" fillcolor="#a0a0a0" stroked="f"/>
        </w:pict>
      </w:r>
      <w:r>
        <w:rPr>
          <w:b/>
          <w:noProof/>
          <w:szCs w:val="18"/>
        </w:rPr>
        <w:pict>
          <v:rect id="_x0000_i1117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  <w:szCs w:val="18"/>
        </w:rPr>
        <w:pict>
          <v:rect id="_x0000_i1118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119" style="width:0;height:1.5pt" o:hralign="center" o:hrstd="t" o:hr="t" fillcolor="#a0a0a0" stroked="f"/>
        </w:pict>
      </w:r>
    </w:p>
    <w:p w:rsidR="000C73A0" w:rsidRDefault="00BA3809">
      <w:pPr>
        <w:ind w:right="993"/>
        <w:rPr>
          <w:noProof/>
        </w:rPr>
      </w:pPr>
      <w:r>
        <w:rPr>
          <w:b/>
          <w:noProof/>
          <w:szCs w:val="18"/>
        </w:rPr>
        <w:pict>
          <v:rect id="_x0000_i1120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  <w:szCs w:val="18"/>
        </w:rPr>
        <w:pict>
          <v:rect id="_x0000_i1121" style="width:0;height:1.5pt" o:hralign="center" o:hrstd="t" o:hr="t" fillcolor="#a0a0a0" stroked="f"/>
        </w:pict>
      </w:r>
    </w:p>
    <w:p w:rsidR="000C73A0" w:rsidRDefault="00BA3809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122" style="width:0;height:1.5pt" o:hralign="center" o:hrstd="t" o:hr="t" fillcolor="#a0a0a0" stroked="f"/>
        </w:pict>
      </w:r>
    </w:p>
    <w:p w:rsidR="000C73A0" w:rsidRDefault="000C73A0">
      <w:pPr>
        <w:pStyle w:val="ListParagraph"/>
        <w:spacing w:before="150" w:after="150"/>
        <w:ind w:left="0" w:right="975"/>
        <w:rPr>
          <w:noProof/>
          <w:szCs w:val="18"/>
        </w:rPr>
      </w:pPr>
    </w:p>
    <w:p w:rsidR="000C73A0" w:rsidRDefault="00BA3809">
      <w:pPr>
        <w:rPr>
          <w:b/>
          <w:noProof/>
        </w:rPr>
      </w:pPr>
      <w:r>
        <w:rPr>
          <w:b/>
          <w:noProof/>
        </w:rPr>
        <w:t>Data:</w:t>
      </w:r>
    </w:p>
    <w:p w:rsidR="000C73A0" w:rsidRDefault="000C73A0">
      <w:pPr>
        <w:rPr>
          <w:b/>
          <w:noProof/>
        </w:rPr>
      </w:pPr>
    </w:p>
    <w:p w:rsidR="000C73A0" w:rsidRDefault="00BA3809">
      <w:pPr>
        <w:rPr>
          <w:noProof/>
          <w:szCs w:val="18"/>
        </w:rPr>
      </w:pPr>
      <w:r>
        <w:rPr>
          <w:b/>
          <w:noProof/>
        </w:rPr>
        <w:t>Semnătura reprezentanților autorităților competente ale statelor membre:</w:t>
      </w:r>
    </w:p>
    <w:p w:rsidR="000C73A0" w:rsidRDefault="000C73A0">
      <w:pPr>
        <w:rPr>
          <w:noProof/>
        </w:rPr>
      </w:pPr>
    </w:p>
    <w:p w:rsidR="000C73A0" w:rsidRPr="00BA3809" w:rsidRDefault="00BA3809">
      <w:pPr>
        <w:rPr>
          <w:noProof/>
        </w:rPr>
      </w:pPr>
      <w:r>
        <w:rPr>
          <w:noProof/>
        </w:rPr>
        <w:t>______________________________                  ___________________________</w:t>
      </w:r>
    </w:p>
    <w:sectPr w:rsidR="000C73A0" w:rsidRPr="00BA3809" w:rsidSect="00BA3809">
      <w:footerReference w:type="default" r:id="rId19"/>
      <w:footerReference w:type="first" r:id="rId20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3A0" w:rsidRDefault="00BA3809">
      <w:pPr>
        <w:spacing w:before="0" w:after="0"/>
      </w:pPr>
      <w:r>
        <w:separator/>
      </w:r>
    </w:p>
  </w:endnote>
  <w:endnote w:type="continuationSeparator" w:id="0">
    <w:p w:rsidR="000C73A0" w:rsidRDefault="00BA38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09" w:rsidRPr="00BA3809" w:rsidRDefault="00BA3809" w:rsidP="00BA38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3A0" w:rsidRPr="00BA3809" w:rsidRDefault="00BA3809" w:rsidP="00BA3809">
    <w:pPr>
      <w:pStyle w:val="Footer"/>
      <w:rPr>
        <w:rFonts w:ascii="Arial" w:hAnsi="Arial" w:cs="Arial"/>
        <w:b/>
        <w:sz w:val="48"/>
      </w:rPr>
    </w:pPr>
    <w:r w:rsidRPr="00BA3809">
      <w:rPr>
        <w:rFonts w:ascii="Arial" w:hAnsi="Arial" w:cs="Arial"/>
        <w:b/>
        <w:sz w:val="48"/>
      </w:rPr>
      <w:t>RO</w:t>
    </w:r>
    <w:r w:rsidRPr="00BA3809">
      <w:rPr>
        <w:rFonts w:ascii="Arial" w:hAnsi="Arial" w:cs="Arial"/>
        <w:b/>
        <w:sz w:val="48"/>
      </w:rPr>
      <w:tab/>
    </w:r>
    <w:r w:rsidRPr="00BA3809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BA3809">
      <w:tab/>
    </w:r>
    <w:proofErr w:type="spellStart"/>
    <w:r w:rsidRPr="00BA3809">
      <w:rPr>
        <w:rFonts w:ascii="Arial" w:hAnsi="Arial" w:cs="Arial"/>
        <w:b/>
        <w:sz w:val="48"/>
      </w:rPr>
      <w:t>RO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09" w:rsidRPr="00BA3809" w:rsidRDefault="00BA3809" w:rsidP="00BA380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09" w:rsidRPr="00BA3809" w:rsidRDefault="00BA3809" w:rsidP="00BA3809">
    <w:pPr>
      <w:pStyle w:val="Footer"/>
      <w:rPr>
        <w:rFonts w:ascii="Arial" w:hAnsi="Arial" w:cs="Arial"/>
        <w:b/>
        <w:sz w:val="48"/>
      </w:rPr>
    </w:pPr>
    <w:r w:rsidRPr="00BA3809">
      <w:rPr>
        <w:rFonts w:ascii="Arial" w:hAnsi="Arial" w:cs="Arial"/>
        <w:b/>
        <w:sz w:val="48"/>
      </w:rPr>
      <w:t>RO</w:t>
    </w:r>
    <w:r w:rsidRPr="00BA3809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BA3809">
      <w:tab/>
    </w:r>
    <w:r w:rsidRPr="00BA3809">
      <w:rPr>
        <w:rFonts w:ascii="Arial" w:hAnsi="Arial" w:cs="Arial"/>
        <w:b/>
        <w:sz w:val="48"/>
      </w:rPr>
      <w:t>RO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09" w:rsidRPr="00BA3809" w:rsidRDefault="00BA3809" w:rsidP="00BA38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3A0" w:rsidRDefault="00BA3809">
      <w:pPr>
        <w:spacing w:before="0" w:after="0"/>
      </w:pPr>
      <w:r>
        <w:separator/>
      </w:r>
    </w:p>
  </w:footnote>
  <w:footnote w:type="continuationSeparator" w:id="0">
    <w:p w:rsidR="000C73A0" w:rsidRDefault="00BA380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09" w:rsidRPr="00BA3809" w:rsidRDefault="00BA3809" w:rsidP="00BA38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09" w:rsidRPr="00BA3809" w:rsidRDefault="00BA3809" w:rsidP="00BA38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09" w:rsidRPr="00BA3809" w:rsidRDefault="00BA3809" w:rsidP="00BA38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F8625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BF659E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6D659F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F90F5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D22E4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D128E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9E0CB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8347D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50320E5"/>
    <w:multiLevelType w:val="hybridMultilevel"/>
    <w:tmpl w:val="72F4533A"/>
    <w:lvl w:ilvl="0" w:tplc="6D50ED16">
      <w:start w:val="1"/>
      <w:numFmt w:val="decimal"/>
      <w:pStyle w:val="Style2"/>
      <w:lvlText w:val="%1."/>
      <w:lvlJc w:val="left"/>
      <w:pPr>
        <w:ind w:left="1080" w:hanging="360"/>
      </w:pPr>
      <w:rPr>
        <w:rFonts w:hint="default"/>
      </w:rPr>
    </w:lvl>
    <w:lvl w:ilvl="1" w:tplc="2DCA1808">
      <w:start w:val="1"/>
      <w:numFmt w:val="lowerLetter"/>
      <w:lvlText w:val="(%2)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 w:tplc="7D548FE2">
      <w:start w:val="1"/>
      <w:numFmt w:val="bullet"/>
      <w:lvlText w:val="-"/>
      <w:lvlJc w:val="left"/>
      <w:pPr>
        <w:ind w:left="2776" w:hanging="360"/>
      </w:pPr>
      <w:rPr>
        <w:rFonts w:ascii="Times New Roman" w:eastAsia="Times New Roman" w:hAnsi="Times New Roman" w:cs="Times New Roman" w:hint="default"/>
        <w:sz w:val="24"/>
      </w:rPr>
    </w:lvl>
    <w:lvl w:ilvl="3" w:tplc="2190EC54">
      <w:start w:val="3"/>
      <w:numFmt w:val="decimal"/>
      <w:lvlText w:val="(%4)"/>
      <w:lvlJc w:val="left"/>
      <w:pPr>
        <w:ind w:left="3316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4036" w:hanging="360"/>
      </w:pPr>
    </w:lvl>
    <w:lvl w:ilvl="5" w:tplc="0809001B" w:tentative="1">
      <w:start w:val="1"/>
      <w:numFmt w:val="lowerRoman"/>
      <w:lvlText w:val="%6."/>
      <w:lvlJc w:val="right"/>
      <w:pPr>
        <w:ind w:left="4756" w:hanging="180"/>
      </w:pPr>
    </w:lvl>
    <w:lvl w:ilvl="6" w:tplc="0809000F" w:tentative="1">
      <w:start w:val="1"/>
      <w:numFmt w:val="decimal"/>
      <w:lvlText w:val="%7."/>
      <w:lvlJc w:val="left"/>
      <w:pPr>
        <w:ind w:left="5476" w:hanging="360"/>
      </w:pPr>
    </w:lvl>
    <w:lvl w:ilvl="7" w:tplc="08090019" w:tentative="1">
      <w:start w:val="1"/>
      <w:numFmt w:val="lowerLetter"/>
      <w:lvlText w:val="%8."/>
      <w:lvlJc w:val="left"/>
      <w:pPr>
        <w:ind w:left="6196" w:hanging="360"/>
      </w:pPr>
    </w:lvl>
    <w:lvl w:ilvl="8" w:tplc="08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489D74ED"/>
    <w:multiLevelType w:val="singleLevel"/>
    <w:tmpl w:val="C2E2F936"/>
    <w:lvl w:ilvl="0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7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>
    <w:nsid w:val="596D67A1"/>
    <w:multiLevelType w:val="singleLevel"/>
    <w:tmpl w:val="9AC8831A"/>
    <w:name w:val="List Dash 2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9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4">
    <w:nsid w:val="748F59BA"/>
    <w:multiLevelType w:val="hybridMultilevel"/>
    <w:tmpl w:val="41CEFFB6"/>
    <w:lvl w:ilvl="0" w:tplc="83BC382C">
      <w:start w:val="1"/>
      <w:numFmt w:val="upperRoman"/>
      <w:pStyle w:val="Style1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8"/>
  </w:num>
  <w:num w:numId="6">
    <w:abstractNumId w:val="16"/>
  </w:num>
  <w:num w:numId="7">
    <w:abstractNumId w:val="24"/>
  </w:num>
  <w:num w:numId="8">
    <w:abstractNumId w:val="10"/>
    <w:lvlOverride w:ilvl="0">
      <w:lvl w:ilvl="0" w:tplc="6D50ED16">
        <w:start w:val="1"/>
        <w:numFmt w:val="decimal"/>
        <w:pStyle w:val="Style2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 w:tplc="2DCA180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D548FE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190EC5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3"/>
  </w:num>
  <w:num w:numId="16">
    <w:abstractNumId w:val="23"/>
  </w:num>
  <w:num w:numId="17">
    <w:abstractNumId w:val="12"/>
  </w:num>
  <w:num w:numId="18">
    <w:abstractNumId w:val="14"/>
  </w:num>
  <w:num w:numId="19">
    <w:abstractNumId w:val="9"/>
  </w:num>
  <w:num w:numId="20">
    <w:abstractNumId w:val="22"/>
  </w:num>
  <w:num w:numId="21">
    <w:abstractNumId w:val="8"/>
  </w:num>
  <w:num w:numId="22">
    <w:abstractNumId w:val="15"/>
  </w:num>
  <w:num w:numId="23">
    <w:abstractNumId w:val="19"/>
  </w:num>
  <w:num w:numId="24">
    <w:abstractNumId w:val="20"/>
  </w:num>
  <w:num w:numId="25">
    <w:abstractNumId w:val="11"/>
  </w:num>
  <w:num w:numId="26">
    <w:abstractNumId w:val="17"/>
  </w:num>
  <w:num w:numId="27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11-07 17:02:5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4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8"/>
    <w:docVar w:name="DQCResult_UnknownFonts" w:val="0;0"/>
    <w:docVar w:name="DQCResult_UnknownStyles" w:val="0;121"/>
    <w:docVar w:name="DQCStatus" w:val="Yellow"/>
    <w:docVar w:name="DQCVersion" w:val="3"/>
    <w:docVar w:name="DQCWithWarnings" w:val="0"/>
    <w:docVar w:name="LW_ACCOMPAGNANT.CP" w:val="la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716713AB440D4BF0B2F0DD8C35E02989"/>
    <w:docVar w:name="LW_CROSSREFERENCE" w:val="{SWD(2016) 343 final}_x000b_{SWD(2016) 344 final}"/>
    <w:docVar w:name="LW_DocType" w:val="ANNEX"/>
    <w:docVar w:name="LW_EMISSION" w:val="25.10.2016"/>
    <w:docVar w:name="LW_EMISSION_ISODATE" w:val="2016-10-25"/>
    <w:docVar w:name="LW_EMISSION_LOCATION" w:val="STR"/>
    <w:docVar w:name="LW_EMISSION_PREFIX" w:val="Strasbourg, "/>
    <w:docVar w:name="LW_EMISSION_SUFFIX" w:val=" "/>
    <w:docVar w:name="LW_ID_DOCSTRUCTURE" w:val="COM/ANNEX"/>
    <w:docVar w:name="LW_ID_DOCTYPE" w:val="SG-017"/>
    <w:docVar w:name="LW_LANGUE" w:val="RO"/>
    <w:docVar w:name="LW_MARKING" w:val="&lt;UNUSED&gt;"/>
    <w:docVar w:name="LW_NOM.INST" w:val="COMISIA EUROPEAN\u258?"/>
    <w:docVar w:name="LW_NOM.INST_JOINTDOC" w:val="&lt;EMPTY&gt;"/>
    <w:docVar w:name="LW_OBJETACTEPRINCIPAL.CP" w:val="privind mecanismele de solu\u539?ionare a litigiilor legate de dubla impunere în Uniunea European\u259?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6) 686"/>
    <w:docVar w:name="LW_REF.INTERNE" w:val="&lt;UNUSED&gt;"/>
    <w:docVar w:name="LW_SUPERTITRE" w:val="&lt;UNUSED&gt;"/>
    <w:docVar w:name="LW_TITRE.OBJ.CP" w:val="&lt;UNUSED&gt;"/>
    <w:docVar w:name="LW_TYPE.DOC.CP" w:val="ANEXE"/>
    <w:docVar w:name="LW_TYPEACTEPRINCIPAL.CP" w:val="Propunerea de DIRECTIV\u258? A CONSILIULUI "/>
  </w:docVars>
  <w:rsids>
    <w:rsidRoot w:val="000C73A0"/>
    <w:rsid w:val="000C73A0"/>
    <w:rsid w:val="00BA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ro-RO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ListDash2">
    <w:name w:val="List Dash 2"/>
    <w:basedOn w:val="Normal"/>
    <w:pPr>
      <w:numPr>
        <w:numId w:val="5"/>
      </w:numPr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Times New Roman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ro-RO"/>
    </w:rPr>
  </w:style>
  <w:style w:type="paragraph" w:customStyle="1" w:styleId="Style1">
    <w:name w:val="Style1"/>
    <w:basedOn w:val="ListParagraph"/>
    <w:qFormat/>
    <w:pPr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50" w:after="150"/>
      <w:ind w:left="567" w:right="975" w:hanging="567"/>
    </w:pPr>
    <w:rPr>
      <w:b/>
      <w:smallCaps/>
      <w:szCs w:val="18"/>
    </w:rPr>
  </w:style>
  <w:style w:type="paragraph" w:customStyle="1" w:styleId="Style2">
    <w:name w:val="Style2"/>
    <w:basedOn w:val="ListParagraph"/>
    <w:pPr>
      <w:numPr>
        <w:numId w:val="8"/>
      </w:numPr>
      <w:spacing w:before="150" w:after="150"/>
      <w:ind w:right="975" w:hanging="720"/>
    </w:pPr>
    <w:rPr>
      <w:b/>
      <w:noProof/>
    </w:rPr>
  </w:style>
  <w:style w:type="paragraph" w:customStyle="1" w:styleId="TableGridHeading1">
    <w:name w:val="Table Grid + Heading 1"/>
    <w:basedOn w:val="Normal"/>
    <w:pPr>
      <w:spacing w:before="150" w:after="150"/>
      <w:ind w:right="975"/>
    </w:pPr>
    <w:rPr>
      <w:szCs w:val="18"/>
    </w:rPr>
  </w:style>
  <w:style w:type="paragraph" w:customStyle="1" w:styleId="Heading10">
    <w:name w:val="Heading1"/>
    <w:basedOn w:val="Style1"/>
    <w:pPr>
      <w:ind w:left="1080" w:hanging="720"/>
    </w:pPr>
  </w:style>
  <w:style w:type="paragraph" w:customStyle="1" w:styleId="Heading20">
    <w:name w:val="Heading2"/>
    <w:basedOn w:val="Style2"/>
  </w:style>
  <w:style w:type="paragraph" w:styleId="Header">
    <w:name w:val="header"/>
    <w:basedOn w:val="Normal"/>
    <w:link w:val="HeaderChar"/>
    <w:uiPriority w:val="99"/>
    <w:unhideWhenUsed/>
    <w:rsid w:val="00BA3809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A380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BA3809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4"/>
      </w:numPr>
    </w:pPr>
  </w:style>
  <w:style w:type="paragraph" w:customStyle="1" w:styleId="Tiret1">
    <w:name w:val="Tiret 1"/>
    <w:basedOn w:val="Point1"/>
    <w:pPr>
      <w:numPr>
        <w:numId w:val="15"/>
      </w:numPr>
    </w:pPr>
  </w:style>
  <w:style w:type="paragraph" w:customStyle="1" w:styleId="Tiret2">
    <w:name w:val="Tiret 2"/>
    <w:basedOn w:val="Point2"/>
    <w:pPr>
      <w:numPr>
        <w:numId w:val="16"/>
      </w:numPr>
    </w:pPr>
  </w:style>
  <w:style w:type="paragraph" w:customStyle="1" w:styleId="Tiret3">
    <w:name w:val="Tiret 3"/>
    <w:basedOn w:val="Point3"/>
    <w:pPr>
      <w:numPr>
        <w:numId w:val="17"/>
      </w:numPr>
    </w:pPr>
  </w:style>
  <w:style w:type="paragraph" w:customStyle="1" w:styleId="Tiret4">
    <w:name w:val="Tiret 4"/>
    <w:basedOn w:val="Point4"/>
    <w:pPr>
      <w:numPr>
        <w:numId w:val="1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1"/>
      </w:numPr>
    </w:pPr>
  </w:style>
  <w:style w:type="paragraph" w:customStyle="1" w:styleId="Point1number">
    <w:name w:val="Point 1 (number)"/>
    <w:basedOn w:val="Normal"/>
    <w:pPr>
      <w:numPr>
        <w:ilvl w:val="2"/>
        <w:numId w:val="21"/>
      </w:numPr>
    </w:pPr>
  </w:style>
  <w:style w:type="paragraph" w:customStyle="1" w:styleId="Point2number">
    <w:name w:val="Point 2 (number)"/>
    <w:basedOn w:val="Normal"/>
    <w:pPr>
      <w:numPr>
        <w:ilvl w:val="4"/>
        <w:numId w:val="21"/>
      </w:numPr>
    </w:pPr>
  </w:style>
  <w:style w:type="paragraph" w:customStyle="1" w:styleId="Point3number">
    <w:name w:val="Point 3 (number)"/>
    <w:basedOn w:val="Normal"/>
    <w:pPr>
      <w:numPr>
        <w:ilvl w:val="6"/>
        <w:numId w:val="21"/>
      </w:numPr>
    </w:pPr>
  </w:style>
  <w:style w:type="paragraph" w:customStyle="1" w:styleId="Point0letter">
    <w:name w:val="Point 0 (letter)"/>
    <w:basedOn w:val="Normal"/>
    <w:pPr>
      <w:numPr>
        <w:ilvl w:val="1"/>
        <w:numId w:val="21"/>
      </w:numPr>
    </w:pPr>
  </w:style>
  <w:style w:type="paragraph" w:customStyle="1" w:styleId="Point1letter">
    <w:name w:val="Point 1 (letter)"/>
    <w:basedOn w:val="Normal"/>
    <w:pPr>
      <w:numPr>
        <w:ilvl w:val="3"/>
        <w:numId w:val="21"/>
      </w:numPr>
    </w:pPr>
  </w:style>
  <w:style w:type="paragraph" w:customStyle="1" w:styleId="Point2letter">
    <w:name w:val="Point 2 (letter)"/>
    <w:basedOn w:val="Normal"/>
    <w:pPr>
      <w:numPr>
        <w:ilvl w:val="5"/>
        <w:numId w:val="21"/>
      </w:numPr>
    </w:pPr>
  </w:style>
  <w:style w:type="paragraph" w:customStyle="1" w:styleId="Point3letter">
    <w:name w:val="Point 3 (letter)"/>
    <w:basedOn w:val="Normal"/>
    <w:pPr>
      <w:numPr>
        <w:ilvl w:val="7"/>
        <w:numId w:val="21"/>
      </w:numPr>
    </w:pPr>
  </w:style>
  <w:style w:type="paragraph" w:customStyle="1" w:styleId="Point4letter">
    <w:name w:val="Point 4 (letter)"/>
    <w:basedOn w:val="Normal"/>
    <w:pPr>
      <w:numPr>
        <w:ilvl w:val="8"/>
        <w:numId w:val="21"/>
      </w:numPr>
    </w:pPr>
  </w:style>
  <w:style w:type="paragraph" w:customStyle="1" w:styleId="Bullet0">
    <w:name w:val="Bullet 0"/>
    <w:basedOn w:val="Normal"/>
    <w:pPr>
      <w:numPr>
        <w:numId w:val="22"/>
      </w:numPr>
    </w:pPr>
  </w:style>
  <w:style w:type="paragraph" w:customStyle="1" w:styleId="Bullet1">
    <w:name w:val="Bullet 1"/>
    <w:basedOn w:val="Normal"/>
    <w:pPr>
      <w:numPr>
        <w:numId w:val="23"/>
      </w:numPr>
    </w:pPr>
  </w:style>
  <w:style w:type="paragraph" w:customStyle="1" w:styleId="Bullet2">
    <w:name w:val="Bullet 2"/>
    <w:basedOn w:val="Normal"/>
    <w:pPr>
      <w:numPr>
        <w:numId w:val="24"/>
      </w:numPr>
    </w:pPr>
  </w:style>
  <w:style w:type="paragraph" w:customStyle="1" w:styleId="Bullet3">
    <w:name w:val="Bullet 3"/>
    <w:basedOn w:val="Normal"/>
    <w:pPr>
      <w:numPr>
        <w:numId w:val="25"/>
      </w:numPr>
    </w:pPr>
  </w:style>
  <w:style w:type="paragraph" w:customStyle="1" w:styleId="Bullet4">
    <w:name w:val="Bullet 4"/>
    <w:basedOn w:val="Normal"/>
    <w:pPr>
      <w:numPr>
        <w:numId w:val="26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ro-RO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ListDash2">
    <w:name w:val="List Dash 2"/>
    <w:basedOn w:val="Normal"/>
    <w:pPr>
      <w:numPr>
        <w:numId w:val="5"/>
      </w:numPr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Times New Roman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ro-RO"/>
    </w:rPr>
  </w:style>
  <w:style w:type="paragraph" w:customStyle="1" w:styleId="Style1">
    <w:name w:val="Style1"/>
    <w:basedOn w:val="ListParagraph"/>
    <w:qFormat/>
    <w:pPr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50" w:after="150"/>
      <w:ind w:left="567" w:right="975" w:hanging="567"/>
    </w:pPr>
    <w:rPr>
      <w:b/>
      <w:smallCaps/>
      <w:szCs w:val="18"/>
    </w:rPr>
  </w:style>
  <w:style w:type="paragraph" w:customStyle="1" w:styleId="Style2">
    <w:name w:val="Style2"/>
    <w:basedOn w:val="ListParagraph"/>
    <w:pPr>
      <w:numPr>
        <w:numId w:val="8"/>
      </w:numPr>
      <w:spacing w:before="150" w:after="150"/>
      <w:ind w:right="975" w:hanging="720"/>
    </w:pPr>
    <w:rPr>
      <w:b/>
      <w:noProof/>
    </w:rPr>
  </w:style>
  <w:style w:type="paragraph" w:customStyle="1" w:styleId="TableGridHeading1">
    <w:name w:val="Table Grid + Heading 1"/>
    <w:basedOn w:val="Normal"/>
    <w:pPr>
      <w:spacing w:before="150" w:after="150"/>
      <w:ind w:right="975"/>
    </w:pPr>
    <w:rPr>
      <w:szCs w:val="18"/>
    </w:rPr>
  </w:style>
  <w:style w:type="paragraph" w:customStyle="1" w:styleId="Heading10">
    <w:name w:val="Heading1"/>
    <w:basedOn w:val="Style1"/>
    <w:pPr>
      <w:ind w:left="1080" w:hanging="720"/>
    </w:pPr>
  </w:style>
  <w:style w:type="paragraph" w:customStyle="1" w:styleId="Heading20">
    <w:name w:val="Heading2"/>
    <w:basedOn w:val="Style2"/>
  </w:style>
  <w:style w:type="paragraph" w:styleId="Header">
    <w:name w:val="header"/>
    <w:basedOn w:val="Normal"/>
    <w:link w:val="HeaderChar"/>
    <w:uiPriority w:val="99"/>
    <w:unhideWhenUsed/>
    <w:rsid w:val="00BA3809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A380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BA3809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4"/>
      </w:numPr>
    </w:pPr>
  </w:style>
  <w:style w:type="paragraph" w:customStyle="1" w:styleId="Tiret1">
    <w:name w:val="Tiret 1"/>
    <w:basedOn w:val="Point1"/>
    <w:pPr>
      <w:numPr>
        <w:numId w:val="15"/>
      </w:numPr>
    </w:pPr>
  </w:style>
  <w:style w:type="paragraph" w:customStyle="1" w:styleId="Tiret2">
    <w:name w:val="Tiret 2"/>
    <w:basedOn w:val="Point2"/>
    <w:pPr>
      <w:numPr>
        <w:numId w:val="16"/>
      </w:numPr>
    </w:pPr>
  </w:style>
  <w:style w:type="paragraph" w:customStyle="1" w:styleId="Tiret3">
    <w:name w:val="Tiret 3"/>
    <w:basedOn w:val="Point3"/>
    <w:pPr>
      <w:numPr>
        <w:numId w:val="17"/>
      </w:numPr>
    </w:pPr>
  </w:style>
  <w:style w:type="paragraph" w:customStyle="1" w:styleId="Tiret4">
    <w:name w:val="Tiret 4"/>
    <w:basedOn w:val="Point4"/>
    <w:pPr>
      <w:numPr>
        <w:numId w:val="1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1"/>
      </w:numPr>
    </w:pPr>
  </w:style>
  <w:style w:type="paragraph" w:customStyle="1" w:styleId="Point1number">
    <w:name w:val="Point 1 (number)"/>
    <w:basedOn w:val="Normal"/>
    <w:pPr>
      <w:numPr>
        <w:ilvl w:val="2"/>
        <w:numId w:val="21"/>
      </w:numPr>
    </w:pPr>
  </w:style>
  <w:style w:type="paragraph" w:customStyle="1" w:styleId="Point2number">
    <w:name w:val="Point 2 (number)"/>
    <w:basedOn w:val="Normal"/>
    <w:pPr>
      <w:numPr>
        <w:ilvl w:val="4"/>
        <w:numId w:val="21"/>
      </w:numPr>
    </w:pPr>
  </w:style>
  <w:style w:type="paragraph" w:customStyle="1" w:styleId="Point3number">
    <w:name w:val="Point 3 (number)"/>
    <w:basedOn w:val="Normal"/>
    <w:pPr>
      <w:numPr>
        <w:ilvl w:val="6"/>
        <w:numId w:val="21"/>
      </w:numPr>
    </w:pPr>
  </w:style>
  <w:style w:type="paragraph" w:customStyle="1" w:styleId="Point0letter">
    <w:name w:val="Point 0 (letter)"/>
    <w:basedOn w:val="Normal"/>
    <w:pPr>
      <w:numPr>
        <w:ilvl w:val="1"/>
        <w:numId w:val="21"/>
      </w:numPr>
    </w:pPr>
  </w:style>
  <w:style w:type="paragraph" w:customStyle="1" w:styleId="Point1letter">
    <w:name w:val="Point 1 (letter)"/>
    <w:basedOn w:val="Normal"/>
    <w:pPr>
      <w:numPr>
        <w:ilvl w:val="3"/>
        <w:numId w:val="21"/>
      </w:numPr>
    </w:pPr>
  </w:style>
  <w:style w:type="paragraph" w:customStyle="1" w:styleId="Point2letter">
    <w:name w:val="Point 2 (letter)"/>
    <w:basedOn w:val="Normal"/>
    <w:pPr>
      <w:numPr>
        <w:ilvl w:val="5"/>
        <w:numId w:val="21"/>
      </w:numPr>
    </w:pPr>
  </w:style>
  <w:style w:type="paragraph" w:customStyle="1" w:styleId="Point3letter">
    <w:name w:val="Point 3 (letter)"/>
    <w:basedOn w:val="Normal"/>
    <w:pPr>
      <w:numPr>
        <w:ilvl w:val="7"/>
        <w:numId w:val="21"/>
      </w:numPr>
    </w:pPr>
  </w:style>
  <w:style w:type="paragraph" w:customStyle="1" w:styleId="Point4letter">
    <w:name w:val="Point 4 (letter)"/>
    <w:basedOn w:val="Normal"/>
    <w:pPr>
      <w:numPr>
        <w:ilvl w:val="8"/>
        <w:numId w:val="21"/>
      </w:numPr>
    </w:pPr>
  </w:style>
  <w:style w:type="paragraph" w:customStyle="1" w:styleId="Bullet0">
    <w:name w:val="Bullet 0"/>
    <w:basedOn w:val="Normal"/>
    <w:pPr>
      <w:numPr>
        <w:numId w:val="22"/>
      </w:numPr>
    </w:pPr>
  </w:style>
  <w:style w:type="paragraph" w:customStyle="1" w:styleId="Bullet1">
    <w:name w:val="Bullet 1"/>
    <w:basedOn w:val="Normal"/>
    <w:pPr>
      <w:numPr>
        <w:numId w:val="23"/>
      </w:numPr>
    </w:pPr>
  </w:style>
  <w:style w:type="paragraph" w:customStyle="1" w:styleId="Bullet2">
    <w:name w:val="Bullet 2"/>
    <w:basedOn w:val="Normal"/>
    <w:pPr>
      <w:numPr>
        <w:numId w:val="24"/>
      </w:numPr>
    </w:pPr>
  </w:style>
  <w:style w:type="paragraph" w:customStyle="1" w:styleId="Bullet3">
    <w:name w:val="Bullet 3"/>
    <w:basedOn w:val="Normal"/>
    <w:pPr>
      <w:numPr>
        <w:numId w:val="25"/>
      </w:numPr>
    </w:pPr>
  </w:style>
  <w:style w:type="paragraph" w:customStyle="1" w:styleId="Bullet4">
    <w:name w:val="Bullet 4"/>
    <w:basedOn w:val="Normal"/>
    <w:pPr>
      <w:numPr>
        <w:numId w:val="26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2034c5a8-16c9-4395-aa5f-bdb6e7f52619" xsi:nil="true"/>
    <EC_Collab_DocumentLanguage xmlns="2034c5a8-16c9-4395-aa5f-bdb6e7f52619">EN</EC_Collab_DocumentLanguage>
    <EC_Collab_Status xmlns="2034c5a8-16c9-4395-aa5f-bdb6e7f52619">Not Started</EC_Collab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9A4D38037E8E064B9AB4DD92FD798682" ma:contentTypeVersion="1" ma:contentTypeDescription="Create a new document in this library." ma:contentTypeScope="" ma:versionID="26f6938dd2f9ef8cff9d10d04eaa8746">
  <xsd:schema xmlns:xsd="http://www.w3.org/2001/XMLSchema" xmlns:xs="http://www.w3.org/2001/XMLSchema" xmlns:p="http://schemas.microsoft.com/office/2006/metadata/properties" xmlns:ns3="2034c5a8-16c9-4395-aa5f-bdb6e7f52619" targetNamespace="http://schemas.microsoft.com/office/2006/metadata/properties" ma:root="true" ma:fieldsID="0c6857498ea97d15e40cdc43dd99db40" ns3:_="">
    <xsd:import namespace="2034c5a8-16c9-4395-aa5f-bdb6e7f52619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c5a8-16c9-4395-aa5f-bdb6e7f52619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8E0F-893F-453C-A50A-0315871D3379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2034c5a8-16c9-4395-aa5f-bdb6e7f52619"/>
  </ds:schemaRefs>
</ds:datastoreItem>
</file>

<file path=customXml/itemProps2.xml><?xml version="1.0" encoding="utf-8"?>
<ds:datastoreItem xmlns:ds="http://schemas.openxmlformats.org/officeDocument/2006/customXml" ds:itemID="{6EF121D3-77D1-472D-AD64-27EEF1A31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7C345-CA55-41A4-A1D4-3DCCDF878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4c5a8-16c9-4395-aa5f-bdb6e7f52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3987D9-659A-4851-A869-87417F90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11</Pages>
  <Words>1267</Words>
  <Characters>10897</Characters>
  <Application>Microsoft Office Word</Application>
  <DocSecurity>0</DocSecurity>
  <Lines>419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Stefanie Heilemann</cp:lastModifiedBy>
  <cp:revision>9</cp:revision>
  <cp:lastPrinted>2016-10-05T13:53:00Z</cp:lastPrinted>
  <dcterms:created xsi:type="dcterms:W3CDTF">2016-11-04T13:26:00Z</dcterms:created>
  <dcterms:modified xsi:type="dcterms:W3CDTF">2016-11-07T16:32:00Z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2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ContentTypeId">
    <vt:lpwstr>0x010100258AA79CEB83498886A3A08681123250009A4D38037E8E064B9AB4DD92FD798682</vt:lpwstr>
  </property>
  <property fmtid="{D5CDD505-2E9C-101B-9397-08002B2CF9AE}" pid="13" name="DQCStatus">
    <vt:lpwstr>Yellow (DQC version 03)</vt:lpwstr>
  </property>
</Properties>
</file>