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BD049F9DF244D87B9A3F5EA2D07C642" style="width:450.7pt;height:409.1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1.</w:t>
      </w:r>
      <w:r>
        <w:rPr>
          <w:noProof/>
        </w:rPr>
        <w:tab/>
        <w:t>BAKGRUND TILL FÖRSLAGET</w:t>
      </w:r>
    </w:p>
    <w:p>
      <w:pPr>
        <w:pStyle w:val="Text1"/>
        <w:rPr>
          <w:noProof/>
        </w:rPr>
      </w:pPr>
    </w:p>
    <w:p>
      <w:pPr>
        <w:pStyle w:val="ManualHeading2"/>
        <w:rPr>
          <w:rFonts w:eastAsia="Arial Unicode MS"/>
          <w:noProof/>
          <w:u w:color="000000"/>
          <w:bdr w:val="nil"/>
        </w:rPr>
      </w:pPr>
      <w:r>
        <w:rPr>
          <w:noProof/>
        </w:rPr>
        <w:t>Syftet med förslaget</w:t>
      </w:r>
    </w:p>
    <w:p>
      <w:pPr>
        <w:widowControl w:val="0"/>
        <w:shd w:val="clear" w:color="auto" w:fill="FFFFFF"/>
        <w:autoSpaceDE w:val="0"/>
        <w:autoSpaceDN w:val="0"/>
        <w:adjustRightInd w:val="0"/>
        <w:spacing w:before="230" w:after="0" w:line="269" w:lineRule="exact"/>
        <w:ind w:right="86"/>
        <w:rPr>
          <w:noProof/>
        </w:rPr>
      </w:pPr>
      <w:r>
        <w:rPr>
          <w:noProof/>
        </w:rPr>
        <w:t xml:space="preserve">Förordning (EU) nr 1286/2014 antogs den 26 november 2014 i syfte att stärka skyddet för icke-professionella investerare som investerar i paketerade och försäkringsbaserade investeringsprodukter (nedan kallat </w:t>
      </w:r>
      <w:r>
        <w:rPr>
          <w:i/>
          <w:noProof/>
        </w:rPr>
        <w:t>Priip-produkter</w:t>
      </w:r>
      <w:r>
        <w:rPr>
          <w:noProof/>
        </w:rPr>
        <w:t xml:space="preserve">).   Den syftar också till att återupprätta konsumenternas förtroende för sektorn för finansiella tjänster efter finanskrisen. </w:t>
      </w:r>
    </w:p>
    <w:p>
      <w:pPr>
        <w:widowControl w:val="0"/>
        <w:shd w:val="clear" w:color="auto" w:fill="FFFFFF"/>
        <w:autoSpaceDE w:val="0"/>
        <w:autoSpaceDN w:val="0"/>
        <w:adjustRightInd w:val="0"/>
        <w:spacing w:before="230" w:after="0" w:line="269" w:lineRule="exact"/>
        <w:ind w:right="86"/>
        <w:rPr>
          <w:noProof/>
        </w:rPr>
      </w:pPr>
      <w:r>
        <w:rPr>
          <w:noProof/>
        </w:rPr>
        <w:t xml:space="preserve">För att uppnå dessa mål måste Priip-produktutvecklare enligt förordning (EU) 1286/2014 uppfylla ett antal enhetliga krav avseende produktinformation och ge icke-professionella investerare ett faktablad om den erbjudna Priip-produkten. Den tillhandahållna informationen ska ge icke-professionella investerare bättre kunskaper om en viss produkts ekonomiska beskaffenhet och de risker som är förknippade med den samt göra det möjligt att jämföra olika erbjudanden. Vidare kommer ökad transparens och harmonisering att gynna den inre marknaden för finansiella tjänster genom att skapa likvärdiga förutsättningar för olika produkter och distributionskanaler. </w:t>
      </w:r>
    </w:p>
    <w:p>
      <w:pPr>
        <w:rPr>
          <w:noProof/>
        </w:rPr>
      </w:pPr>
      <w:r>
        <w:rPr>
          <w:noProof/>
        </w:rPr>
        <w:t xml:space="preserve">I förordning (EU) nr 1286/2014 fastställs faktabladets form och innehåll. För att ytterligare standardisera olika delar av faktabladet och ta hänsyn till viktiga skillnader mellan de olika typerna av Priip-produkter har de europeiska tillsynsmyndigheterna (Europeiska försäkrings- och tjänstepensionsmyndigheten, Europeiska bankmyndigheten och Europeiska värdepappers- och marknadsmyndigheten) fått i uppdrag att utarbeta tekniska tillsynsstandarder för faktabladens utformning och innehåll, </w:t>
      </w:r>
      <w:r>
        <w:rPr>
          <w:noProof/>
        </w:rPr>
        <w:tab/>
        <w:t>standardformat, metoden för att presentera risk och avkastning och beräkna kostnader, villkor för översynen av uppgifterna i faktabladet och hur ofta den ska göras, samt villkor för uppfyllande av kravet att tillhandahålla icke-professionella investerare faktablad.</w:t>
      </w:r>
    </w:p>
    <w:p>
      <w:pPr>
        <w:rPr>
          <w:noProof/>
        </w:rPr>
      </w:pPr>
      <w:r>
        <w:rPr>
          <w:noProof/>
        </w:rPr>
        <w:t>Den 6 april  2016 lämnade de europeiska tillsynsmyndigheterna gemensamt in sitt förslag till tekniska tillsynsstandarder för faktabladet för Priip-produkter till kommissionen. Den 30 juni 2016 godkände kommissionen förslaget till tekniska tillsynsstandarder genom att anta en delegerad förordning om faktablad</w:t>
      </w:r>
      <w:r>
        <w:rPr>
          <w:rStyle w:val="FootnoteReference"/>
          <w:noProof/>
        </w:rPr>
        <w:footnoteReference w:id="1"/>
      </w:r>
      <w:r>
        <w:rPr>
          <w:noProof/>
        </w:rPr>
        <w:t>.</w:t>
      </w:r>
    </w:p>
    <w:p>
      <w:pPr>
        <w:rPr>
          <w:noProof/>
        </w:rPr>
      </w:pPr>
      <w:r>
        <w:rPr>
          <w:noProof/>
        </w:rPr>
        <w:t>Rådet hade inga invändningar mot kommissionens delegerade förordning under granskningsperioden. Europaparlamentet avvisade den emellertid den 14 september 2016</w:t>
      </w:r>
      <w:r>
        <w:rPr>
          <w:rStyle w:val="FootnoteReference"/>
          <w:noProof/>
        </w:rPr>
        <w:footnoteReference w:id="2"/>
      </w:r>
      <w:r>
        <w:rPr>
          <w:noProof/>
        </w:rPr>
        <w:t xml:space="preserve">. Europaparlamentet uppmanade kommissionen att se över bestämmelserna om Priip-produkter som erbjuder flera alternativ, resultatscenarier och varningar. Dessutom bad Europaparlamentet och en stor majoritet av medlemsstaterna kommissionen att senarelägga </w:t>
      </w:r>
      <w:r>
        <w:rPr>
          <w:noProof/>
        </w:rPr>
        <w:lastRenderedPageBreak/>
        <w:t>den dag då förordning (EU) nr 1286/2014 ska börja tillämpas eftersom de menade att bristen på tekniska tillsynsstandarder skulle försvåra tillämpningen av förordningen.</w:t>
      </w:r>
    </w:p>
    <w:p>
      <w:pPr>
        <w:rPr>
          <w:noProof/>
        </w:rPr>
      </w:pPr>
      <w:r>
        <w:rPr>
          <w:noProof/>
        </w:rPr>
        <w:t>Förordning (EU) nr 1286/2014 är direkt tillämplig från och med den 31 december 2016 och  kopplar inte upprättandet av faktablad till antagandet av den delegerade akten. Även om förordningens bestämmelser kan tillämpas av Priip-produktutvecklarna och upprätthållas av behöriga myndigheter utan att den delegerade akten antas är det önskvärt att de tekniska tillsynsstandarder som fastställer innehållet i vissa regler är så tydliga som möjligt.</w:t>
      </w:r>
    </w:p>
    <w:p>
      <w:pPr>
        <w:rPr>
          <w:noProof/>
        </w:rPr>
      </w:pPr>
      <w:r>
        <w:rPr>
          <w:noProof/>
        </w:rPr>
        <w:t xml:space="preserve">Med tanke på de exceptionella omständigheter som har lett till att antagandet av den delegerade förordningen har försenats föreslår kommissionen att dagen då förordning (EU) nr 1286/2014 ska börja tillämpas skjuts upp tolv månader i syfte att minska den rättsliga osäkerheten och ge Priip-produktutvecklarna mer tid att förbereda sig inför tillämpningen av de nya reglerna. </w:t>
      </w:r>
    </w:p>
    <w:p>
      <w:pPr>
        <w:rPr>
          <w:noProof/>
        </w:rPr>
      </w:pPr>
    </w:p>
    <w:p>
      <w:pPr>
        <w:pStyle w:val="ManualHeading2"/>
        <w:rPr>
          <w:rFonts w:eastAsia="Arial Unicode MS"/>
          <w:noProof/>
          <w:u w:color="000000"/>
          <w:bdr w:val="nil"/>
        </w:rPr>
      </w:pPr>
      <w:r>
        <w:rPr>
          <w:noProof/>
        </w:rPr>
        <w:t>Uppskovets längd</w:t>
      </w:r>
    </w:p>
    <w:p>
      <w:pPr>
        <w:widowControl w:val="0"/>
        <w:shd w:val="clear" w:color="auto" w:fill="FFFFFF"/>
        <w:autoSpaceDE w:val="0"/>
        <w:autoSpaceDN w:val="0"/>
        <w:adjustRightInd w:val="0"/>
        <w:spacing w:before="230" w:after="0" w:line="269" w:lineRule="exact"/>
        <w:ind w:right="86"/>
        <w:rPr>
          <w:noProof/>
        </w:rPr>
      </w:pPr>
      <w:r>
        <w:rPr>
          <w:noProof/>
        </w:rPr>
        <w:t xml:space="preserve">Ett uppskov på tolv månader bör vara tillräckligt för att ge behöriga myndigheter och Priip-produktutvecklare tid att kunna uppfylla kraven i dessa nya regler. </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Rättslig grund</w:t>
      </w:r>
    </w:p>
    <w:p>
      <w:pPr>
        <w:widowControl w:val="0"/>
        <w:shd w:val="clear" w:color="auto" w:fill="FFFFFF"/>
        <w:autoSpaceDE w:val="0"/>
        <w:autoSpaceDN w:val="0"/>
        <w:adjustRightInd w:val="0"/>
        <w:spacing w:before="230" w:after="0" w:line="269" w:lineRule="exact"/>
        <w:ind w:right="86"/>
        <w:rPr>
          <w:noProof/>
        </w:rPr>
      </w:pPr>
      <w:r>
        <w:rPr>
          <w:noProof/>
        </w:rPr>
        <w:t xml:space="preserve">Detta förslag grundar sig på artikel 114 i EUF-fördraget; det gör även förordning (EU) 1286/2014, som detta förslag syftar till att ändra.  </w:t>
      </w:r>
    </w:p>
    <w:p>
      <w:pPr>
        <w:widowControl w:val="0"/>
        <w:shd w:val="clear" w:color="auto" w:fill="FFFFFF"/>
        <w:autoSpaceDE w:val="0"/>
        <w:autoSpaceDN w:val="0"/>
        <w:adjustRightInd w:val="0"/>
        <w:spacing w:before="230" w:after="0" w:line="269" w:lineRule="exact"/>
        <w:ind w:right="86"/>
        <w:rPr>
          <w:noProof/>
        </w:rPr>
      </w:pPr>
    </w:p>
    <w:p>
      <w:pPr>
        <w:pStyle w:val="ManualHeading2"/>
        <w:rPr>
          <w:rFonts w:eastAsia="Arial Unicode MS"/>
          <w:noProof/>
          <w:u w:color="000000"/>
          <w:bdr w:val="nil"/>
        </w:rPr>
      </w:pPr>
      <w:r>
        <w:rPr>
          <w:noProof/>
        </w:rPr>
        <w:t xml:space="preserve">Subsidiaritetsprincipen (för icke-exklusiv befogenhet) </w:t>
      </w:r>
    </w:p>
    <w:p>
      <w:pPr>
        <w:widowControl w:val="0"/>
        <w:shd w:val="clear" w:color="auto" w:fill="FFFFFF"/>
        <w:autoSpaceDE w:val="0"/>
        <w:autoSpaceDN w:val="0"/>
        <w:adjustRightInd w:val="0"/>
        <w:spacing w:before="230" w:after="0" w:line="269" w:lineRule="exact"/>
        <w:ind w:right="86"/>
        <w:rPr>
          <w:noProof/>
        </w:rPr>
      </w:pPr>
      <w:r>
        <w:rPr>
          <w:noProof/>
        </w:rPr>
        <w:t>Enligt subsidiaritetsprincipen får åtgärder på unionsnivå endast vidtas om medlemsstaterna på egen hand inte kan uppnå målen för den planerade åtgärden. För att undanröja hindren för en inre marknad för finansiella tjänster och produkter behövs åtgärder på unionsnivå i form av införande av en enhetlig metod för tillhandahållande av information om Priip-produkter. I detta avseende antas den lagstiftning som håller på att ändras i full överensstämmelse med subsidiaritetsprincipen, och alla ändringar måste göras på grundval av ett förslag från kommissionen.</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Proportionalitetsprincipen</w:t>
      </w:r>
    </w:p>
    <w:p>
      <w:pPr>
        <w:widowControl w:val="0"/>
        <w:shd w:val="clear" w:color="auto" w:fill="FFFFFF"/>
        <w:autoSpaceDE w:val="0"/>
        <w:autoSpaceDN w:val="0"/>
        <w:adjustRightInd w:val="0"/>
        <w:spacing w:before="230" w:after="0" w:line="269" w:lineRule="exact"/>
        <w:ind w:right="86"/>
        <w:rPr>
          <w:noProof/>
        </w:rPr>
      </w:pPr>
      <w:r>
        <w:rPr>
          <w:noProof/>
        </w:rPr>
        <w:t>Denna unionsåtgärd krävs för att uppnå målet att de behöriga myndigheterna och Priip-produktutvecklarna effektivt ska kunna tillämpa Priip-produktregelverket.  Genom detta förslag uppnås därför målen med förordning (EU) nr 1286/2014 inom hela den inre marknaden om hög marknadstransparens och ett starkt skydd för icke-professionella investerare.</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3.</w:t>
      </w:r>
      <w:r>
        <w:rPr>
          <w:noProof/>
        </w:rPr>
        <w:tab/>
        <w:t>RESULTAT AV EFTERHANDSUTVÄRDERINGAR, SAMRÅD MED BERÖRDA PARTER OCH KONSEKVENSBEDÖMNINGAR</w:t>
      </w:r>
    </w:p>
    <w:p>
      <w:pPr>
        <w:pStyle w:val="Text1"/>
        <w:rPr>
          <w:noProof/>
        </w:rPr>
      </w:pPr>
    </w:p>
    <w:p>
      <w:pPr>
        <w:widowControl w:val="0"/>
        <w:shd w:val="clear" w:color="auto" w:fill="FFFFFF"/>
        <w:autoSpaceDE w:val="0"/>
        <w:autoSpaceDN w:val="0"/>
        <w:adjustRightInd w:val="0"/>
        <w:spacing w:before="230" w:after="0" w:line="269" w:lineRule="exact"/>
        <w:ind w:right="86"/>
        <w:rPr>
          <w:noProof/>
        </w:rPr>
      </w:pPr>
      <w:r>
        <w:rPr>
          <w:noProof/>
        </w:rPr>
        <w:t>Detta förslag åtföljs inte av en separat konsekvensbedömning eftersom en konsekvensbedömning för förordning (EU) nr 1286/2014 redan har gjorts. Detta förslag påverkar inte förordningens innehåll och medför inga skyldigheter för de marknadsaktörer som omfattas av den. Det handlar endast om ett uppskjutande av tillämpningen av förordning (EU) nr 1286/2014 med tolv månader för att säkerställa rättslig säkerhet för den berörda sektorn vilket samtidigt gör att denna såväl som behöriga myndigheter får möjlighet att förbereda sig inför de nya reglerna.</w:t>
      </w:r>
    </w:p>
    <w:p>
      <w:pPr>
        <w:pBdr>
          <w:top w:val="nil"/>
          <w:left w:val="nil"/>
          <w:bottom w:val="nil"/>
          <w:right w:val="nil"/>
          <w:between w:val="nil"/>
          <w:bar w:val="nil"/>
        </w:pBdr>
        <w:spacing w:before="0" w:after="240"/>
        <w:rPr>
          <w:rFonts w:eastAsia="Arial Unicode MS"/>
          <w:noProof/>
          <w:u w:color="000000"/>
          <w:bdr w:val="nil"/>
        </w:rPr>
      </w:pPr>
      <w:r>
        <w:rPr>
          <w:noProof/>
        </w:rPr>
        <w:t xml:space="preserve"> </w:t>
      </w:r>
    </w:p>
    <w:p>
      <w:pPr>
        <w:pStyle w:val="ManualHeading1"/>
        <w:rPr>
          <w:noProof/>
        </w:rPr>
      </w:pPr>
      <w:r>
        <w:rPr>
          <w:noProof/>
        </w:rPr>
        <w:t>4.</w:t>
      </w:r>
      <w:r>
        <w:rPr>
          <w:noProof/>
        </w:rPr>
        <w:tab/>
        <w:t>BUDGETKONSEKVENSER</w:t>
      </w:r>
    </w:p>
    <w:p>
      <w:pPr>
        <w:widowControl w:val="0"/>
        <w:shd w:val="clear" w:color="auto" w:fill="FFFFFF"/>
        <w:autoSpaceDE w:val="0"/>
        <w:autoSpaceDN w:val="0"/>
        <w:adjustRightInd w:val="0"/>
        <w:spacing w:before="230" w:after="0" w:line="269" w:lineRule="exact"/>
        <w:ind w:right="86"/>
        <w:rPr>
          <w:noProof/>
        </w:rPr>
      </w:pPr>
      <w:r>
        <w:rPr>
          <w:noProof/>
        </w:rPr>
        <w:t>Förslaget har inga budgetkonsekvenser för Europeiska kommissionen.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2016/0355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Europaparlamentets och rådets förordning (EU) nr 1286/2014 om faktablad för paketerade och försäkringsbaserade investeringsprodukter för icke-professionella investerare (Priip-produkter) vad gäller förordningens tillämpningsdag</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centralbankens yttrande,</w:t>
      </w:r>
    </w:p>
    <w:p>
      <w:pPr>
        <w:rPr>
          <w:noProof/>
        </w:rPr>
      </w:pPr>
      <w:r>
        <w:rPr>
          <w:noProof/>
        </w:rPr>
        <w:t>med beaktande av Europeiska ekonomiska och sociala kommitténs yttrande,</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Genom Europaparlamentets och rådets förordning (EU) nr 1286/2014</w:t>
      </w:r>
      <w:r>
        <w:rPr>
          <w:rStyle w:val="FootnoteReference"/>
          <w:noProof/>
        </w:rPr>
        <w:footnoteReference w:id="3"/>
      </w:r>
      <w:r>
        <w:rPr>
          <w:noProof/>
        </w:rPr>
        <w:t xml:space="preserve"> införs en rad åtgärder som syftar till att stärka skyddet för investerare och återupprätta konsumenternas förtroende för sektorn för finansiella tjänster genom att öka transparensen på marknaden för produkter som riktar sig till icke-professionella investerare. Förordningen föreskriver att utvecklare av paketerade och försäkringsbaserade investeringsprodukter (Priip-produkter) ska upprätta faktablad.</w:t>
      </w:r>
    </w:p>
    <w:p>
      <w:pPr>
        <w:pStyle w:val="ManualConsidrant"/>
        <w:rPr>
          <w:noProof/>
        </w:rPr>
      </w:pPr>
      <w:r>
        <w:t>(2)</w:t>
      </w:r>
      <w:r>
        <w:tab/>
      </w:r>
      <w:r>
        <w:rPr>
          <w:noProof/>
        </w:rPr>
        <w:t>Enligt förordning (EU) nr 1286/2014 har de europeiska tillsynsmyndigheterna befogenhet att utarbeta tekniska tillsynsstandarder för faktabladets olika delar.</w:t>
      </w:r>
    </w:p>
    <w:p>
      <w:pPr>
        <w:pStyle w:val="ManualConsidrant"/>
        <w:rPr>
          <w:noProof/>
        </w:rPr>
      </w:pPr>
      <w:r>
        <w:t>(3)</w:t>
      </w:r>
      <w:r>
        <w:tab/>
      </w:r>
      <w:r>
        <w:rPr>
          <w:noProof/>
        </w:rPr>
        <w:t>Den 30 juni 2016 antog kommissionen den delegerade förordning</w:t>
      </w:r>
      <w:r>
        <w:rPr>
          <w:rStyle w:val="FootnoteReference"/>
          <w:noProof/>
        </w:rPr>
        <w:footnoteReference w:id="4"/>
      </w:r>
      <w:r>
        <w:rPr>
          <w:noProof/>
        </w:rPr>
        <w:t xml:space="preserve"> som fastställer faktabladets utformning och innehåll, standardformat, metoden för att presentera risk och avkastning samt beräkna kostnader, villkor för översynen av uppgifterna i faktabladet och hur ofta den ska göras, samt villkor för uppfyllande av kravet att tillhandahålla  icke-professionella investerare faktablad.</w:t>
      </w:r>
    </w:p>
    <w:p>
      <w:pPr>
        <w:pStyle w:val="ManualConsidrant"/>
        <w:rPr>
          <w:noProof/>
        </w:rPr>
      </w:pPr>
      <w:r>
        <w:t>(4)</w:t>
      </w:r>
      <w:r>
        <w:tab/>
      </w:r>
      <w:r>
        <w:rPr>
          <w:noProof/>
        </w:rPr>
        <w:t xml:space="preserve">Europaparlamentet invände mot den delegerade förordning som antogs av kommissionen den 30 juni 2016 och krävde tillsammans med en stor majoritet av </w:t>
      </w:r>
      <w:r>
        <w:rPr>
          <w:noProof/>
        </w:rPr>
        <w:lastRenderedPageBreak/>
        <w:t xml:space="preserve">medlemsstaterna en senareläggning av tillämpningsdagen för förordning (EU) nr 1286/2014. </w:t>
      </w:r>
    </w:p>
    <w:p>
      <w:pPr>
        <w:pStyle w:val="ManualConsidrant"/>
        <w:rPr>
          <w:noProof/>
        </w:rPr>
      </w:pPr>
      <w:r>
        <w:t>(5)</w:t>
      </w:r>
      <w:r>
        <w:tab/>
      </w:r>
      <w:r>
        <w:rPr>
          <w:noProof/>
        </w:rPr>
        <w:t xml:space="preserve">Ett uppskov med tolv månader kommer att ge de berörda parterna mer tid att anpassa sig till de nya kraven. Mot bakgrund av dessa exceptionella omständigheter är det lämpligt och motiverat att förordning (EU) nr 1286/2014 ändras i enlighet med detta. </w:t>
      </w:r>
    </w:p>
    <w:p>
      <w:pPr>
        <w:pStyle w:val="ManualConsidrant"/>
        <w:rPr>
          <w:noProof/>
        </w:rPr>
      </w:pPr>
      <w:r>
        <w:t>(6)</w:t>
      </w:r>
      <w:r>
        <w:tab/>
      </w:r>
      <w:r>
        <w:rPr>
          <w:noProof/>
        </w:rPr>
        <w:t xml:space="preserve">Med tanke på att bestämmelserna i förordning (EU) nr 1286/2014 kommer att börja tillämpas inom en mycket snar framtid bör denna förordning träda ikraft utan dröjsmål. </w:t>
      </w:r>
    </w:p>
    <w:p>
      <w:pPr>
        <w:pStyle w:val="ManualConsidrant"/>
        <w:rPr>
          <w:noProof/>
        </w:rPr>
      </w:pPr>
      <w:r>
        <w:t>(7)</w:t>
      </w:r>
      <w:r>
        <w:tab/>
      </w:r>
      <w:r>
        <w:rPr>
          <w:noProof/>
        </w:rPr>
        <w:t>Det är följaktligen även motiverat att i detta fall tillämpa det undantag för brådskande fall som föreskrivs i artikel 4 i protokoll (nr 1) om de nationella parlamentens roll i Europeiska unionen.</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I förordning (EU) nr 1286/2014 ska artikel 34 andra stycket ersättas med följande:</w:t>
      </w:r>
    </w:p>
    <w:p>
      <w:pPr>
        <w:ind w:firstLine="720"/>
        <w:rPr>
          <w:noProof/>
        </w:rPr>
      </w:pPr>
      <w:r>
        <w:rPr>
          <w:noProof/>
        </w:rPr>
        <w:t>”Den ska tillämpas från och med den 1 januari 2018.”</w:t>
      </w:r>
    </w:p>
    <w:p>
      <w:pPr>
        <w:pStyle w:val="Titrearticle"/>
        <w:rPr>
          <w:noProof/>
        </w:rPr>
      </w:pPr>
      <w:r>
        <w:rPr>
          <w:noProof/>
        </w:rPr>
        <w:t>Artikel 2</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Personnequisigne"/>
        <w:keepNext/>
        <w:rPr>
          <w:noProof/>
        </w:rPr>
      </w:pPr>
      <w:r>
        <w:rPr>
          <w:noProof/>
        </w:rPr>
        <w:t>Ordförande</w:t>
      </w:r>
      <w:r>
        <w:rPr>
          <w:noProof/>
        </w:rPr>
        <w:tab/>
        <w:t>Ordförande</w:t>
      </w:r>
    </w:p>
    <w:p>
      <w:pPr>
        <w:pStyle w:val="Personnequisigne"/>
        <w:rPr>
          <w:noProof/>
        </w:rPr>
      </w:pPr>
      <w:r>
        <w:rPr>
          <w:noProof/>
        </w:rPr>
        <w:t>Martin Schulz</w:t>
      </w:r>
      <w:r>
        <w:rPr>
          <w:noProof/>
        </w:rPr>
        <w:tab/>
      </w:r>
      <w:bookmarkStart w:id="1" w:name="_InMacro_"/>
      <w:bookmarkEnd w:id="1"/>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C(2016) 3999 final.</w:t>
      </w:r>
    </w:p>
  </w:footnote>
  <w:footnote w:id="2">
    <w:p>
      <w:pPr>
        <w:pStyle w:val="FootnoteText"/>
      </w:pPr>
      <w:r>
        <w:rPr>
          <w:rStyle w:val="FootnoteReference"/>
        </w:rPr>
        <w:footnoteRef/>
      </w:r>
      <w:r>
        <w:tab/>
        <w:t>Europaparlamentets resolution av den 14 september 2016 om kommissionens delegerade förordning av den 30 juni 2016 om komplettering av Europaparlamentets och rådets förordning (EU) nr 1286/2014 om faktablad för paketerade och försäkringsbaserade investeringsprodukter för icke-professionella investerare (Priip-produkter) genom fastställande av tekniska tillsynsstandarder för faktabladens utformning, innehåll, översyn och revidering samt av villkor för uppfyllande av kravet att tillhandahålla sådana faktablad (C(2016)03999 – 2016/2816(DEA)).</w:t>
      </w:r>
    </w:p>
  </w:footnote>
  <w:footnote w:id="3">
    <w:p>
      <w:pPr>
        <w:pStyle w:val="FootnoteText"/>
      </w:pPr>
      <w:r>
        <w:rPr>
          <w:rStyle w:val="FootnoteReference"/>
        </w:rPr>
        <w:footnoteRef/>
      </w:r>
      <w:r>
        <w:tab/>
        <w:t>Europaparlamentets och rådets förordning (EU) nr 1286/2014 av den 26 november 2014 om faktablad för paketerade och försäkringsbaserade investeringsprodukter för icke-professionella investerare (Priip-produkter) (EUT L 352, 9.12.2014, s. 1).</w:t>
      </w:r>
    </w:p>
  </w:footnote>
  <w:footnote w:id="4">
    <w:p>
      <w:pPr>
        <w:pStyle w:val="FootnoteText"/>
      </w:pPr>
      <w:r>
        <w:rPr>
          <w:rStyle w:val="FootnoteReference"/>
        </w:rPr>
        <w:footnoteRef/>
      </w:r>
      <w:r>
        <w:tab/>
        <w:t>C(2016) 3999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F458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A03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6AB6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A02A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B85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10A2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ABA9B58"/>
    <w:lvl w:ilvl="0">
      <w:start w:val="1"/>
      <w:numFmt w:val="decimal"/>
      <w:pStyle w:val="ListNumber"/>
      <w:lvlText w:val="%1."/>
      <w:lvlJc w:val="left"/>
      <w:pPr>
        <w:tabs>
          <w:tab w:val="num" w:pos="360"/>
        </w:tabs>
        <w:ind w:left="360" w:hanging="360"/>
      </w:pPr>
    </w:lvl>
  </w:abstractNum>
  <w:abstractNum w:abstractNumId="7">
    <w:nsid w:val="FFFFFF89"/>
    <w:multiLevelType w:val="singleLevel"/>
    <w:tmpl w:val="7B82C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1 16:28: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BD049F9DF244D87B9A3F5EA2D07C642"/>
    <w:docVar w:name="LW_CROSSREFERENCE" w:val="&lt;UNUSED&gt;"/>
    <w:docVar w:name="LW_DocType" w:val="COM"/>
    <w:docVar w:name="LW_EMISSION" w:val="9.11.2016"/>
    <w:docVar w:name="LW_EMISSION_ISODATE" w:val="2016-11-09"/>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355"/>
    <w:docVar w:name="LW_REF.II.NEW.CP_YEAR" w:val="2016"/>
    <w:docVar w:name="LW_REF.INST.NEW" w:val="COM"/>
    <w:docVar w:name="LW_REF.INST.NEW_ADOPTED" w:val="final"/>
    <w:docVar w:name="LW_REF.INST.NEW_TEXT" w:val="(2016) 709"/>
    <w:docVar w:name="LW_REF.INTERNE" w:val="&lt;UNUSED&gt;"/>
    <w:docVar w:name="LW_SOUS.TITRE.OBJ.CP" w:val="&lt;UNUSED&gt;"/>
    <w:docVar w:name="LW_STATUT.CP" w:val="Förslag till"/>
    <w:docVar w:name="LW_SUPERTITRE" w:val="&lt;UNUSED&gt;"/>
    <w:docVar w:name="LW_TITRE.OBJ.CP" w:val="om ändring av Europaparlamentets och rådets förordning (EU) nr 1286/2014 om faktablad för paketerade och försäkringsbaserade investeringsprodukter för icke-professionella investerare (Priip-produkter) vad gäller förordningens tillämpningsdag"/>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FE17-5486-44C1-B463-5DC32226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1175</Words>
  <Characters>7746</Characters>
  <Application>Microsoft Office Word</Application>
  <DocSecurity>0</DocSecurity>
  <Lines>146</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2016-10-21T09:38:00Z</cp:lastPrinted>
  <dcterms:created xsi:type="dcterms:W3CDTF">2016-11-10T16:46:00Z</dcterms:created>
  <dcterms:modified xsi:type="dcterms:W3CDTF">2016-11-11T15:28:00Z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