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66131640814220A1848870DD2E42B6" style="width:450.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PERUSTELUT</w:t>
      </w:r>
    </w:p>
    <w:p>
      <w:pPr>
        <w:pStyle w:val="ManualHeading1"/>
        <w:rPr>
          <w:noProof/>
        </w:rPr>
      </w:pPr>
      <w:r>
        <w:rPr>
          <w:noProof/>
        </w:rPr>
        <w:t>1.</w:t>
      </w:r>
      <w:r>
        <w:rPr>
          <w:noProof/>
        </w:rPr>
        <w:tab/>
        <w:t>EHDOTUKSEN TAUSTA</w:t>
      </w:r>
    </w:p>
    <w:p>
      <w:pPr>
        <w:rPr>
          <w:noProof/>
        </w:rPr>
      </w:pPr>
      <w:r>
        <w:rPr>
          <w:noProof/>
        </w:rPr>
        <w:t>Tämän komission ehdotuksen tavoitteena on asetuksen (EY) N:o 110/2008 yhdenmukaistaminen Euroopan unionin toiminnasta tehdyn sopimuksen (SEUT-sopimus) kanssa. Sillä lähinnä jaetaan komission mainitun asetuksen nojalla hyväksymät säännökset delegoiduiksi säädöksiksi ja täytäntöönpanosäädöksiksi.</w:t>
      </w:r>
    </w:p>
    <w:p>
      <w:pPr>
        <w:outlineLvl w:val="0"/>
        <w:rPr>
          <w:noProof/>
        </w:rPr>
      </w:pPr>
      <w:r>
        <w:rPr>
          <w:noProof/>
        </w:rPr>
        <w:t>Voimassa oleva tislattuja alkoholijuomia koskeva EU:n oikeuskehys mahdollistaa tavaroiden vapaan liikkumisen sisämarkkinoilla, sillä siinä vahvistetaan tislattujen alkoholijuomien tuotemääritelmät, merkintöjä koskevat säännöt ja maantieteellisten merkintöjen suojaamista koskevat säännökset. Sen vuoksi sitä ei tulisi muuttaa.</w:t>
      </w:r>
    </w:p>
    <w:p>
      <w:pPr>
        <w:outlineLvl w:val="0"/>
        <w:rPr>
          <w:noProof/>
        </w:rPr>
      </w:pPr>
      <w:r>
        <w:rPr>
          <w:noProof/>
        </w:rPr>
        <w:t>Tästä syystä sen ohella, että säännökset yhdenmukaistetaan SEUT-sopimuksen kanssa, ehdotuksessa esitetään vain joitakin pieniä teknisiä muutoksia asetuksen (EY) N:o 110/2008 täytäntöönpanossa olevien puutteiden korjaamiseksi ja lainsäädännön saattamiseksi EU:n uusien säädösten mukaiseksi. Rakennetta ja sanamuotoa on muutettu tavoitteena yksinomaan säännösten yksinkertaistaminen ja luettavuuden parantaminen noudattaen komission paremman sääntelyn ohjelmaa.</w:t>
      </w:r>
    </w:p>
    <w:p>
      <w:pPr>
        <w:rPr>
          <w:noProof/>
          <w:color w:val="000000"/>
        </w:rPr>
      </w:pPr>
      <w:r>
        <w:rPr>
          <w:noProof/>
          <w:color w:val="000000"/>
        </w:rPr>
        <w:t>Ilmaisujen ja rakenteen muutokset sekä muutamat tekniset tarkistukset eivät vaikuta lainsäädännön sisältöön, joka on sama kuin asetuksessa (EY) N:o 110/2008.</w:t>
      </w:r>
      <w:r>
        <w:rPr>
          <w:noProof/>
        </w:rPr>
        <w:t xml:space="preserve"> Sen vuoksi vaikutustenarviointia ei katsottu tarpeelliseksi.</w:t>
      </w:r>
    </w:p>
    <w:p>
      <w:pPr>
        <w:outlineLvl w:val="0"/>
        <w:rPr>
          <w:noProof/>
        </w:rPr>
      </w:pPr>
      <w:r>
        <w:rPr>
          <w:noProof/>
        </w:rPr>
        <w:t>Tislattujen alkoholijuomien tuottajien järjestöjä on kuultu. Niiden keskeisimmät huolenaiheet on otettu huomioon.</w:t>
      </w:r>
    </w:p>
    <w:p>
      <w:pPr>
        <w:outlineLvl w:val="0"/>
        <w:rPr>
          <w:noProof/>
          <w:color w:val="000000"/>
        </w:rPr>
      </w:pPr>
      <w:r>
        <w:rPr>
          <w:noProof/>
        </w:rPr>
        <w:t>Tämä aloite ei ole osa sääntelyn toimivuutta ja tuloksellisuutta koskevaa ohjelmaa (REFIT). Ehdotuksen laadinnassa on kuitenkin otettu huomioon jäsenvaltioiden ja sidosryhmien odotukset lainsäädännön yksinkertaistamisesta ja noudatettu paremman sääntelyn pääperiaatteita.</w:t>
      </w:r>
    </w:p>
    <w:p>
      <w:pPr>
        <w:outlineLvl w:val="0"/>
        <w:rPr>
          <w:noProof/>
          <w:szCs w:val="24"/>
        </w:rPr>
      </w:pPr>
      <w:r>
        <w:rPr>
          <w:noProof/>
        </w:rPr>
        <w:t xml:space="preserve">Kun otetaan huomioon tislattujen alkoholijuomien alan merkitys ja monitahoisuus, on aiheellista säilyttää voimassa tislattuja alkoholijuomia koskeva asetus siltä osin kuin kyseessä ovat erityiset tislattujen alkoholijuomien kuvaukseen ja esittelyyn liittyvät toimenpiteet, jotka menevät </w:t>
      </w:r>
      <w:r>
        <w:rPr>
          <w:noProof/>
          <w:color w:val="000000" w:themeColor="text1"/>
        </w:rPr>
        <w:t xml:space="preserve">elintarviketietojen antamisesta kuluttajille </w:t>
      </w:r>
      <w:r>
        <w:rPr>
          <w:rStyle w:val="Strong"/>
          <w:b w:val="0"/>
          <w:noProof/>
          <w:color w:val="000000" w:themeColor="text1"/>
        </w:rPr>
        <w:t>25 päivänä lokakuuta 2011 annetussa Euroopan parlamentin ja neuvoston asetuksessa (EU) N:o 1169/2011</w:t>
      </w:r>
      <w:r>
        <w:rPr>
          <w:rStyle w:val="FootnoteReference"/>
          <w:noProof/>
          <w:color w:val="000000"/>
        </w:rPr>
        <w:footnoteReference w:id="1"/>
      </w:r>
      <w:r>
        <w:rPr>
          <w:rStyle w:val="Strong"/>
          <w:b w:val="0"/>
          <w:noProof/>
          <w:color w:val="000000" w:themeColor="text1"/>
        </w:rPr>
        <w:t xml:space="preserve"> säädettyjä yleisiä säännöksiä pidemmälle mutta pysyvät kuitenkin linjassa kyseisten yleisten sääntöjen kanssa</w:t>
      </w:r>
      <w:r>
        <w:rPr>
          <w:noProof/>
        </w:rPr>
        <w:t>.</w:t>
      </w:r>
      <w:r>
        <w:rPr>
          <w:noProof/>
          <w:color w:val="000000" w:themeColor="text1"/>
        </w:rPr>
        <w:t xml:space="preserve"> Tislattuja alkoholijuomia koskevassa asetuksessa olisi edelleen keskityttävä luokkiin jaoteltavien</w:t>
      </w:r>
      <w:r>
        <w:rPr>
          <w:noProof/>
        </w:rPr>
        <w:t xml:space="preserve"> tislattujen alkoholijuomien määritelmiin, ja asetuksella olisi pyrittävä parantamaan kuluttajansuojaa ja estämään vilpilliset menettelyt.</w:t>
      </w:r>
    </w:p>
    <w:p>
      <w:pPr>
        <w:outlineLvl w:val="0"/>
        <w:rPr>
          <w:noProof/>
          <w:szCs w:val="24"/>
        </w:rPr>
      </w:pPr>
      <w:r>
        <w:rPr>
          <w:noProof/>
        </w:rPr>
        <w:t>Olisi myös pantava merkille, että maataloustuotteiden ja elintarvikkeiden laatujärjestelmistä annettu Euroopan parlamentin ja neuvoston asetus (EU) N:o 1151/2012</w:t>
      </w:r>
      <w:r>
        <w:rPr>
          <w:rStyle w:val="FootnoteReference"/>
          <w:noProof/>
        </w:rPr>
        <w:footnoteReference w:id="2"/>
      </w:r>
      <w:r>
        <w:rPr>
          <w:noProof/>
        </w:rPr>
        <w:t xml:space="preserve"> on saatettu ajan tasalle, ja sillä yhdenmukaistetaan suojattuja alkuperänimityksiä (SAN), suojattuja maantieteellisten merkintöjä (SMM) ja aitoja perinteisiä tuotteita (APT) koskevat säännöt. SAN-, SMM- ja APT-nimitysten hallinnointimenettelyt (hakemukset, muutokset, rekisteröinti, vastaväitteet, peruuttaminen) on tarkistettu kokonaan ja virtaviivaistettu. Jotta tislattujen alkoholijuomien alan maantieteellisten merkintöjen hallinnointimenettelyt saataisiin vastaamaan paremmin elintarvikkeiden osalta sovellettuja hallinnointimenettelyjä, asetuksen (EY) N:o 110/2008 korvaavassa luonnosehdotuksessa muutetaan maantieteellisiä merkintöjä koskevaa III lukua. </w:t>
      </w:r>
    </w:p>
    <w:p>
      <w:pPr>
        <w:outlineLvl w:val="0"/>
        <w:rPr>
          <w:rFonts w:eastAsia="Times New Roman"/>
          <w:noProof/>
          <w:color w:val="000000"/>
          <w:szCs w:val="24"/>
        </w:rPr>
      </w:pPr>
      <w:r>
        <w:rPr>
          <w:noProof/>
        </w:rPr>
        <w:t xml:space="preserve">Ehdotuksessa </w:t>
      </w:r>
      <w:r>
        <w:rPr>
          <w:noProof/>
          <w:color w:val="000000"/>
        </w:rPr>
        <w:t>ei muuteta tislattujen alkoholijuomien maantieteellisiä merkintöjä koskevan järjestelmän erityispiirteitä.</w:t>
      </w:r>
    </w:p>
    <w:p>
      <w:pPr>
        <w:outlineLvl w:val="0"/>
        <w:rPr>
          <w:noProof/>
          <w:szCs w:val="24"/>
        </w:rPr>
      </w:pPr>
      <w:r>
        <w:rPr>
          <w:noProof/>
          <w:color w:val="000000"/>
        </w:rPr>
        <w:t>Menettelyjen osalta ehdotus sisältää myös yhteisiä hakemuksia ja vastaväitteitä koskevat säännökset, jotka heijastavat komission asetuksessa (EU) N:o 664/2014</w:t>
      </w:r>
      <w:r>
        <w:rPr>
          <w:rStyle w:val="FootnoteReference"/>
          <w:noProof/>
          <w:color w:val="000000"/>
        </w:rPr>
        <w:footnoteReference w:id="3"/>
      </w:r>
      <w:r>
        <w:rPr>
          <w:noProof/>
          <w:color w:val="000000"/>
        </w:rPr>
        <w:t xml:space="preserve"> ja komission asetuksessa (EU) N:o 668/2014</w:t>
      </w:r>
      <w:r>
        <w:rPr>
          <w:rStyle w:val="FootnoteReference"/>
          <w:noProof/>
          <w:color w:val="000000"/>
        </w:rPr>
        <w:footnoteReference w:id="4"/>
      </w:r>
      <w:r>
        <w:rPr>
          <w:noProof/>
          <w:color w:val="000000"/>
        </w:rPr>
        <w:t xml:space="preserve"> vahvistettuja säännöksiä. Kun nämä säännökset ovat mukana ehdotuksessa, ehdotuksesta tulee johdonmukainen ja kattava. Jos asetusta (EU) N:o 1151/2012 tarkistetaan, noudatetaan samaa lähestymistapaa.  </w:t>
      </w:r>
    </w:p>
    <w:p>
      <w:pPr>
        <w:autoSpaceDE w:val="0"/>
        <w:autoSpaceDN w:val="0"/>
        <w:adjustRightInd w:val="0"/>
        <w:rPr>
          <w:noProof/>
        </w:rPr>
      </w:pPr>
      <w:r>
        <w:rPr>
          <w:noProof/>
        </w:rPr>
        <w:t>Joitakin nykyisellään komission asetukseen (EU) N:o 716/2013</w:t>
      </w:r>
      <w:r>
        <w:rPr>
          <w:rStyle w:val="FootnoteReference"/>
          <w:noProof/>
        </w:rPr>
        <w:footnoteReference w:id="5"/>
      </w:r>
      <w:r>
        <w:rPr>
          <w:noProof/>
        </w:rPr>
        <w:t xml:space="preserve"> sisältyviä osia pidetään keskeisinä, minkä vuoksi ne on sisällytetty tähän ehdotukseen osana perussäädöstä; näitä ovat erityisesti yhdistettyjä ilmaisuja ja viittauksia koskevat määritelmät ja säännöt.</w:t>
      </w:r>
    </w:p>
    <w:p>
      <w:pPr>
        <w:pStyle w:val="ManualHeading1"/>
        <w:rPr>
          <w:noProof/>
        </w:rPr>
      </w:pPr>
      <w:r>
        <w:rPr>
          <w:noProof/>
        </w:rPr>
        <w:t>2.</w:t>
      </w:r>
      <w:r>
        <w:rPr>
          <w:noProof/>
        </w:rPr>
        <w:tab/>
        <w:t>OIKEUSPERUSTA, TOISSIJAISUUSPERIAATE JA SUHTEELLISUUSPERIAATE</w:t>
      </w:r>
    </w:p>
    <w:p>
      <w:pPr>
        <w:rPr>
          <w:noProof/>
          <w:color w:val="000000" w:themeColor="text1"/>
        </w:rPr>
      </w:pPr>
      <w:r>
        <w:rPr>
          <w:noProof/>
          <w:color w:val="000000" w:themeColor="text1"/>
        </w:rPr>
        <w:t xml:space="preserve">Ehdotus perustuu </w:t>
      </w:r>
      <w:r>
        <w:rPr>
          <w:rStyle w:val="Emphasis"/>
          <w:i w:val="0"/>
          <w:noProof/>
          <w:color w:val="000000" w:themeColor="text1"/>
        </w:rPr>
        <w:t>SEUT-sopimuksen</w:t>
      </w:r>
      <w:r>
        <w:rPr>
          <w:noProof/>
          <w:color w:val="000000" w:themeColor="text1"/>
        </w:rPr>
        <w:t xml:space="preserve"> 43 artiklan 2 kohtaan ja 114 artiklan 1 kohtaan, toisin kuin asetus (EY) N:o 110/2008, joka perustuu ainoastaan Euroopan yhteisön perustamissopimuksen 95 artiklaan (nykyisin SEUT-sopimuksen 114 artikla). SEUT-sopimuksen 43 artiklan 2 kohdan ottaminen mukaan oikeusperustaan johtuu siitä, että tislattujen alkoholijuomien ja muiden alkoholijuomien tuotannossa käytettävän etyylialkoholin on oltava maatalousperäistä, millä varmistetaan myyntikanava maatalouden perustuotteille. Tätä vahvaa kytköstä maatalousalaan korostetaan uudessa oikeuskehyksessä.</w:t>
      </w:r>
    </w:p>
    <w:p>
      <w:pPr>
        <w:spacing w:before="100" w:beforeAutospacing="1" w:after="100" w:afterAutospacing="1"/>
        <w:rPr>
          <w:noProof/>
        </w:rPr>
      </w:pPr>
      <w:r>
        <w:rPr>
          <w:noProof/>
        </w:rPr>
        <w:t>Tislattuja alkoholijuomia koskeva EU:n lainsäädäntö yhdenmukaistetaan tällä ehdotuksella SEUT-sopimuksen kanssa. Lisäksi ehdotuksella tehdään kyseiseen lainsäädäntöön vähäisiä teknisiä muutoksia, ja sillä myös korvataan tislattujen alkoholijuomien alan maantieteellisten merkintöjen voimassa olevat hallinnointimenettelyt uusilla menettelyillä, joiden mallina ovat maataloustuotteiden ja elintarvikkeiden kattavammat ja laajalti käytetyt menettelyt.</w:t>
      </w:r>
    </w:p>
    <w:p>
      <w:pPr>
        <w:spacing w:before="100" w:beforeAutospacing="1" w:after="100" w:afterAutospacing="1"/>
        <w:rPr>
          <w:noProof/>
        </w:rPr>
      </w:pPr>
      <w:r>
        <w:rPr>
          <w:noProof/>
        </w:rPr>
        <w:t>Jäsenvaltiot eivät voi yksin toimimalla riittävällä tavalla saavuttaa tällaisen ehdotuksen tavoitteita.</w:t>
      </w:r>
    </w:p>
    <w:p>
      <w:pPr>
        <w:spacing w:before="100" w:beforeAutospacing="1" w:after="100" w:afterAutospacing="1"/>
        <w:rPr>
          <w:noProof/>
        </w:rPr>
      </w:pPr>
      <w:r>
        <w:rPr>
          <w:noProof/>
        </w:rPr>
        <w:t xml:space="preserve">SEUT-sopimuksen 291 artiklan mukaisesti jäsenvaltiot kuitenkin vastaavat lainsäätäjän määrittelemän järjestelmän täytäntöönpanosta. On tarpeen varmistaa tislattuja alkoholijuomia koskevien sääntöjen yhdenmukainen täytäntöönpano kaikissa jäsenvaltioissa, jotta voidaan </w:t>
      </w:r>
    </w:p>
    <w:p>
      <w:pPr>
        <w:pStyle w:val="Bullet0"/>
        <w:numPr>
          <w:ilvl w:val="0"/>
          <w:numId w:val="12"/>
        </w:numPr>
        <w:rPr>
          <w:noProof/>
        </w:rPr>
      </w:pPr>
      <w:r>
        <w:rPr>
          <w:noProof/>
        </w:rPr>
        <w:t xml:space="preserve">estää vilpillisiä menettelyitä; </w:t>
      </w:r>
    </w:p>
    <w:p>
      <w:pPr>
        <w:pStyle w:val="Bullet0"/>
        <w:numPr>
          <w:ilvl w:val="0"/>
          <w:numId w:val="15"/>
        </w:numPr>
        <w:rPr>
          <w:noProof/>
        </w:rPr>
      </w:pPr>
      <w:r>
        <w:rPr>
          <w:noProof/>
        </w:rPr>
        <w:t xml:space="preserve">varmistaa kuluttajansuoja; ja </w:t>
      </w:r>
    </w:p>
    <w:p>
      <w:pPr>
        <w:pStyle w:val="Bullet0"/>
        <w:numPr>
          <w:ilvl w:val="0"/>
          <w:numId w:val="15"/>
        </w:numPr>
        <w:rPr>
          <w:noProof/>
        </w:rPr>
      </w:pPr>
      <w:r>
        <w:rPr>
          <w:noProof/>
        </w:rPr>
        <w:t xml:space="preserve">välttää epäreilu kilpailu. </w:t>
      </w:r>
    </w:p>
    <w:p>
      <w:pPr>
        <w:spacing w:before="100" w:beforeAutospacing="1" w:after="100" w:afterAutospacing="1"/>
        <w:rPr>
          <w:noProof/>
        </w:rPr>
      </w:pPr>
      <w:r>
        <w:rPr>
          <w:noProof/>
        </w:rPr>
        <w:t xml:space="preserve">Sen vuoksi lainsäätäjä siirtää komissiolle täytäntöönpanovallan SEUT-sopimuksen 291 artiklan 2 kohdan mukaisesti erityisesti seuraavien osalta: </w:t>
      </w:r>
    </w:p>
    <w:p>
      <w:pPr>
        <w:pStyle w:val="Bullet0"/>
        <w:numPr>
          <w:ilvl w:val="0"/>
          <w:numId w:val="15"/>
        </w:numPr>
        <w:rPr>
          <w:noProof/>
        </w:rPr>
      </w:pPr>
      <w:r>
        <w:rPr>
          <w:noProof/>
        </w:rPr>
        <w:t xml:space="preserve">tislattuja alkoholijuomia koskevien sääntöjen yhdenmukainen soveltaminen; </w:t>
      </w:r>
    </w:p>
    <w:p>
      <w:pPr>
        <w:pStyle w:val="Bullet0"/>
        <w:numPr>
          <w:ilvl w:val="0"/>
          <w:numId w:val="15"/>
        </w:numPr>
        <w:rPr>
          <w:noProof/>
        </w:rPr>
      </w:pPr>
      <w:r>
        <w:rPr>
          <w:noProof/>
        </w:rPr>
        <w:t xml:space="preserve">maantieteellisten merkintöjen suojaamista koskevat menettelysäännöt: </w:t>
      </w:r>
    </w:p>
    <w:p>
      <w:pPr>
        <w:pStyle w:val="Bullet0"/>
        <w:numPr>
          <w:ilvl w:val="0"/>
          <w:numId w:val="15"/>
        </w:numPr>
        <w:rPr>
          <w:noProof/>
        </w:rPr>
      </w:pPr>
      <w:r>
        <w:rPr>
          <w:noProof/>
        </w:rPr>
        <w:t xml:space="preserve">jäsenvaltioille kuuluvat tarkastukset ja todentamiset; ja </w:t>
      </w:r>
    </w:p>
    <w:p>
      <w:pPr>
        <w:pStyle w:val="Bullet0"/>
        <w:numPr>
          <w:ilvl w:val="0"/>
          <w:numId w:val="15"/>
        </w:numPr>
        <w:rPr>
          <w:noProof/>
        </w:rPr>
      </w:pPr>
      <w:r>
        <w:rPr>
          <w:noProof/>
        </w:rPr>
        <w:t>tarvittavien tietojen vaihto komission ja jäsenvaltioiden välillä tämän asetuksen panemiseksi täytäntöön.</w:t>
      </w:r>
    </w:p>
    <w:p>
      <w:pPr>
        <w:pBdr>
          <w:top w:val="nil"/>
          <w:left w:val="nil"/>
          <w:bottom w:val="nil"/>
          <w:right w:val="nil"/>
          <w:between w:val="nil"/>
          <w:bar w:val="nil"/>
        </w:pBdr>
        <w:spacing w:before="0" w:after="240"/>
        <w:rPr>
          <w:rFonts w:eastAsia="Arial Unicode MS"/>
          <w:noProof/>
        </w:rPr>
      </w:pPr>
      <w:r>
        <w:rPr>
          <w:noProof/>
        </w:rPr>
        <w:t>Tällä ehdotuksella pyritään tavoitteisiin tehokkaimmalla ja hyväksyttävimmällä tavalla, ja samalla kansalliselle päätöksenteolle jätetään mahdollisimman paljon toimintavapautta.</w:t>
      </w:r>
    </w:p>
    <w:p>
      <w:pPr>
        <w:pStyle w:val="ManualHeading1"/>
        <w:rPr>
          <w:noProof/>
        </w:rPr>
      </w:pPr>
      <w:r>
        <w:rPr>
          <w:noProof/>
        </w:rPr>
        <w:t>3.</w:t>
      </w:r>
      <w:r>
        <w:rPr>
          <w:noProof/>
        </w:rPr>
        <w:tab/>
        <w:t>ARVIOINTI, KUULEMINEN JA VAIKUTUSTENARVIOINTI</w:t>
      </w:r>
    </w:p>
    <w:p>
      <w:pPr>
        <w:outlineLvl w:val="0"/>
        <w:rPr>
          <w:noProof/>
        </w:rPr>
      </w:pPr>
      <w:r>
        <w:rPr>
          <w:noProof/>
        </w:rPr>
        <w:t>Tislattujen alkoholijuomien tuottajien parissa vallitsee yksimielisyys siitä, että näitä alkoholijuomia koskeva nykyinen oikeudellinen kehys olisi jätettävä ennalleen.</w:t>
      </w:r>
    </w:p>
    <w:p>
      <w:pPr>
        <w:pBdr>
          <w:top w:val="nil"/>
          <w:left w:val="nil"/>
          <w:bottom w:val="nil"/>
          <w:right w:val="nil"/>
          <w:between w:val="nil"/>
          <w:bar w:val="nil"/>
        </w:pBdr>
        <w:spacing w:before="0" w:after="240"/>
        <w:rPr>
          <w:noProof/>
        </w:rPr>
      </w:pPr>
      <w:r>
        <w:rPr>
          <w:noProof/>
        </w:rPr>
        <w:t>Tästä syystä ehdotuksessa ainoastaan säädetään komission valtuuksista hyväksyä delegoituja säädöksiä ja täytäntöönpanosäädöksiä, minkä lisäksi tehdään muutamia teknisiä tarkistuksia ja joitakin rakenne- ja sanamuotomuutoksia, joilla yksinkertaistetaan ja selkeytetään kyseisiä säännöksiä</w:t>
      </w:r>
      <w:r>
        <w:rPr>
          <w:noProof/>
          <w:color w:val="000000"/>
        </w:rPr>
        <w:t xml:space="preserve"> muuttamatta niiden sisältöä</w:t>
      </w:r>
      <w:r>
        <w:rPr>
          <w:noProof/>
        </w:rPr>
        <w:t>. Tislattujen alkoholijuomien alan edustajia on kuultu kansalaiskeskusteluryhmän kokouksissa, joiden aikana komissio on kerännyt tietoja, näkemyksiä ja suosituksia tislattujen alkoholijuomien asiantuntijoilta.</w:t>
      </w:r>
    </w:p>
    <w:p>
      <w:pPr>
        <w:rPr>
          <w:rFonts w:eastAsia="Times New Roman"/>
          <w:noProof/>
          <w:color w:val="000000"/>
          <w:szCs w:val="24"/>
        </w:rPr>
      </w:pPr>
      <w:r>
        <w:rPr>
          <w:noProof/>
          <w:color w:val="000000"/>
        </w:rPr>
        <w:t>Maantieteellisiä merkintöjä koskevassa jaksossa ainoastaan yhdenmukaistetaan rekisteröintimenettelyt paremmin niiden menettelyjen kanssa, joita sovelletaan elintarvikkeisiin, muttei vaikuteta tislattujen alkoholijuomien maantieteellisten merkintöjen järjestelmän erityispiirteisiin.</w:t>
      </w:r>
    </w:p>
    <w:p>
      <w:pPr>
        <w:pStyle w:val="Text1"/>
        <w:ind w:left="0"/>
        <w:rPr>
          <w:noProof/>
        </w:rPr>
      </w:pPr>
      <w:r>
        <w:rPr>
          <w:noProof/>
          <w:color w:val="000000"/>
        </w:rPr>
        <w:t>Voimassa olevan sääntelyn tarkoitus ja soveltamisala säilyvät siis ennallaan.</w:t>
      </w:r>
    </w:p>
    <w:p>
      <w:pPr>
        <w:pBdr>
          <w:top w:val="nil"/>
          <w:left w:val="nil"/>
          <w:bottom w:val="nil"/>
          <w:right w:val="nil"/>
          <w:between w:val="nil"/>
          <w:bar w:val="nil"/>
        </w:pBdr>
        <w:spacing w:before="0" w:after="240"/>
        <w:rPr>
          <w:rFonts w:eastAsia="Arial Unicode MS"/>
          <w:noProof/>
        </w:rPr>
      </w:pPr>
      <w:r>
        <w:rPr>
          <w:noProof/>
          <w:color w:val="000000"/>
        </w:rPr>
        <w:t>Näistä syistä tämän ehdotuksen vaikutustenarvioinnin laatimista ei pidetty tarpeellisena.</w:t>
      </w:r>
    </w:p>
    <w:p>
      <w:pPr>
        <w:pStyle w:val="ManualHeading1"/>
        <w:rPr>
          <w:noProof/>
        </w:rPr>
      </w:pPr>
      <w:r>
        <w:rPr>
          <w:noProof/>
        </w:rPr>
        <w:t>4.</w:t>
      </w:r>
      <w:r>
        <w:rPr>
          <w:noProof/>
        </w:rPr>
        <w:tab/>
        <w:t>TALOUSARVIOVAIKUTUKSET</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Ehdotuksella ei ole vaikutuksia EU:n talousarvioon.</w:t>
      </w:r>
    </w:p>
    <w:p>
      <w:pPr>
        <w:pStyle w:val="Rfrenceinterinstitutionnelle"/>
        <w:rPr>
          <w:noProof/>
        </w:rPr>
      </w:pPr>
      <w:r>
        <w:rPr>
          <w:noProof/>
        </w:rPr>
        <w:t>2016/0392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tislattujen alkoholijuomien määritelmistä, esittelystä ja merkinnöistä, tislattujen alkoholijuomien nimien käytöstä muiden elintarvikkeiden esittelyssä ja merkinnöissä sekä tislattujen alkoholijuomien maantieteellisten merkintöjen suojaamisesta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43 artiklan 2 kohdan ja 114 artiklan 1 kohdan,</w:t>
      </w:r>
    </w:p>
    <w:p>
      <w:pPr>
        <w:rPr>
          <w:noProof/>
        </w:rPr>
      </w:pPr>
      <w:r>
        <w:rPr>
          <w:noProof/>
        </w:rPr>
        <w:t>ottavat huomioon Euroopan komission ehdotuksen</w:t>
      </w:r>
      <w:r>
        <w:rPr>
          <w:rStyle w:val="FootnoteReference"/>
          <w:noProof/>
        </w:rPr>
        <w:footnoteReference w:id="6"/>
      </w:r>
      <w:r>
        <w:rPr>
          <w:noProof/>
        </w:rPr>
        <w:t>,</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7"/>
      </w:r>
      <w:r>
        <w:rPr>
          <w:noProof/>
        </w:rPr>
        <w:t>,</w:t>
      </w:r>
    </w:p>
    <w:p>
      <w:pPr>
        <w:rPr>
          <w:noProof/>
        </w:rPr>
      </w:pPr>
      <w:r>
        <w:rPr>
          <w:noProof/>
        </w:rPr>
        <w:t>noudattavat tavallista lainsäätämisjärjestystä</w:t>
      </w:r>
      <w:r>
        <w:rPr>
          <w:rStyle w:val="FootnoteReference"/>
          <w:noProof/>
        </w:rPr>
        <w:footnoteReference w:id="8"/>
      </w:r>
      <w:r>
        <w:rPr>
          <w:noProof/>
        </w:rPr>
        <w:t>,</w:t>
      </w:r>
    </w:p>
    <w:p>
      <w:pPr>
        <w:rPr>
          <w:noProof/>
        </w:rPr>
      </w:pPr>
      <w:r>
        <w:rPr>
          <w:noProof/>
        </w:rPr>
        <w:t>sekä katsovat seuraavaa:</w:t>
      </w:r>
    </w:p>
    <w:p>
      <w:pPr>
        <w:pStyle w:val="ManualConsidrant"/>
        <w:rPr>
          <w:noProof/>
        </w:rPr>
      </w:pPr>
      <w:r>
        <w:rPr>
          <w:noProof/>
        </w:rPr>
        <w:t>(1)</w:t>
      </w:r>
      <w:r>
        <w:rPr>
          <w:noProof/>
        </w:rPr>
        <w:tab/>
        <w:t>Euroopan parlamentin ja neuvoston asetus (EY) N:o 110/2008</w:t>
      </w:r>
      <w:r>
        <w:rPr>
          <w:rStyle w:val="FootnoteReference"/>
          <w:noProof/>
        </w:rPr>
        <w:footnoteReference w:id="9"/>
      </w:r>
      <w:r>
        <w:rPr>
          <w:noProof/>
        </w:rPr>
        <w:t xml:space="preserve"> on osoittautunut tehokkaaksi tislattujen alkoholijuomien alan sääntelyvälineeksi. Viimeaikaisten kokemusten ja teknisten innovaatioiden perusteella on kuitenkin tarpeen päivittää tislattujen alkoholijuomien määritelmiä, esittelyä ja merkintöjä koskevat säännöt ja tarkistaa tislattujen alkoholijuomien maantieteellisten merkintöjen rekisteröintitapoja.</w:t>
      </w:r>
    </w:p>
    <w:p>
      <w:pPr>
        <w:pStyle w:val="ManualConsidrant"/>
        <w:rPr>
          <w:noProof/>
        </w:rPr>
      </w:pPr>
      <w:r>
        <w:rPr>
          <w:noProof/>
        </w:rPr>
        <w:t>(2)</w:t>
      </w:r>
      <w:r>
        <w:rPr>
          <w:noProof/>
        </w:rPr>
        <w:tab/>
        <w:t>Asetukseen (EY) N:o 110/2008 on tarpeen tehdä muitakin muutoksia, jotta kyseisen asetuksen nojalla komissiolle annetut valtuudet voitaisiin yhdenmukaistaa Euroopan unionin toiminnasta tehdyn sopimuksen, jäljempänä ’perussopimus’, 290 ja 291 artiklan kanssa.</w:t>
      </w:r>
    </w:p>
    <w:p>
      <w:pPr>
        <w:pStyle w:val="ManualConsidrant"/>
        <w:rPr>
          <w:noProof/>
        </w:rPr>
      </w:pPr>
      <w:r>
        <w:rPr>
          <w:noProof/>
        </w:rPr>
        <w:t>(3)</w:t>
      </w:r>
      <w:r>
        <w:rPr>
          <w:noProof/>
        </w:rPr>
        <w:tab/>
        <w:t>Tislattuihin alkoholijuomiin sovellettavilla toimenpiteillä olisi pyrittävä parantamaan kuluttajansuojaa, estämään vilpilliset menettelyt ja edistämään markkinoiden avoimuutta ja tervettä kilpailua. Niillä olisi suojattava unionin tislattujen alkoholijuomien maine, jonka ne ovat saavuttaneet unionissa ja maailmanmarkkinoilla, ottamalla jatkossakin huomioon tislattujen alkoholijuomien tuotannossa sovelletut perinteiset käytännöt ja lisääntynyt kuluttajansuojan ja tiedotuksen tarve. Myös tekniset innovaatiot olisi otettava huomioon tislattujen alkoholijuomien osalta silloin, kun niillä voidaan parantaa tuotteiden laatua, edellyttäen ettei tällä ole vaikutusta asianomaisten tislattujen alkoholijuomien perinteisiin ominaispiirteisiin. Tislattujen alkoholijuomien tuotanto on vahvasti kytköksissä maatalousalaan. Tämä tuotannonala tarjoaa merkittävän myyntikanavan unionin maataloustuotteille, minkä lisäksi kytkös on ratkaisevassa asemassa unionissa tuotettujen tislattujen alkoholijuomien laadun ja maineen kannalta. Tätä vahvaa kytköstä maatalousalaan olisi sen vuoksi korostettava oikeuskehyksessä.</w:t>
      </w:r>
    </w:p>
    <w:p>
      <w:pPr>
        <w:pStyle w:val="ManualConsidrant"/>
        <w:rPr>
          <w:noProof/>
        </w:rPr>
      </w:pPr>
      <w:r>
        <w:rPr>
          <w:noProof/>
        </w:rPr>
        <w:t>(4)</w:t>
      </w:r>
      <w:r>
        <w:rPr>
          <w:noProof/>
        </w:rPr>
        <w:tab/>
        <w:t>Tislattuja alkoholijuomia koskevassa lainsäädännössä sovellettavan yhdenmukaisen lähestymistavan varmistamiseksi tässä asetuksessa olisi esitettävä selkeät kriteerit, jotka koskevat tislattujen alkoholijuomien määritelmää, esittelyä ja merkintöjä sekä maantieteellisten merkintöjen suojaamista. Siinä olisi myös vahvistettava säännöt, jotka koskevat etyylialkoholin tai maatalousperäisten tisleiden käyttöä alkoholijuomien tuotannossa ja tislattujen alkoholijuomien myyntinimitysten käyttöä elintarvikkeiden esittelyssä ja merkinnöissä.</w:t>
      </w:r>
    </w:p>
    <w:p>
      <w:pPr>
        <w:pStyle w:val="ManualConsidrant"/>
        <w:rPr>
          <w:noProof/>
        </w:rPr>
      </w:pPr>
      <w:r>
        <w:rPr>
          <w:noProof/>
        </w:rPr>
        <w:t>(5)</w:t>
      </w:r>
      <w:r>
        <w:rPr>
          <w:noProof/>
        </w:rPr>
        <w:tab/>
        <w:t xml:space="preserve">Kuluttajien etujen huomioon ottamiseksi tätä asetusta olisi sovellettava kaikkiin unionin markkinoille saatettaviin tislattuihin alkoholijuomiin riippumatta siitä, onko ne tuotettu jäsenvaltioissa vai kolmansissa maissa. Unionissa tuotettujen tislattujen alkoholijuomien maineen säilyttämiseksi ja parantamiseksi maailmanmarkkinoilla tätä asetusta olisi sovellettava myös tislattuihin alkoholijuomiin, joita tuotetaan unionissa vientiä varten. </w:t>
      </w:r>
    </w:p>
    <w:p>
      <w:pPr>
        <w:pStyle w:val="ManualConsidrant"/>
        <w:rPr>
          <w:noProof/>
        </w:rPr>
      </w:pPr>
      <w:r>
        <w:rPr>
          <w:noProof/>
        </w:rPr>
        <w:t>(6)</w:t>
      </w:r>
      <w:r>
        <w:rPr>
          <w:noProof/>
        </w:rPr>
        <w:tab/>
        <w:t>Jotta voidaan täyttää kuluttajien odotukset ja noudattaa perinteisiä laatukäytäntöjä, tislattujen alkoholijuomien ja muiden alkoholijuomien valmistuksessa käytettävän etyylialkoholin olisi oltava peräisin yksinomaan maataloudesta. Näin myös varmistettaisiin myyntikanava maatalouden perustuotteille.</w:t>
      </w:r>
    </w:p>
    <w:p>
      <w:pPr>
        <w:pStyle w:val="ManualConsidrant"/>
        <w:rPr>
          <w:noProof/>
        </w:rPr>
      </w:pPr>
      <w:r>
        <w:rPr>
          <w:noProof/>
        </w:rPr>
        <w:t>(7)</w:t>
      </w:r>
      <w:r>
        <w:rPr>
          <w:noProof/>
        </w:rPr>
        <w:tab/>
        <w:t xml:space="preserve">Tässä asetuksessa olisi keskityttävä niiden tislattujen alkoholijuomien määritelmiin, jotka on luokiteltu ottaen huomioon perinteiset laatukäytännöt. Tässä asetuksessa olisi myös vahvistettava erityissäännöt eräille tislatuille alkoholijuomille, jotka eivät sisälly luokkien luetteloon. </w:t>
      </w:r>
    </w:p>
    <w:p>
      <w:pPr>
        <w:pStyle w:val="ManualConsidrant"/>
        <w:rPr>
          <w:noProof/>
        </w:rPr>
      </w:pPr>
      <w:r>
        <w:rPr>
          <w:noProof/>
        </w:rPr>
        <w:t>(8)</w:t>
      </w:r>
      <w:r>
        <w:rPr>
          <w:noProof/>
        </w:rPr>
        <w:tab/>
        <w:t xml:space="preserve">Olisi täsmennettävä, että uusi luokka voidaan lisätä vain, jos tislatulla alkoholijuomalla on merkittävä markkinaosuus vähintään yhdessä jäsenvaltiossa. Lisäksi uudelle luokalle valitun nimen on joko oltava yleisesti käytössä oleva nimi, tai jos tämä ei ole mahdollista, nimen on oltava kuvaava ja siinä on erityisesti viitattava kyseisen tislatun alkoholijuoman tuotannossa käytettävään raaka-aineeseen. </w:t>
      </w:r>
    </w:p>
    <w:p>
      <w:pPr>
        <w:pStyle w:val="ManualConsidrant"/>
        <w:rPr>
          <w:noProof/>
        </w:rPr>
      </w:pPr>
      <w:r>
        <w:rPr>
          <w:noProof/>
        </w:rPr>
        <w:t>(9)</w:t>
      </w:r>
      <w:r>
        <w:rPr>
          <w:noProof/>
        </w:rPr>
        <w:tab/>
        <w:t>Tislattuihin alkoholijuomiin sovelletaan myös Euroopan parlamentin ja neuvoston asetusta (EY) N:o 1334/2008</w:t>
      </w:r>
      <w:r>
        <w:rPr>
          <w:rStyle w:val="FootnoteReference"/>
          <w:noProof/>
        </w:rPr>
        <w:footnoteReference w:id="10"/>
      </w:r>
      <w:r>
        <w:rPr>
          <w:noProof/>
        </w:rPr>
        <w:t>. On kuitenkin tarpeen vahvistaa aromeja koskevia lisäsääntöjä, joita sovelletaan ainoastaan tislattuihin alkoholijuomiin.</w:t>
      </w:r>
    </w:p>
    <w:p>
      <w:pPr>
        <w:pStyle w:val="ManualConsidrant"/>
        <w:rPr>
          <w:rFonts w:cs="TimesNewRoman"/>
          <w:noProof/>
        </w:rPr>
      </w:pPr>
      <w:r>
        <w:rPr>
          <w:noProof/>
        </w:rPr>
        <w:t>(10)</w:t>
      </w:r>
      <w:r>
        <w:rPr>
          <w:noProof/>
        </w:rPr>
        <w:tab/>
        <w:t>Tislattujen alkoholijuomien alan tärkeyden ja monitahoisuuden vuoksi on aiheellista vahvistaa tislattujen alkoholijuomien kuvausta ja esittelyä koskevat erityissäännöt erityisesti myyntinimitysten, maantieteellisten merkintöjen, yhdistettyjen ilmaisujen ja viittausten käytön osalta.</w:t>
      </w:r>
    </w:p>
    <w:p>
      <w:pPr>
        <w:pStyle w:val="ManualConsidrant"/>
        <w:rPr>
          <w:noProof/>
        </w:rPr>
      </w:pPr>
      <w:r>
        <w:rPr>
          <w:noProof/>
        </w:rPr>
        <w:t>(11)</w:t>
      </w:r>
      <w:r>
        <w:rPr>
          <w:noProof/>
        </w:rPr>
        <w:tab/>
        <w:t>Tislattujen alkoholijuomien esittelyyn ja merkintöihin olisi sovellettava Euroopan parlamentin ja neuvoston asetusta (EU) N:o 1169/2011</w:t>
      </w:r>
      <w:r>
        <w:rPr>
          <w:rStyle w:val="FootnoteReference"/>
          <w:noProof/>
        </w:rPr>
        <w:footnoteReference w:id="11"/>
      </w:r>
      <w:r>
        <w:rPr>
          <w:noProof/>
        </w:rPr>
        <w:t>, jollei tässä asetuksessa toisin säädetä.</w:t>
      </w:r>
    </w:p>
    <w:p>
      <w:pPr>
        <w:pStyle w:val="ManualConsidrant"/>
        <w:rPr>
          <w:noProof/>
        </w:rPr>
      </w:pPr>
      <w:r>
        <w:rPr>
          <w:noProof/>
        </w:rPr>
        <w:t>(12)</w:t>
      </w:r>
      <w:r>
        <w:rPr>
          <w:noProof/>
        </w:rPr>
        <w:tab/>
        <w:t>Jotta yhdistettyjen ilmaisujen ja viittausten käyttö olisi yhdenmukaista kaikissa jäsenvaltioissa, on tarpeen vahvistaa säännökset näiden ilmausten ja viittausten käytöstä tislattujen alkoholijuomien ja muiden elintarvikkeiden esittelyssä.</w:t>
      </w:r>
    </w:p>
    <w:p>
      <w:pPr>
        <w:pStyle w:val="ManualConsidrant"/>
        <w:rPr>
          <w:noProof/>
        </w:rPr>
      </w:pPr>
      <w:r>
        <w:rPr>
          <w:noProof/>
        </w:rPr>
        <w:t>(13)</w:t>
      </w:r>
      <w:r>
        <w:rPr>
          <w:noProof/>
        </w:rPr>
        <w:tab/>
        <w:t>Jotta kuluttajat saisivat asianmukaista tietoa, olisi vahvistettava säännökset, jotka koskevat tislattujen alkoholijuomien esittelyä ja merkintöjä, kun tislattuja alkoholijuomia pidetään sekoituksina.</w:t>
      </w:r>
    </w:p>
    <w:p>
      <w:pPr>
        <w:pStyle w:val="ManualConsidrant"/>
        <w:rPr>
          <w:noProof/>
        </w:rPr>
      </w:pPr>
      <w:r>
        <w:rPr>
          <w:noProof/>
        </w:rPr>
        <w:t>(14)</w:t>
      </w:r>
      <w:r>
        <w:rPr>
          <w:noProof/>
        </w:rPr>
        <w:tab/>
        <w:t>On tärkeää varmistaa, että vaikka yleensä kypsytysaika tai ikä määrittelee ainoastaan nuorimman alkoholiainesosan, delegoiduilla säädöksillä olisi voitava säätää poikkeuksesta, jotta voidaan ottaa huomioon jäsenvaltioiden perinteiset vanhentamisprosessit.</w:t>
      </w:r>
    </w:p>
    <w:p>
      <w:pPr>
        <w:pStyle w:val="ManualConsidrant"/>
        <w:rPr>
          <w:noProof/>
        </w:rPr>
      </w:pPr>
      <w:r>
        <w:rPr>
          <w:noProof/>
        </w:rPr>
        <w:t>(15)</w:t>
      </w:r>
      <w:r>
        <w:rPr>
          <w:noProof/>
        </w:rPr>
        <w:tab/>
        <w:t>Joissakin tapauksissa elintarvikealan toimijat voivat joutua ilmoittamaan tai haluta ilmoittaa tislatun alkoholijuoman alkuperän kiinnittääkseen kuluttajien huomion tuotteidensa ominaisuuksiin. Myös tällaisten tietojen olisi oltava yhdenmukaisten kriteerien mukaisia. Sen vuoksi olisi vahvistettava erityissäännökset, jotka koskevat alkuperämaan tai lähtöpaikan mainitsemista tislattujen alkoholijuomien esittelyssä ja merkinnöissä.</w:t>
      </w:r>
    </w:p>
    <w:p>
      <w:pPr>
        <w:pStyle w:val="ManualConsidrant"/>
        <w:rPr>
          <w:noProof/>
        </w:rPr>
      </w:pPr>
      <w:r>
        <w:rPr>
          <w:noProof/>
        </w:rPr>
        <w:t>(16)</w:t>
      </w:r>
      <w:r>
        <w:rPr>
          <w:noProof/>
        </w:rPr>
        <w:tab/>
        <w:t>Lyijypohjaisten kapselien käyttö tislattuja alkoholijuomia sisältävien säiliöiden sulkimien päällä olisi kiellettävä, jotta estettäisiin saastumisriski, jonka kapselien joutuminen vahingossa kosketuksiin tuotteiden kanssa aiheuttaa, ja ympäristöriski, jonka kyseisistä kapseleista peräisin olevat, lyijyä sisältävät jätteet aiheuttavat.</w:t>
      </w:r>
    </w:p>
    <w:p>
      <w:pPr>
        <w:pStyle w:val="ManualConsidrant"/>
        <w:rPr>
          <w:rFonts w:cs="TimesNewRoman"/>
          <w:noProof/>
        </w:rPr>
      </w:pPr>
      <w:r>
        <w:rPr>
          <w:noProof/>
        </w:rPr>
        <w:t>(17)</w:t>
      </w:r>
      <w:r>
        <w:rPr>
          <w:noProof/>
        </w:rPr>
        <w:tab/>
        <w:t>On tärkeää ottaa asianmukaisesti huomioon teollis- ja tekijänoikeuksien kauppaan liittyvistä näkökohdista tehty sopimus, jäljempänä ’TRIPS-sopimus’, ja erityisesti sen 22 ja 23 artikla, sekä tullitariffeja ja kauppaa koskeva yleissopimus, jäljempänä ’GATT-sopimus’, jotka on hyväksytty neuvoston päätöksellä 94/800/EY</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Euroopan parlamentin ja neuvoston asetusta (EU) N:o 1151/2012</w:t>
      </w:r>
      <w:r>
        <w:rPr>
          <w:rStyle w:val="FootnoteReference"/>
          <w:noProof/>
        </w:rPr>
        <w:footnoteReference w:id="13"/>
      </w:r>
      <w:r>
        <w:rPr>
          <w:noProof/>
        </w:rPr>
        <w:t xml:space="preserve"> ei sovelleta tislattuihin alkoholijuomiin. Sen vuoksi olisi vahvistettava tislattujen alkoholijuomien maantieteellisten merkintöjen suojaa koskevat säännöt. Komission olisi rekisteröitävä maantieteelliset merkinnät, jotka osoittavat tislatun alkoholijuoman olevan peräisin tietyltä maan alueelta tai tietyltä seudulta taikka joltakin tuon alueen paikkakunnalta, jos tislatun alkoholijuoman tunnettu laatu, maine tai muu ominaisuus liittyy olennaisella tavalla tislatun alkoholijuoman maantieteelliseen alkuperään.</w:t>
      </w:r>
    </w:p>
    <w:p>
      <w:pPr>
        <w:pStyle w:val="ManualConsidrant"/>
        <w:rPr>
          <w:noProof/>
        </w:rPr>
      </w:pPr>
      <w:r>
        <w:rPr>
          <w:noProof/>
        </w:rPr>
        <w:t>(19)</w:t>
      </w:r>
      <w:r>
        <w:rPr>
          <w:noProof/>
        </w:rPr>
        <w:tab/>
        <w:t>Olisi säädettävä menettelyistä unionin tai kolmannen maan maantieteellisten merkintöjen rekisteröimiseksi, muuttamiseksi ja mahdolliseksi peruuttamiseksi TRIPS-sopimuksen mukaisesti, ja samalla olisi ilman eri toimenpiteitä tunnustettava olemassa olevien unionin maantieteellisten merkintöjen asema. Jotta maantieteellisiä merkintöjä koskevat menettelysäännöt yhdenmukaistettaisiin kaikilla asianomaisilla aloilla, tällaisten tislattuja alkoholijuomia koskevien menettelyjen mallina olisi oltava asetuksessa (EU) N:o 1151/2012 säädetyt kattavammat ja laajemmin käytetyt maataloustuotteita ja elintarvikkeita koskevat menettelyt samalla kun otetaan huomioon tislattujen alkoholijuomien erityispiirteet. Olisi laadittava maantieteellisten merkintöjen sähköinen rekisteri rekisteröintimenettelyjen yksinkertaistamiseksi ja sen varmistamiseksi, että tiedot ovat elintarvikealan toimijoiden ja kuluttajien saatavilla sähköisessä muodossa.</w:t>
      </w:r>
    </w:p>
    <w:p>
      <w:pPr>
        <w:pStyle w:val="ManualConsidrant"/>
        <w:rPr>
          <w:noProof/>
        </w:rPr>
      </w:pPr>
      <w:r>
        <w:rPr>
          <w:noProof/>
        </w:rPr>
        <w:t>(20)</w:t>
      </w:r>
      <w:r>
        <w:rPr>
          <w:noProof/>
        </w:rPr>
        <w:tab/>
        <w:t>Jäsenvaltioiden viranomaisten olisi oltava vastuussa tämän asetuksen noudattamisen varmistamisesta, ja komission olisi voitava valvoa asetuksen noudattamista ja todentaa se. Sen vuoksi komission ja jäsenvaltioiden olisi toimitettava toisilleen asiaankuuluvat tiedot.</w:t>
      </w:r>
    </w:p>
    <w:p>
      <w:pPr>
        <w:pStyle w:val="ManualConsidrant"/>
        <w:rPr>
          <w:noProof/>
        </w:rPr>
      </w:pPr>
      <w:r>
        <w:rPr>
          <w:noProof/>
        </w:rPr>
        <w:t>(21)</w:t>
      </w:r>
      <w:r>
        <w:rPr>
          <w:noProof/>
        </w:rPr>
        <w:tab/>
        <w:t>Jäsenvaltioiden olisi laatupolitiikkaa soveltaessaan voitava antaa tislattujen alkoholijuomien korkean laatutason ja alan monipuolisuuden mahdollistamiseksi tässä asetuksessa säädettyjä sääntöjä tiukempia sääntöjä, jotka koskevat niiden alueella tuotettujen tislattujen alkoholijuomien määritelmiä, esittelyä ja merkintöjä.</w:t>
      </w:r>
    </w:p>
    <w:p>
      <w:pPr>
        <w:pStyle w:val="ManualConsidrant"/>
        <w:rPr>
          <w:noProof/>
        </w:rPr>
      </w:pPr>
      <w:r>
        <w:rPr>
          <w:noProof/>
        </w:rPr>
        <w:t>(22)</w:t>
      </w:r>
      <w:r>
        <w:rPr>
          <w:noProof/>
        </w:rPr>
        <w:tab/>
        <w:t>Jotta voidaan ottaa huomioon kuluttajien muuttuvat tarpeet, teknologinen kehitys, asiaankuuluvien kansainvälisten standardien kehitys, tuotannon ja kaupan pitämisen taloudellisten edellytysten parantamistarve, perinteiset vanhentamisprosessit ja – poikkeustapauksissa – kolmansiin maihin kuuluvan tuojamaan lainsäädäntö ja jotta voidaan varmistaa maantieteellisten merkintöjen suojaaminen, komissiolle olisi siirrettävä valta hyväksyä perussopimuksen 290 artiklan mukaisesti säädösvallan siirron nojalla annettavia delegoituja säädöksiä sellaisten muutosten ja poikkeusten osalta, jotka koskevat seuraavia: tämän asetuksen I luvussa tarkoitetut tislattujen alkoholijuomien luokkia koskevat tekniset määritelmät ja vaatimukset, joitakin tämän asetuksen I luvussa tarkoitettuja tislattuja alkoholijuomia koskevat erityissäännöt, tämän asetuksen II luvussa tarkoitetut merkinnät ja esittely, tämän asetuksen III luvussa tarkoitetut maantieteelliset merkinnät sekä tämän asetuksen IV luvussa tarkoitetut tarkastukset ja tietojenvaihto.</w:t>
      </w:r>
    </w:p>
    <w:p>
      <w:pPr>
        <w:pStyle w:val="ManualConsidrant"/>
        <w:rPr>
          <w:noProof/>
        </w:rPr>
      </w:pPr>
      <w:r>
        <w:rPr>
          <w:noProof/>
        </w:rPr>
        <w:t>(23)</w:t>
      </w:r>
      <w:r>
        <w:rPr>
          <w:noProof/>
        </w:rPr>
        <w:tab/>
        <w:t>Jotta voidaan reagoida nopeasti taloudelliseen ja tekniseen kehitykseen sellaisten tämän asetuksen soveltamisalaan kuuluvien tislattujen alkoholijuomien osalta, joille ei ole vahvistettu luokkaa tai teknistä eritelmää, komissiolle olisi kuluttajien suojaamiseksi, tuottajien taloudellisten etujen suojaamiseksi ja kyseisten tislattujen alkoholijuomien tiettyjen tuotanto- ja laatuvaatimusten yhdenmukaistamiseksi siirrettävä valta hyväksyä perussopimuksen 290 artiklan mukaisesti säädösvallan siirron nojalla annettavia delegoituja säädöksiä seuraavilta osin: tislattujen alkoholijuomien uusien luokkien lisääminen tietyin edellytyksin tämän asetuksen liitteessä II olevassa I ja II osassa lueteltujen luokkien joukkoon ja vastaavat tekniset eritelmät.</w:t>
      </w:r>
    </w:p>
    <w:p>
      <w:pPr>
        <w:pStyle w:val="ManualConsidrant"/>
        <w:rPr>
          <w:noProof/>
        </w:rPr>
      </w:pPr>
      <w:r>
        <w:rPr>
          <w:noProof/>
        </w:rPr>
        <w:t>(24)</w:t>
      </w:r>
      <w:r>
        <w:rPr>
          <w:noProof/>
        </w:rPr>
        <w:tab/>
        <w:t>On erityisen tärkeää, että komissio asiaa valmistellessaan toteuttaa asianmukaiset kuulemiset, myös asiantuntijatasolla, ja että kyseiset kuulemiset toteutetaan niiden periaatteiden mukaan, jotka on vahvistettu 13 päivänä huhtikuuta 2016 tehdyssä parempaa lainsäädäntöä koskevassa toimielinten sopimuksessa</w:t>
      </w:r>
      <w:r>
        <w:rPr>
          <w:rStyle w:val="FootnoteReference"/>
          <w:noProof/>
        </w:rPr>
        <w:footnoteReference w:id="14"/>
      </w:r>
      <w:r>
        <w:rPr>
          <w:noProof/>
        </w:rPr>
        <w:t>.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rPr>
          <w:noProof/>
        </w:rPr>
        <w:t>(25)</w:t>
      </w:r>
      <w:r>
        <w:rPr>
          <w:noProof/>
        </w:rPr>
        <w:tab/>
        <w:t>Jotta voidaan varmistaa tämän asetuksen yhdenmukainen täytäntöönpano, komissiolle olisi siirrettävä täytäntöönpanovaltaa.</w:t>
      </w:r>
    </w:p>
    <w:p>
      <w:pPr>
        <w:pStyle w:val="ManualConsidrant"/>
        <w:rPr>
          <w:noProof/>
        </w:rPr>
      </w:pPr>
      <w:r>
        <w:rPr>
          <w:noProof/>
        </w:rPr>
        <w:t>(26)</w:t>
      </w:r>
      <w:r>
        <w:rPr>
          <w:noProof/>
        </w:rPr>
        <w:tab/>
        <w:t>Täytäntöönpanovaltaa, joka liittyy tämän asetuksen II luvussa tarkoitettuihin merkintöihin ja esittelyyn, tämän asetuksen III luvussa tarkoitettuihin maantieteellisiin merkintöihin ja tämän asetuksen IV luvussa tarkoitettuihin tarkastuksiin ja tiedonvaihtoon, olisi käytettävä Euroopan parlamentin ja neuvoston asetuksen (EU) N:o 182/2011</w:t>
      </w:r>
      <w:r>
        <w:rPr>
          <w:rStyle w:val="FootnoteReference"/>
          <w:noProof/>
        </w:rPr>
        <w:footnoteReference w:id="15"/>
      </w:r>
      <w:r>
        <w:rPr>
          <w:noProof/>
        </w:rPr>
        <w:t xml:space="preserve"> mukaisesti.</w:t>
      </w:r>
    </w:p>
    <w:p>
      <w:pPr>
        <w:pStyle w:val="ManualConsidrant"/>
        <w:rPr>
          <w:noProof/>
        </w:rPr>
      </w:pPr>
      <w:r>
        <w:rPr>
          <w:noProof/>
        </w:rPr>
        <w:t>(27)</w:t>
      </w:r>
      <w:r>
        <w:rPr>
          <w:noProof/>
        </w:rPr>
        <w:tab/>
        <w:t>Siirryttäessä asetuksessa (EY) N:o 110/2008 säädettyjen sääntöjen soveltamisesta tässä asetuksessa säädettyjen sääntöjen soveltamiseen voi ilmetä vaikeuksia, joita tässä asetuksessa ei käsitellä. Jotta tämän osalta voitaisiin toteuttaa tarvittavat toimenpiteet, komissiolle olisi siirrettävä valta hyväksyä perussopimuksen 290 artiklan mukaisesti säädösvallan siirron nojalla annettavia delegoituja säädöksiä.</w:t>
      </w:r>
    </w:p>
    <w:p>
      <w:pPr>
        <w:pStyle w:val="ManualConsidrant"/>
        <w:rPr>
          <w:noProof/>
        </w:rPr>
      </w:pPr>
      <w:r>
        <w:rPr>
          <w:noProof/>
        </w:rPr>
        <w:t>(28)</w:t>
      </w:r>
      <w:r>
        <w:rPr>
          <w:noProof/>
        </w:rPr>
        <w:tab/>
        <w:t>Jotta suojeltaisiin asianomaisten tuottajien ja sidosryhmien oikeutettuja etuja hyötyä yhtenäisten asiakirjojen saamasta julkisuudesta uudessa oikeudellisessa kehyksessä, asetuksen (EY) N:o 110/2008 mukaisesti rekisteröityjä maantieteellisiä merkintöjä koskevat yhtenäiset asiakirjat olisi voitava julkaista asianomaisten jäsenvaltioiden pyynnöstä.</w:t>
      </w:r>
      <w:r>
        <w:rPr>
          <w:i/>
          <w:noProof/>
        </w:rPr>
        <w:t xml:space="preserve"> </w:t>
      </w:r>
    </w:p>
    <w:p>
      <w:pPr>
        <w:pStyle w:val="ManualConsidrant"/>
        <w:rPr>
          <w:noProof/>
        </w:rPr>
      </w:pPr>
      <w:r>
        <w:rPr>
          <w:noProof/>
        </w:rPr>
        <w:t>(29)</w:t>
      </w:r>
      <w:r>
        <w:rPr>
          <w:noProof/>
        </w:rPr>
        <w:tab/>
        <w:t>Jotta helpotettaisiin sujuvaa siirtymistä asetuksessa (EY) N:o 110/2008 säädetyistä säännöistä tässä asetuksessa säädettyihin sääntöihin, tätä asetusta olisi ryhdyttävä soveltamaan kahden vuoden kuluttua sen voimaantulosta. Olemassa olevien varastojen kaupan pitäminen olisi sallittava tämän asetuksen soveltamisen alkamispäivän jälkeen varastojen loppumiseen saakka,</w:t>
      </w:r>
    </w:p>
    <w:p>
      <w:pPr>
        <w:pStyle w:val="Formuledadoption"/>
        <w:rPr>
          <w:noProof/>
        </w:rPr>
      </w:pPr>
      <w:r>
        <w:rPr>
          <w:noProof/>
        </w:rPr>
        <w:t>OVAT HYVÄKSYNEET TÄMÄN ASETUKSEN:</w:t>
      </w:r>
    </w:p>
    <w:p>
      <w:pPr>
        <w:pStyle w:val="ChapterTitle"/>
        <w:rPr>
          <w:rFonts w:cs="TimesNewRoman"/>
          <w:noProof/>
        </w:rPr>
      </w:pPr>
      <w:r>
        <w:rPr>
          <w:noProof/>
        </w:rPr>
        <w:t>I LUKU</w:t>
      </w:r>
    </w:p>
    <w:p>
      <w:pPr>
        <w:jc w:val="center"/>
        <w:rPr>
          <w:b/>
          <w:i/>
          <w:noProof/>
        </w:rPr>
      </w:pPr>
      <w:r>
        <w:rPr>
          <w:b/>
          <w:noProof/>
        </w:rPr>
        <w:t xml:space="preserve">SOVELTAMISALA, MÄÄRITELMÄT, ETYYLIALKOHOLIN JA TISLEEN MAATALOUSPERÄISYYS SEKÄ TISLATTUJEN ALKOHOLIJUOMIEN LUOKITTELU </w:t>
      </w:r>
    </w:p>
    <w:p>
      <w:pPr>
        <w:pStyle w:val="Titrearticle"/>
        <w:rPr>
          <w:noProof/>
        </w:rPr>
      </w:pPr>
      <w:r>
        <w:rPr>
          <w:noProof/>
        </w:rPr>
        <w:t>1 artikla</w:t>
      </w:r>
    </w:p>
    <w:p>
      <w:pPr>
        <w:pStyle w:val="NormalCentered"/>
        <w:rPr>
          <w:rFonts w:cs="TimesNewRomanBold"/>
          <w:b/>
          <w:bCs/>
          <w:noProof/>
        </w:rPr>
      </w:pPr>
      <w:r>
        <w:rPr>
          <w:b/>
          <w:noProof/>
        </w:rPr>
        <w:t>Kohde ja soveltamisala</w:t>
      </w:r>
    </w:p>
    <w:p>
      <w:pPr>
        <w:pStyle w:val="ManualNumPar1"/>
        <w:rPr>
          <w:noProof/>
        </w:rPr>
      </w:pPr>
      <w:r>
        <w:rPr>
          <w:noProof/>
        </w:rPr>
        <w:t>1.</w:t>
      </w:r>
      <w:r>
        <w:rPr>
          <w:noProof/>
        </w:rPr>
        <w:tab/>
        <w:t>Tässä asetuksessa vahvistetaan tislattujen alkoholijuomien määritelmiä, esittelyä, merkintöjä ja maantieteellisten merkintöjen suojaamista koskevat säännöt. Lisäksi tätä asetusta sovelletaan maatalousperäisen etyylialkoholin tai tisleen käyttöön alkoholijuomien tuotannossa sekä tislattujen alkoholijuomien nimien käyttöön elintarvikkeiden esittelyssä ja merkinnöissä.</w:t>
      </w:r>
    </w:p>
    <w:p>
      <w:pPr>
        <w:pStyle w:val="ManualNumPar1"/>
        <w:rPr>
          <w:rFonts w:cs="TimesNewRoman"/>
          <w:noProof/>
        </w:rPr>
      </w:pPr>
      <w:r>
        <w:rPr>
          <w:noProof/>
        </w:rPr>
        <w:t>2.</w:t>
      </w:r>
      <w:r>
        <w:rPr>
          <w:noProof/>
        </w:rPr>
        <w:tab/>
        <w:t>Tätä asetusta sovelletaan kaikkiin 1 kohdassa tarkoitettuihin tuotteisiin, jotka saatetaan markkinoille unionissa – riippumatta siitä, onko ne tuotettu unionissa vai kolmansissa maissa – tai valmistetaan unionissa vientiä varten.</w:t>
      </w:r>
    </w:p>
    <w:p>
      <w:pPr>
        <w:pStyle w:val="Titrearticle"/>
        <w:rPr>
          <w:rFonts w:cs="TimesNewRomanItalic"/>
          <w:i w:val="0"/>
          <w:iCs/>
          <w:noProof/>
        </w:rPr>
      </w:pPr>
      <w:r>
        <w:rPr>
          <w:noProof/>
        </w:rPr>
        <w:t>2 artikla</w:t>
      </w:r>
    </w:p>
    <w:p>
      <w:pPr>
        <w:pStyle w:val="NormalCentered"/>
        <w:rPr>
          <w:rFonts w:cs="TimesNewRomanBold"/>
          <w:b/>
          <w:bCs/>
          <w:noProof/>
        </w:rPr>
      </w:pPr>
      <w:r>
        <w:rPr>
          <w:b/>
          <w:noProof/>
        </w:rPr>
        <w:t>Määritelmät</w:t>
      </w:r>
    </w:p>
    <w:p>
      <w:pPr>
        <w:pStyle w:val="ManualNumPar1"/>
        <w:rPr>
          <w:rFonts w:cs="TimesNewRoman"/>
          <w:noProof/>
        </w:rPr>
      </w:pPr>
      <w:r>
        <w:rPr>
          <w:noProof/>
        </w:rPr>
        <w:t>1.</w:t>
      </w:r>
      <w:r>
        <w:rPr>
          <w:noProof/>
        </w:rPr>
        <w:tab/>
        <w:t>Tässä asetuksessa tarkoitetaan:</w:t>
      </w:r>
    </w:p>
    <w:p>
      <w:pPr>
        <w:pStyle w:val="Point1"/>
        <w:rPr>
          <w:noProof/>
        </w:rPr>
      </w:pPr>
      <w:r>
        <w:rPr>
          <w:noProof/>
        </w:rPr>
        <w:t>1)</w:t>
      </w:r>
      <w:r>
        <w:rPr>
          <w:noProof/>
        </w:rPr>
        <w:tab/>
        <w:t>’tislatulla alkoholijuomalla’ alkoholijuomaa, joka on seuraavien vaatimusten mukainen:</w:t>
      </w:r>
    </w:p>
    <w:p>
      <w:pPr>
        <w:pStyle w:val="Point2"/>
        <w:rPr>
          <w:noProof/>
        </w:rPr>
      </w:pPr>
      <w:r>
        <w:rPr>
          <w:noProof/>
        </w:rPr>
        <w:t>a)</w:t>
      </w:r>
      <w:r>
        <w:rPr>
          <w:noProof/>
        </w:rPr>
        <w:tab/>
        <w:t>se on tarkoitettu nautittavaksi;</w:t>
      </w:r>
    </w:p>
    <w:p>
      <w:pPr>
        <w:pStyle w:val="Point2"/>
        <w:rPr>
          <w:rFonts w:cs="TimesNewRoman"/>
          <w:noProof/>
        </w:rPr>
      </w:pPr>
      <w:r>
        <w:rPr>
          <w:noProof/>
        </w:rPr>
        <w:t>b)</w:t>
      </w:r>
      <w:r>
        <w:rPr>
          <w:noProof/>
        </w:rPr>
        <w:tab/>
        <w:t>sillä on erityiset aistinvaraiset ominaisuudet;</w:t>
      </w:r>
    </w:p>
    <w:p>
      <w:pPr>
        <w:pStyle w:val="Point2"/>
        <w:rPr>
          <w:i/>
          <w:noProof/>
        </w:rPr>
      </w:pPr>
      <w:r>
        <w:rPr>
          <w:noProof/>
        </w:rPr>
        <w:t>c)</w:t>
      </w:r>
      <w:r>
        <w:rPr>
          <w:noProof/>
        </w:rPr>
        <w:tab/>
        <w:t>sen alkoholipitoisuus on vähintään 15 tilavuusprosenttia, lukuun ottamatta liitteessä II olevassa I osassa mainitun luokan 42 tislattuja alkoholijuomia;</w:t>
      </w:r>
    </w:p>
    <w:p>
      <w:pPr>
        <w:pStyle w:val="Point2"/>
        <w:rPr>
          <w:rFonts w:cs="TimesNewRoman"/>
          <w:noProof/>
        </w:rPr>
      </w:pPr>
      <w:r>
        <w:rPr>
          <w:noProof/>
        </w:rPr>
        <w:t>d)</w:t>
      </w:r>
      <w:r>
        <w:rPr>
          <w:noProof/>
        </w:rPr>
        <w:tab/>
        <w:t>se on valmistettu joko</w:t>
      </w:r>
    </w:p>
    <w:p>
      <w:pPr>
        <w:pStyle w:val="PointDouble2"/>
        <w:ind w:left="2694" w:hanging="567"/>
        <w:rPr>
          <w:noProof/>
        </w:rPr>
      </w:pPr>
      <w:r>
        <w:rPr>
          <w:noProof/>
        </w:rPr>
        <w:t>i)</w:t>
      </w:r>
      <w:r>
        <w:rPr>
          <w:noProof/>
        </w:rPr>
        <w:tab/>
        <w:t>suoraan jollakin seuraavista menetelmistä:</w:t>
      </w:r>
    </w:p>
    <w:p>
      <w:pPr>
        <w:pStyle w:val="Tiret3"/>
        <w:numPr>
          <w:ilvl w:val="0"/>
          <w:numId w:val="10"/>
        </w:numPr>
        <w:tabs>
          <w:tab w:val="clear" w:pos="2551"/>
          <w:tab w:val="num" w:pos="3262"/>
        </w:tabs>
        <w:ind w:left="3261"/>
        <w:rPr>
          <w:noProof/>
        </w:rPr>
      </w:pPr>
      <w:r>
        <w:rPr>
          <w:noProof/>
        </w:rPr>
        <w:t>tislaamalla luonnollisia käymistuotteita lisättyjen aromien kanssa tai ilman,</w:t>
      </w:r>
    </w:p>
    <w:p>
      <w:pPr>
        <w:pStyle w:val="Tiret3"/>
        <w:numPr>
          <w:ilvl w:val="0"/>
          <w:numId w:val="13"/>
        </w:numPr>
        <w:tabs>
          <w:tab w:val="clear" w:pos="2551"/>
          <w:tab w:val="num" w:pos="3261"/>
        </w:tabs>
        <w:ind w:left="3261"/>
        <w:rPr>
          <w:rFonts w:cs="TimesNewRoman"/>
          <w:noProof/>
        </w:rPr>
      </w:pPr>
      <w:r>
        <w:rPr>
          <w:noProof/>
        </w:rPr>
        <w:t>maseroimalla tai käsittelemällä vastaavasti kasviperäisiä aineita maatalousperäisessä etyylialkoholissa, maatalousperäisessä tisleessä tai tässä asetuksessa tarkoitetussa tislatussa alkoholijuomassa tai tällaisten tislattujen alkoholijuomien sekoituksessa,</w:t>
      </w:r>
    </w:p>
    <w:p>
      <w:pPr>
        <w:pStyle w:val="Tiret3"/>
        <w:numPr>
          <w:ilvl w:val="0"/>
          <w:numId w:val="13"/>
        </w:numPr>
        <w:tabs>
          <w:tab w:val="clear" w:pos="2551"/>
          <w:tab w:val="num" w:pos="3261"/>
        </w:tabs>
        <w:ind w:left="3261"/>
        <w:rPr>
          <w:noProof/>
        </w:rPr>
      </w:pPr>
      <w:r>
        <w:rPr>
          <w:noProof/>
        </w:rPr>
        <w:t>lisäämällä maatalousperäiseen etyylialkoholiin, maatalousperäiseen tisleeseen tai tislattuun alkoholijuomaan jotakin seuraavista:</w:t>
      </w:r>
    </w:p>
    <w:p>
      <w:pPr>
        <w:pStyle w:val="Tiret4"/>
        <w:numPr>
          <w:ilvl w:val="0"/>
          <w:numId w:val="11"/>
        </w:numPr>
        <w:tabs>
          <w:tab w:val="clear" w:pos="3118"/>
          <w:tab w:val="num" w:pos="3828"/>
        </w:tabs>
        <w:ind w:left="3828"/>
        <w:rPr>
          <w:noProof/>
        </w:rPr>
      </w:pPr>
      <w:r>
        <w:rPr>
          <w:noProof/>
        </w:rPr>
        <w:t>aromit,</w:t>
      </w:r>
    </w:p>
    <w:p>
      <w:pPr>
        <w:pStyle w:val="Tiret4"/>
        <w:numPr>
          <w:ilvl w:val="0"/>
          <w:numId w:val="14"/>
        </w:numPr>
        <w:tabs>
          <w:tab w:val="clear" w:pos="3118"/>
          <w:tab w:val="num" w:pos="3828"/>
        </w:tabs>
        <w:ind w:left="3828"/>
        <w:rPr>
          <w:noProof/>
        </w:rPr>
      </w:pPr>
      <w:r>
        <w:rPr>
          <w:noProof/>
        </w:rPr>
        <w:t>väriaineet,</w:t>
      </w:r>
    </w:p>
    <w:p>
      <w:pPr>
        <w:pStyle w:val="Tiret4"/>
        <w:numPr>
          <w:ilvl w:val="0"/>
          <w:numId w:val="14"/>
        </w:numPr>
        <w:tabs>
          <w:tab w:val="clear" w:pos="3118"/>
          <w:tab w:val="num" w:pos="3828"/>
        </w:tabs>
        <w:ind w:left="3828"/>
        <w:rPr>
          <w:noProof/>
        </w:rPr>
      </w:pPr>
      <w:r>
        <w:rPr>
          <w:noProof/>
        </w:rPr>
        <w:t>sokeri tai muut makeuttavat tuotteet,</w:t>
      </w:r>
    </w:p>
    <w:p>
      <w:pPr>
        <w:pStyle w:val="Tiret4"/>
        <w:numPr>
          <w:ilvl w:val="0"/>
          <w:numId w:val="14"/>
        </w:numPr>
        <w:tabs>
          <w:tab w:val="clear" w:pos="3118"/>
          <w:tab w:val="num" w:pos="3828"/>
        </w:tabs>
        <w:ind w:left="3828"/>
        <w:rPr>
          <w:noProof/>
        </w:rPr>
      </w:pPr>
      <w:r>
        <w:rPr>
          <w:noProof/>
        </w:rPr>
        <w:t>muut maataloustuotteet,</w:t>
      </w:r>
    </w:p>
    <w:p>
      <w:pPr>
        <w:pStyle w:val="Tiret4"/>
        <w:numPr>
          <w:ilvl w:val="0"/>
          <w:numId w:val="14"/>
        </w:numPr>
        <w:tabs>
          <w:tab w:val="clear" w:pos="3118"/>
          <w:tab w:val="num" w:pos="3828"/>
        </w:tabs>
        <w:ind w:left="3828"/>
        <w:rPr>
          <w:rFonts w:cs="TimesNewRoman"/>
          <w:noProof/>
        </w:rPr>
      </w:pPr>
      <w:r>
        <w:rPr>
          <w:noProof/>
        </w:rPr>
        <w:t>elintarvikkeet, tai</w:t>
      </w:r>
    </w:p>
    <w:p>
      <w:pPr>
        <w:pStyle w:val="PointDouble2"/>
        <w:ind w:left="2694" w:hanging="567"/>
        <w:rPr>
          <w:rFonts w:cs="TimesNewRoman"/>
          <w:noProof/>
        </w:rPr>
      </w:pPr>
      <w:r>
        <w:rPr>
          <w:noProof/>
        </w:rPr>
        <w:t>ii)</w:t>
      </w:r>
      <w:r>
        <w:rPr>
          <w:noProof/>
        </w:rPr>
        <w:tab/>
        <w:t>lisäämällä tislattuun alkoholijuomaan jotakin seuraavista:</w:t>
      </w:r>
    </w:p>
    <w:p>
      <w:pPr>
        <w:pStyle w:val="Tiret3"/>
        <w:numPr>
          <w:ilvl w:val="0"/>
          <w:numId w:val="13"/>
        </w:numPr>
        <w:tabs>
          <w:tab w:val="clear" w:pos="2551"/>
          <w:tab w:val="num" w:pos="3262"/>
        </w:tabs>
        <w:ind w:left="3261"/>
        <w:rPr>
          <w:rFonts w:cs="TimesNewRoman"/>
          <w:noProof/>
        </w:rPr>
      </w:pPr>
      <w:r>
        <w:rPr>
          <w:noProof/>
        </w:rPr>
        <w:t>muu tislattu alkoholijuoma,</w:t>
      </w:r>
    </w:p>
    <w:p>
      <w:pPr>
        <w:pStyle w:val="Tiret3"/>
        <w:numPr>
          <w:ilvl w:val="0"/>
          <w:numId w:val="13"/>
        </w:numPr>
        <w:tabs>
          <w:tab w:val="clear" w:pos="2551"/>
          <w:tab w:val="num" w:pos="3262"/>
        </w:tabs>
        <w:ind w:left="3261"/>
        <w:rPr>
          <w:rFonts w:cs="TimesNewRoman"/>
          <w:noProof/>
        </w:rPr>
      </w:pPr>
      <w:r>
        <w:rPr>
          <w:noProof/>
        </w:rPr>
        <w:t>maatalousperäinen etyylialkoholi,</w:t>
      </w:r>
    </w:p>
    <w:p>
      <w:pPr>
        <w:pStyle w:val="Tiret3"/>
        <w:numPr>
          <w:ilvl w:val="0"/>
          <w:numId w:val="13"/>
        </w:numPr>
        <w:tabs>
          <w:tab w:val="clear" w:pos="2551"/>
          <w:tab w:val="num" w:pos="3262"/>
        </w:tabs>
        <w:ind w:left="3261"/>
        <w:rPr>
          <w:rFonts w:cs="TimesNewRoman"/>
          <w:noProof/>
        </w:rPr>
      </w:pPr>
      <w:r>
        <w:rPr>
          <w:noProof/>
        </w:rPr>
        <w:t>maatalousperäinen tisle,</w:t>
      </w:r>
    </w:p>
    <w:p>
      <w:pPr>
        <w:pStyle w:val="Tiret3"/>
        <w:numPr>
          <w:ilvl w:val="0"/>
          <w:numId w:val="13"/>
        </w:numPr>
        <w:tabs>
          <w:tab w:val="clear" w:pos="2551"/>
          <w:tab w:val="num" w:pos="3262"/>
        </w:tabs>
        <w:ind w:left="3261"/>
        <w:rPr>
          <w:rFonts w:cs="TimesNewRoman"/>
          <w:noProof/>
        </w:rPr>
      </w:pPr>
      <w:r>
        <w:rPr>
          <w:noProof/>
        </w:rPr>
        <w:t>muut elintarvikkeet;</w:t>
      </w:r>
    </w:p>
    <w:p>
      <w:pPr>
        <w:pStyle w:val="Point2"/>
        <w:rPr>
          <w:noProof/>
        </w:rPr>
      </w:pPr>
      <w:r>
        <w:rPr>
          <w:noProof/>
        </w:rPr>
        <w:t>e)</w:t>
      </w:r>
      <w:r>
        <w:rPr>
          <w:noProof/>
        </w:rPr>
        <w:tab/>
        <w:t>se ei kuulu CN-koodiin 2203, 2204, 2205, 2206 eikä 2207;</w:t>
      </w:r>
    </w:p>
    <w:p>
      <w:pPr>
        <w:pStyle w:val="Point1"/>
        <w:rPr>
          <w:rFonts w:cs="TimesNewRoman"/>
          <w:noProof/>
        </w:rPr>
      </w:pPr>
      <w:r>
        <w:rPr>
          <w:noProof/>
        </w:rPr>
        <w:t>2)</w:t>
      </w:r>
      <w:r>
        <w:rPr>
          <w:noProof/>
        </w:rPr>
        <w:tab/>
        <w:t>’myyntinimityksellä’ nimitystä, jolla tislattua alkoholijuomaa myydään;</w:t>
      </w:r>
    </w:p>
    <w:p>
      <w:pPr>
        <w:pStyle w:val="Point1"/>
        <w:rPr>
          <w:noProof/>
        </w:rPr>
      </w:pPr>
      <w:r>
        <w:rPr>
          <w:noProof/>
        </w:rPr>
        <w:t>3)</w:t>
      </w:r>
      <w:r>
        <w:rPr>
          <w:noProof/>
        </w:rPr>
        <w:tab/>
        <w:t>’sekoituksella’ liitteessä II olevassa I osassa lueteltua tai maantieteellisellä merkinnällä varustettua tislattua alkoholijuomaa, johon on sekoitettu jotakin seuraavista:</w:t>
      </w:r>
    </w:p>
    <w:p>
      <w:pPr>
        <w:pStyle w:val="Point2"/>
        <w:rPr>
          <w:rFonts w:cs="TimesNewRoman"/>
          <w:noProof/>
        </w:rPr>
      </w:pPr>
      <w:r>
        <w:rPr>
          <w:noProof/>
        </w:rPr>
        <w:t>a)</w:t>
      </w:r>
      <w:r>
        <w:rPr>
          <w:noProof/>
        </w:rPr>
        <w:tab/>
        <w:t>muut tislatut alkoholijuomat, jotka eivät kuulu samaan liitteessä II olevassa I osassa lueteltuun luokkaan;</w:t>
      </w:r>
    </w:p>
    <w:p>
      <w:pPr>
        <w:pStyle w:val="Point2"/>
        <w:rPr>
          <w:rFonts w:cs="TimesNewRoman"/>
          <w:noProof/>
        </w:rPr>
      </w:pPr>
      <w:r>
        <w:rPr>
          <w:noProof/>
        </w:rPr>
        <w:t>b)</w:t>
      </w:r>
      <w:r>
        <w:rPr>
          <w:noProof/>
        </w:rPr>
        <w:tab/>
        <w:t>maatalousperäinen tisle;</w:t>
      </w:r>
    </w:p>
    <w:p>
      <w:pPr>
        <w:pStyle w:val="Point1"/>
        <w:rPr>
          <w:rFonts w:cs="TimesNewRoman"/>
          <w:noProof/>
        </w:rPr>
      </w:pPr>
      <w:r>
        <w:rPr>
          <w:noProof/>
        </w:rPr>
        <w:t>4)</w:t>
      </w:r>
      <w:r>
        <w:rPr>
          <w:noProof/>
        </w:rPr>
        <w:tab/>
        <w:t>’yhdistetyllä ilmaisulla’ liitteessä II olevassa I osassa säädetyn tislatun alkoholijuoman myyntinimityksessä esiintyvien ilmaisujen tai tislattua alkoholijuomaa, josta kaikki lopputuotteen alkoholi on peräisin, kuvaavassa maantieteellisessä merkinnässä esiintyvien ilmaisujen ja jonkin seuraavista yhdistelmää:</w:t>
      </w:r>
    </w:p>
    <w:p>
      <w:pPr>
        <w:pStyle w:val="Point2"/>
        <w:rPr>
          <w:rFonts w:cs="TimesNewRoman"/>
          <w:noProof/>
        </w:rPr>
      </w:pPr>
      <w:r>
        <w:rPr>
          <w:noProof/>
        </w:rPr>
        <w:t>a)</w:t>
      </w:r>
      <w:r>
        <w:rPr>
          <w:noProof/>
        </w:rPr>
        <w:tab/>
        <w:t>yhden tai useamman sellaisen elintarvikkeen nimi, jota ei ole käytetty kyseisen tislatun alkoholijuoman tuotantoon liitteen II mukaisesti, tai kyseisistä nimistä johdetut adjektiivit;</w:t>
      </w:r>
    </w:p>
    <w:p>
      <w:pPr>
        <w:pStyle w:val="Point2"/>
        <w:rPr>
          <w:rFonts w:cs="TimesNewRoman"/>
          <w:noProof/>
        </w:rPr>
      </w:pPr>
      <w:r>
        <w:rPr>
          <w:noProof/>
        </w:rPr>
        <w:t>b)</w:t>
      </w:r>
      <w:r>
        <w:rPr>
          <w:noProof/>
        </w:rPr>
        <w:tab/>
        <w:t>ilmaisu ’likööri’;</w:t>
      </w:r>
    </w:p>
    <w:p>
      <w:pPr>
        <w:pStyle w:val="Point1"/>
        <w:rPr>
          <w:noProof/>
        </w:rPr>
      </w:pPr>
      <w:r>
        <w:rPr>
          <w:noProof/>
        </w:rPr>
        <w:t>5)</w:t>
      </w:r>
      <w:r>
        <w:rPr>
          <w:noProof/>
        </w:rPr>
        <w:tab/>
        <w:t>’viittauksella’ yhteen tai useampaan liitteessä II olevassa I osassa lueteltuun tislattuun alkoholijuomaan tai maantieteelliseen merkintään tehtyä suoraa tai välillistä viittausta, joka on muu kuin yhdistetyssä ilmaisussa tai 8 artiklan 6 kohdassa tarkoitetussa ainesosien luettelossa oleva viittaus;</w:t>
      </w:r>
    </w:p>
    <w:p>
      <w:pPr>
        <w:pStyle w:val="Point1"/>
        <w:rPr>
          <w:noProof/>
        </w:rPr>
      </w:pPr>
      <w:r>
        <w:rPr>
          <w:noProof/>
        </w:rPr>
        <w:t>6)</w:t>
      </w:r>
      <w:r>
        <w:rPr>
          <w:noProof/>
        </w:rPr>
        <w:tab/>
        <w:t>’maantieteellisellä merkinnällä’ mainintaa, joka osoittaa tislatun alkoholijuoman olevan peräisin tietyltä maan alueelta tai tietyltä seudulta taikka joltakin tuon alueen paikkakunnalta, jos kyseisen tislatun alkoholijuoman tunnettu laatu, maine tai muu ominaisuus liittyy olennaisella tavalla tislatun alkoholijuoman maantieteelliseen alkuperään;</w:t>
      </w:r>
    </w:p>
    <w:p>
      <w:pPr>
        <w:pStyle w:val="Point1"/>
        <w:rPr>
          <w:noProof/>
        </w:rPr>
      </w:pPr>
      <w:r>
        <w:rPr>
          <w:noProof/>
        </w:rPr>
        <w:t>7)</w:t>
      </w:r>
      <w:r>
        <w:rPr>
          <w:noProof/>
        </w:rPr>
        <w:tab/>
        <w:t>’tuote-eritelmällä’ maantieteellisen merkinnän suojahakemukseen liitettyä asiakirjaa, joka sisältää eritelmän, jonka mukainen tislatun alkoholijuoman on oltava;</w:t>
      </w:r>
    </w:p>
    <w:p>
      <w:pPr>
        <w:pStyle w:val="Point1"/>
        <w:rPr>
          <w:rFonts w:cs="TimesNewRoman"/>
          <w:noProof/>
        </w:rPr>
      </w:pPr>
      <w:r>
        <w:rPr>
          <w:noProof/>
        </w:rPr>
        <w:t>8)</w:t>
      </w:r>
      <w:r>
        <w:rPr>
          <w:noProof/>
        </w:rPr>
        <w:tab/>
        <w:t>’esittelyllä’ ilmaisuja, joita käytetään merkinnöissä ja pakkauksessa sekä mainonnassa ja myynninedistämisessä, kuvissa tai vastaavissa ja säiliöissä mukaan lukien pullot ja sulkimet;</w:t>
      </w:r>
    </w:p>
    <w:p>
      <w:pPr>
        <w:pStyle w:val="Point1"/>
        <w:rPr>
          <w:noProof/>
        </w:rPr>
      </w:pPr>
      <w:r>
        <w:rPr>
          <w:noProof/>
        </w:rPr>
        <w:t>9)</w:t>
      </w:r>
      <w:r>
        <w:rPr>
          <w:noProof/>
        </w:rPr>
        <w:tab/>
        <w:t>’merkinnöillä’ tislattuun alkoholijuomaan liittyvää mainintaa, tietoa, tavaramerkkiä, kaupallista merkkiä, kuvaa tai tunnusta, joka on tehty mihin tahansa kyseistä tislattua alkoholijuomaa seuraavaan tai siihen viittaavaan pakkaukseen, asiakirjaan, tiedotteeseen, etikettiin, renkaaseen tai kaulukseen;</w:t>
      </w:r>
    </w:p>
    <w:p>
      <w:pPr>
        <w:pStyle w:val="Point1"/>
        <w:rPr>
          <w:noProof/>
        </w:rPr>
      </w:pPr>
      <w:r>
        <w:rPr>
          <w:noProof/>
        </w:rPr>
        <w:t>10)</w:t>
      </w:r>
      <w:r>
        <w:rPr>
          <w:noProof/>
        </w:rPr>
        <w:tab/>
        <w:t>’etiketillä’ mitä tahansa elintarvikkeen pakkaukseen tai astiaan kirjoitettua, painettua, kaavaimella tehtyä, leimattua, kohokuvioitua, kuvioitua tai liitettyä lappua, merkkiä, kuvaa tai muuta kuvausta;</w:t>
      </w:r>
    </w:p>
    <w:p>
      <w:pPr>
        <w:pStyle w:val="Point1"/>
        <w:rPr>
          <w:noProof/>
        </w:rPr>
      </w:pPr>
      <w:r>
        <w:rPr>
          <w:noProof/>
        </w:rPr>
        <w:t>11)</w:t>
      </w:r>
      <w:r>
        <w:rPr>
          <w:noProof/>
        </w:rPr>
        <w:tab/>
        <w:t>’nimityksellä, josta on tullut yleisnimi’ tislatun alkoholijuoman nimeä, joka on muuttunut tislatun alkoholijuoman yleisnimeksi unionissa siitä huolimatta, että se liittyy siihen paikkakuntaan tai alueeseen, jossa tuotetta alun perin tuotettiin tai pidettiin kaupan.</w:t>
      </w:r>
    </w:p>
    <w:p>
      <w:pPr>
        <w:pStyle w:val="ManualNumPar1"/>
        <w:rPr>
          <w:rFonts w:cs="TimesNewRoman"/>
          <w:noProof/>
        </w:rPr>
      </w:pPr>
      <w:r>
        <w:rPr>
          <w:noProof/>
        </w:rPr>
        <w:t>2.</w:t>
      </w:r>
      <w:r>
        <w:rPr>
          <w:noProof/>
        </w:rPr>
        <w:tab/>
        <w:t>Lisäksi sovelletaan liitteessä I olevia teknisiä määritelmiä.</w:t>
      </w:r>
    </w:p>
    <w:p>
      <w:pPr>
        <w:pStyle w:val="Titrearticle"/>
        <w:rPr>
          <w:rFonts w:cs="TimesNewRomanItalic"/>
          <w:i w:val="0"/>
          <w:iCs/>
          <w:noProof/>
        </w:rPr>
      </w:pPr>
      <w:r>
        <w:rPr>
          <w:noProof/>
        </w:rPr>
        <w:t>3 artikla</w:t>
      </w:r>
    </w:p>
    <w:p>
      <w:pPr>
        <w:pStyle w:val="NormalCentered"/>
        <w:rPr>
          <w:rFonts w:cs="TimesNewRomanBold"/>
          <w:bCs/>
          <w:i/>
          <w:noProof/>
        </w:rPr>
      </w:pPr>
      <w:r>
        <w:rPr>
          <w:b/>
          <w:noProof/>
        </w:rPr>
        <w:t>Alkoholijuomissa käytetyn etyylialkoholin ja tisleen alkuperä</w:t>
      </w:r>
    </w:p>
    <w:p>
      <w:pPr>
        <w:pStyle w:val="ManualNumPar1"/>
        <w:rPr>
          <w:rFonts w:cs="TimesNewRoman"/>
          <w:noProof/>
        </w:rPr>
      </w:pPr>
      <w:r>
        <w:rPr>
          <w:noProof/>
        </w:rPr>
        <w:t>1.</w:t>
      </w:r>
      <w:r>
        <w:rPr>
          <w:noProof/>
        </w:rPr>
        <w:tab/>
        <w:t>Alkoholin, jota käytetään alkoholijuomien valmistuksessa ja väriaineiden, aromien tai muiden alkoholijuomien valmistuksessa käytettävien sallittujen lisäaineiden laimentamiseen tai liuottamiseen, on oltava maatalousperäistä etyylialkoholia.</w:t>
      </w:r>
    </w:p>
    <w:p>
      <w:pPr>
        <w:pStyle w:val="ManualNumPar1"/>
        <w:rPr>
          <w:rFonts w:cs="TimesNewRoman"/>
          <w:noProof/>
        </w:rPr>
      </w:pPr>
      <w:r>
        <w:rPr>
          <w:noProof/>
        </w:rPr>
        <w:t>2.</w:t>
      </w:r>
      <w:r>
        <w:rPr>
          <w:noProof/>
        </w:rPr>
        <w:tab/>
        <w:t>Tisleen, jota käytetään alkoholijuomien valmistuksessa ja väriaineiden, aromien tai muiden alkoholijuomien valmistuksessa käytettävien sallittujen lisäaineiden laimentamiseen tai liuottamiseen, on oltava yksinomaan maatalousperäistä.</w:t>
      </w:r>
    </w:p>
    <w:p>
      <w:pPr>
        <w:pStyle w:val="Titrearticle"/>
        <w:rPr>
          <w:rFonts w:cs="TimesNewRomanItalic"/>
          <w:i w:val="0"/>
          <w:iCs/>
          <w:noProof/>
        </w:rPr>
      </w:pPr>
      <w:r>
        <w:rPr>
          <w:noProof/>
        </w:rPr>
        <w:t>4 artikla</w:t>
      </w:r>
    </w:p>
    <w:p>
      <w:pPr>
        <w:pStyle w:val="NormalCentered"/>
        <w:rPr>
          <w:rFonts w:cs="TimesNewRomanBold"/>
          <w:b/>
          <w:bCs/>
          <w:noProof/>
        </w:rPr>
      </w:pPr>
      <w:r>
        <w:rPr>
          <w:b/>
          <w:noProof/>
        </w:rPr>
        <w:t>Tislattujen alkoholijuomien luokat</w:t>
      </w:r>
    </w:p>
    <w:p>
      <w:pPr>
        <w:pStyle w:val="ManualNumPar1"/>
        <w:rPr>
          <w:rFonts w:cs="TimesNewRoman"/>
          <w:i/>
          <w:noProof/>
        </w:rPr>
      </w:pPr>
      <w:r>
        <w:rPr>
          <w:noProof/>
        </w:rPr>
        <w:t>1.</w:t>
      </w:r>
      <w:r>
        <w:rPr>
          <w:noProof/>
        </w:rPr>
        <w:tab/>
        <w:t>Rajoittamatta liitteessä II olevassa I osassa mainittujen tislattujen alkoholijuomien luokkien 1–14 osalta vahvistettujen erityissääntöjen soveltamista kyseisiin luokkiin kuuluvien tislattujen alkoholijuomien on oltava seuraavien vaatimusten mukaisia:</w:t>
      </w:r>
    </w:p>
    <w:p>
      <w:pPr>
        <w:pStyle w:val="Point1"/>
        <w:rPr>
          <w:noProof/>
        </w:rPr>
      </w:pPr>
      <w:r>
        <w:rPr>
          <w:noProof/>
        </w:rPr>
        <w:t>a)</w:t>
      </w:r>
      <w:r>
        <w:rPr>
          <w:noProof/>
        </w:rPr>
        <w:tab/>
        <w:t>ne on tuotettu alkoholikäymisellä ja tislaamalla yksinomaan kyseisen luokan osalta säädetyistä raaka-aineista;</w:t>
      </w:r>
    </w:p>
    <w:p>
      <w:pPr>
        <w:pStyle w:val="Point1"/>
        <w:rPr>
          <w:rFonts w:cs="TimesNewRoman"/>
          <w:noProof/>
        </w:rPr>
      </w:pPr>
      <w:r>
        <w:rPr>
          <w:noProof/>
        </w:rPr>
        <w:t>b)</w:t>
      </w:r>
      <w:r>
        <w:rPr>
          <w:noProof/>
        </w:rPr>
        <w:tab/>
        <w:t>niihin ei ole lisätty laimennettua eikä laimentamatonta alkoholia siten kuin liitteessä I olevassa 4 kohdassa on määritelty;</w:t>
      </w:r>
    </w:p>
    <w:p>
      <w:pPr>
        <w:pStyle w:val="Point1"/>
        <w:rPr>
          <w:noProof/>
        </w:rPr>
      </w:pPr>
      <w:r>
        <w:rPr>
          <w:noProof/>
        </w:rPr>
        <w:t>c)</w:t>
      </w:r>
      <w:r>
        <w:rPr>
          <w:noProof/>
        </w:rPr>
        <w:tab/>
        <w:t>ne eivät sisällä liitteessä I olevassa 8 kohdassa määriteltyjä aromeja;</w:t>
      </w:r>
    </w:p>
    <w:p>
      <w:pPr>
        <w:pStyle w:val="Point1"/>
        <w:rPr>
          <w:rFonts w:cs="TimesNewRoman"/>
          <w:noProof/>
        </w:rPr>
      </w:pPr>
      <w:r>
        <w:rPr>
          <w:noProof/>
        </w:rPr>
        <w:t>d)</w:t>
      </w:r>
      <w:r>
        <w:rPr>
          <w:noProof/>
        </w:rPr>
        <w:tab/>
        <w:t>niissä on sokerikulööriä vain värin mukauttamiseksi;</w:t>
      </w:r>
    </w:p>
    <w:p>
      <w:pPr>
        <w:pStyle w:val="Point1"/>
        <w:rPr>
          <w:rFonts w:cs="TimesNewRoman"/>
          <w:i/>
          <w:noProof/>
        </w:rPr>
      </w:pPr>
      <w:r>
        <w:rPr>
          <w:noProof/>
        </w:rPr>
        <w:t>e)</w:t>
      </w:r>
      <w:r>
        <w:rPr>
          <w:noProof/>
        </w:rPr>
        <w:tab/>
        <w:t>ne on makeutettu yksinomaan liitteessä I olevan 3 kohdan mukaisesti ja tuotteen loppumaun pyöristämiseksi.</w:t>
      </w:r>
    </w:p>
    <w:p>
      <w:pPr>
        <w:pStyle w:val="ManualNumPar1"/>
        <w:ind w:left="851" w:hanging="851"/>
        <w:rPr>
          <w:rFonts w:cs="TimesNewRoman"/>
          <w:i/>
          <w:noProof/>
        </w:rPr>
      </w:pPr>
      <w:r>
        <w:rPr>
          <w:noProof/>
        </w:rPr>
        <w:t>2.</w:t>
      </w:r>
      <w:r>
        <w:rPr>
          <w:noProof/>
        </w:rPr>
        <w:tab/>
        <w:t>Rajoittamatta liitteessä II olevassa I osassa mainittujen tislattujen alkoholijuomien luokkien 15–47 osalta vahvistettujen erityissääntöjen soveltamista kyseisiin luokkiin kuuluvat tislatut alkoholijuomat voivat</w:t>
      </w:r>
    </w:p>
    <w:p>
      <w:pPr>
        <w:pStyle w:val="Point1"/>
        <w:rPr>
          <w:noProof/>
        </w:rPr>
      </w:pPr>
      <w:r>
        <w:rPr>
          <w:noProof/>
        </w:rPr>
        <w:t>a)</w:t>
      </w:r>
      <w:r>
        <w:rPr>
          <w:noProof/>
        </w:rPr>
        <w:tab/>
        <w:t>olla valmistettuja mistä tahansa perussopimuksen liitteessä I luetellusta maatalouden raaka-aineesta;</w:t>
      </w:r>
    </w:p>
    <w:p>
      <w:pPr>
        <w:pStyle w:val="Point1"/>
        <w:rPr>
          <w:rFonts w:cs="TimesNewRoman"/>
          <w:noProof/>
        </w:rPr>
      </w:pPr>
      <w:r>
        <w:rPr>
          <w:noProof/>
        </w:rPr>
        <w:t>b)</w:t>
      </w:r>
      <w:r>
        <w:rPr>
          <w:noProof/>
        </w:rPr>
        <w:tab/>
        <w:t>sisältää lisättyä alkoholia siten kuin liitteessä I olevassa 4 kohdassa on määritelty;</w:t>
      </w:r>
    </w:p>
    <w:p>
      <w:pPr>
        <w:pStyle w:val="Point1"/>
        <w:rPr>
          <w:rFonts w:cs="TimesNewRoman"/>
          <w:noProof/>
        </w:rPr>
      </w:pPr>
      <w:r>
        <w:rPr>
          <w:noProof/>
        </w:rPr>
        <w:t>c)</w:t>
      </w:r>
      <w:r>
        <w:rPr>
          <w:noProof/>
        </w:rPr>
        <w:tab/>
        <w:t>sisältää liitteessä I olevassa 8 kohdassa määriteltyjä aromeja;</w:t>
      </w:r>
    </w:p>
    <w:p>
      <w:pPr>
        <w:pStyle w:val="Point1"/>
        <w:rPr>
          <w:rFonts w:cs="TimesNewRoman"/>
          <w:noProof/>
        </w:rPr>
      </w:pPr>
      <w:r>
        <w:rPr>
          <w:noProof/>
        </w:rPr>
        <w:t>d)</w:t>
      </w:r>
      <w:r>
        <w:rPr>
          <w:noProof/>
        </w:rPr>
        <w:tab/>
        <w:t>olla värjättyjä liitteessä I olevassa 14 kohdassa määritellyllä tavalla;</w:t>
      </w:r>
    </w:p>
    <w:p>
      <w:pPr>
        <w:pStyle w:val="Point1"/>
        <w:rPr>
          <w:rFonts w:cs="TimesNewRoman"/>
          <w:noProof/>
        </w:rPr>
      </w:pPr>
      <w:r>
        <w:rPr>
          <w:noProof/>
        </w:rPr>
        <w:t>e)</w:t>
      </w:r>
      <w:r>
        <w:rPr>
          <w:noProof/>
        </w:rPr>
        <w:tab/>
        <w:t>olla tuotteen erityisominaisuuksien saavuttamiseksi makeutettuja liitteessä I olevan 3 kohdan mukaisesti ja ottaen huomioon jäsenvaltioiden asianomainen lainsäädäntö.</w:t>
      </w:r>
    </w:p>
    <w:p>
      <w:pPr>
        <w:pStyle w:val="ManualNumPar1"/>
        <w:ind w:left="851" w:hanging="851"/>
        <w:rPr>
          <w:rFonts w:cs="TimesNewRoman"/>
          <w:i/>
          <w:noProof/>
        </w:rPr>
      </w:pPr>
      <w:r>
        <w:rPr>
          <w:noProof/>
        </w:rPr>
        <w:t>3.</w:t>
      </w:r>
      <w:r>
        <w:rPr>
          <w:noProof/>
        </w:rPr>
        <w:tab/>
        <w:t>Rajoittamatta liitteessä II olevassa II osassa vahvistettujen erityissääntöjen soveltamista muut tislatut alkoholijuomat, jotka eivät ole liitteessä II olevassa I osassa lueteltujen luokkien osalta vahvistettujen erityissääntöjen mukaisia, voivat</w:t>
      </w:r>
    </w:p>
    <w:p>
      <w:pPr>
        <w:pStyle w:val="Point1"/>
        <w:rPr>
          <w:rFonts w:cs="TimesNewRoman"/>
          <w:noProof/>
        </w:rPr>
      </w:pPr>
      <w:r>
        <w:rPr>
          <w:noProof/>
        </w:rPr>
        <w:t>a)</w:t>
      </w:r>
      <w:r>
        <w:rPr>
          <w:noProof/>
        </w:rPr>
        <w:tab/>
        <w:t>olla valmistettuja mistä tahansa perussopimuksen liitteessä I luetellusta maatalousperäisestä raaka-aineesta tai ihmisravinnoksi soveltuvasta elintarvikkeesta tai molemmista;</w:t>
      </w:r>
    </w:p>
    <w:p>
      <w:pPr>
        <w:pStyle w:val="Point1"/>
        <w:rPr>
          <w:rFonts w:cs="TimesNewRoman"/>
          <w:noProof/>
        </w:rPr>
      </w:pPr>
      <w:r>
        <w:rPr>
          <w:noProof/>
        </w:rPr>
        <w:t>b)</w:t>
      </w:r>
      <w:r>
        <w:rPr>
          <w:noProof/>
        </w:rPr>
        <w:tab/>
        <w:t>sisältää lisättyä alkoholia siten kuin liitteessä I olevassa 4 kohdassa on määritelty;</w:t>
      </w:r>
    </w:p>
    <w:p>
      <w:pPr>
        <w:pStyle w:val="Point1"/>
        <w:rPr>
          <w:rFonts w:cs="TimesNewRoman"/>
          <w:noProof/>
        </w:rPr>
      </w:pPr>
      <w:r>
        <w:rPr>
          <w:noProof/>
        </w:rPr>
        <w:t>c)</w:t>
      </w:r>
      <w:r>
        <w:rPr>
          <w:noProof/>
        </w:rPr>
        <w:tab/>
        <w:t>sisältää liitteessä I olevassa 8 kohdassa määriteltyjä aromeja;</w:t>
      </w:r>
    </w:p>
    <w:p>
      <w:pPr>
        <w:pStyle w:val="Point1"/>
        <w:rPr>
          <w:rFonts w:cs="TimesNewRoman"/>
          <w:noProof/>
        </w:rPr>
      </w:pPr>
      <w:r>
        <w:rPr>
          <w:noProof/>
        </w:rPr>
        <w:t>d)</w:t>
      </w:r>
      <w:r>
        <w:rPr>
          <w:noProof/>
        </w:rPr>
        <w:tab/>
        <w:t>sisältää liitteessä I olevassa 13 kohdassa määriteltyjä väriaineita;</w:t>
      </w:r>
    </w:p>
    <w:p>
      <w:pPr>
        <w:pStyle w:val="Point1"/>
        <w:rPr>
          <w:rFonts w:cs="TimesNewRoman"/>
          <w:noProof/>
        </w:rPr>
      </w:pPr>
      <w:r>
        <w:rPr>
          <w:noProof/>
        </w:rPr>
        <w:t>e)</w:t>
      </w:r>
      <w:r>
        <w:rPr>
          <w:noProof/>
        </w:rPr>
        <w:tab/>
        <w:t>olla tuotteen erityisominaisuuksien saavuttamiseksi makeutettuja liitteessä I olevan 3 kohdan mukaisesti.</w:t>
      </w:r>
    </w:p>
    <w:p>
      <w:pPr>
        <w:pStyle w:val="Titrearticle"/>
        <w:rPr>
          <w:noProof/>
        </w:rPr>
      </w:pPr>
      <w:r>
        <w:rPr>
          <w:noProof/>
        </w:rPr>
        <w:t>5 artikla</w:t>
      </w:r>
    </w:p>
    <w:p>
      <w:pPr>
        <w:pStyle w:val="NormalCentered"/>
        <w:keepNext/>
        <w:rPr>
          <w:bCs/>
          <w:i/>
          <w:noProof/>
          <w:color w:val="000000"/>
        </w:rPr>
      </w:pPr>
      <w:r>
        <w:rPr>
          <w:b/>
          <w:noProof/>
        </w:rPr>
        <w:t>Siirretty säädösvalta</w:t>
      </w:r>
    </w:p>
    <w:p>
      <w:pPr>
        <w:pStyle w:val="ManualNumPar1"/>
        <w:rPr>
          <w:noProof/>
          <w:color w:val="000000"/>
        </w:rPr>
      </w:pPr>
      <w:r>
        <w:rPr>
          <w:noProof/>
          <w:color w:val="000000"/>
        </w:rPr>
        <w:t>1.</w:t>
      </w:r>
      <w:r>
        <w:rPr>
          <w:noProof/>
        </w:rPr>
        <w:tab/>
        <w:t>Siirretään komissiolle valta antaa 43 artiklan mukaisesti delegoituja säädöksiä, jotka koskevat</w:t>
      </w:r>
    </w:p>
    <w:p>
      <w:pPr>
        <w:pStyle w:val="Point1"/>
        <w:rPr>
          <w:noProof/>
        </w:rPr>
      </w:pPr>
      <w:r>
        <w:rPr>
          <w:noProof/>
        </w:rPr>
        <w:t>a)</w:t>
      </w:r>
      <w:r>
        <w:rPr>
          <w:noProof/>
        </w:rPr>
        <w:tab/>
        <w:t>liitteessä I säädettyjen teknisten määritelmien muuttamista;</w:t>
      </w:r>
    </w:p>
    <w:p>
      <w:pPr>
        <w:pStyle w:val="Point1"/>
        <w:rPr>
          <w:noProof/>
          <w:color w:val="000000"/>
        </w:rPr>
      </w:pPr>
      <w:r>
        <w:rPr>
          <w:noProof/>
        </w:rPr>
        <w:t>b)</w:t>
      </w:r>
      <w:r>
        <w:rPr>
          <w:noProof/>
        </w:rPr>
        <w:tab/>
      </w:r>
      <w:r>
        <w:rPr>
          <w:noProof/>
          <w:color w:val="000000"/>
        </w:rPr>
        <w:t xml:space="preserve">liitteessä II olevassa I osassa lueteltuja tislattujen alkoholijuomien luokkia koskevien vaatimusten ja tiettyjä liitteessä II olevassa II osassa lueteltuja tislattuja alkoholijuomia koskevien erityissääntöjen muuttamista. </w:t>
      </w:r>
    </w:p>
    <w:p>
      <w:pPr>
        <w:pStyle w:val="Text1"/>
        <w:rPr>
          <w:i/>
          <w:noProof/>
        </w:rPr>
      </w:pPr>
      <w:r>
        <w:rPr>
          <w:noProof/>
        </w:rPr>
        <w:t>Ensimmäisen kohdan a ja b alakohdassa tarkoitettujen delegoitujen säädösten on rajoituttava vain sellaisiin osoitettuihin tarpeisiin vastaamiseen, jotka johtuvat kuluttajien muuttuvista tarpeista, teknologisesta kehityksestä, asiaankuuluvien kansainvälisten standardien kehityksestä tai tuoteinnovoinnin tarpeista.</w:t>
      </w:r>
    </w:p>
    <w:p>
      <w:pPr>
        <w:pStyle w:val="Point1"/>
        <w:ind w:left="840" w:hanging="840"/>
        <w:rPr>
          <w:i/>
          <w:noProof/>
          <w:color w:val="000000"/>
        </w:rPr>
      </w:pPr>
      <w:r>
        <w:rPr>
          <w:noProof/>
        </w:rPr>
        <w:t>2.</w:t>
      </w:r>
      <w:r>
        <w:rPr>
          <w:noProof/>
        </w:rPr>
        <w:tab/>
        <w:t>Siirretään komissiolle valta antaa 43 artiklan mukaisesti sellaisia delegoituja säädöksiä, jotka koskevat tislattujen alkoholijuomien uusien luokkien lisäämistä liitteeseen II.</w:t>
      </w:r>
      <w:r>
        <w:rPr>
          <w:noProof/>
          <w:color w:val="000000"/>
        </w:rPr>
        <w:t xml:space="preserve"> </w:t>
      </w:r>
    </w:p>
    <w:p>
      <w:pPr>
        <w:pStyle w:val="Text1"/>
        <w:rPr>
          <w:noProof/>
        </w:rPr>
      </w:pPr>
      <w:r>
        <w:rPr>
          <w:noProof/>
        </w:rPr>
        <w:t>Uusi luokka voidaan lisätä seuraavin edellytyksin:</w:t>
      </w:r>
    </w:p>
    <w:p>
      <w:pPr>
        <w:pStyle w:val="Text1"/>
        <w:ind w:left="1435" w:hanging="585"/>
        <w:rPr>
          <w:noProof/>
        </w:rPr>
      </w:pPr>
      <w:r>
        <w:rPr>
          <w:noProof/>
        </w:rPr>
        <w:t>a)</w:t>
      </w:r>
      <w:r>
        <w:rPr>
          <w:noProof/>
        </w:rPr>
        <w:tab/>
        <w:t>tislatun alkoholijuoman kaupan pitäminen tietyllä nimellä ja tiettyjen yhdenmukaisten teknisten eritelmien mukaisesti on taloudelliselta ja tekniseltä kannalta tarpeen kuluttajien ja tuottajien etujen suojaamiseksi;</w:t>
      </w:r>
    </w:p>
    <w:p>
      <w:pPr>
        <w:pStyle w:val="Text1"/>
        <w:ind w:left="1435" w:hanging="585"/>
        <w:rPr>
          <w:noProof/>
        </w:rPr>
      </w:pPr>
      <w:r>
        <w:rPr>
          <w:noProof/>
        </w:rPr>
        <w:t>b)</w:t>
      </w:r>
      <w:r>
        <w:rPr>
          <w:noProof/>
        </w:rPr>
        <w:tab/>
        <w:t xml:space="preserve">tislatulla alkoholijuomalla on merkittävä markkinaosuus vähintään yhdessä jäsenvaltiossa; </w:t>
      </w:r>
    </w:p>
    <w:p>
      <w:pPr>
        <w:pStyle w:val="Text1"/>
        <w:ind w:left="1435" w:hanging="585"/>
        <w:rPr>
          <w:noProof/>
        </w:rPr>
      </w:pPr>
      <w:r>
        <w:rPr>
          <w:noProof/>
        </w:rPr>
        <w:t>c)</w:t>
      </w:r>
      <w:r>
        <w:rPr>
          <w:noProof/>
        </w:rPr>
        <w:tab/>
        <w:t xml:space="preserve">valitun nimen on joko oltava yleisesti käytössä oleva nimi, tai jos tämä ei ole mahdollista, nimen on oltava kuvaava ja siinä on erityisesti viitattava kyseisen tislatun alkoholijuoman tuotannossa käytettävään raaka-aineeseen; </w:t>
      </w:r>
    </w:p>
    <w:p>
      <w:pPr>
        <w:pStyle w:val="Text1"/>
        <w:ind w:left="1435" w:hanging="585"/>
        <w:rPr>
          <w:noProof/>
        </w:rPr>
      </w:pPr>
      <w:r>
        <w:rPr>
          <w:noProof/>
        </w:rPr>
        <w:t>d)</w:t>
      </w:r>
      <w:r>
        <w:rPr>
          <w:noProof/>
        </w:rPr>
        <w:tab/>
        <w:t xml:space="preserve">on vahvistettava uuteen luokkaan liittyvät tekniset eritelmät, jotka perustuvat nykyisen laadun arviointiin ja unionin markkinoilla käytettäviin tuotantoparametreihin. Teknisiä eritelmiä vahvistettaessa noudatetaan sovellettavaa unionin kuluttajansuojalainsäädäntöä ja otetaan huomioon mahdolliset asiaankuuluvat kansainväliset standardit. Niillä on varmistettava terve kilpailu unionin tuottajien kesken ja unionin tislattujen alkoholijuomien hyvä maine. </w:t>
      </w:r>
    </w:p>
    <w:p>
      <w:pPr>
        <w:pStyle w:val="ManualNumPar1"/>
        <w:rPr>
          <w:noProof/>
          <w:color w:val="000000"/>
        </w:rPr>
      </w:pPr>
      <w:r>
        <w:rPr>
          <w:noProof/>
        </w:rPr>
        <w:t xml:space="preserve">3. </w:t>
      </w:r>
      <w:r>
        <w:rPr>
          <w:noProof/>
        </w:rPr>
        <w:tab/>
        <w:t>Siirretään komissiolle valta antaa 43 artiklan mukaisesti myös delegoituja säädöksiä, jotka koskevat poikkeuksia liitteessä I vahvistettujen teknisten määritelmien mukaisista vaatimuksista, liitteessä II olevassa I osassa lueteltuja tislattujen alkoholijuomien luokkia koskevista vaatimuksista sekä tiettyjä liitteessä II olevassa II osassa lueteltuja tislattuja alkoholijuomia koskevista erityissäännöistä, kun kyseessä ovat poikkeustapaukset, joissa kolmansiin maihin kuuluvan tuojamaan lainsäädäntö edellyttää sitä.</w:t>
      </w:r>
    </w:p>
    <w:p>
      <w:pPr>
        <w:pStyle w:val="ChapterTitle"/>
        <w:rPr>
          <w:rFonts w:cs="TimesNewRomanBold"/>
          <w:b w:val="0"/>
          <w:bCs/>
          <w:noProof/>
        </w:rPr>
      </w:pPr>
      <w:r>
        <w:rPr>
          <w:noProof/>
        </w:rPr>
        <w:t>II LUKU</w:t>
      </w:r>
    </w:p>
    <w:p>
      <w:pPr>
        <w:jc w:val="center"/>
        <w:rPr>
          <w:rFonts w:cs="TimesNewRomanBold"/>
          <w:b/>
          <w:bCs/>
          <w:noProof/>
        </w:rPr>
      </w:pPr>
      <w:r>
        <w:rPr>
          <w:b/>
          <w:noProof/>
        </w:rPr>
        <w:t>TISLATTUJEN ALKOHOLIJUOMIEN ESITTELY JA MERKINNÄT SEKÄ TISLATTUJEN ALKOHOLIJUOMIEN NIMIEN KÄYTTÖ MUIDEN ELINTARVIKKEIDEN ESITTELYSSÄ JA MERKINNÖISSÄ</w:t>
      </w:r>
    </w:p>
    <w:p>
      <w:pPr>
        <w:pStyle w:val="Titrearticle"/>
        <w:rPr>
          <w:noProof/>
        </w:rPr>
      </w:pPr>
      <w:r>
        <w:rPr>
          <w:noProof/>
        </w:rPr>
        <w:t>6 artikla</w:t>
      </w:r>
    </w:p>
    <w:p>
      <w:pPr>
        <w:pStyle w:val="NormalCentered"/>
        <w:rPr>
          <w:rFonts w:cs="TimesNewRomanBold"/>
          <w:b/>
          <w:bCs/>
          <w:noProof/>
        </w:rPr>
      </w:pPr>
      <w:r>
        <w:rPr>
          <w:b/>
          <w:noProof/>
        </w:rPr>
        <w:t>Merkinnät</w:t>
      </w:r>
    </w:p>
    <w:p>
      <w:pPr>
        <w:rPr>
          <w:i/>
          <w:noProof/>
        </w:rPr>
      </w:pPr>
      <w:r>
        <w:rPr>
          <w:noProof/>
        </w:rPr>
        <w:t>Edellä 1 artiklan 1 kohdassa tarkoitettujen tuotteiden, jotka saatetaan unionin markkinoille, on oltava asetuksessa (EU) N:o 1169/2011 vahvistettujen merkintävaatimusten mukaisia, jollei tässä asetuksessa toisin säädetä.</w:t>
      </w:r>
    </w:p>
    <w:p>
      <w:pPr>
        <w:pStyle w:val="Titrearticle"/>
        <w:rPr>
          <w:noProof/>
        </w:rPr>
      </w:pPr>
      <w:r>
        <w:rPr>
          <w:noProof/>
        </w:rPr>
        <w:t>7 artikla</w:t>
      </w:r>
    </w:p>
    <w:p>
      <w:pPr>
        <w:pStyle w:val="NormalCentered"/>
        <w:rPr>
          <w:rFonts w:cs="TimesNewRomanBold"/>
          <w:b/>
          <w:bCs/>
          <w:noProof/>
        </w:rPr>
      </w:pPr>
      <w:r>
        <w:rPr>
          <w:b/>
          <w:noProof/>
        </w:rPr>
        <w:t>Myyntinimitys</w:t>
      </w:r>
    </w:p>
    <w:p>
      <w:pPr>
        <w:autoSpaceDE w:val="0"/>
        <w:autoSpaceDN w:val="0"/>
        <w:adjustRightInd w:val="0"/>
        <w:rPr>
          <w:rFonts w:cs="TimesNewRoman"/>
          <w:noProof/>
        </w:rPr>
      </w:pPr>
      <w:r>
        <w:rPr>
          <w:noProof/>
        </w:rPr>
        <w:t>Tislatun alkoholijuoman esittelyssä ja merkinnöissä on esiinnyttävä tislatun alkoholijuoman myyntinimitys.</w:t>
      </w:r>
    </w:p>
    <w:p>
      <w:pPr>
        <w:pStyle w:val="Titrearticle"/>
        <w:rPr>
          <w:noProof/>
        </w:rPr>
      </w:pPr>
      <w:r>
        <w:rPr>
          <w:noProof/>
        </w:rPr>
        <w:t>8 artikla</w:t>
      </w:r>
    </w:p>
    <w:p>
      <w:pPr>
        <w:pStyle w:val="NormalCentered"/>
        <w:rPr>
          <w:rFonts w:cs="TimesNewRomanBold"/>
          <w:b/>
          <w:bCs/>
          <w:noProof/>
        </w:rPr>
      </w:pPr>
      <w:r>
        <w:rPr>
          <w:b/>
          <w:noProof/>
        </w:rPr>
        <w:t>Myyntinimityksiä koskevat yleiset säännöt</w:t>
      </w:r>
    </w:p>
    <w:p>
      <w:pPr>
        <w:pStyle w:val="ManualNumPar1"/>
        <w:rPr>
          <w:rFonts w:cs="TimesNewRoman"/>
          <w:noProof/>
        </w:rPr>
      </w:pPr>
      <w:r>
        <w:rPr>
          <w:noProof/>
        </w:rPr>
        <w:t>1.</w:t>
      </w:r>
      <w:r>
        <w:rPr>
          <w:noProof/>
        </w:rPr>
        <w:tab/>
        <w:t>Sellaisen tislatun alkoholijuoman, joka täyttää jonkin liitteessä II olevassa I osassa luetellun tislattujen alkoholijuomien luokan osalta vahvistetut vaatimukset, myyntinimityksenä on oltava asianomaisen luokan nimi, jollei kyseisen luokan osalta säädetä muista myyntinimityksistä.</w:t>
      </w:r>
    </w:p>
    <w:p>
      <w:pPr>
        <w:pStyle w:val="ManualNumPar1"/>
        <w:rPr>
          <w:noProof/>
        </w:rPr>
      </w:pPr>
      <w:r>
        <w:rPr>
          <w:noProof/>
        </w:rPr>
        <w:t>2.</w:t>
      </w:r>
      <w:r>
        <w:rPr>
          <w:noProof/>
        </w:rPr>
        <w:tab/>
        <w:t>Sellaisen tislatun alkoholijuoman, joka ei täytä vahvistettuja vaatimuksia minkään liitteessä II olevassa I osassa luetellun tislattujen alkoholijuomien luokan osalta, myyntinimityksenä on oltava ”tislattu alkoholijuoma”.</w:t>
      </w:r>
    </w:p>
    <w:p>
      <w:pPr>
        <w:pStyle w:val="ManualNumPar1"/>
        <w:rPr>
          <w:noProof/>
        </w:rPr>
      </w:pPr>
      <w:r>
        <w:rPr>
          <w:noProof/>
        </w:rPr>
        <w:t>3.</w:t>
      </w:r>
      <w:r>
        <w:rPr>
          <w:noProof/>
        </w:rPr>
        <w:tab/>
        <w:t>Jos tislattu alkoholijuoma täyttää vahvistetut vaatimukset useamman kuin yhden liitteessä II olevan I osassa mainittujen tislattujen alkoholijuomien luokkien 15–47 osalta, sitä voidaan myydä yhdellä tai useammalla asianomaisella myyntinimityksellä, joista säädetään kyseisissä luokissa.</w:t>
      </w:r>
    </w:p>
    <w:p>
      <w:pPr>
        <w:pStyle w:val="ManualNumPar1"/>
        <w:rPr>
          <w:rFonts w:cs="TimesNewRoman"/>
          <w:noProof/>
        </w:rPr>
      </w:pPr>
      <w:r>
        <w:rPr>
          <w:noProof/>
        </w:rPr>
        <w:t>4.</w:t>
      </w:r>
      <w:r>
        <w:rPr>
          <w:noProof/>
        </w:rPr>
        <w:tab/>
        <w:t>Myyntinimityksiä ei saa korvata eikä muuttaa. Myyntinimityksiin sovelletaan seuraavaa:</w:t>
      </w:r>
    </w:p>
    <w:p>
      <w:pPr>
        <w:pStyle w:val="Point1"/>
        <w:rPr>
          <w:rFonts w:cs="TimesNewRoman"/>
          <w:noProof/>
        </w:rPr>
      </w:pPr>
      <w:r>
        <w:rPr>
          <w:noProof/>
        </w:rPr>
        <w:t>a)</w:t>
      </w:r>
      <w:r>
        <w:rPr>
          <w:noProof/>
        </w:rPr>
        <w:tab/>
        <w:t>myyntinimitystä voi täydentää III luvussa tarkoitetulla maantieteellisellä merkinnällä, myyntinimityksen voi korvata III luvussa tarkoitetulla maantieteellisellä merkinnällä tai myyntinimitystä voi täydentää kansallisten säännösten mukaisesti toisella maantieteellisellä merkinnällä, jos tämä ei johda kuluttajaa harhaan; tai</w:t>
      </w:r>
    </w:p>
    <w:p>
      <w:pPr>
        <w:pStyle w:val="Point1"/>
        <w:rPr>
          <w:rFonts w:cs="TimesNewRoman"/>
          <w:noProof/>
        </w:rPr>
      </w:pPr>
      <w:r>
        <w:rPr>
          <w:noProof/>
        </w:rPr>
        <w:t>b)</w:t>
      </w:r>
      <w:r>
        <w:rPr>
          <w:noProof/>
        </w:rPr>
        <w:tab/>
        <w:t>myyntinimityksen voi korvata yhdistetyllä ilmaisulla, joka sisältää ilmaisun ”likööri”, jos lopputuote on liitteessä II olevaan I osaan kuuluvassa luokassa 32 vahvistettujen vaatimusten mukainen.</w:t>
      </w:r>
    </w:p>
    <w:p>
      <w:pPr>
        <w:pStyle w:val="Text1"/>
        <w:rPr>
          <w:noProof/>
        </w:rPr>
      </w:pPr>
      <w:r>
        <w:rPr>
          <w:noProof/>
        </w:rPr>
        <w:t>Jos myyntinimitystä täydennetään tai se korvataan ensimmäisen alakohdan a alakohdan mukaisesti, kyseisessä alakohdassa tarkoitettua maantieteellistä merkintää voi täydentää joko</w:t>
      </w:r>
    </w:p>
    <w:p>
      <w:pPr>
        <w:pStyle w:val="Point1"/>
        <w:rPr>
          <w:noProof/>
        </w:rPr>
      </w:pPr>
      <w:r>
        <w:rPr>
          <w:noProof/>
        </w:rPr>
        <w:t>a)</w:t>
      </w:r>
      <w:r>
        <w:rPr>
          <w:noProof/>
        </w:rPr>
        <w:tab/>
        <w:t>ilmaisuilla, jotka olivat jo 20 päivänä helmikuuta 2008 käytössä 34 artiklan 1 kohdassa tarkoitettujen olemassa olevien maantieteellisten merkintöjen osalta; tai</w:t>
      </w:r>
    </w:p>
    <w:p>
      <w:pPr>
        <w:pStyle w:val="Point1"/>
        <w:rPr>
          <w:rFonts w:cs="TimesNewRoman"/>
          <w:noProof/>
        </w:rPr>
      </w:pPr>
      <w:r>
        <w:rPr>
          <w:noProof/>
        </w:rPr>
        <w:t>b)</w:t>
      </w:r>
      <w:r>
        <w:rPr>
          <w:noProof/>
        </w:rPr>
        <w:tab/>
        <w:t>ilmaisuilla, jotka mainitaan asianomaisessa tuote-eritelmässä.</w:t>
      </w:r>
    </w:p>
    <w:p>
      <w:pPr>
        <w:pStyle w:val="ManualNumPar1"/>
        <w:rPr>
          <w:i/>
          <w:noProof/>
          <w:color w:val="000000"/>
        </w:rPr>
      </w:pPr>
      <w:r>
        <w:rPr>
          <w:noProof/>
        </w:rPr>
        <w:t>5.</w:t>
      </w:r>
      <w:r>
        <w:rPr>
          <w:noProof/>
        </w:rPr>
        <w:tab/>
        <w:t>Edellä 1 kohdassa tarkoitettuja myyntinimityksiä tai maantieteellisiä merkintöjä ei saa käyttää sellaisten juomien esittelyssä tai merkinnöissä, jotka eivät täytä liitteessä II olevassa I osassa lueteltujen asianomaisten luokkien vaatimuksia tai asianomaisiin maantieteellisiin merkintöihin liittyviä vaatimuksia, eikä myyntinimityksiin tai maantieteellisiin merkintöihin myöskään saa liittää sellaisia sanoja tai sanontoja kuin ”kaltainen”, ”tyyppinen”, ”tyylinen”, ”tapaan valmistettu”, ”makuinen” tai muita samanlaisia ilmaisuja, sanotun kuitenkaan rajoittamatta 6 kohdan sekä 9 ja 10 artiklan soveltamista.</w:t>
      </w:r>
    </w:p>
    <w:p>
      <w:pPr>
        <w:pStyle w:val="Text1"/>
        <w:rPr>
          <w:noProof/>
        </w:rPr>
      </w:pPr>
      <w:r>
        <w:rPr>
          <w:noProof/>
        </w:rPr>
        <w:t>Edellä 1 kohdassa tarkoitettuja myyntinimityksiä, joita on täydennetty ilmaisulla ”makuinen” tai muulla samanlaisella ilmaisulla, voidaan käyttää ainoastaan viitattaessa tislattua alkoholijuomaa jäljitteleviin aromeihin tai niiden käyttöön muun elintarvikkeen kuin juoman tuotannossa.</w:t>
      </w:r>
      <w:r>
        <w:rPr>
          <w:noProof/>
          <w:color w:val="000000"/>
        </w:rPr>
        <w:t xml:space="preserve"> Maantieteellisiä merkintöjä ei saa käyttää aromien kuvaamiseen.</w:t>
      </w:r>
    </w:p>
    <w:p>
      <w:pPr>
        <w:pStyle w:val="ManualNumPar1"/>
        <w:rPr>
          <w:i/>
          <w:noProof/>
        </w:rPr>
      </w:pPr>
      <w:r>
        <w:rPr>
          <w:noProof/>
        </w:rPr>
        <w:t>6.</w:t>
      </w:r>
      <w:r>
        <w:rPr>
          <w:noProof/>
        </w:rPr>
        <w:tab/>
        <w:t xml:space="preserve">Edellä 1 kohdassa tarkoitetut myyntinimitykset voivat sisältyä elintarvikkeiden ainesosaluetteloon, jos luettelo on asetuksen (EU) N:o 1169/2011 18–21 artiklan mukainen. </w:t>
      </w:r>
    </w:p>
    <w:p>
      <w:pPr>
        <w:pStyle w:val="Titrearticle"/>
        <w:rPr>
          <w:noProof/>
        </w:rPr>
      </w:pPr>
      <w:r>
        <w:rPr>
          <w:noProof/>
        </w:rPr>
        <w:t>9 artikla</w:t>
      </w:r>
    </w:p>
    <w:p>
      <w:pPr>
        <w:pStyle w:val="NormalCentered"/>
        <w:rPr>
          <w:rFonts w:cs="TimesNewRomanBold"/>
          <w:b/>
          <w:bCs/>
          <w:noProof/>
        </w:rPr>
      </w:pPr>
      <w:r>
        <w:rPr>
          <w:b/>
          <w:noProof/>
        </w:rPr>
        <w:t>Yhdistetyt ilmaisut ja viittaukset</w:t>
      </w:r>
    </w:p>
    <w:p>
      <w:pPr>
        <w:pStyle w:val="ManualNumPar1"/>
        <w:rPr>
          <w:noProof/>
        </w:rPr>
      </w:pPr>
      <w:r>
        <w:rPr>
          <w:noProof/>
        </w:rPr>
        <w:t>1.</w:t>
      </w:r>
      <w:r>
        <w:rPr>
          <w:noProof/>
        </w:rPr>
        <w:tab/>
        <w:t>Liitteessä II olevassa I osassa lueteltujen tislattujen alkoholijuomien luokkien osalta säädettyjen myyntinimitysten tai yhdistettyyn ilmaisuun sisältyvän maantieteellisen merkinnän tai mihin tahansa niistä tehdyn viittauksen käyttö on sallittua elintarvikkeiden esittelyssä ja merkinnöissä, jos seuraavat edellytykset täyttyvät:</w:t>
      </w:r>
    </w:p>
    <w:p>
      <w:pPr>
        <w:pStyle w:val="Point1"/>
        <w:rPr>
          <w:noProof/>
        </w:rPr>
      </w:pPr>
      <w:r>
        <w:rPr>
          <w:noProof/>
        </w:rPr>
        <w:t>a)</w:t>
      </w:r>
      <w:r>
        <w:rPr>
          <w:noProof/>
        </w:rPr>
        <w:tab/>
        <w:t>elintarvikkeen tuotannossa käytetty alkoholi on peräisin yksinomaan yhdistetyssä ilmaisussa tai viittauksessa/viittauksissa tarkoitetusta tislatusta alkoholijuomasta, lukuun ottamatta etyylialkoholia, jota voi sisältyä kyseisen elintarvikkeen tuotannossa käytettäviin aromeihin; ja</w:t>
      </w:r>
    </w:p>
    <w:p>
      <w:pPr>
        <w:pStyle w:val="Point1"/>
        <w:rPr>
          <w:noProof/>
        </w:rPr>
      </w:pPr>
      <w:r>
        <w:rPr>
          <w:noProof/>
        </w:rPr>
        <w:t>b)</w:t>
      </w:r>
      <w:r>
        <w:rPr>
          <w:noProof/>
        </w:rPr>
        <w:tab/>
        <w:t>elintarvikkeen tuotannossa käytettyä alkoholia ei ole laimennettu vedellä sen alkoholipitoisuuden laskemiseksi liitteessä II olevassa I osassa lueteltujen tislattujen alkoholijuomien luokkien osalta säädetyn vähimmäisalkoholipitoisuuden alapuolelle.</w:t>
      </w:r>
    </w:p>
    <w:p>
      <w:pPr>
        <w:pStyle w:val="ManualNumPar1"/>
        <w:rPr>
          <w:noProof/>
        </w:rPr>
      </w:pPr>
      <w:r>
        <w:rPr>
          <w:noProof/>
        </w:rPr>
        <w:t>2.</w:t>
      </w:r>
      <w:r>
        <w:rPr>
          <w:noProof/>
        </w:rPr>
        <w:tab/>
        <w:t>Ilmaisu ”tislattu alkoholijuoma” ei voi olla osa alkoholijuomaa kuvaavaa yhdistettyä ilmaisua.</w:t>
      </w:r>
    </w:p>
    <w:p>
      <w:pPr>
        <w:pStyle w:val="ManualNumPar1"/>
        <w:rPr>
          <w:noProof/>
        </w:rPr>
      </w:pPr>
      <w:r>
        <w:rPr>
          <w:noProof/>
        </w:rPr>
        <w:t>3.</w:t>
      </w:r>
      <w:r>
        <w:rPr>
          <w:noProof/>
        </w:rPr>
        <w:tab/>
        <w:t>Alkoholijuomaa kuvaava yhdistetty ilmaisu ei saa koostua ilmaisun ”likööri” ja liitteessä II olevassa I osassa jossakin luokista 33–41 mainittujen myyntinimitysten yhdistelmästä.</w:t>
      </w:r>
    </w:p>
    <w:p>
      <w:pPr>
        <w:pStyle w:val="ManualNumPar1"/>
        <w:rPr>
          <w:noProof/>
        </w:rPr>
      </w:pPr>
      <w:r>
        <w:rPr>
          <w:noProof/>
        </w:rPr>
        <w:t>4.</w:t>
      </w:r>
      <w:r>
        <w:rPr>
          <w:noProof/>
        </w:rPr>
        <w:tab/>
        <w:t>Alkoholijuomaa kuvaava yhdistetty ilmaisu on merkittävä samanlaisin, samankokoisin ja samanvärisin kirjaimin samaa kirjasinlajia käyttäen. Ilmaisun keskelle ei saa lisätä siihen kuulumattomia teksti- tai kuvaelementtejä, eikä ilmaisu saa olla merkitty suuremmalla kirjasinlajilla kuin myyntinimitys.</w:t>
      </w:r>
    </w:p>
    <w:p>
      <w:pPr>
        <w:pStyle w:val="ManualNumPar1"/>
        <w:rPr>
          <w:noProof/>
        </w:rPr>
      </w:pPr>
      <w:r>
        <w:rPr>
          <w:noProof/>
        </w:rPr>
        <w:t>5.</w:t>
      </w:r>
      <w:r>
        <w:rPr>
          <w:noProof/>
        </w:rPr>
        <w:tab/>
        <w:t>Elintarvikkeen esittelyssä viittaus tislatun alkoholijuoman luokkaan tai maantieteelliseen merkintään ei saa olla samalla rivillä myyntinimityksen kanssa. Alkoholijuomien esittelyssä viittauksen kirjasinlajin on oltava myyntinimityksen ja yhdistetyn ilmaisun kirjasinlajia pienempi, sanotun kuitenkaan rajoittamatta 10 artiklan 3 kohdan toisen alakohdan soveltamista.</w:t>
      </w:r>
    </w:p>
    <w:p>
      <w:pPr>
        <w:pStyle w:val="Titrearticle"/>
        <w:rPr>
          <w:noProof/>
        </w:rPr>
      </w:pPr>
      <w:r>
        <w:rPr>
          <w:noProof/>
        </w:rPr>
        <w:t>10 artikla</w:t>
      </w:r>
    </w:p>
    <w:p>
      <w:pPr>
        <w:pStyle w:val="NormalCentered"/>
        <w:rPr>
          <w:rFonts w:cs="TimesNewRomanBold"/>
          <w:b/>
          <w:bCs/>
          <w:noProof/>
        </w:rPr>
      </w:pPr>
      <w:r>
        <w:rPr>
          <w:b/>
          <w:noProof/>
        </w:rPr>
        <w:t>Sekoitusten esittely ja merkinnät</w:t>
      </w:r>
    </w:p>
    <w:p>
      <w:pPr>
        <w:pStyle w:val="ManualNumPar1"/>
        <w:rPr>
          <w:noProof/>
        </w:rPr>
      </w:pPr>
      <w:r>
        <w:rPr>
          <w:noProof/>
        </w:rPr>
        <w:t>1.</w:t>
      </w:r>
      <w:r>
        <w:rPr>
          <w:noProof/>
        </w:rPr>
        <w:tab/>
        <w:t>Sekoituksen myyntinimityksenä on oltava ”tislattu alkoholijuoma”.</w:t>
      </w:r>
    </w:p>
    <w:p>
      <w:pPr>
        <w:pStyle w:val="Text1"/>
        <w:rPr>
          <w:noProof/>
        </w:rPr>
      </w:pPr>
      <w:r>
        <w:rPr>
          <w:noProof/>
        </w:rPr>
        <w:t>Sekoituksen esittelyssä tai merkinnöissä voi olla liitteessä II olevassa I osassa lueteltuja nimiä tai maantieteellisiä merkintöjä, jotka vastaavat sekoituksen valmistuksessa käytettyjä tislattuja alkoholijuomia, jos kaikki seuraavat edellytykset täyttyvät:</w:t>
      </w:r>
    </w:p>
    <w:p>
      <w:pPr>
        <w:pStyle w:val="Point1"/>
        <w:ind w:left="1438" w:hanging="587"/>
        <w:rPr>
          <w:rFonts w:cs="TimesNewRoman"/>
          <w:noProof/>
        </w:rPr>
      </w:pPr>
      <w:r>
        <w:rPr>
          <w:noProof/>
        </w:rPr>
        <w:t>a)</w:t>
      </w:r>
      <w:r>
        <w:rPr>
          <w:noProof/>
        </w:rPr>
        <w:tab/>
        <w:t>kyseiset nimet tai maantieteelliset merkinnät esiintyvät yksinomaan kaikkien sekoituksen sisältämien alkoholiainesosien luettelossa ja niitä edeltää ilmaisu ”sekoittamalla valmistettu tislattu alkoholijuoma”; ja</w:t>
      </w:r>
    </w:p>
    <w:p>
      <w:pPr>
        <w:pStyle w:val="Point1"/>
        <w:ind w:left="1437" w:hanging="587"/>
        <w:rPr>
          <w:rFonts w:cs="TimesNewRoman"/>
          <w:noProof/>
        </w:rPr>
      </w:pPr>
      <w:r>
        <w:rPr>
          <w:noProof/>
        </w:rPr>
        <w:t>b)</w:t>
      </w:r>
      <w:r>
        <w:rPr>
          <w:noProof/>
        </w:rPr>
        <w:tab/>
        <w:t>ilmaisu ”sekoittamalla valmistettu tislattu alkoholijuoma” on merkitty samaan kenttään kuin myyntinimitys samanlaisin kirjaimin ja samaa kirjasinlajia ja väriä käyttäen kuin myyntinimitys, ja kirjainten koko on enintään puolet myyntinimityksessä käytettyjen merkkien koosta.</w:t>
      </w:r>
    </w:p>
    <w:p>
      <w:pPr>
        <w:pStyle w:val="ManualNumPar1"/>
        <w:rPr>
          <w:rFonts w:cs="TimesNewRoman"/>
          <w:noProof/>
        </w:rPr>
      </w:pPr>
      <w:r>
        <w:rPr>
          <w:noProof/>
        </w:rPr>
        <w:t>2.</w:t>
      </w:r>
      <w:r>
        <w:rPr>
          <w:noProof/>
        </w:rPr>
        <w:tab/>
        <w:t>Poiketen siitä, mitä 1 kohdassa säädetään, jos sekoitus täyttää jonkin liitteessä II olevassa I osassa mainitun luokan vaatimukset, sekoitusta on kutsuttava asianomaisen luokan osalta säädetyllä myyntinimityksellä.</w:t>
      </w:r>
    </w:p>
    <w:p>
      <w:pPr>
        <w:pStyle w:val="Text1"/>
        <w:rPr>
          <w:noProof/>
        </w:rPr>
      </w:pPr>
      <w:r>
        <w:rPr>
          <w:noProof/>
        </w:rPr>
        <w:t>Ensimmäisessä kohdassa tarkoitetussa tapauksessa sekoituksen esittelyssä tai merkinnöissä voi olla liitteessä II olevassa I osassa lueteltuja nimiä tai maantieteellisiä merkintöjä, jotka vastaavat sekoitettuja tislattuja alkoholijuomia, jos kyseiset nimet esitetään</w:t>
      </w:r>
    </w:p>
    <w:p>
      <w:pPr>
        <w:pStyle w:val="Point1"/>
        <w:ind w:left="1437" w:hanging="587"/>
        <w:rPr>
          <w:noProof/>
        </w:rPr>
      </w:pPr>
      <w:r>
        <w:rPr>
          <w:noProof/>
        </w:rPr>
        <w:t>a)</w:t>
      </w:r>
      <w:r>
        <w:rPr>
          <w:noProof/>
        </w:rPr>
        <w:tab/>
        <w:t>yksinomaan luettelossa, jossa ilmoitetaan kaikki sekoitukseen sisältyvät alkoholiainesosat; ja</w:t>
      </w:r>
    </w:p>
    <w:p>
      <w:pPr>
        <w:pStyle w:val="Point1"/>
        <w:ind w:left="1437" w:hanging="587"/>
        <w:rPr>
          <w:noProof/>
        </w:rPr>
      </w:pPr>
      <w:r>
        <w:rPr>
          <w:noProof/>
        </w:rPr>
        <w:t>b)</w:t>
      </w:r>
      <w:r>
        <w:rPr>
          <w:noProof/>
        </w:rPr>
        <w:tab/>
        <w:t>ainakin kerran samassa kentässä myyntinimityksen kanssa.</w:t>
      </w:r>
    </w:p>
    <w:p>
      <w:pPr>
        <w:pStyle w:val="ManualNumPar1"/>
        <w:rPr>
          <w:rFonts w:cs="TimesNewRoman"/>
          <w:i/>
          <w:noProof/>
        </w:rPr>
      </w:pPr>
      <w:r>
        <w:rPr>
          <w:noProof/>
        </w:rPr>
        <w:t>3.</w:t>
      </w:r>
      <w:r>
        <w:rPr>
          <w:noProof/>
        </w:rPr>
        <w:tab/>
        <w:t>Edellä 1 ja 2 kohdassa tarkoitetussa alkoholiainesosien luettelossa on mainittava ainakin kerran kunkin alkoholiainesosan puhtaan alkoholin tilavuuden prosenttiosuus sekoituksen puhtaan alkoholin kokonaistilavuudesta. Alkoholiainesosat on lueteltava kyseisen prosenttiosuuden mukaisessa alenevassa suuruusjärjestyksessä.</w:t>
      </w:r>
    </w:p>
    <w:p>
      <w:pPr>
        <w:pStyle w:val="Text1"/>
        <w:rPr>
          <w:noProof/>
        </w:rPr>
      </w:pPr>
      <w:r>
        <w:rPr>
          <w:noProof/>
        </w:rPr>
        <w:t>Alkoholiainesosien luettelo on merkittävä samanlaisin kirjaimin ja samaa kirjasinlajia ja väriä käyttäen kuin myyntinimitys, ja kirjainten koko saa olla enintään puolet myyntinimityksessä käytettyjen merkkien koosta.</w:t>
      </w:r>
    </w:p>
    <w:p>
      <w:pPr>
        <w:pStyle w:val="Titrearticle"/>
        <w:rPr>
          <w:i w:val="0"/>
          <w:noProof/>
        </w:rPr>
      </w:pPr>
      <w:r>
        <w:rPr>
          <w:noProof/>
        </w:rPr>
        <w:t>11 artikla</w:t>
      </w:r>
    </w:p>
    <w:p>
      <w:pPr>
        <w:pStyle w:val="NormalCentered"/>
        <w:rPr>
          <w:rFonts w:cs="TimesNewRoman"/>
          <w:b/>
          <w:bCs/>
          <w:noProof/>
        </w:rPr>
      </w:pPr>
      <w:r>
        <w:rPr>
          <w:b/>
          <w:noProof/>
        </w:rPr>
        <w:t>Esittelyä ja merkintöjä koskevat lisäsäännöt</w:t>
      </w:r>
    </w:p>
    <w:p>
      <w:pPr>
        <w:pStyle w:val="ManualNumPar1"/>
        <w:rPr>
          <w:noProof/>
        </w:rPr>
      </w:pPr>
      <w:r>
        <w:rPr>
          <w:noProof/>
        </w:rPr>
        <w:t>1.</w:t>
      </w:r>
      <w:r>
        <w:rPr>
          <w:noProof/>
        </w:rPr>
        <w:tab/>
        <w:t>Jos tislatun alkoholijuoman esittelyssä tai merkinnöissä ilmoitetaan maatalousperäisen etyylialkoholin valmistamiseen käytetty raaka-aine, jokainen maatalousperäinen etyylialkoholi on mainittava määrien mukaisessa alenevassa järjestyksessä.</w:t>
      </w:r>
    </w:p>
    <w:p>
      <w:pPr>
        <w:pStyle w:val="ManualNumPar1"/>
        <w:rPr>
          <w:rFonts w:cs="TimesNewRoman"/>
          <w:noProof/>
        </w:rPr>
      </w:pPr>
      <w:r>
        <w:rPr>
          <w:noProof/>
        </w:rPr>
        <w:t>2.</w:t>
      </w:r>
      <w:r>
        <w:rPr>
          <w:noProof/>
        </w:rPr>
        <w:tab/>
        <w:t>Tislatun alkoholijuoman esittelyyn tai merkintöihin voidaan lisätä ilmaisu ”sekoite” (blend), ”sekoitus” (blending) tai ”sekoitettu” (blended) ainoastaan, jos tislattu alkoholijuoma on valmistettu sekoittamalla siten kuin liitteessä I olevassa 6 kohdassa on määritelty.</w:t>
      </w:r>
    </w:p>
    <w:p>
      <w:pPr>
        <w:pStyle w:val="ManualNumPar1"/>
        <w:rPr>
          <w:rFonts w:cs="TimesNewRoman"/>
          <w:noProof/>
          <w:color w:val="000000"/>
        </w:rPr>
      </w:pPr>
      <w:r>
        <w:rPr>
          <w:noProof/>
        </w:rPr>
        <w:t>3.</w:t>
      </w:r>
      <w:r>
        <w:rPr>
          <w:noProof/>
        </w:rPr>
        <w:tab/>
        <w:t>Tislatun alkoholijuoman esittelyssä tai merkinnöissä voidaan mainita kypsytysaika tai ikä, jos se viittaa nuorimpaan alkoholiainesosaan, ja edellyttäen, että tislattu alkoholijuoma on vanhennettu jäsenvaltion veroviranomaisen tai muun yhtä luotettavan elimen valvonnassa.</w:t>
      </w:r>
    </w:p>
    <w:p>
      <w:pPr>
        <w:pStyle w:val="Titrearticle"/>
        <w:rPr>
          <w:noProof/>
        </w:rPr>
      </w:pPr>
      <w:r>
        <w:rPr>
          <w:noProof/>
        </w:rPr>
        <w:t>12 artikla</w:t>
      </w:r>
    </w:p>
    <w:p>
      <w:pPr>
        <w:pStyle w:val="NormalCentered"/>
        <w:rPr>
          <w:rFonts w:cs="TimesNewRoman"/>
          <w:b/>
          <w:noProof/>
        </w:rPr>
      </w:pPr>
      <w:r>
        <w:rPr>
          <w:b/>
          <w:noProof/>
        </w:rPr>
        <w:t>Alkuperän ilmoittaminen</w:t>
      </w:r>
    </w:p>
    <w:p>
      <w:pPr>
        <w:pStyle w:val="ManualNumPar1"/>
        <w:rPr>
          <w:rFonts w:cs="TimesNewRoman"/>
          <w:i/>
          <w:noProof/>
        </w:rPr>
      </w:pPr>
      <w:r>
        <w:rPr>
          <w:noProof/>
        </w:rPr>
        <w:t>1.</w:t>
      </w:r>
      <w:r>
        <w:rPr>
          <w:noProof/>
        </w:rPr>
        <w:tab/>
        <w:t>Jos tislatun alkoholijuoman alkuperä ilmoitetaan, sen on vastattava Euroopan parlamentin ja neuvoston asetuksen (EU) N:o 952/2013</w:t>
      </w:r>
      <w:r>
        <w:rPr>
          <w:rStyle w:val="FootnoteReference"/>
          <w:noProof/>
        </w:rPr>
        <w:footnoteReference w:id="16"/>
      </w:r>
      <w:r>
        <w:rPr>
          <w:noProof/>
        </w:rPr>
        <w:t xml:space="preserve"> 60 artiklan mukaista alkuperämaata tai -aluetta.</w:t>
      </w:r>
    </w:p>
    <w:p>
      <w:pPr>
        <w:pStyle w:val="ManualNumPar1"/>
        <w:rPr>
          <w:rFonts w:cs="TimesNewRoman"/>
          <w:noProof/>
        </w:rPr>
      </w:pPr>
      <w:r>
        <w:rPr>
          <w:noProof/>
        </w:rPr>
        <w:t>2.</w:t>
      </w:r>
      <w:r>
        <w:rPr>
          <w:noProof/>
        </w:rPr>
        <w:tab/>
        <w:t>Tislatun alkoholijuoman ainesosien alkuperämaata tai -paikkaa ei ole pakko mainita.</w:t>
      </w:r>
    </w:p>
    <w:p>
      <w:pPr>
        <w:pStyle w:val="Titrearticle"/>
        <w:rPr>
          <w:noProof/>
        </w:rPr>
      </w:pPr>
      <w:r>
        <w:rPr>
          <w:noProof/>
        </w:rPr>
        <w:t>13 artikla</w:t>
      </w:r>
    </w:p>
    <w:p>
      <w:pPr>
        <w:pStyle w:val="NormalCentered"/>
        <w:rPr>
          <w:rFonts w:cs="TimesNewRomanBold"/>
          <w:b/>
          <w:bCs/>
          <w:noProof/>
        </w:rPr>
      </w:pPr>
      <w:r>
        <w:rPr>
          <w:b/>
          <w:noProof/>
        </w:rPr>
        <w:t>Tislattujen alkoholijuomien nimissä käytettävät kielet</w:t>
      </w:r>
    </w:p>
    <w:p>
      <w:pPr>
        <w:autoSpaceDE w:val="0"/>
        <w:autoSpaceDN w:val="0"/>
        <w:adjustRightInd w:val="0"/>
        <w:rPr>
          <w:rFonts w:cs="TimesNewRoman"/>
          <w:noProof/>
        </w:rPr>
      </w:pPr>
      <w:r>
        <w:rPr>
          <w:noProof/>
        </w:rPr>
        <w:t>Liitteessä II kursiivilla esitettyjä ilmaisuja ja maantieteellisiä merkintöjä ei käännetä tislatun alkoholijuoman etiketissä eikä esittelyssä.</w:t>
      </w:r>
    </w:p>
    <w:p>
      <w:pPr>
        <w:pStyle w:val="Titrearticle"/>
        <w:rPr>
          <w:noProof/>
        </w:rPr>
      </w:pPr>
      <w:r>
        <w:rPr>
          <w:noProof/>
        </w:rPr>
        <w:t>14 artikla</w:t>
      </w:r>
    </w:p>
    <w:p>
      <w:pPr>
        <w:pStyle w:val="NormalCentered"/>
        <w:rPr>
          <w:rFonts w:cs="TimesNewRomanBold"/>
          <w:bCs/>
          <w:i/>
          <w:noProof/>
        </w:rPr>
      </w:pPr>
      <w:r>
        <w:rPr>
          <w:b/>
          <w:noProof/>
        </w:rPr>
        <w:t>Suojattua maantieteellistä merkintää koskevan unionin tunnuksen käyttö</w:t>
      </w:r>
    </w:p>
    <w:p>
      <w:pPr>
        <w:rPr>
          <w:i/>
          <w:noProof/>
          <w:szCs w:val="24"/>
        </w:rPr>
      </w:pPr>
      <w:r>
        <w:rPr>
          <w:noProof/>
        </w:rPr>
        <w:t>Tislattujen alkoholijuomien esittelyssä ja merkinnöissä saa käyttää suojattua maantieteellistä merkintää koskevaa unionin tunnusta.</w:t>
      </w:r>
    </w:p>
    <w:p>
      <w:pPr>
        <w:pStyle w:val="Titrearticle"/>
        <w:rPr>
          <w:noProof/>
        </w:rPr>
      </w:pPr>
      <w:r>
        <w:rPr>
          <w:noProof/>
        </w:rPr>
        <w:t>15 artikla</w:t>
      </w:r>
    </w:p>
    <w:p>
      <w:pPr>
        <w:pStyle w:val="NormalCentered"/>
        <w:rPr>
          <w:rFonts w:cs="TimesNewRomanBold"/>
          <w:b/>
          <w:bCs/>
          <w:noProof/>
        </w:rPr>
      </w:pPr>
      <w:r>
        <w:rPr>
          <w:b/>
          <w:noProof/>
        </w:rPr>
        <w:t>Lyijypohjaisten kapselien tai kalvojen käyttökielto</w:t>
      </w:r>
    </w:p>
    <w:p>
      <w:pPr>
        <w:autoSpaceDE w:val="0"/>
        <w:autoSpaceDN w:val="0"/>
        <w:adjustRightInd w:val="0"/>
        <w:rPr>
          <w:noProof/>
        </w:rPr>
      </w:pPr>
      <w:r>
        <w:rPr>
          <w:noProof/>
        </w:rPr>
        <w:t>Tislattuja alkoholijuomia ei saa pitää hallussa myyntiä varten tai saattaa markkinoille lyijypohjaisilla kapseleilla tai kalvoilla päällystetyin sulkimin suljetuissa säiliöissä.</w:t>
      </w:r>
    </w:p>
    <w:p>
      <w:pPr>
        <w:pStyle w:val="Titrearticle"/>
        <w:rPr>
          <w:noProof/>
        </w:rPr>
      </w:pPr>
      <w:r>
        <w:rPr>
          <w:noProof/>
        </w:rPr>
        <w:t>16 artikla</w:t>
      </w:r>
    </w:p>
    <w:p>
      <w:pPr>
        <w:pStyle w:val="NormalCentered"/>
        <w:rPr>
          <w:b/>
          <w:bCs/>
          <w:noProof/>
          <w:color w:val="000000"/>
        </w:rPr>
      </w:pPr>
      <w:r>
        <w:rPr>
          <w:b/>
          <w:noProof/>
          <w:color w:val="000000"/>
        </w:rPr>
        <w:t>Siirretty säädösvalta</w:t>
      </w:r>
    </w:p>
    <w:p>
      <w:pPr>
        <w:pStyle w:val="ManualNumPar1"/>
        <w:rPr>
          <w:noProof/>
          <w:color w:val="000000"/>
        </w:rPr>
      </w:pPr>
      <w:r>
        <w:rPr>
          <w:noProof/>
          <w:color w:val="000000"/>
        </w:rPr>
        <w:t>1.</w:t>
      </w:r>
      <w:r>
        <w:rPr>
          <w:noProof/>
        </w:rPr>
        <w:tab/>
      </w:r>
      <w:r>
        <w:rPr>
          <w:noProof/>
          <w:color w:val="000000"/>
        </w:rPr>
        <w:t>Kuluttajien muuttuvien tarpeiden, teknologisen kehityksen, asiaankuuluvien kansainvälisten standardien kehityksen sekä tuotannon ja kaupan pitämisen taloudellisten edellytysten parantamistarpeen huomioon ottamiseksi siirretään komissiolle valta antaa 43 artiklan mukaisesti delegoituja säädöksiä, jotka koskevat seuraavia:</w:t>
      </w:r>
    </w:p>
    <w:p>
      <w:pPr>
        <w:pStyle w:val="Point1"/>
        <w:ind w:left="1437" w:hanging="587"/>
        <w:rPr>
          <w:noProof/>
        </w:rPr>
      </w:pPr>
      <w:r>
        <w:rPr>
          <w:noProof/>
        </w:rPr>
        <w:t>a)</w:t>
      </w:r>
      <w:r>
        <w:rPr>
          <w:noProof/>
        </w:rPr>
        <w:tab/>
        <w:t>yhdistettyjen ilmaisujen tai viittausten ilmoittamista tislattujen alkoholijuomien etiketissä koskevien sääntöjen muuttaminen;</w:t>
      </w:r>
    </w:p>
    <w:p>
      <w:pPr>
        <w:pStyle w:val="Point1"/>
        <w:ind w:left="1437" w:hanging="587"/>
        <w:rPr>
          <w:noProof/>
        </w:rPr>
      </w:pPr>
      <w:r>
        <w:rPr>
          <w:noProof/>
          <w:color w:val="000000"/>
        </w:rPr>
        <w:t>b)</w:t>
      </w:r>
      <w:r>
        <w:rPr>
          <w:noProof/>
        </w:rPr>
        <w:tab/>
        <w:t>sekoitusten esittelyä ja merkintöjä koskevien sääntöjen muuttaminen;</w:t>
      </w:r>
      <w:r>
        <w:rPr>
          <w:noProof/>
          <w:color w:val="000000"/>
        </w:rPr>
        <w:t xml:space="preserve"> ja</w:t>
      </w:r>
    </w:p>
    <w:p>
      <w:pPr>
        <w:pStyle w:val="Point1"/>
        <w:ind w:left="1437" w:hanging="587"/>
        <w:rPr>
          <w:noProof/>
        </w:rPr>
      </w:pPr>
      <w:r>
        <w:rPr>
          <w:noProof/>
          <w:color w:val="000000"/>
        </w:rPr>
        <w:t>c)</w:t>
      </w:r>
      <w:r>
        <w:rPr>
          <w:noProof/>
        </w:rPr>
        <w:tab/>
        <w:t>tislattujen alkoholijuomien analysoinnissa sovellettavien unionin vertailumenetelmien ajantasaistaminen ja täydentäminen.</w:t>
      </w:r>
    </w:p>
    <w:p>
      <w:pPr>
        <w:pStyle w:val="ManualNumPar1"/>
        <w:rPr>
          <w:noProof/>
        </w:rPr>
      </w:pPr>
      <w:r>
        <w:rPr>
          <w:noProof/>
        </w:rPr>
        <w:t>2.</w:t>
      </w:r>
      <w:r>
        <w:rPr>
          <w:noProof/>
        </w:rPr>
        <w:tab/>
        <w:t>Jotta voidaan ottaa huomioon jäsenvaltioiden perinteiset vanhentamisprosessit, siirretään komissiolle valta antaa 43 artiklan mukaisesti delegoituja säädöksiä, jotka koskevat 11 artiklan 3 kohdasta poikkeamista tislatun alkoholijuoman esittelyssä tai merkinnöissä ilmoitettavan kypsytysajan tai iän osalta.</w:t>
      </w:r>
    </w:p>
    <w:p>
      <w:pPr>
        <w:pStyle w:val="ManualNumPar1"/>
        <w:rPr>
          <w:i/>
          <w:noProof/>
        </w:rPr>
      </w:pPr>
      <w:r>
        <w:rPr>
          <w:noProof/>
        </w:rPr>
        <w:t>3.</w:t>
      </w:r>
      <w:r>
        <w:rPr>
          <w:noProof/>
        </w:rPr>
        <w:tab/>
        <w:t xml:space="preserve">Poikkeustapauksissa, joissa kolmansiin maihin kuuluvan tuojamaan lainsäädäntö edellyttää sitä, siirretään komissiolle valta antaa 43 artiklan mukaisesti delegoituja säädöksiä, jotka koskevat poikkeuksia esittelyä ja merkintöjä koskevista tämän luvun säännöksistä. </w:t>
      </w:r>
    </w:p>
    <w:p>
      <w:pPr>
        <w:pStyle w:val="Titrearticle"/>
        <w:rPr>
          <w:noProof/>
        </w:rPr>
      </w:pPr>
      <w:r>
        <w:rPr>
          <w:noProof/>
        </w:rPr>
        <w:t>17 artikla</w:t>
      </w:r>
    </w:p>
    <w:p>
      <w:pPr>
        <w:pStyle w:val="NormalCentered"/>
        <w:rPr>
          <w:b/>
          <w:bCs/>
          <w:iCs/>
          <w:noProof/>
          <w:color w:val="000000"/>
        </w:rPr>
      </w:pPr>
      <w:r>
        <w:rPr>
          <w:b/>
          <w:noProof/>
          <w:color w:val="000000"/>
        </w:rPr>
        <w:t>Täytäntöönpanovalta</w:t>
      </w:r>
    </w:p>
    <w:p>
      <w:pPr>
        <w:adjustRightInd w:val="0"/>
        <w:rPr>
          <w:noProof/>
          <w:color w:val="000000"/>
        </w:rPr>
      </w:pPr>
      <w:r>
        <w:rPr>
          <w:noProof/>
          <w:color w:val="000000"/>
        </w:rPr>
        <w:t>Komissio voi täytäntöönpanosäädöksillä vahvistaa</w:t>
      </w:r>
    </w:p>
    <w:p>
      <w:pPr>
        <w:pStyle w:val="Point0"/>
        <w:rPr>
          <w:i/>
          <w:noProof/>
          <w:color w:val="00B050"/>
        </w:rPr>
      </w:pPr>
      <w:r>
        <w:rPr>
          <w:noProof/>
        </w:rPr>
        <w:t>a)</w:t>
      </w:r>
      <w:r>
        <w:rPr>
          <w:noProof/>
        </w:rPr>
        <w:tab/>
        <w:t>yksityiskohtaiset säännöt, jotka koskevat 14 artiklassa tarkoitetun unionin tunnuksen käyttöä tislattujen alkoholijuomien esittelyssä ja merkinnöissä;</w:t>
      </w:r>
    </w:p>
    <w:p>
      <w:pPr>
        <w:pStyle w:val="Point0"/>
        <w:rPr>
          <w:noProof/>
          <w:color w:val="000000"/>
        </w:rPr>
      </w:pPr>
      <w:r>
        <w:rPr>
          <w:noProof/>
          <w:color w:val="000000"/>
        </w:rPr>
        <w:t>b)</w:t>
      </w:r>
      <w:r>
        <w:rPr>
          <w:noProof/>
        </w:rPr>
        <w:tab/>
        <w:t>yksityiskohtaiset säännöt, jotka koskevat mahdollisen alkuperämaan tai -paikan merkitsemistä tislattujen alkoholijuomien etiketteihin.</w:t>
      </w:r>
    </w:p>
    <w:p>
      <w:pPr>
        <w:rPr>
          <w:noProof/>
          <w:color w:val="000000"/>
        </w:rPr>
      </w:pPr>
      <w:r>
        <w:rPr>
          <w:noProof/>
          <w:color w:val="000000"/>
        </w:rPr>
        <w:t>Nämä täytäntöönpanosäädökset hyväksytään 44 artiklan 2 kohdassa tarkoitettua tarkastelumenettelyä noudattaen.</w:t>
      </w:r>
    </w:p>
    <w:p>
      <w:pPr>
        <w:pStyle w:val="ChapterTitle"/>
        <w:rPr>
          <w:rFonts w:cs="TimesNewRoman"/>
          <w:noProof/>
        </w:rPr>
      </w:pPr>
      <w:r>
        <w:rPr>
          <w:noProof/>
        </w:rPr>
        <w:t>III LUKU</w:t>
      </w:r>
    </w:p>
    <w:p>
      <w:pPr>
        <w:jc w:val="center"/>
        <w:rPr>
          <w:b/>
          <w:noProof/>
        </w:rPr>
      </w:pPr>
      <w:r>
        <w:rPr>
          <w:b/>
          <w:noProof/>
        </w:rPr>
        <w:t>MAANTIETEELLISET MERKINNÄT</w:t>
      </w:r>
    </w:p>
    <w:p>
      <w:pPr>
        <w:pStyle w:val="Titrearticle"/>
        <w:rPr>
          <w:noProof/>
        </w:rPr>
      </w:pPr>
      <w:r>
        <w:rPr>
          <w:noProof/>
        </w:rPr>
        <w:t>18 artikla</w:t>
      </w:r>
    </w:p>
    <w:p>
      <w:pPr>
        <w:pStyle w:val="NormalCentered"/>
        <w:rPr>
          <w:rFonts w:cs="TimesNewRomanBold"/>
          <w:b/>
          <w:bCs/>
          <w:noProof/>
        </w:rPr>
      </w:pPr>
      <w:r>
        <w:rPr>
          <w:b/>
          <w:noProof/>
        </w:rPr>
        <w:t>Maantieteellisten merkintöjen suoja</w:t>
      </w:r>
    </w:p>
    <w:p>
      <w:pPr>
        <w:pStyle w:val="ManualNumPar1"/>
        <w:rPr>
          <w:rFonts w:cs="TimesNewRoman"/>
          <w:noProof/>
        </w:rPr>
      </w:pPr>
      <w:r>
        <w:rPr>
          <w:noProof/>
        </w:rPr>
        <w:t>1.</w:t>
      </w:r>
      <w:r>
        <w:rPr>
          <w:noProof/>
        </w:rPr>
        <w:tab/>
        <w:t>Kuka tahansa toimija, joka pitää kaupan tuote-eritelmän mukaisesti tuotettua tislattua alkoholijuomaa, voi käyttää suojattuja maantieteellisiä merkintöjä.</w:t>
      </w:r>
    </w:p>
    <w:p>
      <w:pPr>
        <w:pStyle w:val="ManualNumPar1"/>
        <w:rPr>
          <w:rFonts w:cs="TimesNewRoman"/>
          <w:noProof/>
        </w:rPr>
      </w:pPr>
      <w:r>
        <w:rPr>
          <w:noProof/>
        </w:rPr>
        <w:t>2.</w:t>
      </w:r>
      <w:r>
        <w:rPr>
          <w:noProof/>
        </w:rPr>
        <w:tab/>
        <w:t>Suojatut maantieteelliset merkinnät sekä kyseisiä suojattuja nimiä käyttävät, asianomaisen tuote-eritelmän mukaisesti tuotetut tislatut alkoholijuomat on suojattu</w:t>
      </w:r>
    </w:p>
    <w:p>
      <w:pPr>
        <w:pStyle w:val="Point1"/>
        <w:rPr>
          <w:noProof/>
        </w:rPr>
      </w:pPr>
      <w:r>
        <w:rPr>
          <w:noProof/>
        </w:rPr>
        <w:t>a)</w:t>
      </w:r>
      <w:r>
        <w:rPr>
          <w:noProof/>
        </w:rPr>
        <w:tab/>
        <w:t>suojatun nimen suoralta tai välilliseltä kaupalliselta käytöltä</w:t>
      </w:r>
    </w:p>
    <w:p>
      <w:pPr>
        <w:pStyle w:val="Point2"/>
        <w:rPr>
          <w:noProof/>
        </w:rPr>
      </w:pPr>
      <w:r>
        <w:rPr>
          <w:noProof/>
        </w:rPr>
        <w:t>i)</w:t>
      </w:r>
      <w:r>
        <w:rPr>
          <w:noProof/>
        </w:rPr>
        <w:tab/>
        <w:t>vastaavissa tuotteissa, jotka eivät ole suojattua nimeä koskevan tuote-eritelmän mukaisia; tai</w:t>
      </w:r>
    </w:p>
    <w:p>
      <w:pPr>
        <w:pStyle w:val="Point2"/>
        <w:rPr>
          <w:rFonts w:cs="TimesNewRoman"/>
          <w:noProof/>
        </w:rPr>
      </w:pPr>
      <w:r>
        <w:rPr>
          <w:noProof/>
        </w:rPr>
        <w:t>ii)</w:t>
      </w:r>
      <w:r>
        <w:rPr>
          <w:noProof/>
        </w:rPr>
        <w:tab/>
        <w:t>jos nimen käytöllä hyödynnetään maantieteellisen merkinnän mainetta;</w:t>
      </w:r>
    </w:p>
    <w:p>
      <w:pPr>
        <w:pStyle w:val="Point1"/>
        <w:rPr>
          <w:rFonts w:cs="TimesNewRoman"/>
          <w:noProof/>
        </w:rPr>
      </w:pPr>
      <w:r>
        <w:rPr>
          <w:noProof/>
        </w:rPr>
        <w:t>b)</w:t>
      </w:r>
      <w:r>
        <w:rPr>
          <w:noProof/>
        </w:rPr>
        <w:tab/>
        <w:t>väärinkäytöltä, jäljittelyltä tai mielleyhtymiltä, vaikka tuotteiden tai palveluiden oikea alkuperä on merkitty tai vaikka suojattu nimitys on käännetty tai siihen on liitetty esimerkiksi ilmaisu ”tapa”, ”tyyppi”, ”menetelmä”, ”tuotettu kuten”, ”jäljitelmä”, ”makuinen”, ”kaltainen” tai muu vastaava ilmaisu;</w:t>
      </w:r>
    </w:p>
    <w:p>
      <w:pPr>
        <w:pStyle w:val="Point1"/>
        <w:rPr>
          <w:rFonts w:cs="TimesNewRoman"/>
          <w:noProof/>
        </w:rPr>
      </w:pPr>
      <w:r>
        <w:rPr>
          <w:noProof/>
        </w:rPr>
        <w:t>c)</w:t>
      </w:r>
      <w:r>
        <w:rPr>
          <w:noProof/>
        </w:rPr>
        <w:tab/>
        <w:t>muilta vääriltä tai harhaanjohtavilta merkinnöiltä, jotka koskevat tuotteen lähtöpaikkaa, alkuperää, luonnetta tai olennaisia ominaisuuksia, jotka on merkitty sisä- tai ulkopakkaukseen, mainoksiin tai asianomaista tuotetta koskeviin asiakirjoihin, sekä tuotteen pakkaamiselta säiliöön tavalla, joka on omiaan antamaan väärän kuvan tuotteen alkuperästä;</w:t>
      </w:r>
    </w:p>
    <w:p>
      <w:pPr>
        <w:pStyle w:val="Point1"/>
        <w:rPr>
          <w:rFonts w:cs="TimesNewRoman"/>
          <w:noProof/>
        </w:rPr>
      </w:pPr>
      <w:r>
        <w:rPr>
          <w:noProof/>
        </w:rPr>
        <w:t>d)</w:t>
      </w:r>
      <w:r>
        <w:rPr>
          <w:noProof/>
        </w:rPr>
        <w:tab/>
        <w:t>muilta käytännöiltä, jotka saattaisivat johtaa kuluttajaa harhaan tuotteen todellisen alkuperän suhteen.</w:t>
      </w:r>
    </w:p>
    <w:p>
      <w:pPr>
        <w:pStyle w:val="ManualNumPar1"/>
        <w:rPr>
          <w:rFonts w:cs="TimesNewRoman"/>
          <w:noProof/>
        </w:rPr>
      </w:pPr>
      <w:r>
        <w:rPr>
          <w:noProof/>
        </w:rPr>
        <w:t>3.</w:t>
      </w:r>
      <w:r>
        <w:rPr>
          <w:noProof/>
        </w:rPr>
        <w:tab/>
        <w:t>Suojatuista maantieteellisistä merkinnöistä ei saa tulla 32 artiklan 1 kohdassa tarkoitettuja yleisnimiä unionissa.</w:t>
      </w:r>
    </w:p>
    <w:p>
      <w:pPr>
        <w:pStyle w:val="ManualNumPar1"/>
        <w:rPr>
          <w:i/>
          <w:noProof/>
        </w:rPr>
      </w:pPr>
      <w:r>
        <w:rPr>
          <w:noProof/>
        </w:rPr>
        <w:t>4.</w:t>
      </w:r>
      <w:r>
        <w:rPr>
          <w:noProof/>
        </w:rPr>
        <w:tab/>
        <w:t>Jäsenvaltioiden on toteutettava tarvittavat toimenpiteet lopettaakseen suojattujen maantieteellisten merkintöjen 2 kohdassa tarkoitetun lainvastaisen käytön.</w:t>
      </w:r>
    </w:p>
    <w:p>
      <w:pPr>
        <w:pStyle w:val="Titrearticle"/>
        <w:rPr>
          <w:noProof/>
        </w:rPr>
      </w:pPr>
      <w:r>
        <w:rPr>
          <w:noProof/>
        </w:rPr>
        <w:t>19 artikla</w:t>
      </w:r>
    </w:p>
    <w:p>
      <w:pPr>
        <w:jc w:val="center"/>
        <w:rPr>
          <w:b/>
          <w:noProof/>
        </w:rPr>
      </w:pPr>
      <w:r>
        <w:rPr>
          <w:b/>
          <w:noProof/>
        </w:rPr>
        <w:t>Tuote-eritelmä</w:t>
      </w:r>
    </w:p>
    <w:p>
      <w:pPr>
        <w:rPr>
          <w:noProof/>
        </w:rPr>
      </w:pPr>
      <w:r>
        <w:rPr>
          <w:noProof/>
        </w:rPr>
        <w:t>Maantieteellisen merkinnän on oltava sellaisen tuote-eritelmän mukainen, johon sisältyvät vähintään seuraavat tiedot:</w:t>
      </w:r>
    </w:p>
    <w:p>
      <w:pPr>
        <w:pStyle w:val="Point1"/>
        <w:rPr>
          <w:noProof/>
        </w:rPr>
      </w:pPr>
      <w:r>
        <w:rPr>
          <w:noProof/>
        </w:rPr>
        <w:t>a)</w:t>
      </w:r>
      <w:r>
        <w:rPr>
          <w:noProof/>
        </w:rPr>
        <w:tab/>
        <w:t>suojattavan maantieteellisen merkinnän nimi sellaisena kuin sitä käytetään kaupassa tai yleisessä kielenkäytössä ja ainoastaan niillä kielillä, joita perinteisesti käytetään tai käytettiin tietyn tuotteen kuvaamiseen rajatulla maantieteellisellä alueella;</w:t>
      </w:r>
    </w:p>
    <w:p>
      <w:pPr>
        <w:pStyle w:val="Point1"/>
        <w:rPr>
          <w:noProof/>
        </w:rPr>
      </w:pPr>
      <w:r>
        <w:rPr>
          <w:noProof/>
        </w:rPr>
        <w:t>b)</w:t>
      </w:r>
      <w:r>
        <w:rPr>
          <w:noProof/>
        </w:rPr>
        <w:tab/>
        <w:t>tislatun alkoholijuoman luokka;</w:t>
      </w:r>
    </w:p>
    <w:p>
      <w:pPr>
        <w:pStyle w:val="Point1"/>
        <w:rPr>
          <w:noProof/>
        </w:rPr>
      </w:pPr>
      <w:r>
        <w:rPr>
          <w:noProof/>
        </w:rPr>
        <w:t>c)</w:t>
      </w:r>
      <w:r>
        <w:rPr>
          <w:noProof/>
        </w:rPr>
        <w:tab/>
        <w:t>tislatun alkoholijuoman kuvaus, mukaan lukien tarvittaessa raaka-aineet, sekä tuotteen tärkeimmät fysikaaliset, kemialliset ja aistinvaraiset ominaisuudet ja tuotteen erityisominaisuudet verrattuna saman luokan tislattuihin alkoholijuomiin;</w:t>
      </w:r>
    </w:p>
    <w:p>
      <w:pPr>
        <w:pStyle w:val="Point1"/>
        <w:rPr>
          <w:noProof/>
        </w:rPr>
      </w:pPr>
      <w:r>
        <w:rPr>
          <w:noProof/>
        </w:rPr>
        <w:t>d)</w:t>
      </w:r>
      <w:r>
        <w:rPr>
          <w:noProof/>
        </w:rPr>
        <w:tab/>
        <w:t>maantieteellisen alueen rajaus suhteessa f alakohdassa tarkoitettuun yhteyteen;</w:t>
      </w:r>
    </w:p>
    <w:p>
      <w:pPr>
        <w:pStyle w:val="Point1"/>
        <w:rPr>
          <w:noProof/>
        </w:rPr>
      </w:pPr>
      <w:r>
        <w:rPr>
          <w:noProof/>
        </w:rPr>
        <w:t>e)</w:t>
      </w:r>
      <w:r>
        <w:rPr>
          <w:noProof/>
        </w:rPr>
        <w:tab/>
        <w:t>kuvaus menetelmästä, jolla tislattu alkoholijuoma saadaan aikaan, ja tarvittaessa aidoista ja muuttumattomista paikallisista menetelmistä, sekä pakkaamiseen liittyvät tiedot, jos hakijaryhmä katsoo sen tarpeelliseksi ja esittää nimenomaan kyseistä tuotetta koskevat riittävät perusteet sen osalta, miksi pakkaaminen on suoritettava rajatulla maantieteellisellä alueella laadun säilyttämiseksi, alkuperän varmistamiseksi tai valvonnan varmistamiseksi, ottaen huomioon unionin lainsäädännön, erityisesti tavaroiden vapaan liikkuvuuden ja palvelujen tarjoamisen vapauden osalta;</w:t>
      </w:r>
    </w:p>
    <w:p>
      <w:pPr>
        <w:pStyle w:val="Point1"/>
        <w:rPr>
          <w:noProof/>
        </w:rPr>
      </w:pPr>
      <w:r>
        <w:rPr>
          <w:noProof/>
        </w:rPr>
        <w:t>f)</w:t>
      </w:r>
      <w:r>
        <w:rPr>
          <w:noProof/>
        </w:rPr>
        <w:tab/>
        <w:t>yksityiskohtaiset tiedot tuotteen määrätyn laadun, maineen tai muun ominaispiirteen sekä d alakohdassa tarkoitetun maantieteellisen alueen välisestä yhteydestä;</w:t>
      </w:r>
    </w:p>
    <w:p>
      <w:pPr>
        <w:pStyle w:val="Point1"/>
        <w:rPr>
          <w:noProof/>
        </w:rPr>
      </w:pPr>
      <w:r>
        <w:rPr>
          <w:noProof/>
        </w:rPr>
        <w:t>g)</w:t>
      </w:r>
      <w:r>
        <w:rPr>
          <w:noProof/>
        </w:rPr>
        <w:tab/>
        <w:t>tuote-eritelmää koskevien säännösten noudattamisen tarkastamisesta 35 artiklan nojalla huolehtivien viranomaisten tai, jos saatavilla, elinten nimet ja osoitteet sekä näiden erityistehtävät;</w:t>
      </w:r>
    </w:p>
    <w:p>
      <w:pPr>
        <w:pStyle w:val="Point1"/>
        <w:rPr>
          <w:noProof/>
        </w:rPr>
      </w:pPr>
      <w:r>
        <w:rPr>
          <w:noProof/>
        </w:rPr>
        <w:t>h)</w:t>
      </w:r>
      <w:r>
        <w:rPr>
          <w:noProof/>
        </w:rPr>
        <w:tab/>
        <w:t>kyseisen tislatun alkoholijuoman merkintöjä koskevat erityissäännöt.</w:t>
      </w:r>
    </w:p>
    <w:p>
      <w:pPr>
        <w:pStyle w:val="Text1"/>
        <w:jc w:val="center"/>
        <w:rPr>
          <w:i/>
          <w:noProof/>
        </w:rPr>
      </w:pPr>
    </w:p>
    <w:p>
      <w:pPr>
        <w:pStyle w:val="Text1"/>
        <w:jc w:val="center"/>
        <w:rPr>
          <w:i/>
          <w:noProof/>
        </w:rPr>
      </w:pPr>
      <w:r>
        <w:rPr>
          <w:i/>
          <w:noProof/>
        </w:rPr>
        <w:t>20 artikla</w:t>
      </w:r>
    </w:p>
    <w:p>
      <w:pPr>
        <w:pStyle w:val="Text1"/>
        <w:jc w:val="center"/>
        <w:rPr>
          <w:b/>
          <w:noProof/>
        </w:rPr>
      </w:pPr>
      <w:r>
        <w:rPr>
          <w:b/>
          <w:noProof/>
        </w:rPr>
        <w:t>Rekisteröintihakemusten sisältö</w:t>
      </w:r>
    </w:p>
    <w:p>
      <w:pPr>
        <w:pStyle w:val="ManualNumPar1"/>
        <w:rPr>
          <w:noProof/>
        </w:rPr>
      </w:pPr>
      <w:r>
        <w:rPr>
          <w:noProof/>
        </w:rPr>
        <w:t>1.</w:t>
      </w:r>
      <w:r>
        <w:rPr>
          <w:noProof/>
        </w:rPr>
        <w:tab/>
        <w:t>Jäljempänä 21 artiklan 2 tai 5 kohdassa tarkoitettuun maantieteellistä merkintää koskevaan rekisteröintihakemukseen on sisällytettävä vähintään seuraavat tiedot:</w:t>
      </w:r>
    </w:p>
    <w:p>
      <w:pPr>
        <w:pStyle w:val="Point1"/>
        <w:rPr>
          <w:noProof/>
        </w:rPr>
      </w:pPr>
      <w:r>
        <w:rPr>
          <w:noProof/>
        </w:rPr>
        <w:t>a)</w:t>
      </w:r>
      <w:r>
        <w:rPr>
          <w:noProof/>
        </w:rPr>
        <w:tab/>
        <w:t>hakijaryhmän nimi ja osoite sekä tuote-eritelmää koskevien säännösten noudattamisen tarkastamisesta huolehtivien viranomaisten tai, jos saatavilla, elinten nimet ja osoitteet;</w:t>
      </w:r>
    </w:p>
    <w:p>
      <w:pPr>
        <w:pStyle w:val="Point1"/>
        <w:rPr>
          <w:noProof/>
        </w:rPr>
      </w:pPr>
      <w:r>
        <w:rPr>
          <w:noProof/>
        </w:rPr>
        <w:t>b)</w:t>
      </w:r>
      <w:r>
        <w:rPr>
          <w:noProof/>
        </w:rPr>
        <w:tab/>
        <w:t>19 artiklassa säädetty tuote-eritelmä;</w:t>
      </w:r>
    </w:p>
    <w:p>
      <w:pPr>
        <w:pStyle w:val="Text1"/>
        <w:rPr>
          <w:noProof/>
        </w:rPr>
      </w:pPr>
      <w:r>
        <w:rPr>
          <w:noProof/>
        </w:rPr>
        <w:t>c)</w:t>
      </w:r>
      <w:r>
        <w:rPr>
          <w:noProof/>
        </w:rPr>
        <w:tab/>
        <w:t>yhtenäinen asiakirja, joka sisältää seuraavat tiedot:</w:t>
      </w:r>
    </w:p>
    <w:p>
      <w:pPr>
        <w:pStyle w:val="Point2"/>
        <w:rPr>
          <w:noProof/>
        </w:rPr>
      </w:pPr>
      <w:r>
        <w:rPr>
          <w:noProof/>
        </w:rPr>
        <w:t>i)</w:t>
      </w:r>
      <w:r>
        <w:rPr>
          <w:noProof/>
        </w:rPr>
        <w:tab/>
        <w:t>tuote-eritelmän pääkohdat: nimi, tislatun alkoholijuoman kuvaus, mukaan lukien tarvittaessa pakkausta ja merkintöjä koskevat erityissäännöt, ja maantieteellisen alueen tarkka määritys;</w:t>
      </w:r>
    </w:p>
    <w:p>
      <w:pPr>
        <w:pStyle w:val="Point2"/>
        <w:rPr>
          <w:noProof/>
        </w:rPr>
      </w:pPr>
      <w:r>
        <w:rPr>
          <w:noProof/>
        </w:rPr>
        <w:t>ii)</w:t>
      </w:r>
      <w:r>
        <w:rPr>
          <w:noProof/>
        </w:rPr>
        <w:tab/>
        <w:t>kuvaus tislatun alkoholijuoman ja 2 artiklan 1 kohdan 6 alakohdassa tarkoitetun maantieteellisen alueen välisestä yhteydestä sekä tarvittaessa yhteyden perusteena olevat tuotekuvauksen tai tuotantomenetelmän erityispiirteet.</w:t>
      </w:r>
    </w:p>
    <w:p>
      <w:pPr>
        <w:pStyle w:val="Text1"/>
        <w:rPr>
          <w:i/>
          <w:noProof/>
        </w:rPr>
      </w:pPr>
      <w:r>
        <w:rPr>
          <w:noProof/>
        </w:rPr>
        <w:t>Lisäksi 21 artiklan 5 kohdassa tarkoitetussa hakemuksessa on oltava todiste siitä, että tuotteen nimi on suojattu sen alkuperämaassa.</w:t>
      </w:r>
    </w:p>
    <w:p>
      <w:pPr>
        <w:pStyle w:val="ManualNumPar1"/>
        <w:rPr>
          <w:noProof/>
        </w:rPr>
      </w:pPr>
      <w:r>
        <w:rPr>
          <w:noProof/>
        </w:rPr>
        <w:t>2.</w:t>
      </w:r>
      <w:r>
        <w:rPr>
          <w:noProof/>
        </w:rPr>
        <w:tab/>
        <w:t>Jäljempänä 21 artiklan 4 kohdassa tarkoitettuihin hakemusasiakirjoihin on sisällyttävä seuraavat tiedot:</w:t>
      </w:r>
    </w:p>
    <w:p>
      <w:pPr>
        <w:pStyle w:val="Point1"/>
        <w:rPr>
          <w:noProof/>
        </w:rPr>
      </w:pPr>
      <w:r>
        <w:rPr>
          <w:noProof/>
        </w:rPr>
        <w:t>a)</w:t>
      </w:r>
      <w:r>
        <w:rPr>
          <w:noProof/>
        </w:rPr>
        <w:tab/>
        <w:t>hakijaryhmän nimi ja osoite;</w:t>
      </w:r>
    </w:p>
    <w:p>
      <w:pPr>
        <w:pStyle w:val="Text1"/>
        <w:rPr>
          <w:noProof/>
        </w:rPr>
      </w:pPr>
      <w:r>
        <w:rPr>
          <w:noProof/>
        </w:rPr>
        <w:t>b)</w:t>
      </w:r>
      <w:r>
        <w:rPr>
          <w:noProof/>
        </w:rPr>
        <w:tab/>
        <w:t>tämän artiklan 1 kohdan c alakohdassa tarkoitettu yhtenäinen asiakirja;</w:t>
      </w:r>
    </w:p>
    <w:p>
      <w:pPr>
        <w:pStyle w:val="Point1"/>
        <w:rPr>
          <w:noProof/>
        </w:rPr>
      </w:pPr>
      <w:r>
        <w:rPr>
          <w:noProof/>
        </w:rPr>
        <w:t>c)</w:t>
      </w:r>
      <w:r>
        <w:rPr>
          <w:noProof/>
        </w:rPr>
        <w:tab/>
        <w:t>jäsenvaltion ilmoitus siitä, että se katsoo hakijaryhmän toimittaman hakemuksen, josta on tehty myönteinen päätös, olevan tämän asetuksen edellytysten ja sen nojalla annettujen säännösten mukainen;</w:t>
      </w:r>
    </w:p>
    <w:p>
      <w:pPr>
        <w:pStyle w:val="Point1"/>
        <w:rPr>
          <w:noProof/>
        </w:rPr>
      </w:pPr>
      <w:r>
        <w:rPr>
          <w:noProof/>
        </w:rPr>
        <w:t>d)</w:t>
      </w:r>
      <w:r>
        <w:rPr>
          <w:noProof/>
        </w:rPr>
        <w:tab/>
        <w:t>tuote-eritelmän julkaisutiedot.</w:t>
      </w:r>
    </w:p>
    <w:p>
      <w:pPr>
        <w:pStyle w:val="Titrearticle"/>
        <w:rPr>
          <w:noProof/>
        </w:rPr>
      </w:pPr>
      <w:r>
        <w:rPr>
          <w:noProof/>
        </w:rPr>
        <w:t>21 artikla</w:t>
      </w:r>
    </w:p>
    <w:p>
      <w:pPr>
        <w:ind w:left="720" w:hanging="720"/>
        <w:jc w:val="center"/>
        <w:rPr>
          <w:b/>
          <w:noProof/>
        </w:rPr>
      </w:pPr>
      <w:r>
        <w:rPr>
          <w:b/>
          <w:noProof/>
        </w:rPr>
        <w:t>Nimen rekisteröintihakemus</w:t>
      </w:r>
    </w:p>
    <w:p>
      <w:pPr>
        <w:pStyle w:val="ManualNumPar1"/>
        <w:rPr>
          <w:noProof/>
        </w:rPr>
      </w:pPr>
      <w:r>
        <w:rPr>
          <w:noProof/>
        </w:rPr>
        <w:t>1.</w:t>
      </w:r>
      <w:r>
        <w:rPr>
          <w:noProof/>
        </w:rPr>
        <w:tab/>
        <w:t>Nimen rekisteröintiä maantieteellisenä merkintänä tässä asetuksessa tarkoitetussa järjestelmässä voivat hakea ainoastaan ryhmät, jotka työskentelevät sen tislatun alkoholijuoman parissa, jonka nimi on määrä rekisteröidä.</w:t>
      </w:r>
    </w:p>
    <w:p>
      <w:pPr>
        <w:pStyle w:val="Text1"/>
        <w:rPr>
          <w:i/>
          <w:noProof/>
        </w:rPr>
      </w:pPr>
      <w:r>
        <w:rPr>
          <w:noProof/>
        </w:rPr>
        <w:t xml:space="preserve">Jos maantieteellisen merkinnän nimi viittaa rajat ylittävään maantieteelliseen alueeseen, useammat ryhmät eri jäsenvaltioista tai kolmansista maista voivat esittää yhteisen rekisteröintihakemuksen. </w:t>
      </w:r>
    </w:p>
    <w:p>
      <w:pPr>
        <w:pStyle w:val="Text1"/>
        <w:rPr>
          <w:noProof/>
        </w:rPr>
      </w:pPr>
      <w:r>
        <w:rPr>
          <w:noProof/>
        </w:rPr>
        <w:t xml:space="preserve">Yhteisen hakemuksen jättää komissiolle asianomainen jäsenvaltio tai asianomaisen kolmannen maan hakijaryhmä suoraan tai kyseisen kolmannen maan viranomaisten välityksellä. Siinä on oltava 20 artiklan 2 kohdan c alakohdassa tarkoitettu ilmoitus jokaiselta asianomaiselta jäsenvaltiolta. Jokaisen asianomaisen jäsenvaltion ja kolmannen maan on täytettävä 20 artiklassa säädetyt vaatimukset. </w:t>
      </w:r>
    </w:p>
    <w:p>
      <w:pPr>
        <w:pStyle w:val="Text1"/>
        <w:rPr>
          <w:noProof/>
        </w:rPr>
      </w:pPr>
      <w:r>
        <w:rPr>
          <w:noProof/>
        </w:rPr>
        <w:t>Kun kyseessä on yhteinen hakemus, kansalliset vastaväitemenettelyt on toteutettava kaikissa asiaankuuluvissa jäsenvaltioissa.</w:t>
      </w:r>
    </w:p>
    <w:p>
      <w:pPr>
        <w:pStyle w:val="ManualNumPar1"/>
        <w:rPr>
          <w:noProof/>
        </w:rPr>
      </w:pPr>
      <w:r>
        <w:rPr>
          <w:noProof/>
        </w:rPr>
        <w:t>2.</w:t>
      </w:r>
      <w:r>
        <w:rPr>
          <w:noProof/>
        </w:rPr>
        <w:tab/>
        <w:t>Kun hakemus koskee tietyssä jäsenvaltiossa sijaitsevaa maantieteellistä aluetta, se on esitettävä kyseisen jäsenvaltion viranomaisille.</w:t>
      </w:r>
    </w:p>
    <w:p>
      <w:pPr>
        <w:pStyle w:val="Text1"/>
        <w:rPr>
          <w:noProof/>
        </w:rPr>
      </w:pPr>
      <w:r>
        <w:rPr>
          <w:noProof/>
        </w:rPr>
        <w:t>Jäsenvaltion on tutkittava hakemus asianmukaisin keinoin tarkastaakseen, että se on perusteltu ja täyttää tämän luvun edellytykset.</w:t>
      </w:r>
    </w:p>
    <w:p>
      <w:pPr>
        <w:pStyle w:val="ManualNumPar1"/>
        <w:rPr>
          <w:noProof/>
        </w:rPr>
      </w:pPr>
      <w:r>
        <w:rPr>
          <w:noProof/>
        </w:rPr>
        <w:t>3.</w:t>
      </w:r>
      <w:r>
        <w:rPr>
          <w:noProof/>
        </w:rPr>
        <w:tab/>
        <w:t>Jäsenvaltion on osana 2 kohdan toisessa alakohdassa tarkoitettua tutkimusta pantava vireille kansallinen vastaväitemenettely, jolla taataan hakemuksen riittävä julkaiseminen ja johon sisältyy kohtuullinen aika, jonka kuluessa luonnolliset tai oikeushenkilöt, joiden oikeutettua etua asia koskee ja jotka ovat sijoittautuneet jäsenvaltion alueelle tai asuvat siellä, voivat esittää hakemusta koskevan vastaväitteen.</w:t>
      </w:r>
    </w:p>
    <w:p>
      <w:pPr>
        <w:pStyle w:val="Text1"/>
        <w:rPr>
          <w:noProof/>
        </w:rPr>
      </w:pPr>
      <w:r>
        <w:rPr>
          <w:noProof/>
        </w:rPr>
        <w:t>Jäsenvaltion on tarkasteltava saatujen vastaväitteiden tutkittavuutta 25 artiklassa tarkoitettujen perusteiden mukaisesti.</w:t>
      </w:r>
    </w:p>
    <w:p>
      <w:pPr>
        <w:pStyle w:val="ManualNumPar1"/>
        <w:rPr>
          <w:noProof/>
        </w:rPr>
      </w:pPr>
      <w:r>
        <w:rPr>
          <w:noProof/>
        </w:rPr>
        <w:t>4.</w:t>
      </w:r>
      <w:r>
        <w:rPr>
          <w:noProof/>
        </w:rPr>
        <w:tab/>
        <w:t>Jos jäsenvaltio saatujen vastaväitteiden tarkastelun jälkeen katsoo, että tämän luvun vaatimukset täyttyvät, se voi tehdä myönteisen päätöksen ja esittää komissiolle hakemusasiakirjan. Sen on tällaisessa tapauksessa ilmoitettava komissiolle vastaväitteistä, jotka voidaan ottaa tutkittaviksi ja jotka on saatu luonnolliselta tai oikeushenkilöltä, joka on laillisesti pitänyt kaupan kyseisiä tuotteita käyttäen asianomaisia nimiä, jatkuvasti vähintään viiden vuoden ajan ennen 3 kohdassa tarkoitettua julkaisupäivää. Jäsenvaltioiden on myös ilmoitettava komissiolle kansallisista oikeudenkäynneistä, jotka mahdollisesti vaikuttavat rekisteröintimenettelyyn.</w:t>
      </w:r>
    </w:p>
    <w:p>
      <w:pPr>
        <w:pStyle w:val="Text1"/>
        <w:rPr>
          <w:noProof/>
        </w:rPr>
      </w:pPr>
      <w:r>
        <w:rPr>
          <w:noProof/>
        </w:rPr>
        <w:t>Jäsenvaltion on varmistettava, että sen tekemä myönteinen päätös julkistetaan ja että luonnollisilla ja oikeushenkilöillä, joiden oikeutettua etua asia koskee, on mahdollisuus valittaa päätöksestä.</w:t>
      </w:r>
    </w:p>
    <w:p>
      <w:pPr>
        <w:pStyle w:val="Text1"/>
        <w:rPr>
          <w:noProof/>
        </w:rPr>
      </w:pPr>
      <w:r>
        <w:rPr>
          <w:noProof/>
        </w:rPr>
        <w:t>Jäsenvaltion on varmistettava, että myönteisen päätöksen perusteena ollut tuote-eritelmä julkaistaan, ja huolehdittava siitä, että tuote-eritelmä on sähköisesti saatavilla.</w:t>
      </w:r>
    </w:p>
    <w:p>
      <w:pPr>
        <w:pStyle w:val="Text1"/>
        <w:rPr>
          <w:noProof/>
        </w:rPr>
      </w:pPr>
      <w:r>
        <w:rPr>
          <w:noProof/>
        </w:rPr>
        <w:t>Jäsenvaltioiden on myös taattava tuote-eritelmän sen version, josta komissio tekee päätöksen 23 artiklan 2 kohdan nojalla, riittävä julkaiseminen.</w:t>
      </w:r>
    </w:p>
    <w:p>
      <w:pPr>
        <w:pStyle w:val="ManualNumPar1"/>
        <w:rPr>
          <w:noProof/>
        </w:rPr>
      </w:pPr>
      <w:r>
        <w:rPr>
          <w:noProof/>
        </w:rPr>
        <w:t>5.</w:t>
      </w:r>
      <w:r>
        <w:rPr>
          <w:noProof/>
        </w:rPr>
        <w:tab/>
        <w:t>Jos hakemus koskee kolmannessa maassa sijaitsevaa maantieteellistä aluetta, hakemus on toimitettava komissiolle joko suoraan tai asianomaisen kolmannen maan viranomaisten välityksellä.</w:t>
      </w:r>
    </w:p>
    <w:p>
      <w:pPr>
        <w:pStyle w:val="ManualNumPar1"/>
        <w:rPr>
          <w:noProof/>
        </w:rPr>
      </w:pPr>
      <w:r>
        <w:rPr>
          <w:noProof/>
        </w:rPr>
        <w:t>6.</w:t>
      </w:r>
      <w:r>
        <w:rPr>
          <w:noProof/>
        </w:rPr>
        <w:tab/>
        <w:t>Tässä artiklassa tarkoitetut asiakirjat, jotka lähetetään komissiolle, on laadittava jollakin unionin virallisella kielellä.</w:t>
      </w:r>
    </w:p>
    <w:p>
      <w:pPr>
        <w:pStyle w:val="Titrearticle"/>
        <w:rPr>
          <w:i w:val="0"/>
          <w:noProof/>
        </w:rPr>
      </w:pPr>
      <w:r>
        <w:rPr>
          <w:noProof/>
        </w:rPr>
        <w:t>22 artikla</w:t>
      </w:r>
    </w:p>
    <w:p>
      <w:pPr>
        <w:pStyle w:val="Text1"/>
        <w:ind w:left="0"/>
        <w:jc w:val="center"/>
        <w:rPr>
          <w:b/>
          <w:noProof/>
        </w:rPr>
      </w:pPr>
      <w:r>
        <w:rPr>
          <w:b/>
          <w:noProof/>
        </w:rPr>
        <w:t>Siirtymäkauden kansallinen suoja</w:t>
      </w:r>
    </w:p>
    <w:p>
      <w:pPr>
        <w:ind w:left="720" w:hanging="720"/>
        <w:rPr>
          <w:noProof/>
        </w:rPr>
      </w:pPr>
      <w:r>
        <w:rPr>
          <w:noProof/>
        </w:rPr>
        <w:t>1.</w:t>
      </w:r>
      <w:r>
        <w:rPr>
          <w:noProof/>
        </w:rPr>
        <w:tab/>
        <w:t>Jäsenvaltio voi, mutta vain siirtymäkauden ajan, myöntää nimelle tämän asetuksen mukaisen kansallisen suojan, joka alkaa siitä päivästä, jona hakemus on toimitettu komissiolle.</w:t>
      </w:r>
    </w:p>
    <w:p>
      <w:pPr>
        <w:ind w:left="720" w:hanging="720"/>
        <w:rPr>
          <w:noProof/>
        </w:rPr>
      </w:pPr>
      <w:r>
        <w:rPr>
          <w:noProof/>
        </w:rPr>
        <w:t>2.</w:t>
      </w:r>
      <w:r>
        <w:rPr>
          <w:noProof/>
        </w:rPr>
        <w:tab/>
        <w:t>Siirtymäkauden kansallinen suoja lakkaa sinä päivänä, jona tehdään päätös tämän asetuksen mukaisesta rekisteröinnistä tai hakemus perutaan.</w:t>
      </w:r>
    </w:p>
    <w:p>
      <w:pPr>
        <w:ind w:left="720" w:hanging="720"/>
        <w:rPr>
          <w:noProof/>
        </w:rPr>
      </w:pPr>
      <w:r>
        <w:rPr>
          <w:noProof/>
        </w:rPr>
        <w:t>3.</w:t>
      </w:r>
      <w:r>
        <w:rPr>
          <w:noProof/>
        </w:rPr>
        <w:tab/>
        <w:t>Jos nimeä ei ole rekisteröity tämän luvun mukaisesti, tällaisen kansallisen suojan vaikutuksista vastaa yksinomaan asianomainen jäsenvaltio.</w:t>
      </w:r>
    </w:p>
    <w:p>
      <w:pPr>
        <w:ind w:left="720" w:hanging="720"/>
        <w:rPr>
          <w:noProof/>
        </w:rPr>
      </w:pPr>
      <w:r>
        <w:rPr>
          <w:noProof/>
        </w:rPr>
        <w:t>4.</w:t>
      </w:r>
      <w:r>
        <w:rPr>
          <w:noProof/>
        </w:rPr>
        <w:tab/>
        <w:t>Jäsenvaltioiden 1 kohdan mukaisesti toteuttamilla toimenpiteillä saa olla vaikutusta ainoastaan kansallisella tasolla, eikä niillä saa olla vaikutusta unionin sisäiseen kauppaan tai kansainväliseen kauppaan.</w:t>
      </w:r>
    </w:p>
    <w:p>
      <w:pPr>
        <w:pStyle w:val="Titrearticle"/>
        <w:rPr>
          <w:i w:val="0"/>
          <w:noProof/>
        </w:rPr>
      </w:pPr>
      <w:r>
        <w:rPr>
          <w:noProof/>
        </w:rPr>
        <w:t>23 artikla</w:t>
      </w:r>
    </w:p>
    <w:p>
      <w:pPr>
        <w:ind w:left="720"/>
        <w:jc w:val="center"/>
        <w:rPr>
          <w:b/>
          <w:noProof/>
        </w:rPr>
      </w:pPr>
      <w:r>
        <w:rPr>
          <w:b/>
          <w:noProof/>
        </w:rPr>
        <w:t>Komission suorittama tutkimus ja vastaväitteiden julkistaminen</w:t>
      </w:r>
    </w:p>
    <w:p>
      <w:pPr>
        <w:pStyle w:val="ManualNumPar1"/>
        <w:rPr>
          <w:noProof/>
        </w:rPr>
      </w:pPr>
      <w:r>
        <w:rPr>
          <w:noProof/>
        </w:rPr>
        <w:t>1.</w:t>
      </w:r>
      <w:r>
        <w:rPr>
          <w:noProof/>
        </w:rPr>
        <w:tab/>
        <w:t>Komissio tutkii kaikki 21 artiklan mukaisesti sille toimitetut hakemukset asianmukaisin keinoin tarkastaakseen, että hakemus on perusteltu ja täyttää tämän luvun edellytykset. Tutkimus ei saisi kestää yli 12:ta kuukautta. Jos tämä määräaika ylittyy, komissio ilmoittaa viivästyksen syyt hakijalle kirjallisesti.</w:t>
      </w:r>
    </w:p>
    <w:p>
      <w:pPr>
        <w:pStyle w:val="Text1"/>
        <w:rPr>
          <w:i/>
          <w:noProof/>
        </w:rPr>
      </w:pPr>
      <w:r>
        <w:rPr>
          <w:noProof/>
        </w:rPr>
        <w:t>Komissio julkaisee vähintään kuukausittain luettelon nimistä, joista sille on tehty rekisteröintihakemus, sekä päivämäärät, joina hakemukset on toimitettu.</w:t>
      </w:r>
    </w:p>
    <w:p>
      <w:pPr>
        <w:pStyle w:val="ManualNumPar1"/>
        <w:rPr>
          <w:noProof/>
        </w:rPr>
      </w:pPr>
      <w:r>
        <w:rPr>
          <w:noProof/>
        </w:rPr>
        <w:t>2.</w:t>
      </w:r>
      <w:r>
        <w:rPr>
          <w:noProof/>
        </w:rPr>
        <w:tab/>
        <w:t xml:space="preserve">Jos komissio 1 kohdan ensimmäisen alakohdan mukaisesti suoritetun tutkimuksen perusteella katsoo, että tässä luvussa säädetyt edellytykset täyttyvät, se julkaisee </w:t>
      </w:r>
      <w:r>
        <w:rPr>
          <w:i/>
          <w:noProof/>
        </w:rPr>
        <w:t>Euroopan unionin virallisessa lehdessä</w:t>
      </w:r>
      <w:r>
        <w:rPr>
          <w:noProof/>
        </w:rPr>
        <w:t xml:space="preserve"> 20 artiklan 1 kohdan c alakohdassa tarkoitetun yhtenäisen asiakirjan sekä tuote-eritelmän julkaisutiedot. </w:t>
      </w:r>
    </w:p>
    <w:p>
      <w:pPr>
        <w:pStyle w:val="Titrearticle"/>
        <w:rPr>
          <w:i w:val="0"/>
          <w:noProof/>
        </w:rPr>
      </w:pPr>
      <w:r>
        <w:rPr>
          <w:noProof/>
        </w:rPr>
        <w:t>24 artikla</w:t>
      </w:r>
    </w:p>
    <w:p>
      <w:pPr>
        <w:ind w:left="720"/>
        <w:jc w:val="center"/>
        <w:rPr>
          <w:b/>
          <w:noProof/>
        </w:rPr>
      </w:pPr>
      <w:r>
        <w:rPr>
          <w:b/>
          <w:noProof/>
        </w:rPr>
        <w:t>Vastaväitemenettely</w:t>
      </w:r>
    </w:p>
    <w:p>
      <w:pPr>
        <w:pStyle w:val="ManualNumPar1"/>
        <w:rPr>
          <w:noProof/>
        </w:rPr>
      </w:pPr>
      <w:r>
        <w:rPr>
          <w:noProof/>
        </w:rPr>
        <w:t>1.</w:t>
      </w:r>
      <w:r>
        <w:rPr>
          <w:noProof/>
        </w:rPr>
        <w:tab/>
        <w:t xml:space="preserve">Kolmen kuukauden kuluessa </w:t>
      </w:r>
      <w:r>
        <w:rPr>
          <w:i/>
          <w:noProof/>
        </w:rPr>
        <w:t>Euroopan unionin virallisessa lehdessä</w:t>
      </w:r>
      <w:r>
        <w:rPr>
          <w:noProof/>
        </w:rPr>
        <w:t xml:space="preserve"> tapahtuneesta julkistamisesta jäsenvaltion tai kolmannen maan viranomaiset taikka luonnolliset tai oikeushenkilöt, joiden oikeutettua etua asia koskee ja jotka ovat sijoittautuneet kolmanteen maahan, voivat esittää komissiolle vastaväiteilmoituksen.</w:t>
      </w:r>
    </w:p>
    <w:p>
      <w:pPr>
        <w:pStyle w:val="Text1"/>
        <w:rPr>
          <w:noProof/>
        </w:rPr>
      </w:pPr>
      <w:r>
        <w:rPr>
          <w:noProof/>
        </w:rPr>
        <w:t>Luonnolliset tai oikeushenkilöt, joiden oikeutettua etua asia koskee ja jotka ovat sijoittautuneet muun kuin hakemuksen vastaanottaneen jäsenvaltion alueelle tai asuvat siellä, voivat esittää vastaväiteilmoituksen sijoittautumisjäsenvaltioille määräajassa, joka mahdollistaa vastaväitteen esittämisen ensimmäisen alakohdan nojalla.</w:t>
      </w:r>
    </w:p>
    <w:p>
      <w:pPr>
        <w:pStyle w:val="Text1"/>
        <w:rPr>
          <w:noProof/>
        </w:rPr>
      </w:pPr>
      <w:r>
        <w:rPr>
          <w:noProof/>
        </w:rPr>
        <w:t xml:space="preserve">Vastaväiteilmoitukseen on sisällytettävä ilmoitus siitä, että hakemus saattaisi rikkoa tässä luvussa säädettyjä edellytyksiä. </w:t>
      </w:r>
    </w:p>
    <w:p>
      <w:pPr>
        <w:pStyle w:val="Text1"/>
        <w:rPr>
          <w:noProof/>
        </w:rPr>
      </w:pPr>
      <w:r>
        <w:rPr>
          <w:noProof/>
        </w:rPr>
        <w:t xml:space="preserve">Vastaväiteilmoitus, jossa ei ole tällaista ilmoitusta, on mitätön. </w:t>
      </w:r>
    </w:p>
    <w:p>
      <w:pPr>
        <w:pStyle w:val="Text1"/>
        <w:rPr>
          <w:noProof/>
        </w:rPr>
      </w:pPr>
      <w:r>
        <w:rPr>
          <w:noProof/>
        </w:rPr>
        <w:t>Komissio toimittaa vastaväiteilmoituksen viipymättä edelleen hakemuksen toimittaneelle viranomaiselle ja elimelle.</w:t>
      </w:r>
    </w:p>
    <w:p>
      <w:pPr>
        <w:pStyle w:val="ManualNumPar1"/>
        <w:rPr>
          <w:noProof/>
        </w:rPr>
      </w:pPr>
      <w:r>
        <w:rPr>
          <w:noProof/>
        </w:rPr>
        <w:t>2.</w:t>
      </w:r>
      <w:r>
        <w:rPr>
          <w:noProof/>
        </w:rPr>
        <w:tab/>
        <w:t>Jos komissiolle esitetään vastaväiteilmoitus, jota seuraa kahden kuukauden kuluessa perusteltu vastaväite, komissio tarkastaa tämän perustellun vastaväitteen tutkittavuuden.</w:t>
      </w:r>
    </w:p>
    <w:p>
      <w:pPr>
        <w:pStyle w:val="ManualNumPar1"/>
        <w:rPr>
          <w:noProof/>
        </w:rPr>
      </w:pPr>
      <w:r>
        <w:rPr>
          <w:noProof/>
        </w:rPr>
        <w:t>3.</w:t>
      </w:r>
      <w:r>
        <w:rPr>
          <w:noProof/>
        </w:rPr>
        <w:tab/>
        <w:t xml:space="preserve">Kahden kuukauden kuluessa tutkittavaksi otettavan perustellun vastaväitteen vastaanottamisesta komissio kehottaa vastaväitteen esittänyttä viranomaista tai henkilöä sekä hakemuksen esittänyttä viranomaista tai elintä käymään tarvittavia neuvotteluja ajan, joka on enintään kolme kuukautta. Määräaika alkaa päivästä, jona asianomaisille osapuolille lähetetään sähköisesti asiaa koskeva pyyntö. </w:t>
      </w:r>
    </w:p>
    <w:p>
      <w:pPr>
        <w:pStyle w:val="Text1"/>
        <w:rPr>
          <w:noProof/>
        </w:rPr>
      </w:pPr>
      <w:r>
        <w:rPr>
          <w:noProof/>
        </w:rPr>
        <w:t xml:space="preserve">Vastaväitteen esittäneen viranomaisen tai henkilön sekä hakemuksen esittäneen viranomaisen tai elimen on aloitettava tällaiset tarvittavat neuvottelut ilman aiheetonta viivytystä. Niiden on annettava toisilleen asiaankuuluvat tiedot sen arvioimiseksi, onko rekisteröintihakemus tämän luvun edellytysten mukainen. Jos sopimukseen ei päästä, nämä tiedot toimitetaan myös komissiolle. </w:t>
      </w:r>
    </w:p>
    <w:p>
      <w:pPr>
        <w:pStyle w:val="Text1"/>
        <w:rPr>
          <w:noProof/>
        </w:rPr>
      </w:pPr>
      <w:r>
        <w:rPr>
          <w:noProof/>
        </w:rPr>
        <w:t xml:space="preserve">Kun osapuolet pääsevät sopimukseen, jäsenvaltion tai kolmannen maan, josta hakemus jätettiin, viranomaisten on ilmoitettava komissiolle kaikki sopimukseen johtaneet osatekijät, mukana lukien hakijoiden ja jäsenvaltion tai kolmannen maan viranomaisten mielipiteet tai muiden vastaväitteen esittäneiden luonnollisten ja oikeushenkilöiden mielipiteet. </w:t>
      </w:r>
    </w:p>
    <w:p>
      <w:pPr>
        <w:pStyle w:val="Text1"/>
        <w:rPr>
          <w:noProof/>
        </w:rPr>
      </w:pPr>
      <w:r>
        <w:rPr>
          <w:noProof/>
        </w:rPr>
        <w:t>Ilmoitus komissiolle on tehtävä kuukauden kuluessa neuvottelujen päättymisestä riippumatta siitä, onko sopimukseen päästy vai ei.</w:t>
      </w:r>
    </w:p>
    <w:p>
      <w:pPr>
        <w:pStyle w:val="Text1"/>
        <w:rPr>
          <w:noProof/>
        </w:rPr>
      </w:pPr>
      <w:r>
        <w:rPr>
          <w:noProof/>
        </w:rPr>
        <w:t>Milloin tahansa näiden kolmen kuukauden aikana komissio voi hakijan pyynnöstä pidentää neuvottelujen määräaikaa enintään kolmella kuukaudella.</w:t>
      </w:r>
    </w:p>
    <w:p>
      <w:pPr>
        <w:pStyle w:val="ManualNumPar1"/>
        <w:rPr>
          <w:noProof/>
        </w:rPr>
      </w:pPr>
      <w:r>
        <w:rPr>
          <w:noProof/>
        </w:rPr>
        <w:t>4.</w:t>
      </w:r>
      <w:r>
        <w:rPr>
          <w:noProof/>
        </w:rPr>
        <w:tab/>
        <w:t>Jos 23 artiklan 2 kohdan mukaisesti julkaistuja tietoja on 3 kohdassa tarkoitettujen tarvittavien neuvottelujen seurauksena muutettu huomattavasti, komissio tekee uudestaan 23 artiklassa tarkoitetun tutkimuksen.</w:t>
      </w:r>
    </w:p>
    <w:p>
      <w:pPr>
        <w:pStyle w:val="ManualNumPar1"/>
        <w:rPr>
          <w:noProof/>
        </w:rPr>
      </w:pPr>
      <w:r>
        <w:rPr>
          <w:noProof/>
        </w:rPr>
        <w:t>5.</w:t>
      </w:r>
      <w:r>
        <w:rPr>
          <w:noProof/>
        </w:rPr>
        <w:tab/>
        <w:t>Komissiolle 1–4 kohdan mukaisesti lähetettävä vastaväiteilmoitus, perusteltu vastaväite ja siihen liittyvät asiakirjat on laadittava jollakin unionin virallisella kielellä.</w:t>
      </w:r>
    </w:p>
    <w:p>
      <w:pPr>
        <w:pStyle w:val="Titrearticle"/>
        <w:rPr>
          <w:i w:val="0"/>
          <w:noProof/>
        </w:rPr>
      </w:pPr>
      <w:r>
        <w:rPr>
          <w:noProof/>
        </w:rPr>
        <w:t>25 artikla</w:t>
      </w:r>
    </w:p>
    <w:p>
      <w:pPr>
        <w:ind w:left="720"/>
        <w:jc w:val="center"/>
        <w:rPr>
          <w:b/>
          <w:noProof/>
        </w:rPr>
      </w:pPr>
      <w:r>
        <w:rPr>
          <w:b/>
          <w:noProof/>
        </w:rPr>
        <w:t>Vastustamisperusteet</w:t>
      </w:r>
    </w:p>
    <w:p>
      <w:pPr>
        <w:pStyle w:val="ManualNumPar1"/>
        <w:rPr>
          <w:noProof/>
        </w:rPr>
      </w:pPr>
      <w:r>
        <w:rPr>
          <w:noProof/>
        </w:rPr>
        <w:t>1.</w:t>
      </w:r>
      <w:r>
        <w:rPr>
          <w:noProof/>
        </w:rPr>
        <w:tab/>
        <w:t>Jäljempänä 24 artiklan 2 kohdassa tarkoitettu perusteltu vastaväite otetaan tutkittavaksi ainoastaan, jos komissio vastaanottaa sen mainitussa säännöksessä säädetyssä määräajassa ja siinä osoitetaan, että</w:t>
      </w:r>
    </w:p>
    <w:p>
      <w:pPr>
        <w:pStyle w:val="Point1"/>
        <w:rPr>
          <w:noProof/>
        </w:rPr>
      </w:pPr>
      <w:r>
        <w:rPr>
          <w:noProof/>
        </w:rPr>
        <w:t>a)</w:t>
      </w:r>
      <w:r>
        <w:rPr>
          <w:noProof/>
        </w:rPr>
        <w:tab/>
        <w:t>2 artiklan 1 kohdan 6 alakohdassa ja 19 artiklassa tarkoitettuja edellytyksiä ei ole noudatettu;</w:t>
      </w:r>
    </w:p>
    <w:p>
      <w:pPr>
        <w:pStyle w:val="Text1"/>
        <w:rPr>
          <w:noProof/>
        </w:rPr>
      </w:pPr>
      <w:r>
        <w:rPr>
          <w:noProof/>
        </w:rPr>
        <w:t>b)</w:t>
      </w:r>
      <w:r>
        <w:rPr>
          <w:noProof/>
        </w:rPr>
        <w:tab/>
        <w:t>ehdotetun nimen rekisteröinti olisi 31 tai 32 artiklan vastaista; tai</w:t>
      </w:r>
    </w:p>
    <w:p>
      <w:pPr>
        <w:pStyle w:val="Point1"/>
        <w:rPr>
          <w:noProof/>
        </w:rPr>
      </w:pPr>
      <w:r>
        <w:rPr>
          <w:noProof/>
        </w:rPr>
        <w:t>c)</w:t>
      </w:r>
      <w:r>
        <w:rPr>
          <w:noProof/>
        </w:rPr>
        <w:tab/>
        <w:t>ehdotetun nimen rekisteröinti vaarantaisi kokonaan tai osittain samankaltaisen nimen tai tavaramerkin olemassaolon tai vähintään viiden vuoden ajan ennen 23 artiklan 2 kohdassa tarkoitettua julkaisupäivää markkinoilla laillisesti olleiden tuotteiden olemassaolon.</w:t>
      </w:r>
    </w:p>
    <w:p>
      <w:pPr>
        <w:pStyle w:val="ManualNumPar1"/>
        <w:rPr>
          <w:noProof/>
        </w:rPr>
      </w:pPr>
      <w:r>
        <w:rPr>
          <w:noProof/>
        </w:rPr>
        <w:t>2.</w:t>
      </w:r>
      <w:r>
        <w:rPr>
          <w:noProof/>
        </w:rPr>
        <w:tab/>
        <w:t>Vastustamisperusteet arvioidaan unionin alueen osalta.</w:t>
      </w:r>
    </w:p>
    <w:p>
      <w:pPr>
        <w:pStyle w:val="Titrearticle"/>
        <w:rPr>
          <w:i w:val="0"/>
          <w:noProof/>
        </w:rPr>
      </w:pPr>
      <w:r>
        <w:rPr>
          <w:noProof/>
        </w:rPr>
        <w:t>26 artikla</w:t>
      </w:r>
    </w:p>
    <w:p>
      <w:pPr>
        <w:ind w:left="720"/>
        <w:jc w:val="center"/>
        <w:rPr>
          <w:b/>
          <w:noProof/>
        </w:rPr>
      </w:pPr>
      <w:r>
        <w:rPr>
          <w:b/>
          <w:noProof/>
        </w:rPr>
        <w:t>Maantieteellisten merkintöjen käyttöön liittyvät siirtymäkaudet</w:t>
      </w:r>
    </w:p>
    <w:p>
      <w:pPr>
        <w:pStyle w:val="ManualNumPar1"/>
        <w:rPr>
          <w:noProof/>
        </w:rPr>
      </w:pPr>
      <w:r>
        <w:rPr>
          <w:noProof/>
        </w:rPr>
        <w:t>1.</w:t>
      </w:r>
      <w:r>
        <w:rPr>
          <w:noProof/>
        </w:rPr>
        <w:tab/>
        <w:t>Rajoittamatta 18 artiklan soveltamista komissio voi hyväksyä täytäntöönpanosäädöksiä, joilla myönnetään enintään viiden vuoden siirtymäkausi, jonka aikana toisesta jäsenvaltiosta tai kolmannesta maasta peräisin olevassa tislatussa alkoholijuomassa, jonka nimi on 18 artiklan 2 kohdan vastainen, voidaan edelleen käyttää nimitystä, jolla sitä on pidetty kaupan, sillä ehdolla, että 21 artiklan 3 kohdan tai 24 artiklan mukaisella tutkittavaksi otettavalla vastaväitteellä osoitetaan, että nimen rekisteröinti vaarantaisi</w:t>
      </w:r>
    </w:p>
    <w:p>
      <w:pPr>
        <w:pStyle w:val="Point1"/>
        <w:rPr>
          <w:noProof/>
        </w:rPr>
      </w:pPr>
      <w:r>
        <w:rPr>
          <w:noProof/>
        </w:rPr>
        <w:t>a)</w:t>
      </w:r>
      <w:r>
        <w:rPr>
          <w:noProof/>
        </w:rPr>
        <w:tab/>
        <w:t>täysin samanlaisen nimen olemassaolon tai sellaisen yhdistetyn nimen olemassaolon, jonka yksi ilmaisu on sama kuin rekisteröitävä nimi; tai</w:t>
      </w:r>
    </w:p>
    <w:p>
      <w:pPr>
        <w:pStyle w:val="Point1"/>
        <w:rPr>
          <w:noProof/>
        </w:rPr>
      </w:pPr>
      <w:r>
        <w:rPr>
          <w:noProof/>
        </w:rPr>
        <w:t>b)</w:t>
      </w:r>
      <w:r>
        <w:rPr>
          <w:noProof/>
        </w:rPr>
        <w:tab/>
        <w:t>muiden sellaisten rekisteröitävän nimen kaltaisten nimien olemassaolon, jotka viittaavat laillisesti markkinoilla vähintään viiden vuoden ajan ennen 23 artiklan 2 kohdassa tarkoitettua julkaisupäivää olleeseen tislattuun alkoholijuomaan.</w:t>
      </w:r>
    </w:p>
    <w:p>
      <w:pPr>
        <w:pStyle w:val="Text1"/>
        <w:rPr>
          <w:i/>
          <w:noProof/>
        </w:rPr>
      </w:pPr>
      <w:r>
        <w:rPr>
          <w:noProof/>
        </w:rPr>
        <w:t xml:space="preserve">Nämä täytäntöönpanosäädökset hyväksytään 44 artiklan 2 kohdassa tarkoitettua tarkastelumenettelyä noudattaen. </w:t>
      </w:r>
    </w:p>
    <w:p>
      <w:pPr>
        <w:pStyle w:val="ManualNumPar1"/>
        <w:rPr>
          <w:noProof/>
        </w:rPr>
      </w:pPr>
      <w:r>
        <w:rPr>
          <w:noProof/>
        </w:rPr>
        <w:t>2.</w:t>
      </w:r>
      <w:r>
        <w:rPr>
          <w:noProof/>
        </w:rPr>
        <w:tab/>
        <w:t>Rajoittamatta 33 artiklan soveltamista komissio voi hyväksyä täytäntöönpanosäädöksiä, joilla pidennetään tämän artiklan 1 kohdassa mainittua siirtymäkautta asianmukaisesti perustelluissa tapauksissa, jos osoitetaan, että</w:t>
      </w:r>
    </w:p>
    <w:p>
      <w:pPr>
        <w:pStyle w:val="Point1"/>
        <w:rPr>
          <w:noProof/>
        </w:rPr>
      </w:pPr>
      <w:r>
        <w:rPr>
          <w:noProof/>
        </w:rPr>
        <w:t>a)</w:t>
      </w:r>
      <w:r>
        <w:rPr>
          <w:noProof/>
        </w:rPr>
        <w:tab/>
        <w:t>1 kohdassa tarkoitettua nimitystä on muuttumattoman ja aidon käytännön perusteella käytetty laillisesti vähintään 25 vuoden ajan ennen suojahakemuksen toimittamista komissiolle;</w:t>
      </w:r>
    </w:p>
    <w:p>
      <w:pPr>
        <w:pStyle w:val="Point1"/>
        <w:rPr>
          <w:noProof/>
        </w:rPr>
      </w:pPr>
      <w:r>
        <w:rPr>
          <w:noProof/>
        </w:rPr>
        <w:t>b)</w:t>
      </w:r>
      <w:r>
        <w:rPr>
          <w:noProof/>
        </w:rPr>
        <w:tab/>
        <w:t>1 kohdassa tarkoitetun nimityksen käytön tarkoituksena ei ole missään vaiheessa ollut rekisteröidyn nimen maineesta hyötyminen eikä kuluttajaa ole johdettu eikä olisi voitu johtaa harhaan tuotteen oikean alkuperän suhteen.</w:t>
      </w:r>
    </w:p>
    <w:p>
      <w:pPr>
        <w:pStyle w:val="Text1"/>
        <w:rPr>
          <w:noProof/>
        </w:rPr>
      </w:pPr>
      <w:r>
        <w:rPr>
          <w:noProof/>
        </w:rPr>
        <w:t>Nämä täytäntöönpanosäädökset hyväksytään 44 artiklan 2 kohdassa tarkoitettua tarkastelumenettelyä noudattaen.</w:t>
      </w:r>
    </w:p>
    <w:p>
      <w:pPr>
        <w:pStyle w:val="ManualNumPar1"/>
        <w:rPr>
          <w:noProof/>
        </w:rPr>
      </w:pPr>
      <w:r>
        <w:rPr>
          <w:noProof/>
        </w:rPr>
        <w:t>3.</w:t>
      </w:r>
      <w:r>
        <w:rPr>
          <w:noProof/>
        </w:rPr>
        <w:tab/>
        <w:t>Alkuperämaan on 1 ja 2 kohdassa tarkoitettuja nimityksiä käytettäessä oltava selkeästi ja näkyvästi kiinnitettynä merkintään.</w:t>
      </w:r>
    </w:p>
    <w:p>
      <w:pPr>
        <w:pStyle w:val="Titrearticle"/>
        <w:rPr>
          <w:i w:val="0"/>
          <w:noProof/>
        </w:rPr>
      </w:pPr>
      <w:r>
        <w:rPr>
          <w:noProof/>
        </w:rPr>
        <w:t>27 artikla</w:t>
      </w:r>
    </w:p>
    <w:p>
      <w:pPr>
        <w:ind w:left="720"/>
        <w:jc w:val="center"/>
        <w:rPr>
          <w:b/>
          <w:noProof/>
        </w:rPr>
      </w:pPr>
      <w:r>
        <w:rPr>
          <w:b/>
          <w:noProof/>
        </w:rPr>
        <w:t>Rekisteröintipäätös</w:t>
      </w:r>
    </w:p>
    <w:p>
      <w:pPr>
        <w:pStyle w:val="ManualNumPar1"/>
        <w:rPr>
          <w:b/>
          <w:i/>
          <w:noProof/>
        </w:rPr>
      </w:pPr>
      <w:r>
        <w:rPr>
          <w:noProof/>
        </w:rPr>
        <w:t>1.</w:t>
      </w:r>
      <w:r>
        <w:rPr>
          <w:noProof/>
        </w:rPr>
        <w:tab/>
        <w:t>Jos komissio 23 artiklan 1 kohdan ensimmäisen alakohdan nojalla tehdystä tutkimuksesta saamiensa tietojen perusteella katsoo, etteivät rekisteröintiedellytykset täyty, se hyväksyy täytäntöönpanosäädöksiä, joilla hakemus hylätään. Nämä täytäntöönpanosäädökset hyväksytään 44 artiklan 2 kohdassa tarkoitettua tarkastelumenettelyä noudattaen.</w:t>
      </w:r>
    </w:p>
    <w:p>
      <w:pPr>
        <w:pStyle w:val="ManualNumPar1"/>
        <w:rPr>
          <w:noProof/>
        </w:rPr>
      </w:pPr>
      <w:r>
        <w:rPr>
          <w:noProof/>
        </w:rPr>
        <w:t>2.</w:t>
      </w:r>
      <w:r>
        <w:rPr>
          <w:noProof/>
        </w:rPr>
        <w:tab/>
        <w:t>Jos komissiolle ei esitetä 24 artiklan mukaisia vastaväiteilmoituksia eikä tutkittavaksi otettavia perusteltuja vastaväitteitä, se hyväksyy 44 artiklan 2 kohdassa tarkoitettua menettelyä soveltamatta täytäntöönpanosäädöksiä, joilla nimi rekisteröidään.</w:t>
      </w:r>
    </w:p>
    <w:p>
      <w:pPr>
        <w:pStyle w:val="ManualNumPar1"/>
        <w:rPr>
          <w:noProof/>
        </w:rPr>
      </w:pPr>
      <w:r>
        <w:rPr>
          <w:noProof/>
        </w:rPr>
        <w:t>3.</w:t>
      </w:r>
      <w:r>
        <w:rPr>
          <w:noProof/>
        </w:rPr>
        <w:tab/>
        <w:t>Jos komissiolle esitetään perusteltu vastaväite, joka voidaan ottaa tutkittavaksi, se 24 artiklan 3 kohdassa tarkoitettujen tarvittavien neuvottelujen jälkeen ja otettuaan huomioon niiden tulokset joko</w:t>
      </w:r>
    </w:p>
    <w:p>
      <w:pPr>
        <w:pStyle w:val="Point1"/>
        <w:rPr>
          <w:noProof/>
        </w:rPr>
      </w:pPr>
      <w:r>
        <w:rPr>
          <w:noProof/>
        </w:rPr>
        <w:t>a)</w:t>
      </w:r>
      <w:r>
        <w:rPr>
          <w:noProof/>
        </w:rPr>
        <w:tab/>
        <w:t>rekisteröi nimen täytäntöönpanosäädöksillä, jotka on hyväksytty soveltamatta 44 artiklan 2 kohdassa tarkoitettua menettelyä, jos sopimukseen on päästy, ja muuttaa tarvittaessa 23 artiklan 2 kohdan nojalla julkaistuja tietoja edellyttäen, etteivät muutokset ole merkittäviä; tai</w:t>
      </w:r>
    </w:p>
    <w:p>
      <w:pPr>
        <w:pStyle w:val="Point1"/>
        <w:rPr>
          <w:noProof/>
        </w:rPr>
      </w:pPr>
      <w:r>
        <w:rPr>
          <w:noProof/>
        </w:rPr>
        <w:t>b)</w:t>
      </w:r>
      <w:r>
        <w:rPr>
          <w:noProof/>
        </w:rPr>
        <w:tab/>
        <w:t>hyväksyy täytäntöönpanosäädöksiä, joilla rekisteröinnistä päätetään, jos sopimukseen ei ole päästy. Nämä täytäntöönpanosäädökset hyväksytään 44 artiklan 2 kohdassa tarkoitettua tarkastelumenettelyä noudattaen.</w:t>
      </w:r>
    </w:p>
    <w:p>
      <w:pPr>
        <w:pStyle w:val="ManualNumPar1"/>
        <w:rPr>
          <w:noProof/>
        </w:rPr>
      </w:pPr>
      <w:r>
        <w:rPr>
          <w:noProof/>
        </w:rPr>
        <w:t>4.</w:t>
      </w:r>
      <w:r>
        <w:rPr>
          <w:noProof/>
        </w:rPr>
        <w:tab/>
        <w:t xml:space="preserve">Komission rekisteröintisäädökset ja hylkäyspäätökset julkaistaan </w:t>
      </w:r>
      <w:r>
        <w:rPr>
          <w:i/>
          <w:noProof/>
        </w:rPr>
        <w:t>Euroopan unionin virallisessa lehdessä</w:t>
      </w:r>
      <w:r>
        <w:rPr>
          <w:noProof/>
        </w:rPr>
        <w:t xml:space="preserve">. </w:t>
      </w:r>
    </w:p>
    <w:p>
      <w:pPr>
        <w:pStyle w:val="ManualNumPar1"/>
        <w:ind w:firstLine="0"/>
        <w:rPr>
          <w:i/>
          <w:noProof/>
        </w:rPr>
      </w:pPr>
      <w:r>
        <w:rPr>
          <w:noProof/>
        </w:rPr>
        <w:t>Rekisteröinnillä myönnetään 18 artiklassa tarkoitettu suoja maantieteelliselle merkinnälle.</w:t>
      </w:r>
    </w:p>
    <w:p>
      <w:pPr>
        <w:pStyle w:val="Titrearticle"/>
        <w:rPr>
          <w:noProof/>
        </w:rPr>
      </w:pPr>
      <w:r>
        <w:rPr>
          <w:noProof/>
        </w:rPr>
        <w:t>28 artikla</w:t>
      </w:r>
    </w:p>
    <w:p>
      <w:pPr>
        <w:ind w:left="720"/>
        <w:jc w:val="center"/>
        <w:rPr>
          <w:b/>
          <w:noProof/>
        </w:rPr>
      </w:pPr>
      <w:r>
        <w:rPr>
          <w:b/>
          <w:noProof/>
        </w:rPr>
        <w:t>Tuote-eritelmän muutokset</w:t>
      </w:r>
    </w:p>
    <w:p>
      <w:pPr>
        <w:pStyle w:val="ManualNumPar1"/>
        <w:rPr>
          <w:noProof/>
        </w:rPr>
      </w:pPr>
      <w:r>
        <w:rPr>
          <w:noProof/>
        </w:rPr>
        <w:t>1.</w:t>
      </w:r>
      <w:r>
        <w:rPr>
          <w:noProof/>
        </w:rPr>
        <w:tab/>
        <w:t>Ryhmä, jonka oikeutettua etua asia koskee, voi hakea hyväksyntää tuote-eritelmän muutokselle.</w:t>
      </w:r>
    </w:p>
    <w:p>
      <w:pPr>
        <w:pStyle w:val="Text1"/>
        <w:rPr>
          <w:noProof/>
        </w:rPr>
      </w:pPr>
      <w:r>
        <w:rPr>
          <w:noProof/>
        </w:rPr>
        <w:t>Hakemuksessa on kuvattava ja perusteltava muutokset, joita pyyntö koskee.</w:t>
      </w:r>
    </w:p>
    <w:p>
      <w:pPr>
        <w:ind w:left="851" w:hanging="851"/>
        <w:rPr>
          <w:noProof/>
        </w:rPr>
      </w:pPr>
      <w:r>
        <w:rPr>
          <w:noProof/>
        </w:rPr>
        <w:t>2.</w:t>
      </w:r>
      <w:r>
        <w:rPr>
          <w:noProof/>
        </w:rPr>
        <w:tab/>
        <w:t>Jäsenvaltion, jonka alueella asiaomaisen tuotteen maantieteellinen alue sijaitsee, on hyväksyttävä muutokset.</w:t>
      </w:r>
    </w:p>
    <w:p>
      <w:pPr>
        <w:pStyle w:val="Text1"/>
        <w:rPr>
          <w:noProof/>
        </w:rPr>
      </w:pPr>
      <w:r>
        <w:rPr>
          <w:noProof/>
        </w:rPr>
        <w:t xml:space="preserve">Jos muutoshakemus kuitenkin sisältää tuote-eritelmän yhden tai useamman muutoksen, joka liittyy tuotteen olennaisiin ominaispiirteisiin, muuttaa 19 artiklan f alakohdassa tarkoitettua yhteyttä, mukaan lukien tislatun alkoholijuoman nimen tai nimen jonkin osan muutos, vaikuttaa rajattuun maantieteelliseen alueeseen tai merkitsee tuotteella tai sen raaka-aineilla käytävän kaupan lisärajoituksia, jäsenvaltion on toimitettava muutoshakemus komissiolle hyväksyttäväksi, ja hakemuksen osalta on noudatettava 21–27 artiklassa vahvistettua menettelyä. </w:t>
      </w:r>
    </w:p>
    <w:p>
      <w:pPr>
        <w:ind w:left="851" w:hanging="851"/>
        <w:rPr>
          <w:noProof/>
        </w:rPr>
      </w:pPr>
      <w:r>
        <w:rPr>
          <w:noProof/>
        </w:rPr>
        <w:t>3.</w:t>
      </w:r>
      <w:r>
        <w:rPr>
          <w:noProof/>
        </w:rPr>
        <w:tab/>
        <w:t>Hakemuksen tutkimisessa keskitytään yksinomaan ehdotettuun muutokseen.</w:t>
      </w:r>
    </w:p>
    <w:p>
      <w:pPr>
        <w:pStyle w:val="Titrearticle"/>
        <w:rPr>
          <w:i w:val="0"/>
          <w:noProof/>
        </w:rPr>
      </w:pPr>
      <w:r>
        <w:rPr>
          <w:noProof/>
        </w:rPr>
        <w:t>29 artikla</w:t>
      </w:r>
    </w:p>
    <w:p>
      <w:pPr>
        <w:pStyle w:val="NormalCentered"/>
        <w:rPr>
          <w:rFonts w:cs="TimesNewRomanBold"/>
          <w:b/>
          <w:bCs/>
          <w:noProof/>
        </w:rPr>
      </w:pPr>
      <w:r>
        <w:rPr>
          <w:b/>
          <w:noProof/>
        </w:rPr>
        <w:t>Peruuttaminen</w:t>
      </w:r>
    </w:p>
    <w:p>
      <w:pPr>
        <w:rPr>
          <w:i/>
          <w:noProof/>
        </w:rPr>
      </w:pPr>
      <w:r>
        <w:rPr>
          <w:noProof/>
        </w:rPr>
        <w:t>Komissio voi omasta aloitteestaan taikka niiden luonnollisten tai oikeushenkilöiden pyynnöstä, joiden oikeutettua etua asia koskee, hyväksyä täytäntöönpanosäädöksiä, joilla peruutetaan maantieteellisen merkinnän rekisteröinti seuraavissa tapauksissa:</w:t>
      </w:r>
    </w:p>
    <w:p>
      <w:pPr>
        <w:ind w:left="720" w:hanging="720"/>
        <w:rPr>
          <w:noProof/>
        </w:rPr>
      </w:pPr>
      <w:r>
        <w:rPr>
          <w:noProof/>
        </w:rPr>
        <w:t>a)</w:t>
      </w:r>
      <w:r>
        <w:rPr>
          <w:noProof/>
        </w:rPr>
        <w:tab/>
        <w:t>tuote-eritelmän edellytysten täyttymistä ei ole varmistettu;</w:t>
      </w:r>
    </w:p>
    <w:p>
      <w:pPr>
        <w:ind w:left="720" w:hanging="720"/>
        <w:rPr>
          <w:noProof/>
        </w:rPr>
      </w:pPr>
      <w:r>
        <w:rPr>
          <w:noProof/>
        </w:rPr>
        <w:t>b)</w:t>
      </w:r>
      <w:r>
        <w:rPr>
          <w:noProof/>
        </w:rPr>
        <w:tab/>
        <w:t>maantieteellisen merkinnän mukaista tuotetta ei ole saatettu markkinoille vähintään seitsemään vuoteen.</w:t>
      </w:r>
    </w:p>
    <w:p>
      <w:pPr>
        <w:rPr>
          <w:rFonts w:eastAsia="Calibri"/>
          <w:noProof/>
        </w:rPr>
      </w:pPr>
      <w:r>
        <w:rPr>
          <w:noProof/>
        </w:rPr>
        <w:t>Komissio voi rekisteröidyllä nimellä kaupan pidettävän tuotteen tuottajien pyynnöstä peruuttaa tällaista tuotetta vastaavan rekisteröinnin. Peruutusmenettelyyn sovelletaan 21, 23, 24 ja 27 artiklaa.</w:t>
      </w:r>
    </w:p>
    <w:p>
      <w:pPr>
        <w:rPr>
          <w:rFonts w:eastAsia="Calibri"/>
          <w:noProof/>
        </w:rPr>
      </w:pPr>
      <w:r>
        <w:rPr>
          <w:noProof/>
        </w:rPr>
        <w:t>Ensimmäisessä kohdassa tarkoitetut täytäntöönpanosäädökset hyväksytään 44 artiklan 2 kohdassa tarkoitettua tarkastelumenettelyä noudattaen.</w:t>
      </w:r>
    </w:p>
    <w:p>
      <w:pPr>
        <w:rPr>
          <w:noProof/>
        </w:rPr>
      </w:pPr>
    </w:p>
    <w:p>
      <w:pPr>
        <w:pStyle w:val="Titrearticle"/>
        <w:rPr>
          <w:noProof/>
        </w:rPr>
      </w:pPr>
      <w:r>
        <w:rPr>
          <w:noProof/>
        </w:rPr>
        <w:t>30 artikla</w:t>
      </w:r>
    </w:p>
    <w:p>
      <w:pPr>
        <w:pStyle w:val="NormalCentered"/>
        <w:rPr>
          <w:rFonts w:cs="TimesNewRoman"/>
          <w:b/>
          <w:bCs/>
          <w:noProof/>
        </w:rPr>
      </w:pPr>
      <w:r>
        <w:rPr>
          <w:b/>
          <w:noProof/>
        </w:rPr>
        <w:t>Tislattujen alkoholijuomien maantieteellisten merkintöjen rekisteri</w:t>
      </w:r>
    </w:p>
    <w:p>
      <w:pPr>
        <w:autoSpaceDE w:val="0"/>
        <w:autoSpaceDN w:val="0"/>
        <w:adjustRightInd w:val="0"/>
        <w:rPr>
          <w:rFonts w:cs="TimesNewRoman"/>
          <w:noProof/>
        </w:rPr>
      </w:pPr>
      <w:r>
        <w:rPr>
          <w:noProof/>
        </w:rPr>
        <w:t>Komissio hyväksyy 44 artiklan 2 kohdassa tarkoitettua menettelyä soveltamatta täytäntöönpanosäädöksiä, joilla perustetaan julkisesti saatavilla oleva, ajantasainen sähköinen rekisteri tämän järjestelmän mukaisista tislattujen alkoholijuomien maantieteellisistä merkinnöistä, jäljempänä ’rekisteri’, ja ylläpidetään sitä.</w:t>
      </w:r>
    </w:p>
    <w:p>
      <w:pPr>
        <w:autoSpaceDE w:val="0"/>
        <w:autoSpaceDN w:val="0"/>
        <w:adjustRightInd w:val="0"/>
        <w:rPr>
          <w:rFonts w:cs="TimesNewRoman"/>
          <w:noProof/>
        </w:rPr>
      </w:pPr>
      <w:r>
        <w:rPr>
          <w:noProof/>
        </w:rPr>
        <w:t>Komissio voi hyväksyä täytäntöönpanosäädöksiä, joilla vahvistetaan rekisterin muotoa ja sisältöä koskevat yksityiskohtaiset säännöt. Nämä täytäntöönpanosäädökset hyväksytään 44 artiklan 2 kohdassa tarkoitettua tarkastelumenettelyä noudattaen.</w:t>
      </w:r>
    </w:p>
    <w:p>
      <w:pPr>
        <w:autoSpaceDE w:val="0"/>
        <w:autoSpaceDN w:val="0"/>
        <w:adjustRightInd w:val="0"/>
        <w:rPr>
          <w:rFonts w:cs="TimesNewRoman"/>
          <w:noProof/>
        </w:rPr>
      </w:pPr>
      <w:r>
        <w:rPr>
          <w:noProof/>
        </w:rPr>
        <w:t>Rekisteriin voidaan ottaa maantieteellisinä merkintöinä sellaisia kolmansissa maissa tuotettujen tislattujen alkoholijuomien maantieteellisiä merkintöjä, jotka on suojattu unionissa kansainvälisellä sopimuksella, jossa unioni on sopimuspuolena.</w:t>
      </w:r>
    </w:p>
    <w:p>
      <w:pPr>
        <w:pStyle w:val="Titrearticle"/>
        <w:rPr>
          <w:noProof/>
        </w:rPr>
      </w:pPr>
      <w:r>
        <w:rPr>
          <w:noProof/>
        </w:rPr>
        <w:t>31 artikla</w:t>
      </w:r>
    </w:p>
    <w:p>
      <w:pPr>
        <w:pStyle w:val="NormalCentered"/>
        <w:rPr>
          <w:rFonts w:cs="TimesNewRomanBold"/>
          <w:b/>
          <w:bCs/>
          <w:noProof/>
        </w:rPr>
      </w:pPr>
      <w:r>
        <w:rPr>
          <w:b/>
          <w:noProof/>
        </w:rPr>
        <w:t>Homonyymiset maantieteelliset merkinnät</w:t>
      </w:r>
    </w:p>
    <w:p>
      <w:pPr>
        <w:pStyle w:val="ManualNumPar1"/>
        <w:rPr>
          <w:rFonts w:cs="TimesNewRoman"/>
          <w:noProof/>
        </w:rPr>
      </w:pPr>
      <w:r>
        <w:rPr>
          <w:noProof/>
        </w:rPr>
        <w:t>1.</w:t>
      </w:r>
      <w:r>
        <w:rPr>
          <w:noProof/>
        </w:rPr>
        <w:tab/>
        <w:t>Jos rekisteröitäväksi haetaan tämän asetuksen mukaisesti jo rekisteröidyn nimityksen kanssa kokonaan tai osittain homonyymistä nimeä, nimen rekisteröinnissä on otettava asianmukaisesti huomioon paikalliset ja perinteiset käytännöt sekä sekaannusten riski.</w:t>
      </w:r>
    </w:p>
    <w:p>
      <w:pPr>
        <w:pStyle w:val="ManualNumPar1"/>
        <w:rPr>
          <w:noProof/>
        </w:rPr>
      </w:pPr>
      <w:r>
        <w:rPr>
          <w:noProof/>
        </w:rPr>
        <w:t>2.</w:t>
      </w:r>
      <w:r>
        <w:rPr>
          <w:noProof/>
        </w:rPr>
        <w:tab/>
        <w:t>Homonyymistä nimitystä, joka saa kuluttajan virheellisesti uskomaan, että tuotteet ovat peräisin joltain muulta alueelta, ei saa rekisteröidä, vaikka nimi olisikin oikea sen alueen, seudun tai paikan osalta, mistä kyseiset tuotteet ovat peräisin.</w:t>
      </w:r>
    </w:p>
    <w:p>
      <w:pPr>
        <w:pStyle w:val="ManualNumPar1"/>
        <w:rPr>
          <w:noProof/>
        </w:rPr>
      </w:pPr>
      <w:r>
        <w:rPr>
          <w:noProof/>
        </w:rPr>
        <w:t>3.</w:t>
      </w:r>
      <w:r>
        <w:rPr>
          <w:noProof/>
        </w:rPr>
        <w:tab/>
        <w:t>Rekisteröidyn homonyymisen maantieteellisen merkinnän käyttö on sallittua edellyttäen, että myöhemmin rekisteröidyn homonyymisen nimen ja jo rekisteröidyn nimen välillä on käytännössä riittävä ero, ottaen huomioon tarve varmistaa kyseisten tuottajien tasavertainen kohtelu ja se, ettei kuluttajaa johdeta harhaan.</w:t>
      </w:r>
    </w:p>
    <w:p>
      <w:pPr>
        <w:pStyle w:val="Titrearticle"/>
        <w:rPr>
          <w:noProof/>
        </w:rPr>
      </w:pPr>
      <w:r>
        <w:rPr>
          <w:noProof/>
        </w:rPr>
        <w:t>32 artikla</w:t>
      </w:r>
    </w:p>
    <w:p>
      <w:pPr>
        <w:pStyle w:val="NormalCentered"/>
        <w:rPr>
          <w:rFonts w:cs="TimesNewRomanBold"/>
          <w:b/>
          <w:bCs/>
          <w:noProof/>
        </w:rPr>
      </w:pPr>
      <w:r>
        <w:rPr>
          <w:b/>
          <w:noProof/>
        </w:rPr>
        <w:t>Suojan epäämisperusteet</w:t>
      </w:r>
    </w:p>
    <w:p>
      <w:pPr>
        <w:pStyle w:val="ManualNumPar1"/>
        <w:rPr>
          <w:i/>
          <w:noProof/>
        </w:rPr>
      </w:pPr>
      <w:r>
        <w:rPr>
          <w:noProof/>
        </w:rPr>
        <w:t>1.</w:t>
      </w:r>
      <w:r>
        <w:rPr>
          <w:noProof/>
        </w:rPr>
        <w:tab/>
        <w:t>Nimeä, josta on tullut yleisnimi, ei saa suojata maantieteellisenä merkintänä.</w:t>
      </w:r>
    </w:p>
    <w:p>
      <w:pPr>
        <w:pStyle w:val="Text1"/>
        <w:rPr>
          <w:i/>
          <w:noProof/>
        </w:rPr>
      </w:pPr>
      <w:r>
        <w:rPr>
          <w:noProof/>
        </w:rPr>
        <w:t>Sen määrittämiseksi, onko nimestä tullut yleisnimi, on otettava huomioon kaikki asiaankuuluvat tekijät ja erityisesti</w:t>
      </w:r>
    </w:p>
    <w:p>
      <w:pPr>
        <w:pStyle w:val="Point1"/>
        <w:rPr>
          <w:i/>
          <w:noProof/>
        </w:rPr>
      </w:pPr>
      <w:r>
        <w:rPr>
          <w:noProof/>
        </w:rPr>
        <w:t>a)</w:t>
      </w:r>
      <w:r>
        <w:rPr>
          <w:noProof/>
        </w:rPr>
        <w:tab/>
        <w:t>tilanne unionissa ja erityisesti alueilla, joilla tuotetta käytetään;</w:t>
      </w:r>
    </w:p>
    <w:p>
      <w:pPr>
        <w:pStyle w:val="Point1"/>
        <w:rPr>
          <w:i/>
          <w:noProof/>
        </w:rPr>
      </w:pPr>
      <w:r>
        <w:rPr>
          <w:noProof/>
        </w:rPr>
        <w:t>b)</w:t>
      </w:r>
      <w:r>
        <w:rPr>
          <w:noProof/>
        </w:rPr>
        <w:tab/>
        <w:t>asiaa koskeva unionin tai kansallinen lainsäädäntö.</w:t>
      </w:r>
    </w:p>
    <w:p>
      <w:pPr>
        <w:pStyle w:val="ManualNumPar1"/>
        <w:rPr>
          <w:noProof/>
        </w:rPr>
      </w:pPr>
      <w:r>
        <w:rPr>
          <w:noProof/>
        </w:rPr>
        <w:t>2.</w:t>
      </w:r>
      <w:r>
        <w:rPr>
          <w:noProof/>
        </w:rPr>
        <w:tab/>
        <w:t>Nimeä ei saa suojata maantieteellisenä merkintänä, jos suoja saattaa johtaa kuluttajaa harhaan tislatun alkoholijuoman tunnistamisessa tavaramerkin maineen ja tunnettavuuden vuoksi.</w:t>
      </w:r>
    </w:p>
    <w:p>
      <w:pPr>
        <w:pStyle w:val="Text1"/>
        <w:ind w:left="840" w:hanging="840"/>
        <w:rPr>
          <w:noProof/>
        </w:rPr>
      </w:pPr>
      <w:r>
        <w:rPr>
          <w:noProof/>
        </w:rPr>
        <w:t>3.</w:t>
      </w:r>
      <w:r>
        <w:rPr>
          <w:noProof/>
        </w:rPr>
        <w:tab/>
        <w:t>Nimeä ei saa suojata maantieteellisenä merkintänä, jos asianomaisen tislatun alkoholijuoman luokan kannalta pakollisia tuotanto- tai valmistusvaiheita ei suoriteta asianomaisella maantieteellisellä alueella.</w:t>
      </w:r>
    </w:p>
    <w:p>
      <w:pPr>
        <w:pStyle w:val="Titrearticle"/>
        <w:rPr>
          <w:i w:val="0"/>
          <w:noProof/>
        </w:rPr>
      </w:pPr>
      <w:r>
        <w:rPr>
          <w:noProof/>
        </w:rPr>
        <w:t>33 artikla</w:t>
      </w:r>
    </w:p>
    <w:p>
      <w:pPr>
        <w:jc w:val="center"/>
        <w:rPr>
          <w:rFonts w:cs="TimesNewRomanBold"/>
          <w:b/>
          <w:bCs/>
          <w:noProof/>
        </w:rPr>
      </w:pPr>
      <w:r>
        <w:rPr>
          <w:b/>
          <w:noProof/>
        </w:rPr>
        <w:t>Tavaramerkkien ja maantieteellisten merkintöjen välinen suhde</w:t>
      </w:r>
    </w:p>
    <w:p>
      <w:pPr>
        <w:pStyle w:val="ManualNumPar1"/>
        <w:rPr>
          <w:rFonts w:cs="EUAlbertina"/>
          <w:noProof/>
        </w:rPr>
      </w:pPr>
      <w:r>
        <w:rPr>
          <w:noProof/>
        </w:rPr>
        <w:t>1.</w:t>
      </w:r>
      <w:r>
        <w:rPr>
          <w:noProof/>
        </w:rPr>
        <w:tab/>
        <w:t>Sellaisen tavaramerkin rekisteröinti, joka sisältää rekisteriin kirjatun maantieteellisen merkinnän tai muodostuu sellaisesta, on evättävä tai peruttava, jos kyseisen tavaramerkin käyttö johtaisi johonkin 18 artiklan 2 kohdassa tarkoitetuista tilanteista.</w:t>
      </w:r>
    </w:p>
    <w:p>
      <w:pPr>
        <w:pStyle w:val="ManualNumPar1"/>
        <w:rPr>
          <w:rFonts w:cs="TimesNewRoman"/>
          <w:noProof/>
        </w:rPr>
      </w:pPr>
      <w:r>
        <w:rPr>
          <w:noProof/>
        </w:rPr>
        <w:t>2.</w:t>
      </w:r>
      <w:r>
        <w:rPr>
          <w:noProof/>
        </w:rPr>
        <w:tab/>
        <w:t>Tavaramerkin, jonka käyttö vastaa jotakin 18 artiklan 2 kohdassa tarkoitettua tilannetta ja jota koskeva rekisteröintihakemus on tehty tai joka on rekisteröity tai jota koskeva oikeus on saatu asiaa koskevan lainsäädännön mukaisesti vilpittömässä mielessä unionin alueella tapahtuneella käytöllä joko ennen maantieteellisen merkinnän suojaamista alkuperämaassa tai ennen 1 päivää tammikuuta 1996, käyttöä voidaan jatkaa maantieteellisen merkinnän rekisteröinnistä huolimatta, jos Euroopan parlamentin ja neuvoston direktiivissä 2008/95/EY</w:t>
      </w:r>
      <w:r>
        <w:rPr>
          <w:rStyle w:val="FootnoteReference"/>
          <w:noProof/>
        </w:rPr>
        <w:footnoteReference w:id="17"/>
      </w:r>
      <w:r>
        <w:rPr>
          <w:noProof/>
        </w:rPr>
        <w:t xml:space="preserve"> tai neuvoston asetuksessa (EY) N:o 207/2009</w:t>
      </w:r>
      <w:r>
        <w:rPr>
          <w:rStyle w:val="FootnoteReference"/>
          <w:noProof/>
        </w:rPr>
        <w:footnoteReference w:id="18"/>
      </w:r>
      <w:r>
        <w:rPr>
          <w:noProof/>
        </w:rPr>
        <w:t xml:space="preserve"> säädettyjä tavaramerkin mitättömyys- tai menettämisperusteita ei ole olemassa.</w:t>
      </w:r>
    </w:p>
    <w:p>
      <w:pPr>
        <w:pStyle w:val="Titrearticle"/>
        <w:rPr>
          <w:noProof/>
        </w:rPr>
      </w:pPr>
      <w:r>
        <w:rPr>
          <w:noProof/>
        </w:rPr>
        <w:t>34 artikla</w:t>
      </w:r>
    </w:p>
    <w:p>
      <w:pPr>
        <w:pStyle w:val="NormalCentered"/>
        <w:rPr>
          <w:rFonts w:cs="TimesNewRomanItalic"/>
          <w:iCs/>
          <w:noProof/>
        </w:rPr>
      </w:pPr>
      <w:r>
        <w:rPr>
          <w:b/>
          <w:noProof/>
        </w:rPr>
        <w:t>Nykyisiä suojattuja maantieteellisiä merkintöjä koskevat täytäntöönpanovaltuudet</w:t>
      </w:r>
    </w:p>
    <w:p>
      <w:pPr>
        <w:pStyle w:val="ManualNumPar1"/>
        <w:rPr>
          <w:rFonts w:cs="TimesNewRoman"/>
          <w:i/>
          <w:noProof/>
        </w:rPr>
      </w:pPr>
      <w:r>
        <w:rPr>
          <w:noProof/>
        </w:rPr>
        <w:t>1.</w:t>
      </w:r>
      <w:r>
        <w:rPr>
          <w:noProof/>
        </w:rPr>
        <w:tab/>
        <w:t>Asetuksen (EY) N:o 110/2008 mukaisesti suojatut tislattujen alkoholijuomien maantieteelliset merkinnät ovat suojattuja maantieteellisinä merkintöinä tämän asetuksen mukaisesti ilman eri toimenpiteitä, sanotun kuitenkaan rajoittamatta 2 kohdan soveltamista. Komissio kirjaa ne rekisteriin.</w:t>
      </w:r>
    </w:p>
    <w:p>
      <w:pPr>
        <w:pStyle w:val="ManualNumPar1"/>
        <w:rPr>
          <w:i/>
          <w:noProof/>
        </w:rPr>
      </w:pPr>
      <w:r>
        <w:rPr>
          <w:noProof/>
        </w:rPr>
        <w:t>2.</w:t>
      </w:r>
      <w:r>
        <w:rPr>
          <w:noProof/>
        </w:rPr>
        <w:tab/>
        <w:t xml:space="preserve">Komissio voi kahden vuoden ajan tämän asetuksen voimaantulosta päättää omasta aloitteestaan peruuttaa täytäntöönpanosäädöksillä asetuksen (EY) N:o 110/2008 20 artiklassa tarkoitettujen maantieteellisten merkintöjen suojan, jos merkinnät eivät ole 2 artiklan 1 kohdan 6 alakohdan mukaisia. Nämä täytäntöönpanosäädökset hyväksytään 44 artiklan 2 kohdassa tarkoitettua tarkastelumenettelyä noudattaen. </w:t>
      </w:r>
    </w:p>
    <w:p>
      <w:pPr>
        <w:pStyle w:val="Titrearticle"/>
        <w:rPr>
          <w:noProof/>
        </w:rPr>
      </w:pPr>
      <w:r>
        <w:rPr>
          <w:noProof/>
        </w:rPr>
        <w:t>35 artikla</w:t>
      </w:r>
    </w:p>
    <w:p>
      <w:pPr>
        <w:pStyle w:val="NormalCentered"/>
        <w:rPr>
          <w:rFonts w:cs="TimesNewRomanBold"/>
          <w:b/>
          <w:bCs/>
          <w:noProof/>
        </w:rPr>
      </w:pPr>
      <w:r>
        <w:rPr>
          <w:b/>
          <w:noProof/>
        </w:rPr>
        <w:t>Tuote-eritelmien noudattamisen tarkastaminen</w:t>
      </w:r>
    </w:p>
    <w:p>
      <w:pPr>
        <w:pStyle w:val="ManualNumPar1"/>
        <w:rPr>
          <w:rFonts w:cs="TimesNewRoman"/>
          <w:noProof/>
        </w:rPr>
      </w:pPr>
      <w:r>
        <w:rPr>
          <w:noProof/>
        </w:rPr>
        <w:t>1.</w:t>
      </w:r>
      <w:r>
        <w:rPr>
          <w:noProof/>
        </w:rPr>
        <w:tab/>
        <w:t>Unionin maantieteellisten merkintöjen osalta tuote-eritelmien noudattamisen tarkastamisesta ennen tuotteen saattamista markkinoille huolehtii ainakin yksi</w:t>
      </w:r>
    </w:p>
    <w:p>
      <w:pPr>
        <w:pStyle w:val="Point1"/>
        <w:rPr>
          <w:noProof/>
        </w:rPr>
      </w:pPr>
      <w:r>
        <w:rPr>
          <w:noProof/>
        </w:rPr>
        <w:t>a)</w:t>
      </w:r>
      <w:r>
        <w:rPr>
          <w:noProof/>
        </w:rPr>
        <w:tab/>
        <w:t>40 artiklan 1 kohdassa tarkoitettu toimivaltainen viranomainen; tai</w:t>
      </w:r>
    </w:p>
    <w:p>
      <w:pPr>
        <w:pStyle w:val="Point1"/>
        <w:rPr>
          <w:noProof/>
        </w:rPr>
      </w:pPr>
      <w:r>
        <w:rPr>
          <w:noProof/>
        </w:rPr>
        <w:t>b)</w:t>
      </w:r>
      <w:r>
        <w:rPr>
          <w:noProof/>
        </w:rPr>
        <w:tab/>
        <w:t>Euroopan parlamentin ja neuvoston asetuksen (EY) N:o 882/2004</w:t>
      </w:r>
      <w:r>
        <w:rPr>
          <w:rStyle w:val="FootnoteReference"/>
          <w:noProof/>
        </w:rPr>
        <w:footnoteReference w:id="19"/>
      </w:r>
      <w:r>
        <w:rPr>
          <w:noProof/>
        </w:rPr>
        <w:t xml:space="preserve"> 2 artiklan toisen kohdan 5 alakohdassa tarkoitettu valvontaelin, joka toimii tuotteita sertifioivana elimenä.</w:t>
      </w:r>
    </w:p>
    <w:p>
      <w:pPr>
        <w:pStyle w:val="Text1"/>
        <w:rPr>
          <w:noProof/>
        </w:rPr>
      </w:pPr>
      <w:r>
        <w:rPr>
          <w:noProof/>
        </w:rPr>
        <w:t>Sen estämättä, mitä kansallisessa lainsäädännössä säädetään, tällaisesta tuote-eritelmien noudattamisen tarkastamisesta aiheutuvista kuluista vastaavat elintarvikealan toimijat, joihin tämä valvonta kohdistuu.</w:t>
      </w:r>
    </w:p>
    <w:p>
      <w:pPr>
        <w:pStyle w:val="ManualNumPar1"/>
        <w:rPr>
          <w:rFonts w:cs="TimesNewRoman"/>
          <w:noProof/>
        </w:rPr>
      </w:pPr>
      <w:r>
        <w:rPr>
          <w:noProof/>
        </w:rPr>
        <w:t>2.</w:t>
      </w:r>
      <w:r>
        <w:rPr>
          <w:noProof/>
        </w:rPr>
        <w:tab/>
        <w:t>Kolmansien maiden maantieteellisten merkintöjen osalta tuote-eritelmien noudattamisen tarkastamisesta ennen tuotteen saattamista markkinoille huolehtii ainakin yksi</w:t>
      </w:r>
    </w:p>
    <w:p>
      <w:pPr>
        <w:pStyle w:val="Point1"/>
        <w:rPr>
          <w:noProof/>
        </w:rPr>
      </w:pPr>
      <w:r>
        <w:rPr>
          <w:noProof/>
        </w:rPr>
        <w:t>a)</w:t>
      </w:r>
      <w:r>
        <w:rPr>
          <w:noProof/>
        </w:rPr>
        <w:tab/>
        <w:t>kolmannen maan nimeämä toimivaltainen viranomainen; tai</w:t>
      </w:r>
    </w:p>
    <w:p>
      <w:pPr>
        <w:pStyle w:val="Point1"/>
        <w:rPr>
          <w:noProof/>
        </w:rPr>
      </w:pPr>
      <w:r>
        <w:rPr>
          <w:noProof/>
        </w:rPr>
        <w:t>b)</w:t>
      </w:r>
      <w:r>
        <w:rPr>
          <w:noProof/>
        </w:rPr>
        <w:tab/>
        <w:t>tuotteita sertifioiva elin.</w:t>
      </w:r>
    </w:p>
    <w:p>
      <w:pPr>
        <w:pStyle w:val="ManualNumPar1"/>
        <w:rPr>
          <w:rFonts w:cs="TimesNewRoman"/>
          <w:noProof/>
        </w:rPr>
      </w:pPr>
      <w:r>
        <w:rPr>
          <w:noProof/>
        </w:rPr>
        <w:t>3.</w:t>
      </w:r>
      <w:r>
        <w:rPr>
          <w:noProof/>
        </w:rPr>
        <w:tab/>
        <w:t xml:space="preserve">Jäsenvaltioiden on julkaistava 1 kohdassa tarkoitettujen viranomaisten ja elinten nimet ja osoitteet sekä ajantasaistettava nämä tiedot säännöllisesti. </w:t>
      </w:r>
    </w:p>
    <w:p>
      <w:pPr>
        <w:pStyle w:val="ManualNumPar1"/>
        <w:ind w:firstLine="0"/>
        <w:rPr>
          <w:rFonts w:cs="TimesNewRoman"/>
          <w:i/>
          <w:noProof/>
        </w:rPr>
      </w:pPr>
      <w:r>
        <w:rPr>
          <w:noProof/>
        </w:rPr>
        <w:t xml:space="preserve">Komissio julkaisee 2 kohdassa tarkoitettujen viranomaisten ja elinten nimet ja osoitteet ja ajantasaistaa nämä tiedot säännöllisesti. </w:t>
      </w:r>
    </w:p>
    <w:p>
      <w:pPr>
        <w:pStyle w:val="ManualNumPar1"/>
        <w:rPr>
          <w:i/>
          <w:noProof/>
        </w:rPr>
      </w:pPr>
      <w:r>
        <w:rPr>
          <w:noProof/>
        </w:rPr>
        <w:t>4.</w:t>
      </w:r>
      <w:r>
        <w:rPr>
          <w:noProof/>
        </w:rPr>
        <w:tab/>
        <w:t>Edellä 1 kohdan b alakohdassa ja 2 kohdan b alakohdassa tarkoitettujen tuotteita sertifioivien elinten on noudatettava eurooppalaista standardia ISO/IEC 17065:2012 ja oltava sen mukaisesti hyväksyttyjä.</w:t>
      </w:r>
    </w:p>
    <w:p>
      <w:pPr>
        <w:pStyle w:val="ManualNumPar1"/>
        <w:rPr>
          <w:rFonts w:cs="TimesNewRoman"/>
          <w:noProof/>
        </w:rPr>
      </w:pPr>
      <w:r>
        <w:rPr>
          <w:noProof/>
        </w:rPr>
        <w:t>5.</w:t>
      </w:r>
      <w:r>
        <w:rPr>
          <w:noProof/>
        </w:rPr>
        <w:tab/>
        <w:t>Edellä 1 ja 2 kohdassa tarkoitettujen toimivaltaisten viranomaisten tai elinten, jotka tarkastavat tuote-eritelmien noudattamisen, on oltava objektiivisia ja puolueettomia. Niillä on oltava käytettävissään tehtäviensä hoitamiseen tarvittava asiantunteva henkilöstö ja voimavarat.</w:t>
      </w:r>
    </w:p>
    <w:p>
      <w:pPr>
        <w:pStyle w:val="Titrearticle"/>
        <w:rPr>
          <w:noProof/>
        </w:rPr>
      </w:pPr>
      <w:r>
        <w:rPr>
          <w:noProof/>
        </w:rPr>
        <w:t>36 artikla</w:t>
      </w:r>
    </w:p>
    <w:p>
      <w:pPr>
        <w:pStyle w:val="NormalCentered"/>
        <w:rPr>
          <w:b/>
          <w:noProof/>
        </w:rPr>
      </w:pPr>
      <w:r>
        <w:rPr>
          <w:b/>
          <w:noProof/>
        </w:rPr>
        <w:t>Nimen käytön seuranta myyntipaikoilla</w:t>
      </w:r>
    </w:p>
    <w:p>
      <w:pPr>
        <w:pStyle w:val="ManualNumPar1"/>
        <w:rPr>
          <w:noProof/>
        </w:rPr>
      </w:pPr>
      <w:r>
        <w:rPr>
          <w:noProof/>
        </w:rPr>
        <w:t>1.</w:t>
      </w:r>
      <w:r>
        <w:rPr>
          <w:noProof/>
        </w:rPr>
        <w:tab/>
        <w:t>Jäsenvaltioiden on tehtävä riskianalyysin perusteella tarkastuksia, jotka koskevat maantieteellisten merkintöjen rekisteröityjen nimien käyttöä myyntipaikoilla, ja toteutettava kaikki tarvittavat toimenpiteet, jos tämän luvun vaatimuksia rikotaan.</w:t>
      </w:r>
    </w:p>
    <w:p>
      <w:pPr>
        <w:pStyle w:val="ManualNumPar1"/>
        <w:rPr>
          <w:noProof/>
        </w:rPr>
      </w:pPr>
      <w:r>
        <w:rPr>
          <w:noProof/>
        </w:rPr>
        <w:t>2.</w:t>
      </w:r>
      <w:r>
        <w:rPr>
          <w:noProof/>
        </w:rPr>
        <w:tab/>
        <w:t>Jäsenvaltioiden on ilmoitettava komissiolle 40 artiklan mukaisesti nimettyjen, nimen myyntipaikalla käyttöä koskevista tarkastuksista vastaavien toimivaltaisten viranomaisten ja nimet ja osoitteet. Komissio julkaisee näiden viranomaisten nimet ja osoitteet.</w:t>
      </w:r>
    </w:p>
    <w:p>
      <w:pPr>
        <w:pStyle w:val="Titrearticle"/>
        <w:rPr>
          <w:noProof/>
        </w:rPr>
      </w:pPr>
      <w:r>
        <w:rPr>
          <w:noProof/>
        </w:rPr>
        <w:t xml:space="preserve">37 artikla </w:t>
      </w:r>
    </w:p>
    <w:p>
      <w:pPr>
        <w:pStyle w:val="NormalCentered"/>
        <w:rPr>
          <w:b/>
          <w:noProof/>
        </w:rPr>
      </w:pPr>
      <w:r>
        <w:rPr>
          <w:b/>
          <w:noProof/>
        </w:rPr>
        <w:t>Valvontatoimia koskeva menettely ja vaatimukset sekä valvontatoimien suunnittelu ja valvontatoimista raportointi</w:t>
      </w:r>
    </w:p>
    <w:p>
      <w:pPr>
        <w:pStyle w:val="ManualNumPar1"/>
        <w:rPr>
          <w:noProof/>
        </w:rPr>
      </w:pPr>
      <w:r>
        <w:rPr>
          <w:noProof/>
        </w:rPr>
        <w:t>1.</w:t>
      </w:r>
      <w:r>
        <w:rPr>
          <w:noProof/>
        </w:rPr>
        <w:tab/>
        <w:t>Tämän asetuksen 35 ja 36 artiklassa säädettyihin tarkastuksiin sovelletaan asetuksessa (EY) N:o 882/2004 vahvistettuja menettelyjä ja vaatimuksia soveltuvin osin.</w:t>
      </w:r>
    </w:p>
    <w:p>
      <w:pPr>
        <w:pStyle w:val="ManualNumPar1"/>
        <w:rPr>
          <w:noProof/>
        </w:rPr>
      </w:pPr>
      <w:r>
        <w:rPr>
          <w:noProof/>
        </w:rPr>
        <w:t>2.</w:t>
      </w:r>
      <w:r>
        <w:rPr>
          <w:noProof/>
        </w:rPr>
        <w:tab/>
        <w:t>Jäsenvaltioiden on varmistettava, että tämän luvun mukaisten velvoitteiden valvonta sisältyy erillisenä jaksona monivuotisiin kansallisiin valvontasuunnitelmiin asetuksen (EY) N:o 882/2004 41–43 artiklan mukaisesti.</w:t>
      </w:r>
    </w:p>
    <w:p>
      <w:pPr>
        <w:pStyle w:val="ManualNumPar1"/>
        <w:rPr>
          <w:noProof/>
        </w:rPr>
      </w:pPr>
      <w:r>
        <w:rPr>
          <w:noProof/>
        </w:rPr>
        <w:t>3.</w:t>
      </w:r>
      <w:r>
        <w:rPr>
          <w:noProof/>
        </w:rPr>
        <w:tab/>
        <w:t>Asetuksen (EY) N:o 882/2004 44 artiklan 1 kohdassa tarkoitettuihin vuosiraportteihin on sisällytettävä erillinen jakso, jossa esitetään kyseisessä säännöksessä tarkoitetut tiedot tällä asetuksella vahvistettujen velvoitteiden tarkastuksista.</w:t>
      </w:r>
    </w:p>
    <w:p>
      <w:pPr>
        <w:pStyle w:val="Titrearticle"/>
        <w:rPr>
          <w:noProof/>
        </w:rPr>
      </w:pPr>
      <w:r>
        <w:rPr>
          <w:noProof/>
        </w:rPr>
        <w:t>38 artikla</w:t>
      </w:r>
    </w:p>
    <w:p>
      <w:pPr>
        <w:pStyle w:val="NormalCentered"/>
        <w:rPr>
          <w:b/>
          <w:bCs/>
          <w:iCs/>
          <w:noProof/>
          <w:color w:val="000000"/>
        </w:rPr>
      </w:pPr>
      <w:r>
        <w:rPr>
          <w:b/>
          <w:noProof/>
        </w:rPr>
        <w:t>Siirretty säädösvalta</w:t>
      </w:r>
      <w:r>
        <w:rPr>
          <w:b/>
          <w:noProof/>
          <w:color w:val="000000"/>
        </w:rPr>
        <w:t xml:space="preserve"> </w:t>
      </w:r>
    </w:p>
    <w:p>
      <w:pPr>
        <w:pStyle w:val="ManualNumPar1"/>
        <w:rPr>
          <w:noProof/>
        </w:rPr>
      </w:pPr>
      <w:r>
        <w:rPr>
          <w:noProof/>
        </w:rPr>
        <w:t>1.</w:t>
      </w:r>
      <w:r>
        <w:rPr>
          <w:noProof/>
        </w:rPr>
        <w:tab/>
        <w:t>Rajatulla maantieteellisellä alueella tapahtuvan tuotannon erityispiirteiden huomioon ottamiseksi siirretään komissiolle valta antaa 43 artiklan mukaisesti delegoituja säädöksiä, jotka koskevat</w:t>
      </w:r>
    </w:p>
    <w:p>
      <w:pPr>
        <w:pStyle w:val="Point1"/>
        <w:rPr>
          <w:noProof/>
        </w:rPr>
      </w:pPr>
      <w:r>
        <w:rPr>
          <w:noProof/>
        </w:rPr>
        <w:t>a)</w:t>
      </w:r>
      <w:r>
        <w:rPr>
          <w:noProof/>
        </w:rPr>
        <w:tab/>
        <w:t>maantieteellisen alueen rajaamista koskevia lisäperusteita; ja</w:t>
      </w:r>
    </w:p>
    <w:p>
      <w:pPr>
        <w:pStyle w:val="Point1"/>
        <w:rPr>
          <w:noProof/>
        </w:rPr>
      </w:pPr>
      <w:r>
        <w:rPr>
          <w:noProof/>
        </w:rPr>
        <w:t>b)</w:t>
      </w:r>
      <w:r>
        <w:rPr>
          <w:noProof/>
        </w:rPr>
        <w:tab/>
        <w:t>rajatulla maantieteellisellä alueella tapahtuvaan tuotantoon liittyviä rajoituksia ja poikkeuksia.</w:t>
      </w:r>
    </w:p>
    <w:p>
      <w:pPr>
        <w:pStyle w:val="ManualNumPar1"/>
        <w:rPr>
          <w:noProof/>
        </w:rPr>
      </w:pPr>
      <w:r>
        <w:rPr>
          <w:noProof/>
        </w:rPr>
        <w:t>2.</w:t>
      </w:r>
      <w:r>
        <w:rPr>
          <w:noProof/>
        </w:rPr>
        <w:tab/>
        <w:t>Komissio voi tuotteiden laadun ja jäljitettävyyden varmistamiseksi vahvistaa 43 artiklan mukaisesti annettavilla delegoiduilla säädöksillä edellytykset, joilla tuote-eritelmiin voi sisältyä 19 artiklan e alakohdassa tarkoitettuja pakkausta koskevia tietoja tai 19 artiklan h alakohdassa tarkoitettuja erityisiä merkintöjä koskevia sääntöjä.</w:t>
      </w:r>
    </w:p>
    <w:p>
      <w:pPr>
        <w:pStyle w:val="ManualNumPar1"/>
        <w:rPr>
          <w:noProof/>
        </w:rPr>
      </w:pPr>
      <w:r>
        <w:rPr>
          <w:noProof/>
        </w:rPr>
        <w:t>3.</w:t>
      </w:r>
      <w:r>
        <w:rPr>
          <w:noProof/>
        </w:rPr>
        <w:tab/>
        <w:t>Komissio voi 43 artiklan mukaisesti annettavilla delegoiduilla säädöksillä tuottajien tai elintarvikealan toimijoiden oikeutettujen etujen turvaamiseksi</w:t>
      </w:r>
    </w:p>
    <w:p>
      <w:pPr>
        <w:pStyle w:val="Point1"/>
        <w:rPr>
          <w:noProof/>
        </w:rPr>
      </w:pPr>
      <w:r>
        <w:rPr>
          <w:noProof/>
        </w:rPr>
        <w:t>a)</w:t>
      </w:r>
      <w:r>
        <w:rPr>
          <w:noProof/>
        </w:rPr>
        <w:tab/>
        <w:t>määritellä tapaukset, jolloin yksittäinen tuottaja voi hakea suojaa maantieteelliselle merkinnälle;</w:t>
      </w:r>
    </w:p>
    <w:p>
      <w:pPr>
        <w:pStyle w:val="Point1"/>
        <w:rPr>
          <w:noProof/>
        </w:rPr>
      </w:pPr>
      <w:r>
        <w:rPr>
          <w:noProof/>
        </w:rPr>
        <w:t>b)</w:t>
      </w:r>
      <w:r>
        <w:rPr>
          <w:noProof/>
        </w:rPr>
        <w:tab/>
        <w:t>vahvistaa edellytyksiä, joita sovelletaan maantieteellisen merkinnän suojahakemukseen, alustaviin kansallisiin menettelyihin, komission suorittamaan hakemusten tutkimiseen, vastaväitemenettelyyn  ja suojattujen maantieteellisten merkintöjen peruuttamiseen, mukaan lukien tapaukset, joissa maantieteellinen alue kattaa useamman kuin yhden maan.</w:t>
      </w:r>
    </w:p>
    <w:p>
      <w:pPr>
        <w:pStyle w:val="ManualNumPar1"/>
        <w:rPr>
          <w:noProof/>
        </w:rPr>
      </w:pPr>
      <w:r>
        <w:rPr>
          <w:noProof/>
        </w:rPr>
        <w:t>4.</w:t>
      </w:r>
      <w:r>
        <w:rPr>
          <w:noProof/>
        </w:rPr>
        <w:tab/>
        <w:t>Tuote-eritelmien tietojen asianmukaisuuden ja ytimekkyyden varmistamiseksi siirretään komissiolle valta antaa 43 artiklan mukaisesti delegoituja säädöksiä säännöistä, joilla rajoitetaan tuote-eritelmän sisältämiä tietoja, jos tietojen rajoittaminen on tarpeen liian laajojen rekisteröintihakemusten välttämiseksi.</w:t>
      </w:r>
    </w:p>
    <w:p>
      <w:pPr>
        <w:pStyle w:val="ManualNumPar1"/>
        <w:rPr>
          <w:noProof/>
        </w:rPr>
      </w:pPr>
      <w:r>
        <w:rPr>
          <w:noProof/>
        </w:rPr>
        <w:t>5.</w:t>
      </w:r>
      <w:r>
        <w:rPr>
          <w:noProof/>
        </w:rPr>
        <w:tab/>
        <w:t>Muutoshakemuksen hallinnoinnin helpottamiseksi myös silloin, kun muutos on viranomaisten määräämistä pakollisista terveyden- tai kasvinsuojelutoimista johtuva tilapäinen tuote-eritelmän muutos tai muutos liittyy toimivaltaisten viranomaisten virallisesti tunnustamiin luonnononnettomuuksiin tai epäsuotuisiin sääoloihin, siirretään komissiolle valta antaa 43 artiklan mukaisesti delegoituja säädöksiä, joilla vahvistetaan niin jäsenvaltioiden kuin komission hyväksyttäviksi tulevia muutoksia koskevan menettelyn edellytyksiä ja vaatimuksia.</w:t>
      </w:r>
    </w:p>
    <w:p>
      <w:pPr>
        <w:pStyle w:val="ManualNumPar1"/>
        <w:rPr>
          <w:noProof/>
        </w:rPr>
      </w:pPr>
      <w:r>
        <w:rPr>
          <w:noProof/>
        </w:rPr>
        <w:t>6.</w:t>
      </w:r>
      <w:r>
        <w:rPr>
          <w:noProof/>
        </w:rPr>
        <w:tab/>
        <w:t>Maantieteellisten merkintöjen lainvastaisen käytön estämiseksi siirretään komissiolle valta antaa 43 artiklan mukaisesti delegoituja säädöksiä, jotka koskevat jäsenvaltioiden tältä osin täytäntöönpantaviksi tulevia tarkoituksenmukaisia toimia.</w:t>
      </w:r>
    </w:p>
    <w:p>
      <w:pPr>
        <w:pStyle w:val="ManualNumPar1"/>
        <w:rPr>
          <w:noProof/>
        </w:rPr>
      </w:pPr>
      <w:r>
        <w:rPr>
          <w:noProof/>
        </w:rPr>
        <w:t>7.</w:t>
      </w:r>
      <w:r>
        <w:rPr>
          <w:noProof/>
        </w:rPr>
        <w:tab/>
        <w:t>Tässä luvussa säädettyjen tarkastusten tehokkuuden varmistamiseksi siirretään komissiolle valta antaa 43 artiklan mukaisesti delegoituja säädöksiä, jotka koskevat elintarvikealan toimijoista toimivaltaisille viranomaisille tehtäviin ilmoituksiin liittyviä tarvittavia toimenpiteitä.</w:t>
      </w:r>
    </w:p>
    <w:p>
      <w:pPr>
        <w:pStyle w:val="Titrearticle"/>
        <w:rPr>
          <w:noProof/>
        </w:rPr>
      </w:pPr>
      <w:r>
        <w:rPr>
          <w:noProof/>
        </w:rPr>
        <w:t>39 artikla</w:t>
      </w:r>
    </w:p>
    <w:p>
      <w:pPr>
        <w:pStyle w:val="NormalCentered"/>
        <w:rPr>
          <w:b/>
          <w:bCs/>
          <w:iCs/>
          <w:noProof/>
          <w:color w:val="000000"/>
        </w:rPr>
      </w:pPr>
      <w:r>
        <w:rPr>
          <w:b/>
          <w:noProof/>
        </w:rPr>
        <w:t>Täytäntöönpanovalta</w:t>
      </w:r>
      <w:r>
        <w:rPr>
          <w:b/>
          <w:noProof/>
          <w:color w:val="000000"/>
        </w:rPr>
        <w:t xml:space="preserve"> </w:t>
      </w:r>
    </w:p>
    <w:p>
      <w:pPr>
        <w:pStyle w:val="ManualNumPar1"/>
        <w:rPr>
          <w:noProof/>
          <w:color w:val="000000"/>
        </w:rPr>
      </w:pPr>
      <w:r>
        <w:rPr>
          <w:noProof/>
          <w:color w:val="000000"/>
        </w:rPr>
        <w:t>Komissio voi hyväksyä täytäntöönpanosäädöksillä yksityiskohtaisia sääntöjä seuraavista:</w:t>
      </w:r>
    </w:p>
    <w:p>
      <w:pPr>
        <w:pStyle w:val="Point1"/>
        <w:rPr>
          <w:noProof/>
        </w:rPr>
      </w:pPr>
      <w:r>
        <w:rPr>
          <w:noProof/>
        </w:rPr>
        <w:t>a)</w:t>
      </w:r>
      <w:r>
        <w:rPr>
          <w:noProof/>
        </w:rPr>
        <w:tab/>
        <w:t>eritelmän muoto sekä toimenpiteet, jotka koskevat tuote-eritelmässä ilmoitettavia tietoja maantieteellisen alueen ja lopputuotteen välisestä yhteydestä;</w:t>
      </w:r>
    </w:p>
    <w:p>
      <w:pPr>
        <w:pStyle w:val="Point1"/>
        <w:rPr>
          <w:noProof/>
          <w:color w:val="000000"/>
        </w:rPr>
      </w:pPr>
      <w:r>
        <w:rPr>
          <w:noProof/>
          <w:color w:val="000000"/>
        </w:rPr>
        <w:t>b)</w:t>
      </w:r>
      <w:r>
        <w:rPr>
          <w:noProof/>
        </w:rPr>
        <w:tab/>
      </w:r>
      <w:r>
        <w:rPr>
          <w:noProof/>
          <w:color w:val="000000"/>
        </w:rPr>
        <w:t>hakemuksiin liittyvät menettelyt sekä hakemusten muoto ja esittäminen, myös useampaa kuin yhtä kansallista aluetta koskevien hakemusten osalta;</w:t>
      </w:r>
    </w:p>
    <w:p>
      <w:pPr>
        <w:pStyle w:val="Point1"/>
        <w:rPr>
          <w:noProof/>
          <w:color w:val="000000"/>
        </w:rPr>
      </w:pPr>
      <w:r>
        <w:rPr>
          <w:noProof/>
          <w:color w:val="000000"/>
        </w:rPr>
        <w:t>c)</w:t>
      </w:r>
      <w:r>
        <w:rPr>
          <w:noProof/>
        </w:rPr>
        <w:tab/>
      </w:r>
      <w:r>
        <w:rPr>
          <w:noProof/>
          <w:color w:val="000000"/>
        </w:rPr>
        <w:t>vastaväitteisiin liittyvät menettelyt sekä vastaväitteiden muoto ja esittäminen;</w:t>
      </w:r>
    </w:p>
    <w:p>
      <w:pPr>
        <w:pStyle w:val="Point1"/>
        <w:rPr>
          <w:noProof/>
          <w:color w:val="000000"/>
        </w:rPr>
      </w:pPr>
      <w:r>
        <w:rPr>
          <w:noProof/>
          <w:color w:val="000000"/>
        </w:rPr>
        <w:t>d)</w:t>
      </w:r>
      <w:r>
        <w:rPr>
          <w:noProof/>
        </w:rPr>
        <w:tab/>
      </w:r>
      <w:r>
        <w:rPr>
          <w:noProof/>
          <w:color w:val="000000"/>
        </w:rPr>
        <w:t>muutoshakemuksen muoto ja esittäminen;</w:t>
      </w:r>
    </w:p>
    <w:p>
      <w:pPr>
        <w:pStyle w:val="Point1"/>
        <w:rPr>
          <w:noProof/>
          <w:color w:val="000000"/>
        </w:rPr>
      </w:pPr>
      <w:r>
        <w:rPr>
          <w:noProof/>
          <w:color w:val="000000"/>
        </w:rPr>
        <w:t>e)</w:t>
      </w:r>
      <w:r>
        <w:rPr>
          <w:noProof/>
        </w:rPr>
        <w:tab/>
      </w:r>
      <w:r>
        <w:rPr>
          <w:noProof/>
          <w:color w:val="000000"/>
        </w:rPr>
        <w:t>peruuttamiseen liittyvät menettelyt ja muoto sekä peruuttamispyyntöjen esittäminen;</w:t>
      </w:r>
    </w:p>
    <w:p>
      <w:pPr>
        <w:pStyle w:val="Point1"/>
        <w:rPr>
          <w:noProof/>
          <w:color w:val="000000"/>
        </w:rPr>
      </w:pPr>
      <w:r>
        <w:rPr>
          <w:noProof/>
          <w:color w:val="000000"/>
        </w:rPr>
        <w:t>f)</w:t>
      </w:r>
      <w:r>
        <w:rPr>
          <w:noProof/>
        </w:rPr>
        <w:tab/>
      </w:r>
      <w:r>
        <w:rPr>
          <w:noProof/>
          <w:color w:val="000000"/>
        </w:rPr>
        <w:t>jäsenvaltioille kuuluvat tarkastukset ja todentamiset, mukaan lukien testaus.</w:t>
      </w:r>
    </w:p>
    <w:p>
      <w:pPr>
        <w:spacing w:after="240"/>
        <w:rPr>
          <w:noProof/>
        </w:rPr>
      </w:pPr>
      <w:r>
        <w:rPr>
          <w:noProof/>
        </w:rPr>
        <w:t>Nämä täytäntöönpanosäädökset hyväksytään 44 artiklan 2 kohdassa tarkoitettua tarkastelumenettelyä noudattaen.</w:t>
      </w:r>
    </w:p>
    <w:p>
      <w:pPr>
        <w:pStyle w:val="ChapterTitle"/>
        <w:rPr>
          <w:rFonts w:cs="TimesNewRoman"/>
          <w:noProof/>
        </w:rPr>
      </w:pPr>
      <w:r>
        <w:rPr>
          <w:noProof/>
        </w:rPr>
        <w:t>IV LUKU</w:t>
      </w:r>
    </w:p>
    <w:p>
      <w:pPr>
        <w:jc w:val="center"/>
        <w:rPr>
          <w:rFonts w:cs="TimesNewRomanBold"/>
          <w:b/>
          <w:bCs/>
          <w:noProof/>
        </w:rPr>
      </w:pPr>
      <w:r>
        <w:rPr>
          <w:b/>
          <w:noProof/>
        </w:rPr>
        <w:t>TARKASTUKSET, TIETOJENVAIHTO, JÄSENVALTIOIDEN LAINSÄÄDÄNTÖ</w:t>
      </w:r>
    </w:p>
    <w:p>
      <w:pPr>
        <w:pStyle w:val="Titrearticle"/>
        <w:rPr>
          <w:noProof/>
        </w:rPr>
      </w:pPr>
      <w:r>
        <w:rPr>
          <w:noProof/>
        </w:rPr>
        <w:t xml:space="preserve">40 artikla </w:t>
      </w:r>
    </w:p>
    <w:p>
      <w:pPr>
        <w:pStyle w:val="NormalCentered"/>
        <w:rPr>
          <w:rFonts w:cs="TimesNewRomanBold"/>
          <w:b/>
          <w:bCs/>
          <w:i/>
          <w:noProof/>
        </w:rPr>
      </w:pPr>
      <w:r>
        <w:rPr>
          <w:b/>
          <w:noProof/>
        </w:rPr>
        <w:t>Tislattujen alkoholijuomien tarkastukset</w:t>
      </w:r>
    </w:p>
    <w:p>
      <w:pPr>
        <w:pStyle w:val="ManualNumPar1"/>
        <w:rPr>
          <w:noProof/>
        </w:rPr>
      </w:pPr>
      <w:r>
        <w:rPr>
          <w:noProof/>
        </w:rPr>
        <w:t>1.</w:t>
      </w:r>
      <w:r>
        <w:rPr>
          <w:noProof/>
        </w:rPr>
        <w:tab/>
        <w:t xml:space="preserve">Tislattuja alkoholijuomia koskevat tarkastukset ovat jäsenvaltioiden vastuulla. Niiden on toteutettava tarvittavat toimenpiteet tämän asetuksen säännösten noudattamisen varmistamiseksi ja nimettävä toimivaltaiset viranomaiset, jotka vastaavat tämän asetuksen noudattamisesta. </w:t>
      </w:r>
    </w:p>
    <w:p>
      <w:pPr>
        <w:pStyle w:val="ManualNumPar1"/>
        <w:rPr>
          <w:rFonts w:cs="TimesNewRoman"/>
          <w:noProof/>
        </w:rPr>
      </w:pPr>
      <w:r>
        <w:rPr>
          <w:noProof/>
        </w:rPr>
        <w:t>2.</w:t>
      </w:r>
      <w:r>
        <w:rPr>
          <w:noProof/>
        </w:rPr>
        <w:tab/>
        <w:t>Komissio varmistaa tämän asetuksen yhdenmukaisen soveltamisen ja vahvistaa tarvittaessa täytäntöönpanosäännöksillä säännöt, jotka koskevat jäsenvaltioiden toteuttamia tämän asetuksen soveltamisesta aiheutuvien velvoitteiden noudattamiseen liittyviä hallinnollisia ja fyysisiä tarkastuksia. Nämä täytäntöönpanosäädökset hyväksytään 44 artiklan 2 kohdassa tarkoitettua tarkastelumenettelyä noudattaen.</w:t>
      </w:r>
    </w:p>
    <w:p>
      <w:pPr>
        <w:pStyle w:val="Titrearticle"/>
        <w:rPr>
          <w:noProof/>
        </w:rPr>
      </w:pPr>
      <w:r>
        <w:rPr>
          <w:noProof/>
        </w:rPr>
        <w:t>41 artikla</w:t>
      </w:r>
    </w:p>
    <w:p>
      <w:pPr>
        <w:pStyle w:val="NormalCentered"/>
        <w:rPr>
          <w:b/>
          <w:bCs/>
          <w:iCs/>
          <w:noProof/>
        </w:rPr>
      </w:pPr>
      <w:r>
        <w:rPr>
          <w:b/>
          <w:noProof/>
        </w:rPr>
        <w:t>Tietojenvaihto</w:t>
      </w:r>
    </w:p>
    <w:p>
      <w:pPr>
        <w:pStyle w:val="ManualNumPar1"/>
        <w:rPr>
          <w:noProof/>
        </w:rPr>
      </w:pPr>
      <w:r>
        <w:rPr>
          <w:noProof/>
        </w:rPr>
        <w:t>1.</w:t>
      </w:r>
      <w:r>
        <w:rPr>
          <w:noProof/>
        </w:rPr>
        <w:tab/>
        <w:t>Jäsenvaltiot ja komissio toimittavat toisilleen tämän asetuksen soveltamisessa tarvittavat tiedot.</w:t>
      </w:r>
    </w:p>
    <w:p>
      <w:pPr>
        <w:pStyle w:val="ManualNumPar1"/>
        <w:rPr>
          <w:noProof/>
        </w:rPr>
      </w:pPr>
      <w:r>
        <w:rPr>
          <w:noProof/>
        </w:rPr>
        <w:t>2.</w:t>
      </w:r>
      <w:r>
        <w:rPr>
          <w:noProof/>
        </w:rPr>
        <w:tab/>
        <w:t>Siirretään komissiolle valta antaa 43 artiklan mukaisesti delegoituja säädöksiä, jotka koskevat vaihdettavien tietojen luonnetta ja tyyppiä.</w:t>
      </w:r>
    </w:p>
    <w:p>
      <w:pPr>
        <w:pStyle w:val="ManualNumPar1"/>
        <w:rPr>
          <w:i/>
          <w:noProof/>
        </w:rPr>
      </w:pPr>
      <w:r>
        <w:rPr>
          <w:noProof/>
        </w:rPr>
        <w:t>3.</w:t>
      </w:r>
      <w:r>
        <w:rPr>
          <w:noProof/>
        </w:rPr>
        <w:tab/>
        <w:t>Siirretään komissiolle valta antaa täytäntöönpanosäädöksiä tietojenvaihtomenetelmistä.</w:t>
      </w:r>
    </w:p>
    <w:p>
      <w:pPr>
        <w:pStyle w:val="Text1"/>
        <w:rPr>
          <w:noProof/>
        </w:rPr>
      </w:pPr>
      <w:r>
        <w:rPr>
          <w:noProof/>
        </w:rPr>
        <w:t>Nämä täytäntöönpanosäädökset hyväksytään 44 artiklan 2 kohdassa tarkoitettua tarkastelumenettelyä noudattaen.</w:t>
      </w:r>
    </w:p>
    <w:p>
      <w:pPr>
        <w:pStyle w:val="Titrearticle"/>
        <w:rPr>
          <w:noProof/>
        </w:rPr>
      </w:pPr>
      <w:r>
        <w:rPr>
          <w:noProof/>
        </w:rPr>
        <w:t>42 artikla</w:t>
      </w:r>
    </w:p>
    <w:p>
      <w:pPr>
        <w:pStyle w:val="NormalCentered"/>
        <w:rPr>
          <w:rFonts w:cs="TimesNewRomanBold"/>
          <w:b/>
          <w:bCs/>
          <w:noProof/>
        </w:rPr>
      </w:pPr>
      <w:r>
        <w:rPr>
          <w:b/>
          <w:noProof/>
        </w:rPr>
        <w:t>Jäsenvaltioiden lainsäädäntö</w:t>
      </w:r>
    </w:p>
    <w:p>
      <w:pPr>
        <w:pStyle w:val="ManualNumPar1"/>
        <w:rPr>
          <w:i/>
          <w:noProof/>
        </w:rPr>
      </w:pPr>
      <w:r>
        <w:rPr>
          <w:noProof/>
        </w:rPr>
        <w:t>1.</w:t>
      </w:r>
      <w:r>
        <w:rPr>
          <w:noProof/>
        </w:rPr>
        <w:tab/>
        <w:t>Soveltaessaan laatupolitiikkaa alueellaan tuotettuihin tislattuihin alkoholijuomiin ja erityisesti rekisteriin kirjattuihin maantieteellisiin merkintöihin tai uusien maantieteellisten merkintöjen suojaamiseen jäsenvaltiot voivat vahvistaa tuotantoa, esittelyä ja merkintöjä koskevia sääntöjä, jotka ovat tiukempia kuin liitteessä II esitetyt säännöt, sillä edellytyksellä että säännöt ovat unionin lainsäädännön mukaiset.</w:t>
      </w:r>
    </w:p>
    <w:p>
      <w:pPr>
        <w:pStyle w:val="ManualNumPar1"/>
        <w:rPr>
          <w:i/>
          <w:noProof/>
        </w:rPr>
      </w:pPr>
      <w:r>
        <w:rPr>
          <w:noProof/>
        </w:rPr>
        <w:t>2.</w:t>
      </w:r>
      <w:r>
        <w:rPr>
          <w:noProof/>
        </w:rPr>
        <w:tab/>
        <w:t>Jäsenvaltiot eivät saa kieltää tai rajoittaa tämän asetuksen mukaisten tislattujen alkoholijuomien tuontia, myyntiä tai kulutusta.</w:t>
      </w:r>
    </w:p>
    <w:p>
      <w:pPr>
        <w:pStyle w:val="ChapterTitle"/>
        <w:rPr>
          <w:rFonts w:cs="TimesNewRoman"/>
          <w:noProof/>
        </w:rPr>
      </w:pPr>
      <w:r>
        <w:rPr>
          <w:noProof/>
        </w:rPr>
        <w:t>V LUKU</w:t>
      </w:r>
    </w:p>
    <w:p>
      <w:pPr>
        <w:jc w:val="center"/>
        <w:rPr>
          <w:b/>
          <w:smallCaps/>
          <w:noProof/>
        </w:rPr>
      </w:pPr>
      <w:r>
        <w:rPr>
          <w:b/>
          <w:smallCaps/>
          <w:noProof/>
        </w:rPr>
        <w:t>säädösvallan siirto, täytäntöönpanosäännökset, kumoaminen ja muuttaminen, siirtymäkauden säännökset ja loppusäännökset</w:t>
      </w:r>
    </w:p>
    <w:p>
      <w:pPr>
        <w:pStyle w:val="SectionTitle"/>
        <w:rPr>
          <w:b w:val="0"/>
          <w:noProof/>
        </w:rPr>
      </w:pPr>
      <w:r>
        <w:rPr>
          <w:noProof/>
        </w:rPr>
        <w:t>1 JAKSO</w:t>
      </w:r>
    </w:p>
    <w:p>
      <w:pPr>
        <w:jc w:val="center"/>
        <w:rPr>
          <w:b/>
          <w:smallCaps/>
          <w:noProof/>
        </w:rPr>
      </w:pPr>
      <w:r>
        <w:rPr>
          <w:b/>
          <w:smallCaps/>
          <w:noProof/>
        </w:rPr>
        <w:t>SÄÄDÖSVALLAN SIIRTÄMINEN JA TÄYTÄNTÖÖNPANOSÄÄNNÖKSET</w:t>
      </w:r>
    </w:p>
    <w:p>
      <w:pPr>
        <w:pStyle w:val="Titrearticle"/>
        <w:rPr>
          <w:noProof/>
        </w:rPr>
      </w:pPr>
      <w:r>
        <w:rPr>
          <w:noProof/>
        </w:rPr>
        <w:t>43 artikla</w:t>
      </w:r>
    </w:p>
    <w:p>
      <w:pPr>
        <w:pStyle w:val="NormalCentered"/>
        <w:rPr>
          <w:b/>
          <w:bCs/>
          <w:iCs/>
          <w:noProof/>
        </w:rPr>
      </w:pPr>
      <w:r>
        <w:rPr>
          <w:b/>
          <w:noProof/>
        </w:rPr>
        <w:t>Siirretyn säädösvallan käyttäminen</w:t>
      </w:r>
    </w:p>
    <w:p>
      <w:pPr>
        <w:pStyle w:val="ManualNumPar1"/>
        <w:rPr>
          <w:noProof/>
        </w:rPr>
      </w:pPr>
      <w:r>
        <w:rPr>
          <w:noProof/>
        </w:rPr>
        <w:t>1.</w:t>
      </w:r>
      <w:r>
        <w:rPr>
          <w:noProof/>
        </w:rPr>
        <w:tab/>
        <w:t>Komissiolle siirrettyä valtaa antaa delegoituja säädöksiä koskevat tässä artiklassa säädetyt edellytykset.</w:t>
      </w:r>
    </w:p>
    <w:p>
      <w:pPr>
        <w:pStyle w:val="ManualNumPar1"/>
        <w:rPr>
          <w:noProof/>
        </w:rPr>
      </w:pPr>
      <w:r>
        <w:rPr>
          <w:noProof/>
        </w:rPr>
        <w:t>2.</w:t>
      </w:r>
      <w:r>
        <w:rPr>
          <w:noProof/>
        </w:rPr>
        <w:tab/>
        <w:t>Siirretään komissiolle tämän asetuksen voimaantulosta määräämättömäksi ajaksi 5, 16, 38 ja 41 artiklassa sekä 46 artiklan 2 kohdassa tarkoitettu valta antaa delegoituja säädöksiä.</w:t>
      </w:r>
    </w:p>
    <w:p>
      <w:pPr>
        <w:pStyle w:val="ManualNumPar1"/>
        <w:rPr>
          <w:noProof/>
        </w:rPr>
      </w:pPr>
      <w:r>
        <w:rPr>
          <w:noProof/>
        </w:rPr>
        <w:t>3.</w:t>
      </w:r>
      <w:r>
        <w:rPr>
          <w:noProof/>
        </w:rPr>
        <w:tab/>
        <w:t xml:space="preserve">Euroopan parlamentti tai neuvosto voi milloin tahansa peruuttaa 5, 16, 38 ja  41 artiklassa sekä 46 artiklan 2 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sopimuksessa vahvistettujen periaatteiden mukaisesti.</w:t>
      </w:r>
    </w:p>
    <w:p>
      <w:pPr>
        <w:pStyle w:val="ManualNumPar1"/>
        <w:rPr>
          <w:noProof/>
        </w:rPr>
      </w:pPr>
      <w:r>
        <w:rPr>
          <w:noProof/>
        </w:rPr>
        <w:t>5.</w:t>
      </w:r>
      <w:r>
        <w:rPr>
          <w:noProof/>
        </w:rPr>
        <w:tab/>
        <w:t>Heti kun komissio on antanut delegoidun säädöksen, komissio antaa sen tiedoksi yhtäaikaisesti Euroopan parlamentille ja neuvostolle.</w:t>
      </w:r>
    </w:p>
    <w:p>
      <w:pPr>
        <w:pStyle w:val="ManualNumPar1"/>
        <w:rPr>
          <w:noProof/>
        </w:rPr>
      </w:pPr>
      <w:r>
        <w:rPr>
          <w:noProof/>
        </w:rPr>
        <w:t>6.</w:t>
      </w:r>
      <w:r>
        <w:rPr>
          <w:noProof/>
        </w:rPr>
        <w:tab/>
        <w:t>Edellä olevan 5, 16, 38 ja 41 artiklan tai 46 artiklan 2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Titrearticle"/>
        <w:rPr>
          <w:noProof/>
        </w:rPr>
      </w:pPr>
      <w:r>
        <w:rPr>
          <w:noProof/>
        </w:rPr>
        <w:t>44 artikla</w:t>
      </w:r>
    </w:p>
    <w:p>
      <w:pPr>
        <w:pStyle w:val="NormalCentered"/>
        <w:rPr>
          <w:b/>
          <w:bCs/>
          <w:iCs/>
          <w:noProof/>
        </w:rPr>
      </w:pPr>
      <w:r>
        <w:rPr>
          <w:b/>
          <w:noProof/>
        </w:rPr>
        <w:t>Komiteamenettely</w:t>
      </w:r>
    </w:p>
    <w:p>
      <w:pPr>
        <w:pStyle w:val="ManualNumPar1"/>
        <w:rPr>
          <w:noProof/>
        </w:rPr>
      </w:pPr>
      <w:r>
        <w:rPr>
          <w:noProof/>
        </w:rPr>
        <w:t>1.</w:t>
      </w:r>
      <w:r>
        <w:rPr>
          <w:noProof/>
        </w:rPr>
        <w:tab/>
        <w:t>Komissiota avustaa asetuksella (ETY) N:o 1576/89</w:t>
      </w:r>
      <w:r>
        <w:rPr>
          <w:rStyle w:val="FootnoteReference"/>
          <w:noProof/>
        </w:rPr>
        <w:footnoteReference w:id="20"/>
      </w:r>
      <w:r>
        <w:rPr>
          <w:noProof/>
        </w:rPr>
        <w:t xml:space="preserve"> perustettu tislattujen alkoholijuomien komitea. Tämä komitea on asetuksessa (EU) N:o 182/2011 tarkoitettu komitea.</w:t>
      </w:r>
    </w:p>
    <w:p>
      <w:pPr>
        <w:pStyle w:val="ManualNumPar1"/>
        <w:rPr>
          <w:noProof/>
        </w:rPr>
      </w:pPr>
      <w:r>
        <w:rPr>
          <w:noProof/>
        </w:rPr>
        <w:t>2.</w:t>
      </w:r>
      <w:r>
        <w:rPr>
          <w:noProof/>
        </w:rPr>
        <w:tab/>
        <w:t>Kun viitataan tähän kohtaan, sovelletaan asetuksen (EU) N:o 182/2011 5 artiklaa.</w:t>
      </w:r>
    </w:p>
    <w:p>
      <w:pPr>
        <w:pStyle w:val="SectionTitle"/>
        <w:rPr>
          <w:noProof/>
        </w:rPr>
      </w:pPr>
      <w:r>
        <w:rPr>
          <w:noProof/>
        </w:rPr>
        <w:t>2 jakso</w:t>
      </w:r>
    </w:p>
    <w:p>
      <w:pPr>
        <w:pStyle w:val="NormalCentered"/>
        <w:rPr>
          <w:rFonts w:cs="TimesNewRomanBold"/>
          <w:b/>
          <w:bCs/>
          <w:noProof/>
        </w:rPr>
      </w:pPr>
      <w:r>
        <w:rPr>
          <w:b/>
          <w:noProof/>
        </w:rPr>
        <w:t>KUMOAMINEN SEKÄ SIIRTYMÄ- JA LOPPUSÄÄNNÖKSET</w:t>
      </w:r>
    </w:p>
    <w:p>
      <w:pPr>
        <w:pStyle w:val="Titrearticle"/>
        <w:rPr>
          <w:noProof/>
        </w:rPr>
      </w:pPr>
      <w:r>
        <w:rPr>
          <w:noProof/>
        </w:rPr>
        <w:t>45 artikla</w:t>
      </w:r>
    </w:p>
    <w:p>
      <w:pPr>
        <w:pStyle w:val="NormalCentered"/>
        <w:rPr>
          <w:rFonts w:cs="TimesNewRomanBold"/>
          <w:b/>
          <w:bCs/>
          <w:noProof/>
        </w:rPr>
      </w:pPr>
      <w:r>
        <w:rPr>
          <w:b/>
          <w:noProof/>
        </w:rPr>
        <w:t>Kumoaminen</w:t>
      </w:r>
    </w:p>
    <w:p>
      <w:pPr>
        <w:rPr>
          <w:noProof/>
        </w:rPr>
      </w:pPr>
      <w:r>
        <w:rPr>
          <w:noProof/>
        </w:rPr>
        <w:t>Kumotaan asetus (EY) N:o 110/2008.</w:t>
      </w:r>
    </w:p>
    <w:p>
      <w:pPr>
        <w:rPr>
          <w:noProof/>
        </w:rPr>
      </w:pPr>
      <w:r>
        <w:rPr>
          <w:noProof/>
        </w:rPr>
        <w:t>Viittaukset asetukseen (EY) N:o 110/2008 on katsottava viittauksiksi tähän asetukseen.</w:t>
      </w:r>
    </w:p>
    <w:p>
      <w:pPr>
        <w:pStyle w:val="Titrearticle"/>
        <w:rPr>
          <w:noProof/>
        </w:rPr>
      </w:pPr>
      <w:r>
        <w:rPr>
          <w:noProof/>
        </w:rPr>
        <w:t>46 artikla</w:t>
      </w:r>
    </w:p>
    <w:p>
      <w:pPr>
        <w:pStyle w:val="NormalCentered"/>
        <w:rPr>
          <w:rFonts w:cs="TimesNewRoman"/>
          <w:b/>
          <w:bCs/>
          <w:noProof/>
        </w:rPr>
      </w:pPr>
      <w:r>
        <w:rPr>
          <w:b/>
          <w:noProof/>
        </w:rPr>
        <w:t>Siirtymätoimenpiteet</w:t>
      </w:r>
    </w:p>
    <w:p>
      <w:pPr>
        <w:pStyle w:val="ManualNumPar1"/>
        <w:rPr>
          <w:rFonts w:cs="TimesNewRoman"/>
          <w:noProof/>
        </w:rPr>
      </w:pPr>
      <w:r>
        <w:rPr>
          <w:noProof/>
        </w:rPr>
        <w:t>1.</w:t>
      </w:r>
      <w:r>
        <w:rPr>
          <w:noProof/>
        </w:rPr>
        <w:tab/>
        <w:t>Asetuksen (EY) N:o 110/2008 vaatimukset täyttäviä tislattuja alkoholijuomia, jotka on valmistettu ennen kuin tätä asetusta ryhdytään soveltamaan, voidaan pitää kaupan, kunnes nämä juomat loppuvat varastoista.</w:t>
      </w:r>
    </w:p>
    <w:p>
      <w:pPr>
        <w:pStyle w:val="ManualNumPar1"/>
        <w:rPr>
          <w:i/>
          <w:noProof/>
        </w:rPr>
      </w:pPr>
      <w:r>
        <w:rPr>
          <w:noProof/>
        </w:rPr>
        <w:t>2.</w:t>
      </w:r>
      <w:r>
        <w:rPr>
          <w:noProof/>
        </w:rPr>
        <w:tab/>
        <w:t>Jotta helpotettaisiin siirtymistä asetuksessa (EY) N:o 110/2008 säädetyistä säännöistä tässä asetuksessa säädettyihin sääntöihin, komissio voi tarvittaessa hyväksyä delegoiduilla säädöksillä toimenpiteitä tämän asetuksen muuttamiseksi tai siitä poikkeamiseksi kolmen vuoden ajan soveltamisen alkamispäivästä.</w:t>
      </w:r>
    </w:p>
    <w:p>
      <w:pPr>
        <w:pStyle w:val="ManualNumPar1"/>
        <w:rPr>
          <w:rFonts w:cs="TimesNewRoman"/>
          <w:i/>
          <w:noProof/>
        </w:rPr>
      </w:pPr>
      <w:r>
        <w:rPr>
          <w:noProof/>
        </w:rPr>
        <w:t>3.</w:t>
      </w:r>
      <w:r>
        <w:rPr>
          <w:noProof/>
        </w:rPr>
        <w:tab/>
        <w:t>Edellä olevaa 19–23, 28 ja 29 artiklaa sovelletaan suoja-, muutos- ja peruuttamishakemuksiin, jotka on toimitettu sen jälkeen, kun tätä asetusta on ryhdytty soveltamaan.</w:t>
      </w:r>
    </w:p>
    <w:p>
      <w:pPr>
        <w:pStyle w:val="Text1"/>
        <w:rPr>
          <w:noProof/>
        </w:rPr>
      </w:pPr>
      <w:r>
        <w:rPr>
          <w:noProof/>
        </w:rPr>
        <w:t xml:space="preserve">Asetuksen (EY) N:o 110/2008 asianomaisia säännöksiä sovelletaan edelleen suojahakemuksiin, tuote-eritelmien muutoshakemuksiin ja peruutushakemuksiin, joiden käsittely on kesken tämän asetuksen voimaantulopäivänä. </w:t>
      </w:r>
    </w:p>
    <w:p>
      <w:pPr>
        <w:pStyle w:val="Text1"/>
        <w:rPr>
          <w:rFonts w:cs="TimesNewRoman"/>
          <w:noProof/>
        </w:rPr>
      </w:pPr>
      <w:r>
        <w:rPr>
          <w:noProof/>
        </w:rPr>
        <w:t xml:space="preserve">Suoja-, muutos- ja peruutushakemuksia koskeviin menettelyihin sovelletaan 24–26 artiklassa tarkoitettuja vastaväitemenettelyä koskevia säännöksiä, jos yhtenäistä asiakirjaa, muutoshakemusta tai peruutushakemusta ei ollut julkaistu, kun tämä asetus tulee voimaan. Suoja-, muutos- ja peruutushakemuksia koskeviin menettelyihin sovelletaan edelleen asetuksen (EY) N:o 110/2008 asianomaisia säännöksiä, jos yhtenäinen asiakirja, muutoshakemus tai peruutushakemus oli julkaistu, kun tämä asetus tulee voimaan. </w:t>
      </w:r>
    </w:p>
    <w:p>
      <w:pPr>
        <w:pStyle w:val="ManualNumPar1"/>
        <w:rPr>
          <w:noProof/>
        </w:rPr>
      </w:pPr>
      <w:r>
        <w:rPr>
          <w:noProof/>
        </w:rPr>
        <w:t>4.</w:t>
      </w:r>
      <w:r>
        <w:rPr>
          <w:noProof/>
        </w:rPr>
        <w:tab/>
        <w:t xml:space="preserve">Kun kyseessä ovat asetuksen (EY) N:o 110/2008 mukaisesti rekisteröidyt maantieteelliset merkinnät, komissio julkaisee jäsenvaltion pyynnöstä kyseisen jäsenvaltion toimittaman yhtenäisen asiakirjan </w:t>
      </w:r>
      <w:r>
        <w:rPr>
          <w:i/>
          <w:noProof/>
        </w:rPr>
        <w:t>Euroopan unionin virallisessa lehdessä</w:t>
      </w:r>
      <w:r>
        <w:rPr>
          <w:noProof/>
        </w:rPr>
        <w:t>. Julkaisuun liitetään tuote-eritelmän julkaisuviite, eikä julkaisua seuraa vastaväitemenettely.</w:t>
      </w:r>
    </w:p>
    <w:p>
      <w:pPr>
        <w:pStyle w:val="Titrearticle"/>
        <w:rPr>
          <w:noProof/>
        </w:rPr>
      </w:pPr>
      <w:r>
        <w:rPr>
          <w:noProof/>
        </w:rPr>
        <w:t>47 artikla</w:t>
      </w:r>
    </w:p>
    <w:p>
      <w:pPr>
        <w:pStyle w:val="NormalCentered"/>
        <w:rPr>
          <w:noProof/>
        </w:rPr>
      </w:pPr>
      <w:r>
        <w:rPr>
          <w:b/>
          <w:noProof/>
        </w:rPr>
        <w:t>Voimaantulo ja soveltaminen</w:t>
      </w:r>
    </w:p>
    <w:p>
      <w:pPr>
        <w:rPr>
          <w:noProof/>
        </w:rPr>
      </w:pPr>
      <w:r>
        <w:rPr>
          <w:noProof/>
        </w:rPr>
        <w:t xml:space="preserve">Tämä asetus tulee voimaan seitsemäntenä päivänä sen jälkeen, kun se on julkaistu </w:t>
      </w:r>
      <w:r>
        <w:rPr>
          <w:i/>
          <w:noProof/>
        </w:rPr>
        <w:t>Euroopan unionin virallisessa lehdessä</w:t>
      </w:r>
      <w:r>
        <w:rPr>
          <w:noProof/>
        </w:rPr>
        <w:t>.</w:t>
      </w:r>
    </w:p>
    <w:p>
      <w:pPr>
        <w:rPr>
          <w:noProof/>
        </w:rPr>
      </w:pPr>
      <w:r>
        <w:rPr>
          <w:noProof/>
        </w:rPr>
        <w:t xml:space="preserve">Sitä sovelletaan [...].     </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EUVL L 304, 22.11.2011, s. 18.</w:t>
      </w:r>
    </w:p>
  </w:footnote>
  <w:footnote w:id="2">
    <w:p>
      <w:pPr>
        <w:pStyle w:val="FootnoteText"/>
        <w:rPr>
          <w:i/>
        </w:rPr>
      </w:pPr>
      <w:r>
        <w:rPr>
          <w:rStyle w:val="FootnoteReference"/>
        </w:rPr>
        <w:footnoteRef/>
      </w:r>
      <w:r>
        <w:tab/>
        <w:t>EUVL L 343, 14.12.2012, s. 1.</w:t>
      </w:r>
    </w:p>
  </w:footnote>
  <w:footnote w:id="3">
    <w:p>
      <w:pPr>
        <w:pStyle w:val="FootnoteText"/>
      </w:pPr>
      <w:r>
        <w:rPr>
          <w:rStyle w:val="FootnoteReference"/>
        </w:rPr>
        <w:footnoteRef/>
      </w:r>
      <w:r>
        <w:tab/>
        <w:t>Komission delegoitu asetus (EU) N:o 664/2014, annettu 18 päivänä joulukuuta 2013, Euroopan parlamentin ja neuvoston asetuksen (EU) N:o 1151/2012 täydentämisestä suojattuja alkuperänimityksiä, suojattuja maantieteellisiä merkintöjä ja aitoja perinteisiä tuotteita koskevien unionin tunnusten vahvistamisen sekä eräiden hankintaa koskevien sääntöjen, eräiden menettelysääntöjen ja eräiden täydentävien siirtymäsääntöjen osalta. (EUVL L 179, 19.6.2014, s. 17).</w:t>
      </w:r>
    </w:p>
  </w:footnote>
  <w:footnote w:id="4">
    <w:p>
      <w:pPr>
        <w:pStyle w:val="FootnoteText"/>
      </w:pPr>
      <w:r>
        <w:rPr>
          <w:rStyle w:val="FootnoteReference"/>
        </w:rPr>
        <w:footnoteRef/>
      </w:r>
      <w:r>
        <w:tab/>
        <w:t>Komission täytäntöönpanoasetus (EU) N:o 668/2014 maataloustuotteiden ja elintarvikkeiden laatujärjestelmistä annetun Euroopan parlamentin ja neuvoston asetuksen (EU) N:o 1151/2012 soveltamissäännöistä (EUVL L 179, 19.6.2014, s. 36).</w:t>
      </w:r>
    </w:p>
  </w:footnote>
  <w:footnote w:id="5">
    <w:p>
      <w:pPr>
        <w:pStyle w:val="FootnoteText"/>
      </w:pPr>
      <w:r>
        <w:rPr>
          <w:rStyle w:val="FootnoteReference"/>
        </w:rPr>
        <w:footnoteRef/>
      </w:r>
      <w:r>
        <w:tab/>
        <w:t>Komission täytäntöönpanoasetus (EU) N:o 716/2013, annettu 25 päivänä heinäkuuta 2013, tislattujen alkoholijuomien määritelmistä, kuvauksesta, esittelystä, merkinnöistä ja maantieteellisten merkintöjen suojaamisesta annetun Euroopan parlamentin ja neuvoston asetuksen (EY) N:o 110/2008 soveltamissäännöistä (EUVL L 201, 26.7.2013, s. 21).</w:t>
      </w:r>
    </w:p>
  </w:footnote>
  <w:footnote w:id="6">
    <w:p>
      <w:pPr>
        <w:pStyle w:val="FootnoteText"/>
      </w:pPr>
      <w:r>
        <w:rPr>
          <w:rStyle w:val="FootnoteReference"/>
        </w:rPr>
        <w:footnoteRef/>
      </w:r>
      <w:r>
        <w:tab/>
        <w:t>EUVL C […], […], s. […].</w:t>
      </w:r>
    </w:p>
  </w:footnote>
  <w:footnote w:id="7">
    <w:p>
      <w:pPr>
        <w:pStyle w:val="FootnoteText"/>
      </w:pPr>
      <w:r>
        <w:rPr>
          <w:rStyle w:val="FootnoteReference"/>
        </w:rPr>
        <w:footnoteRef/>
      </w:r>
      <w:r>
        <w:tab/>
        <w:t>EUVL C , , s. .</w:t>
      </w:r>
    </w:p>
  </w:footnote>
  <w:footnote w:id="8">
    <w:p>
      <w:pPr>
        <w:pStyle w:val="FootnoteText"/>
      </w:pPr>
      <w:r>
        <w:rPr>
          <w:rStyle w:val="FootnoteReference"/>
        </w:rPr>
        <w:footnoteRef/>
      </w:r>
      <w:r>
        <w:tab/>
        <w:t>EUVL C […], […], s. […].</w:t>
      </w:r>
    </w:p>
  </w:footnote>
  <w:footnote w:id="9">
    <w:p>
      <w:pPr>
        <w:pStyle w:val="FootnoteText"/>
      </w:pPr>
      <w:r>
        <w:rPr>
          <w:rStyle w:val="FootnoteReference"/>
        </w:rPr>
        <w:footnoteRef/>
      </w:r>
      <w:r>
        <w:tab/>
        <w:t>Euroopan parlamentin ja neuvoston asetus (EY) N:o 110/2008, annettu 15 päivänä tammikuuta 2008, tislattujen alkoholijuomien määritelmistä, kuvauksesta, esittelystä, merkinnöistä ja maantieteellisten merkintöjen suojaamisesta sekä neuvoston asetuksen (ETY) N:o 1576/89 kumoamisesta (EUVL L 39, 13.2.2008, s. 16).</w:t>
      </w:r>
    </w:p>
  </w:footnote>
  <w:footnote w:id="10">
    <w:p>
      <w:pPr>
        <w:pStyle w:val="FootnoteText"/>
      </w:pPr>
      <w:r>
        <w:rPr>
          <w:rStyle w:val="FootnoteReference"/>
        </w:rPr>
        <w:footnoteRef/>
      </w:r>
      <w:r>
        <w:tab/>
        <w:t>Euroopan parlamentin ja neuvoston asetus (EY) N:o 1334/2008, annettu 16 päivänä joulukuuta 2008, elintarvikkeissa käytettävistä aromeista ja tietyistä ainesosista, joilla on aromaattisia ominaisuuksia, sekä neuvoston asetuksen (ETY) N:o 1601/91, asetusten (EY) N:o 2232/96 ja (EY) N:o 110/2008 sekä direktiivin 2000/13/EY muuttamisesta (EUVL L 354, 31.12.2008, s. 34).</w:t>
      </w:r>
    </w:p>
  </w:footnote>
  <w:footnote w:id="11">
    <w:p>
      <w:pPr>
        <w:pStyle w:val="FootnoteText"/>
      </w:pPr>
      <w:r>
        <w:rPr>
          <w:rStyle w:val="FootnoteReference"/>
        </w:rPr>
        <w:footnoteRef/>
      </w:r>
      <w:r>
        <w:tab/>
        <w:t>Euroopan parlamentin ja neuvoston asetus (EU) N:o 1169/2011, annettu 25 päivänä lokakuuta 2011, elintarviketietojen antamisesta kuluttajille, Euroopan parlamentin ja neuvoston asetusten (EY) N:o 1924/2006 ja (EY) N:o 1925/2006 muuttamisesta sekä komission direktiivin 87/250/ETY, neuvoston direktiivin 90/496/ETY, komission direktiivin 1999/10/EY, Euroopan parlamentin ja neuvoston direktiivin 2000/13/EY, komission direktiivien 2002/67/EY ja 2008/5/EY sekä komission asetuksen (EY) N:o 608/2004 kumoamisesta (EUVL L 304, 22.11.2011, s. 18).</w:t>
      </w:r>
    </w:p>
  </w:footnote>
  <w:footnote w:id="12">
    <w:p>
      <w:pPr>
        <w:pStyle w:val="FootnoteText"/>
        <w:rPr>
          <w:rFonts w:cs="TimesNewRoman"/>
          <w:lang w:bidi="ks-Deva"/>
        </w:rPr>
      </w:pPr>
      <w:r>
        <w:rPr>
          <w:rStyle w:val="FootnoteReference"/>
        </w:rPr>
        <w:footnoteRef/>
      </w:r>
      <w:r>
        <w:tab/>
        <w:t>Neuvoston päätös 94/800/EY, tehty 22 päivänä joulukuuta 1994, Uruguayn kierroksen monenvälisissä kauppaneuvotteluissa (1986–1994) laadittujen sopimusten tekemisestä Euroopan yhteisön puolesta yhteisön toimivaltaan kuuluvissa asioissa (EYVL L 336, 23.12.1994, s. 1).</w:t>
      </w:r>
    </w:p>
  </w:footnote>
  <w:footnote w:id="13">
    <w:p>
      <w:pPr>
        <w:pStyle w:val="FootnoteText"/>
        <w:rPr>
          <w:rFonts w:cs="TimesNewRoman"/>
          <w:lang w:bidi="ks-Deva"/>
        </w:rPr>
      </w:pPr>
      <w:r>
        <w:rPr>
          <w:rStyle w:val="FootnoteReference"/>
        </w:rPr>
        <w:footnoteRef/>
      </w:r>
      <w:r>
        <w:tab/>
        <w:t>Euroopan parlamentin ja komission asetus (EU) N:o 1151/2012, annettu 21 päivänä marraskuuta 2012, maataloustuotteiden ja elintarvikkeiden laatujärjestelmistä (EUVL L 343, 14.12.2012, s. 1).</w:t>
      </w:r>
    </w:p>
  </w:footnote>
  <w:footnote w:id="14">
    <w:p>
      <w:pPr>
        <w:pStyle w:val="FootnoteText"/>
      </w:pPr>
      <w:r>
        <w:rPr>
          <w:rStyle w:val="FootnoteReference"/>
        </w:rPr>
        <w:footnoteRef/>
      </w:r>
      <w:r>
        <w:tab/>
        <w:t>Euroopan parlamentin, Euroopan unionin neuvoston ja Euroopan komission välillä 13 päivänä huhtikuuta 2016 tehty toimielinten sopimus paremmasta lainsäädännöstä (EUVL L 123, 12.5.2016, s. 1).</w:t>
      </w:r>
    </w:p>
  </w:footnote>
  <w:footnote w:id="15">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6">
    <w:p>
      <w:pPr>
        <w:pStyle w:val="FootnoteText"/>
      </w:pPr>
      <w:r>
        <w:rPr>
          <w:rStyle w:val="FootnoteReference"/>
        </w:rPr>
        <w:footnoteRef/>
      </w:r>
      <w:r>
        <w:tab/>
        <w:t xml:space="preserve">Euroopan parlamentin ja neuvoston asetus (EU) N:o 952/2013, annettu 9 päivänä lokakuuta 2013, unionin tullikoodeksista (EUVL L 269, 10.10.2013, s. 1). </w:t>
      </w:r>
    </w:p>
  </w:footnote>
  <w:footnote w:id="17">
    <w:p>
      <w:pPr>
        <w:pStyle w:val="FootnoteText"/>
      </w:pPr>
      <w:r>
        <w:rPr>
          <w:rStyle w:val="FootnoteReference"/>
        </w:rPr>
        <w:footnoteRef/>
      </w:r>
      <w:r>
        <w:tab/>
        <w:t xml:space="preserve">Euroopan parlamentin ja neuvoston direktiivi 2008/95/EY, annettu 22 päivänä lokakuuta 2008, jäsenvaltioiden tavaramerkkilainsäädännön lähentämisestä </w:t>
      </w:r>
      <w:r>
        <w:rPr>
          <w:rStyle w:val="Emphasis"/>
          <w:i w:val="0"/>
          <w:sz w:val="17"/>
        </w:rPr>
        <w:t>(EUVL L 299, 8.11.2008, s. 25)</w:t>
      </w:r>
      <w:r>
        <w:t>.</w:t>
      </w:r>
    </w:p>
  </w:footnote>
  <w:footnote w:id="18">
    <w:p>
      <w:pPr>
        <w:pStyle w:val="FootnoteText"/>
      </w:pPr>
      <w:r>
        <w:rPr>
          <w:rStyle w:val="FootnoteReference"/>
        </w:rPr>
        <w:footnoteRef/>
      </w:r>
      <w:r>
        <w:tab/>
        <w:t xml:space="preserve">Neuvoston asetus (EY) N:o 207/2009, annettu 26 päivänä helmikuuta 2009, yhteisön tavaramerkistä </w:t>
      </w:r>
      <w:r>
        <w:rPr>
          <w:rStyle w:val="Emphasis"/>
          <w:i w:val="0"/>
          <w:sz w:val="17"/>
        </w:rPr>
        <w:t>(EUVL L 78, 24.3.2009, s. 1)</w:t>
      </w:r>
      <w:r>
        <w:t>.</w:t>
      </w:r>
    </w:p>
  </w:footnote>
  <w:footnote w:id="19">
    <w:p>
      <w:pPr>
        <w:pStyle w:val="FootnoteText"/>
      </w:pPr>
      <w:r>
        <w:rPr>
          <w:rStyle w:val="FootnoteReference"/>
        </w:rPr>
        <w:footnoteRef/>
      </w:r>
      <w:r>
        <w:tab/>
        <w:t>Euroopan parlamentin ja neuvoston asetus (EY) N:o 882/2004, annettu 29 päivänä huhtikuuta 2004, rehu- ja elintarvikelainsäädännön sekä eläinten terveyttä ja hyvinvointia koskevien sääntöjen mukaisuuden varmistamiseksi suoritetusta virallisesta valvonnasta (EUVL L 165, 30.4.2004, s. 1).</w:t>
      </w:r>
    </w:p>
  </w:footnote>
  <w:footnote w:id="20">
    <w:p>
      <w:pPr>
        <w:pStyle w:val="FootnoteText"/>
      </w:pPr>
      <w:r>
        <w:rPr>
          <w:rStyle w:val="FootnoteReference"/>
        </w:rPr>
        <w:footnoteRef/>
      </w:r>
      <w:r>
        <w:tab/>
        <w:t>Neuvoston asetus (ETY) N:o 1576/89, annettu 29 päivänä toukokuuta 1989, tislattujen alkoholijuomien määritelmää, kuvausta ja esittelyä koskevista yleisistä säännöistä (EYVL L 160, 12.6.1989,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14"/>
    <w:lvlOverride w:ilvl="0">
      <w:startOverride w:val="1"/>
    </w:lvlOverride>
  </w:num>
  <w:num w:numId="13">
    <w:abstractNumId w:val="11"/>
  </w:num>
  <w:num w:numId="14">
    <w:abstractNumId w:val="13"/>
  </w:num>
  <w:num w:numId="15">
    <w:abstractNumId w:val="14"/>
  </w:num>
  <w:num w:numId="16">
    <w:abstractNumId w:val="21"/>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6: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866131640814220A1848870DD2E42B6"/>
    <w:docVar w:name="LW_CROSSREFERENCE" w:val="&lt;UNUSED&gt;"/>
    <w:docVar w:name="LW_DocType" w:val="COM"/>
    <w:docVar w:name="LW_EMISSION" w:val="1.12.2016"/>
    <w:docVar w:name="LW_EMISSION_ISODATE" w:val="2016-12-01"/>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Ehdotus"/>
    <w:docVar w:name="LW_SUPERTITRE" w:val="&lt;UNUSED&gt;"/>
    <w:docVar w:name="LW_TITRE.OBJ.CP" w:val="tislattujen alkoholijuomien määritelmistä, esittelystä ja merkinnöistä, tislattujen alkoholijuomien nimien käytöstä muiden elintarvikkeiden esittelyssä ja merkinnöissä sekä tislattujen alkoholijuomien maantieteellisten merkintöjen suojaamisesta"/>
    <w:docVar w:name="LW_TYPE.DOC.CP" w:val="EUROOPAN PARLAMENTIN JA NEUVOSTON ASETUS"/>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eastAsia="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fi-FI" w:eastAsia="fi-FI"/>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fi-FI" w:eastAsia="fi-FI"/>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fi-FI"/>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eastAsia="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fi-FI" w:eastAsia="fi-FI"/>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fi-FI" w:eastAsia="fi-FI"/>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fi-FI"/>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DC8A-20E8-40EF-95F0-A33A725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8430</Words>
  <Characters>69885</Characters>
  <Application>Microsoft Office Word</Application>
  <DocSecurity>0</DocSecurity>
  <Lines>1226</Lines>
  <Paragraphs>536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2016-09-29T09:41:00Z</cp:lastPrinted>
  <dcterms:created xsi:type="dcterms:W3CDTF">2016-11-29T12:01:00Z</dcterms:created>
  <dcterms:modified xsi:type="dcterms:W3CDTF">2016-12-01T10:46:00Z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