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20A0223401242D296EDA60E19B895DE" style="width:451.25pt;height:494.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noProof/>
        </w:rPr>
        <w:lastRenderedPageBreak/>
        <w:t>PRIEDAS</w:t>
      </w:r>
      <w:r>
        <w:rPr>
          <w:noProof/>
        </w:rPr>
        <w:br/>
      </w:r>
    </w:p>
    <w:p>
      <w:pPr>
        <w:pStyle w:val="NumPar1"/>
        <w:numPr>
          <w:ilvl w:val="0"/>
          <w:numId w:val="1"/>
        </w:numPr>
        <w:rPr>
          <w:noProof/>
        </w:rPr>
      </w:pPr>
      <w:r>
        <w:rPr>
          <w:noProof/>
        </w:rPr>
        <w:t>IV ir V priedai iš dalies keičiami taip:</w:t>
      </w:r>
    </w:p>
    <w:p>
      <w:pPr>
        <w:pStyle w:val="Point1"/>
        <w:rPr>
          <w:noProof/>
        </w:rPr>
      </w:pPr>
      <w:r>
        <w:rPr>
          <w:noProof/>
        </w:rPr>
        <w:t>a)</w:t>
      </w:r>
      <w:r>
        <w:rPr>
          <w:noProof/>
        </w:rPr>
        <w:tab/>
        <w:t>IV priedo 3 išnaša pakeičiama taip: „(3) Taikytina, jei sutaupytos energijos kiekis apskaičiuojamas kaip pirminė energija, taikant metodą „iš apačios į viršų“, pagrįstą galutiniu energijos suvartojimu. Sutaupytam elektros energijos kiekiui, išreikštam kWh, apskaičiuoti valstybės narės gali taikyti nustatytąjį koeficientą 2,0. Valstybės narės gali taikyti kitokį koeficientą, jei jos gali jį pagrįsti.“.</w:t>
      </w:r>
    </w:p>
    <w:p>
      <w:pPr>
        <w:pStyle w:val="Point1"/>
        <w:rPr>
          <w:noProof/>
        </w:rPr>
      </w:pPr>
      <w:r>
        <w:rPr>
          <w:noProof/>
        </w:rPr>
        <w:t>b)</w:t>
      </w:r>
      <w:r>
        <w:rPr>
          <w:noProof/>
        </w:rPr>
        <w:tab/>
        <w:t>V priedas pakeičiamas taip:</w:t>
      </w:r>
    </w:p>
    <w:p>
      <w:pPr>
        <w:pStyle w:val="Text1"/>
        <w:jc w:val="center"/>
        <w:rPr>
          <w:i/>
          <w:noProof/>
        </w:rPr>
      </w:pPr>
      <w:r>
        <w:rPr>
          <w:noProof/>
        </w:rPr>
        <w:t>„</w:t>
      </w:r>
      <w:r>
        <w:rPr>
          <w:i/>
          <w:noProof/>
        </w:rPr>
        <w:t>V priedas</w:t>
      </w:r>
    </w:p>
    <w:p>
      <w:pPr>
        <w:pStyle w:val="Text1"/>
        <w:ind w:left="960"/>
        <w:jc w:val="center"/>
        <w:rPr>
          <w:b/>
          <w:noProof/>
        </w:rPr>
      </w:pPr>
      <w:r>
        <w:rPr>
          <w:b/>
          <w:noProof/>
        </w:rPr>
        <w:t>7 straipsnio 1 ir 2 dalyse, 7a ir 7b straipsniuose ir 20 straipsnio 6 dalyje nurodytų energijos vartojimo efektyvumo įpareigojimų sistemų arba kitų politikos priemonių poveikio apskaičiavimo bendrieji metodai ir principai</w:t>
      </w:r>
    </w:p>
    <w:p>
      <w:pPr>
        <w:pStyle w:val="ManualNumPar1"/>
        <w:ind w:left="1440" w:hanging="480"/>
        <w:rPr>
          <w:noProof/>
        </w:rPr>
      </w:pPr>
      <w:r>
        <w:rPr>
          <w:noProof/>
        </w:rPr>
        <w:t xml:space="preserve">1. </w:t>
      </w:r>
      <w:r>
        <w:rPr>
          <w:noProof/>
        </w:rPr>
        <w:tab/>
        <w:t>Energijos, sutaupytos taikant kitas nei apmokestinimo priemones, kiekio apskaičiavimo taikant 7 straipsnio 1 ir 2 dalis, 7a ir 7b straipsnius ir 20 straipsnio 6 dalį metodai.</w:t>
      </w:r>
    </w:p>
    <w:p>
      <w:pPr>
        <w:pStyle w:val="Text2"/>
        <w:rPr>
          <w:noProof/>
        </w:rPr>
      </w:pPr>
      <w:r>
        <w:rPr>
          <w:noProof/>
        </w:rPr>
        <w:t>Įpareigotosios, dalyvaujančiosios ar įgaliotosios šalys arba įgyvendinančiosios valdžios institucijos, apskaičiuodamos sutaupytos energijos kiekį, gali taikyti vieną ar daugiau iš toliau nurodytų metodų:</w:t>
      </w:r>
    </w:p>
    <w:p>
      <w:pPr>
        <w:pStyle w:val="Point2"/>
        <w:rPr>
          <w:noProof/>
        </w:rPr>
      </w:pPr>
      <w:r>
        <w:rPr>
          <w:noProof/>
        </w:rPr>
        <w:t>a)</w:t>
      </w:r>
      <w:r>
        <w:rPr>
          <w:noProof/>
        </w:rPr>
        <w:tab/>
        <w:t xml:space="preserve">numanomai sutaupyto kiekio nustatymą, atsižvelgdamos į nepriklausomai stebėto ankstesnio energijos vartojimo efektyvumo padidinimo panašiuose įrenginiuose rezultatus. Bendrai šis metodas vadinamas </w:t>
      </w:r>
      <w:r>
        <w:rPr>
          <w:i/>
          <w:noProof/>
        </w:rPr>
        <w:t>ex ante</w:t>
      </w:r>
      <w:r>
        <w:rPr>
          <w:noProof/>
        </w:rPr>
        <w:t>;</w:t>
      </w:r>
    </w:p>
    <w:p>
      <w:pPr>
        <w:pStyle w:val="Point2"/>
        <w:rPr>
          <w:noProof/>
        </w:rPr>
      </w:pPr>
      <w:r>
        <w:rPr>
          <w:noProof/>
        </w:rPr>
        <w:t>b)</w:t>
      </w:r>
      <w:r>
        <w:rPr>
          <w:noProof/>
        </w:rPr>
        <w:tab/>
        <w:t xml:space="preserve">sutaupyto kiekio išmatavimą, pagal kurį dėl įdiegtos priemonės ar priemonių rinkinio sutaupytos energijos kiekis nustatomas užregistravus faktinį energijos suvartojimo sumažėjimą, tinkamai atsižvelgiant į tokius veiksnius kaip papildomumas, ploto naudojimas, gamybos lygiai ir klimatinės sąlygos, kurie gali turėti įtakos suvartojimui. Bendrai šis metodas vadinamas </w:t>
      </w:r>
      <w:r>
        <w:rPr>
          <w:i/>
          <w:noProof/>
        </w:rPr>
        <w:t>ex post</w:t>
      </w:r>
      <w:r>
        <w:rPr>
          <w:noProof/>
        </w:rPr>
        <w:t>;</w:t>
      </w:r>
    </w:p>
    <w:p>
      <w:pPr>
        <w:pStyle w:val="Point2"/>
        <w:rPr>
          <w:noProof/>
        </w:rPr>
      </w:pPr>
      <w:r>
        <w:rPr>
          <w:noProof/>
        </w:rPr>
        <w:t>c)</w:t>
      </w:r>
      <w:r>
        <w:rPr>
          <w:noProof/>
        </w:rPr>
        <w:tab/>
        <w:t>sutaupyto kiekio moduliavimą, pagal kurį naudojamos inžinerinės sutaupytos energijos sąmatos. Toks metodas gali būti taikomas tik tada, kai sunku arba neproporcingai brangu nustatyti patikimus konkretaus įrenginio matavimo duomenis, pvz., keičiant kompresorių ar elektros variklį, kuris suvartoja kitokį kWh kiekį nei tas, kurio sutaupyto kiekio duomenys buvo nepriklausomai nustatyti, arba kai, vadovaudamiesi nacionaliniu lygiu nustatytomis metodikomis ir kriterijais, tokias sąmatas sudaro kvalifikuoti arba akredituoti ekspertai, kurie yra nepriklausomi nuo įpareigotųjų, dalyvaujančiųjų ar įgaliotųjų šalių;</w:t>
      </w:r>
    </w:p>
    <w:p>
      <w:pPr>
        <w:pStyle w:val="Point2"/>
        <w:rPr>
          <w:noProof/>
        </w:rPr>
      </w:pPr>
      <w:r>
        <w:rPr>
          <w:noProof/>
        </w:rPr>
        <w:t>d)</w:t>
      </w:r>
      <w:r>
        <w:rPr>
          <w:noProof/>
        </w:rPr>
        <w:tab/>
        <w:t xml:space="preserve">sutaupyto kiekio įvertinimą apklausos būdu, pagal kurį nustatoma vartotojų reakcija į patarimus, informavimo kampanijas, ženklinimą, sertifikavimo sistemas ar pažangiųjų skaitiklių naudojimą. Šis metodas gali būti taikomas tik skaičiuojant energijos kiekį, sutaupytą dėl vartotojų </w:t>
      </w:r>
      <w:r>
        <w:rPr>
          <w:noProof/>
        </w:rPr>
        <w:lastRenderedPageBreak/>
        <w:t>elgesio pokyčių. Jo negalima taikyti skaičiuojant įdiegus fizines priemones sutaupytą kiekį.</w:t>
      </w:r>
    </w:p>
    <w:p>
      <w:pPr>
        <w:pStyle w:val="ManualNumPar1"/>
        <w:tabs>
          <w:tab w:val="left" w:pos="1440"/>
        </w:tabs>
        <w:ind w:left="1440" w:hanging="600"/>
        <w:rPr>
          <w:noProof/>
        </w:rPr>
      </w:pPr>
      <w:r>
        <w:rPr>
          <w:noProof/>
        </w:rPr>
        <w:t>2.</w:t>
      </w:r>
      <w:r>
        <w:rPr>
          <w:noProof/>
        </w:rPr>
        <w:tab/>
        <w:t>7 straipsnio 1 ir 2 dalies, 7a ir 7b straipsnių ir 20 straipsnio 6 dalies taikymo tikslais nustatant dėl energijos vartojimo efektyvumo didinimo priemonės sutaupytą energiją taikomi šie principai:</w:t>
      </w:r>
    </w:p>
    <w:p>
      <w:pPr>
        <w:pStyle w:val="Point2"/>
        <w:rPr>
          <w:noProof/>
        </w:rPr>
      </w:pPr>
      <w:r>
        <w:rPr>
          <w:noProof/>
        </w:rPr>
        <w:t>a)</w:t>
      </w:r>
      <w:r>
        <w:rPr>
          <w:noProof/>
        </w:rPr>
        <w:tab/>
        <w:t>turi būti įrodyta, kad sutaupytas energijos kiekis yra papildomas tam kiekiui, kuris būtų sutaupytas bet kokiu atveju, įpareigotajai, dalyvaujančiajai ar įgaliotajai šaliai ir (arba) įgyvendinančiajai valdžios institucijai nesiimant veiksmų. Kad galėtų nustatyti, koks sutaupytos energijos kiekis gali būti laikomas papildomu, valstybės narės turi nustatyti bazinį scenarijų, rodantį, kokia būtų energijos suvartojimo raida neįgyvendinus atitinkamos politikos priemonės. Bazinis scenarijus rengiamas atsižvelgiant bent į šiuos veiksnius: energijos vartojimo tendencijas, vartotojų elgesio pokyčius, technologijų pažangą ir kitų ES arba nacionaliniu lygmeniu įgyvendintų priemonių paskatintus pokyčius;</w:t>
      </w:r>
    </w:p>
    <w:p>
      <w:pPr>
        <w:pStyle w:val="Point2"/>
        <w:rPr>
          <w:noProof/>
        </w:rPr>
      </w:pPr>
      <w:r>
        <w:rPr>
          <w:noProof/>
        </w:rPr>
        <w:t>b)</w:t>
      </w:r>
      <w:r>
        <w:rPr>
          <w:noProof/>
        </w:rPr>
        <w:tab/>
        <w:t>dėl privalomų Sąjungos teisės aktų įgyvendinimo sutaupytas energijos kiekis laikomas kiekiu, kuris būtų sutaupytas bet kokiu atveju, įpareigotajai, dalyvaujančiajai ar įgaliotajai šaliai ir (arba) įgyvendinančiajai valdžios institucijai nesiimant veiksmų, todėl jis negali būti įskaičiuotas 7 straipsnio 1 dalies taikymo tikslu, išskyrus sutaupytą kiekį, susijusį su esamų pastatų renovacija, su sąlyga, kad užtikrintas 3 dalies h punkte nurodytas reikšmingumo lygis;</w:t>
      </w:r>
    </w:p>
    <w:p>
      <w:pPr>
        <w:pStyle w:val="Point2"/>
        <w:ind w:hanging="544"/>
        <w:rPr>
          <w:noProof/>
        </w:rPr>
      </w:pPr>
      <w:r>
        <w:rPr>
          <w:noProof/>
        </w:rPr>
        <w:t>c)</w:t>
      </w:r>
      <w:r>
        <w:rPr>
          <w:noProof/>
        </w:rPr>
        <w:tab/>
        <w:t>atsižvelgti galima tik į tokį sutaupytą kiekį, kuris viršija šiuos lygius:</w:t>
      </w:r>
    </w:p>
    <w:p>
      <w:pPr>
        <w:pStyle w:val="Point3"/>
        <w:rPr>
          <w:noProof/>
        </w:rPr>
      </w:pPr>
      <w:r>
        <w:rPr>
          <w:noProof/>
        </w:rPr>
        <w:t>i)</w:t>
      </w:r>
      <w:r>
        <w:rPr>
          <w:noProof/>
        </w:rPr>
        <w:tab/>
        <w:t>Sąjungos naujų keleivinių automobilių ir naujų lengvųjų komercinių transporto priemonių išmetamų teršalų normas, įgyvendinus Europos Parlamento ir Tarybos reglamentą (EB) Nr. 443/2009</w:t>
      </w:r>
      <w:r>
        <w:rPr>
          <w:rStyle w:val="FootnoteReference"/>
          <w:noProof/>
        </w:rPr>
        <w:footnoteReference w:id="2"/>
      </w:r>
      <w:r>
        <w:rPr>
          <w:noProof/>
        </w:rPr>
        <w:t xml:space="preserve"> ir Europos Parlamento ir Tarybos reglamentą (ES) Nr. 510/2011</w:t>
      </w:r>
      <w:r>
        <w:rPr>
          <w:rStyle w:val="FootnoteReference"/>
          <w:noProof/>
        </w:rPr>
        <w:footnoteReference w:id="3"/>
      </w:r>
      <w:r>
        <w:rPr>
          <w:noProof/>
        </w:rPr>
        <w:t>;</w:t>
      </w:r>
    </w:p>
    <w:p>
      <w:pPr>
        <w:pStyle w:val="Point3"/>
        <w:rPr>
          <w:noProof/>
        </w:rPr>
      </w:pPr>
      <w:r>
        <w:rPr>
          <w:noProof/>
        </w:rPr>
        <w:t>ii)</w:t>
      </w:r>
      <w:r>
        <w:rPr>
          <w:noProof/>
        </w:rPr>
        <w:tab/>
        <w:t xml:space="preserve">Sąjungos reikalavimus, susijusius su tam tikrų su energija susijusių gaminių pašalinimu iš rinkos, įgyvendinus įgyvendinimo priemones pagal Direktyvą 2009/125/EB. </w:t>
      </w:r>
    </w:p>
    <w:p>
      <w:pPr>
        <w:pStyle w:val="Point2"/>
        <w:rPr>
          <w:noProof/>
        </w:rPr>
      </w:pPr>
      <w:r>
        <w:rPr>
          <w:noProof/>
        </w:rPr>
        <w:t>d)</w:t>
      </w:r>
      <w:r>
        <w:rPr>
          <w:noProof/>
        </w:rPr>
        <w:tab/>
        <w:t xml:space="preserve">leidžiama vykdyti politiką, kuria skatinamas didesnis produktų, įrangos, pastatų ir statybos elementų energijos vartojimo efektyvumas; </w:t>
      </w:r>
    </w:p>
    <w:p>
      <w:pPr>
        <w:pStyle w:val="Point2"/>
        <w:rPr>
          <w:noProof/>
        </w:rPr>
      </w:pPr>
      <w:r>
        <w:rPr>
          <w:noProof/>
        </w:rPr>
        <w:t>e)</w:t>
      </w:r>
      <w:r>
        <w:rPr>
          <w:noProof/>
        </w:rPr>
        <w:tab/>
        <w:t xml:space="preserve">galima užskaityti visą politikos, kuria skatinama sparčiau diegti taupiau energiją naudojančius produktus ir transporto priemones, poveikį, jei įrodoma, kad jie įdiegiami anksčiau, nei baigiasi vidutinė tikėtina produkto ar transporto priemonės gyvavimo trukmė arba anksčiau nei </w:t>
      </w:r>
      <w:r>
        <w:rPr>
          <w:noProof/>
        </w:rPr>
        <w:lastRenderedPageBreak/>
        <w:t>produktas arba transporto priemonė būtų įprastai pakeisti, ir sutaupytas kiekis skaičiuojamas tik už laikotarpį iki vidutinės tikėtinos keičiamo produkto arba transporto priemonės gyvavimo trukmės pabaigos;</w:t>
      </w:r>
    </w:p>
    <w:p>
      <w:pPr>
        <w:pStyle w:val="Point2"/>
        <w:rPr>
          <w:noProof/>
        </w:rPr>
      </w:pPr>
      <w:r>
        <w:rPr>
          <w:noProof/>
        </w:rPr>
        <w:t>f)</w:t>
      </w:r>
      <w:r>
        <w:rPr>
          <w:noProof/>
        </w:rPr>
        <w:tab/>
        <w:t>skatindamos diegti energijos vartojimo efektyvumo didinimo priemones, valstybės narės turi užtikrinti, kad būtų išlaikyti produktų, paslaugų ar priemonių diegimo kokybės standartai, o jei tų standartų nėra – juos nustatyti;</w:t>
      </w:r>
    </w:p>
    <w:p>
      <w:pPr>
        <w:pStyle w:val="Point2"/>
        <w:rPr>
          <w:noProof/>
        </w:rPr>
      </w:pPr>
      <w:r>
        <w:rPr>
          <w:noProof/>
        </w:rPr>
        <w:t>g)</w:t>
      </w:r>
      <w:r>
        <w:rPr>
          <w:noProof/>
        </w:rPr>
        <w:tab/>
        <w:t>kad būtų atsižvelgta į skirtingą klimatą regionuose, valstybės narės gali nuspręsti sutaupomą kiekį pakoreguoti pagal standartinę vertę arba skirtingą sutaupomos energijos kiekį derinti su regionams būdingais oro temperatūros skirtumais;</w:t>
      </w:r>
    </w:p>
    <w:p>
      <w:pPr>
        <w:pStyle w:val="Point2"/>
        <w:rPr>
          <w:noProof/>
        </w:rPr>
      </w:pPr>
      <w:r>
        <w:rPr>
          <w:noProof/>
        </w:rPr>
        <w:t>h)</w:t>
      </w:r>
      <w:r>
        <w:rPr>
          <w:noProof/>
        </w:rPr>
        <w:tab/>
        <w:t>apskaičiuojant sutaupytos energijos kiekį atsižvelgiama į priemonių gyvavimo trukmę. Tai gali būti daroma apskaičiuojant kiekį, kuris bus sutaupomas kiekvienu atskiru veiksmu nuo jo įgyvendinimo dienos iki atitinkamai 2020 m. gruodžio 31 d. arba 2030 m. gruodžio 31 d. Kitu atveju valstybės narės gali taikyti kitą metodą, kuriuo, remiantis skaičiavimais, gaunamas bent toks pat bendras kiekis. Naudodamos kitus metodus valstybės narės užtikrina, kad bendras sutaupytos energijos kiekis, apskaičiuotas taikant šiuos kitus metodus, neviršytų sutaupytos energijos kiekio, kuris būtų gautas joms apskaičiavus kiekvienu atskiru veiksmu sutaupytos energijos kiekį nuo šio veiksmo įgyvendinimo dienos iki atitinkamai 2020 m. gruodžio 31 d. arba 2030 m. gruodžio 31 d. Savo integruotuose nacionaliniuose energetikos ir klimato srities veiksmų planuose, rengiamuose pagal energetikos sąjungos valdymo teisės aktus, valstybės narės išsamiai apibūdina šiuos kitus naudotus metodus ir tai, kaip jos užtikrino, kad būtų laikomasi šio privalomo apskaičiavimo reikalavimo.</w:t>
      </w:r>
    </w:p>
    <w:p>
      <w:pPr>
        <w:pStyle w:val="ManualNumPar1"/>
        <w:ind w:left="1440" w:hanging="600"/>
        <w:rPr>
          <w:noProof/>
        </w:rPr>
      </w:pPr>
      <w:r>
        <w:rPr>
          <w:noProof/>
        </w:rPr>
        <w:t>3.</w:t>
      </w:r>
      <w:r>
        <w:rPr>
          <w:noProof/>
        </w:rPr>
        <w:tab/>
        <w:t>Valstybės narės užtikrina, kad būtų laikomasi šių reikalavimų, taikomų politikos priemonėms, kurių imamasi pagal 7b straipsnį ir 20 straipsnio 6 dalį:</w:t>
      </w:r>
    </w:p>
    <w:p>
      <w:pPr>
        <w:pStyle w:val="Point2"/>
        <w:rPr>
          <w:noProof/>
        </w:rPr>
      </w:pPr>
      <w:r>
        <w:rPr>
          <w:noProof/>
        </w:rPr>
        <w:t>a)</w:t>
      </w:r>
      <w:r>
        <w:rPr>
          <w:noProof/>
        </w:rPr>
        <w:tab/>
        <w:t>dėl politikos priemonių ar atskirų veiksmų sutaupytą galutinės energijos kiekį turi būti galima patikrinti;</w:t>
      </w:r>
    </w:p>
    <w:p>
      <w:pPr>
        <w:pStyle w:val="Point2"/>
        <w:rPr>
          <w:noProof/>
        </w:rPr>
      </w:pPr>
      <w:r>
        <w:rPr>
          <w:noProof/>
        </w:rPr>
        <w:t>b)</w:t>
      </w:r>
      <w:r>
        <w:rPr>
          <w:noProof/>
        </w:rPr>
        <w:tab/>
        <w:t>aiškiai apibrėžiama kiekvienos dalyvaujančiosios šalies, įgaliotosios šalies ar įgyvendinančiosios valdžios institucijos atitinkama atsakomybė;</w:t>
      </w:r>
    </w:p>
    <w:p>
      <w:pPr>
        <w:pStyle w:val="Point2"/>
        <w:rPr>
          <w:noProof/>
        </w:rPr>
      </w:pPr>
      <w:r>
        <w:rPr>
          <w:noProof/>
        </w:rPr>
        <w:t>c)</w:t>
      </w:r>
      <w:r>
        <w:rPr>
          <w:noProof/>
        </w:rPr>
        <w:tab/>
        <w:t>energijos kiekis, kuris yra arba bus sutaupytas, nustatomas skaidriu būdu;</w:t>
      </w:r>
    </w:p>
    <w:p>
      <w:pPr>
        <w:pStyle w:val="Point2"/>
        <w:rPr>
          <w:noProof/>
        </w:rPr>
      </w:pPr>
      <w:r>
        <w:rPr>
          <w:noProof/>
        </w:rPr>
        <w:t>d)</w:t>
      </w:r>
      <w:r>
        <w:rPr>
          <w:noProof/>
        </w:rPr>
        <w:tab/>
        <w:t>energijos kiekis, kuris turi būti arba bus sutaupytas taikant politikos priemonę, išreiškiamas suvartotos galutinės arba pirminės energijos kiekiu, naudojant IV priede nustatytus perskaičiavimo koeficientus;</w:t>
      </w:r>
    </w:p>
    <w:p>
      <w:pPr>
        <w:pStyle w:val="Point2"/>
        <w:rPr>
          <w:noProof/>
        </w:rPr>
      </w:pPr>
      <w:r>
        <w:rPr>
          <w:noProof/>
        </w:rPr>
        <w:t>e)</w:t>
      </w:r>
      <w:r>
        <w:rPr>
          <w:noProof/>
        </w:rPr>
        <w:tab/>
        <w:t>parengiama ir viešai skelbiama metinė ataskaita apie energijos kiekį, kurį sutaupė įgaliotoji šalis, dalyvaujančioji šalis ir įgyvendinančiosios institucijos, ir metinių energijos taupymo tendencijų duomenys;</w:t>
      </w:r>
    </w:p>
    <w:p>
      <w:pPr>
        <w:pStyle w:val="Point2"/>
        <w:rPr>
          <w:noProof/>
        </w:rPr>
      </w:pPr>
      <w:r>
        <w:rPr>
          <w:noProof/>
        </w:rPr>
        <w:t>f)</w:t>
      </w:r>
      <w:r>
        <w:rPr>
          <w:noProof/>
        </w:rPr>
        <w:tab/>
        <w:t>rezultatai stebimi ir imamasi atitinkamų priemonių, jei daroma pažanga yra nepakankama;</w:t>
      </w:r>
    </w:p>
    <w:p>
      <w:pPr>
        <w:pStyle w:val="Point2"/>
        <w:rPr>
          <w:noProof/>
        </w:rPr>
      </w:pPr>
      <w:r>
        <w:rPr>
          <w:noProof/>
        </w:rPr>
        <w:t>g)</w:t>
      </w:r>
      <w:r>
        <w:rPr>
          <w:noProof/>
        </w:rPr>
        <w:tab/>
        <w:t>dėl atskiro veiksmo sutaupytos energijos kiekį gali nurodyti ne daugiau kaip viena šalis;</w:t>
      </w:r>
    </w:p>
    <w:p>
      <w:pPr>
        <w:pStyle w:val="Point2"/>
        <w:rPr>
          <w:noProof/>
        </w:rPr>
      </w:pPr>
      <w:r>
        <w:rPr>
          <w:noProof/>
        </w:rPr>
        <w:lastRenderedPageBreak/>
        <w:t>h)</w:t>
      </w:r>
      <w:r>
        <w:rPr>
          <w:noProof/>
        </w:rPr>
        <w:tab/>
        <w:t>įrodoma, kad nurodytas energijos kiekis yra sutaupytas dėl dalyvaujančiosios šalies, įgaliotosios šalies ar įgyvendinančiosios valdžios institucijos veiksmų.</w:t>
      </w:r>
    </w:p>
    <w:p>
      <w:pPr>
        <w:pStyle w:val="Text2"/>
        <w:rPr>
          <w:noProof/>
        </w:rPr>
      </w:pPr>
      <w:r>
        <w:rPr>
          <w:noProof/>
        </w:rPr>
        <w:t>Politikos priemonių, kurių imamasi pagal 7 straipsnio 2 dalies e punktą, poveikiui apskaičiuoti valstybės narės gali naudotis pagal Direktyvą 2010/31/ES nustatyta metodika, jei tai atitinka šios direktyvos 7 straipsnio ir šio priedo reikalavimus.</w:t>
      </w:r>
    </w:p>
    <w:p>
      <w:pPr>
        <w:pStyle w:val="ManualNumPar1"/>
        <w:ind w:left="1440" w:hanging="610"/>
        <w:rPr>
          <w:noProof/>
        </w:rPr>
      </w:pPr>
      <w:r>
        <w:rPr>
          <w:noProof/>
        </w:rPr>
        <w:t>4.</w:t>
      </w:r>
      <w:r>
        <w:rPr>
          <w:noProof/>
        </w:rPr>
        <w:tab/>
        <w:t>Nustatant energijos kiekį, sutaupytą taikant apmokestinimo politikos priemones pagal 7b straipsnį, taikomi šie principai:</w:t>
      </w:r>
    </w:p>
    <w:p>
      <w:pPr>
        <w:pStyle w:val="Point2"/>
        <w:rPr>
          <w:noProof/>
        </w:rPr>
      </w:pPr>
      <w:r>
        <w:rPr>
          <w:noProof/>
        </w:rPr>
        <w:t>a)</w:t>
      </w:r>
      <w:r>
        <w:rPr>
          <w:noProof/>
        </w:rPr>
        <w:tab/>
        <w:t>dėl apmokestinimo priemonių taikymo sutaupytas energijos kiekis užskaitomas tik jei tos priemonės viršija minimalius kurui taikomo apmokestinimo lygius, nustatytus Tarybos direktyvoje 2003/96/EB</w:t>
      </w:r>
      <w:r>
        <w:rPr>
          <w:rStyle w:val="FootnoteReference"/>
          <w:noProof/>
        </w:rPr>
        <w:footnoteReference w:id="4"/>
      </w:r>
      <w:r>
        <w:rPr>
          <w:noProof/>
        </w:rPr>
        <w:t xml:space="preserve"> arba Tarybos direktyvoje 2006/112/EB</w:t>
      </w:r>
      <w:r>
        <w:rPr>
          <w:rStyle w:val="FootnoteReference"/>
          <w:noProof/>
        </w:rPr>
        <w:footnoteReference w:id="5"/>
      </w:r>
      <w:r>
        <w:rPr>
          <w:noProof/>
        </w:rPr>
        <w:t xml:space="preserve">; </w:t>
      </w:r>
    </w:p>
    <w:p>
      <w:pPr>
        <w:pStyle w:val="Point2"/>
        <w:rPr>
          <w:noProof/>
        </w:rPr>
      </w:pPr>
      <w:r>
        <w:rPr>
          <w:noProof/>
        </w:rPr>
        <w:t>b)</w:t>
      </w:r>
      <w:r>
        <w:rPr>
          <w:noProof/>
        </w:rPr>
        <w:tab/>
        <w:t>skaičiuojant (energijos produktų) apmokestinimo priemonių poveikį, kainų elastingumas turi atitikti energijos paklausos reakciją į kainų pokyčius, ir turi būti nustatomas remiantis naujais ir reprezentatyviais oficialių šaltinių duomenimis;</w:t>
      </w:r>
    </w:p>
    <w:p>
      <w:pPr>
        <w:pStyle w:val="Point2"/>
        <w:rPr>
          <w:noProof/>
        </w:rPr>
      </w:pPr>
      <w:r>
        <w:rPr>
          <w:noProof/>
        </w:rPr>
        <w:t>c)</w:t>
      </w:r>
      <w:r>
        <w:rPr>
          <w:noProof/>
        </w:rPr>
        <w:tab/>
        <w:t>energijos kiekis, sutaupytas taikant papildomas mokesčių politikos priemones, įskaitant fiskalines paskatas ar mokėjimą fondui, skaičiuojamas atskirai.</w:t>
      </w:r>
    </w:p>
    <w:p>
      <w:pPr>
        <w:pStyle w:val="ManualNumPar1"/>
        <w:ind w:left="1440" w:hanging="490"/>
        <w:rPr>
          <w:noProof/>
        </w:rPr>
      </w:pPr>
      <w:r>
        <w:rPr>
          <w:noProof/>
        </w:rPr>
        <w:t>5.</w:t>
      </w:r>
      <w:r>
        <w:rPr>
          <w:noProof/>
        </w:rPr>
        <w:tab/>
        <w:t>Pranešimas apie metodiką</w:t>
      </w:r>
    </w:p>
    <w:p>
      <w:pPr>
        <w:pStyle w:val="Text2"/>
        <w:rPr>
          <w:noProof/>
        </w:rPr>
      </w:pPr>
      <w:r>
        <w:rPr>
          <w:noProof/>
        </w:rPr>
        <w:t>Valstybės narės pagal reglamentą dėl energetikos sąjungos valdymo, kurio pasiūlymas bus pateiktas ateityje, praneša Komisijai apie išsamią metodiką, kurią jos norėtų naudoti įgyvendindamos energijos vartojimo efektyvumo įpareigojimų sistemas ir 7a bei 7b straipsniuose ir 20 straipsnio 6 dalyje nurodytas alternatyvias priemones. Išskyrus mokesčių atveju, tokiame pranešime pateikiama informacija apie:</w:t>
      </w:r>
    </w:p>
    <w:p>
      <w:pPr>
        <w:pStyle w:val="Point2"/>
        <w:rPr>
          <w:noProof/>
        </w:rPr>
      </w:pPr>
      <w:r>
        <w:rPr>
          <w:noProof/>
        </w:rPr>
        <w:t>a)</w:t>
      </w:r>
      <w:r>
        <w:rPr>
          <w:noProof/>
        </w:rPr>
        <w:tab/>
        <w:t>tai, kiek energijos reikalaujama sutaupyti arba tikimasi, kad bus sutaupyta per visą laikotarpį nuo 2021 m. sausio 1 d. iki 2030 m. gruodžio 31 d.;</w:t>
      </w:r>
    </w:p>
    <w:p>
      <w:pPr>
        <w:pStyle w:val="Point2"/>
        <w:rPr>
          <w:noProof/>
        </w:rPr>
      </w:pPr>
      <w:r>
        <w:rPr>
          <w:noProof/>
        </w:rPr>
        <w:t>b)</w:t>
      </w:r>
      <w:r>
        <w:rPr>
          <w:noProof/>
        </w:rPr>
        <w:tab/>
        <w:t>įpareigotąsias, dalyvaujančiąsias ar įgaliotąsias šalis arba įgyvendinančiąsias valdžios institucijas;</w:t>
      </w:r>
    </w:p>
    <w:p>
      <w:pPr>
        <w:pStyle w:val="Point2"/>
        <w:rPr>
          <w:noProof/>
        </w:rPr>
      </w:pPr>
      <w:r>
        <w:rPr>
          <w:noProof/>
        </w:rPr>
        <w:t>c)</w:t>
      </w:r>
      <w:r>
        <w:rPr>
          <w:noProof/>
        </w:rPr>
        <w:tab/>
        <w:t>tikslinius sektorius;</w:t>
      </w:r>
    </w:p>
    <w:p>
      <w:pPr>
        <w:pStyle w:val="Point2"/>
        <w:rPr>
          <w:noProof/>
        </w:rPr>
      </w:pPr>
      <w:r>
        <w:rPr>
          <w:noProof/>
        </w:rPr>
        <w:t>d)</w:t>
      </w:r>
      <w:r>
        <w:rPr>
          <w:noProof/>
        </w:rPr>
        <w:tab/>
        <w:t>politikos priemones ir atskirus veiksmus, numatytus pagal politikos priemonę, įskaitant numatomą bendrą suminį taikant kiekvieną priemonę sutaupysimos energijos kiekį;</w:t>
      </w:r>
    </w:p>
    <w:p>
      <w:pPr>
        <w:pStyle w:val="Point2"/>
        <w:rPr>
          <w:noProof/>
        </w:rPr>
      </w:pPr>
      <w:r>
        <w:rPr>
          <w:noProof/>
        </w:rPr>
        <w:t>e)</w:t>
      </w:r>
      <w:r>
        <w:rPr>
          <w:noProof/>
        </w:rPr>
        <w:tab/>
        <w:t>energijos vartojimo efektyvumo įpareigojimų sistemoje numatytą įpareigojimo laikotarpio trukmę;</w:t>
      </w:r>
    </w:p>
    <w:p>
      <w:pPr>
        <w:pStyle w:val="Point2"/>
        <w:rPr>
          <w:noProof/>
        </w:rPr>
      </w:pPr>
      <w:r>
        <w:rPr>
          <w:noProof/>
        </w:rPr>
        <w:lastRenderedPageBreak/>
        <w:t>f)</w:t>
      </w:r>
      <w:r>
        <w:rPr>
          <w:noProof/>
        </w:rPr>
        <w:tab/>
        <w:t>veiksmus, numatytus pagal politikos priemonę;</w:t>
      </w:r>
    </w:p>
    <w:p>
      <w:pPr>
        <w:pStyle w:val="Point2"/>
        <w:rPr>
          <w:noProof/>
        </w:rPr>
      </w:pPr>
      <w:r>
        <w:rPr>
          <w:noProof/>
        </w:rPr>
        <w:t>g)</w:t>
      </w:r>
      <w:r>
        <w:rPr>
          <w:noProof/>
        </w:rPr>
        <w:tab/>
        <w:t>skaičiavimo metodiką, įskaitant tai, kaip buvo nustatytas papildomumas ir priežastinis ryšys, ir kurios metodikos ir kriterijai naudojami numanomam ir moduliuotam energijos kiekiui nustatyti;</w:t>
      </w:r>
    </w:p>
    <w:p>
      <w:pPr>
        <w:pStyle w:val="Point2"/>
        <w:rPr>
          <w:noProof/>
        </w:rPr>
      </w:pPr>
      <w:r>
        <w:rPr>
          <w:noProof/>
        </w:rPr>
        <w:t>h)</w:t>
      </w:r>
      <w:r>
        <w:rPr>
          <w:noProof/>
        </w:rPr>
        <w:tab/>
        <w:t>priemonių trukmę ir tai, kaip ji apskaičiuojama, arba kuo ji pagrįsta;</w:t>
      </w:r>
    </w:p>
    <w:p>
      <w:pPr>
        <w:pStyle w:val="Point2"/>
        <w:rPr>
          <w:noProof/>
        </w:rPr>
      </w:pPr>
      <w:r>
        <w:rPr>
          <w:noProof/>
        </w:rPr>
        <w:t>i)</w:t>
      </w:r>
      <w:r>
        <w:rPr>
          <w:noProof/>
        </w:rPr>
        <w:tab/>
        <w:t>tai, pagal kokį metodą atsižvelgiama į klimato sąlygų skirtumus valstybėje narėje;</w:t>
      </w:r>
    </w:p>
    <w:p>
      <w:pPr>
        <w:pStyle w:val="Point2"/>
        <w:rPr>
          <w:noProof/>
        </w:rPr>
      </w:pPr>
      <w:r>
        <w:rPr>
          <w:noProof/>
        </w:rPr>
        <w:t>j)</w:t>
      </w:r>
      <w:r>
        <w:rPr>
          <w:noProof/>
        </w:rPr>
        <w:tab/>
        <w:t>pagal 7a ir 7b straipsnius priimtų priemonių stebėsenos ir tikrinimo sistemas ir apie tai, kaip užtikrinamas šių sistemų nepriklausomumas nuo įpareigotųjų, dalyvaujančiųjų ar įgaliotųjų šalių;</w:t>
      </w:r>
    </w:p>
    <w:p>
      <w:pPr>
        <w:pStyle w:val="Point2"/>
        <w:rPr>
          <w:noProof/>
        </w:rPr>
      </w:pPr>
      <w:r>
        <w:rPr>
          <w:noProof/>
        </w:rPr>
        <w:t>k)</w:t>
      </w:r>
      <w:r>
        <w:rPr>
          <w:noProof/>
        </w:rPr>
        <w:tab/>
        <w:t>Mokesčių atveju pranešime pateikiama informacija apie:</w:t>
      </w:r>
    </w:p>
    <w:p>
      <w:pPr>
        <w:pStyle w:val="Point3"/>
        <w:rPr>
          <w:noProof/>
        </w:rPr>
      </w:pPr>
      <w:r>
        <w:rPr>
          <w:noProof/>
        </w:rPr>
        <w:t>i)</w:t>
      </w:r>
      <w:r>
        <w:rPr>
          <w:noProof/>
        </w:rPr>
        <w:tab/>
        <w:t>tikslinius sektorius ir mokesčių mokėtojų segmentą;</w:t>
      </w:r>
    </w:p>
    <w:p>
      <w:pPr>
        <w:pStyle w:val="Point3"/>
        <w:rPr>
          <w:noProof/>
        </w:rPr>
      </w:pPr>
      <w:r>
        <w:rPr>
          <w:noProof/>
        </w:rPr>
        <w:t>ii)</w:t>
      </w:r>
      <w:r>
        <w:rPr>
          <w:noProof/>
        </w:rPr>
        <w:tab/>
        <w:t>įgyvendinančiąją valdžios instituciją;</w:t>
      </w:r>
    </w:p>
    <w:p>
      <w:pPr>
        <w:pStyle w:val="Point3"/>
        <w:rPr>
          <w:noProof/>
        </w:rPr>
      </w:pPr>
      <w:r>
        <w:rPr>
          <w:noProof/>
        </w:rPr>
        <w:t>iii)</w:t>
      </w:r>
      <w:r>
        <w:rPr>
          <w:noProof/>
        </w:rPr>
        <w:tab/>
        <w:t>numatomą sutaupyti energijos kiekį;</w:t>
      </w:r>
    </w:p>
    <w:p>
      <w:pPr>
        <w:pStyle w:val="Point3"/>
        <w:rPr>
          <w:noProof/>
        </w:rPr>
      </w:pPr>
      <w:r>
        <w:rPr>
          <w:noProof/>
        </w:rPr>
        <w:t>iv)</w:t>
      </w:r>
      <w:r>
        <w:rPr>
          <w:noProof/>
        </w:rPr>
        <w:tab/>
        <w:t>apmokestinimo priemonės trukmę; ir</w:t>
      </w:r>
    </w:p>
    <w:p>
      <w:pPr>
        <w:pStyle w:val="Point3"/>
        <w:rPr>
          <w:noProof/>
        </w:rPr>
      </w:pPr>
      <w:r>
        <w:rPr>
          <w:noProof/>
        </w:rPr>
        <w:t>v)</w:t>
      </w:r>
      <w:r>
        <w:rPr>
          <w:noProof/>
        </w:rPr>
        <w:tab/>
        <w:t>skaičiavimo metodiką, įskaitant tai, kokios rūšies kainų elastingumas naudojamas ir kaip jis buvo nustatytas.“;</w:t>
      </w:r>
    </w:p>
    <w:p>
      <w:pPr>
        <w:pStyle w:val="ManualNumPar1"/>
        <w:rPr>
          <w:noProof/>
        </w:rPr>
      </w:pPr>
      <w:r>
        <w:rPr>
          <w:noProof/>
        </w:rPr>
        <w:t>2.</w:t>
      </w:r>
      <w:r>
        <w:rPr>
          <w:noProof/>
        </w:rPr>
        <w:tab/>
        <w:t>VII priedas iš dalies keičiamas taip:</w:t>
      </w:r>
    </w:p>
    <w:p>
      <w:pPr>
        <w:pStyle w:val="Point1"/>
        <w:rPr>
          <w:noProof/>
        </w:rPr>
      </w:pPr>
      <w:r>
        <w:rPr>
          <w:noProof/>
        </w:rPr>
        <w:t>a)</w:t>
      </w:r>
      <w:r>
        <w:rPr>
          <w:noProof/>
        </w:rPr>
        <w:tab/>
        <w:t>Antraštė pakeičiama taip:</w:t>
      </w:r>
    </w:p>
    <w:p>
      <w:pPr>
        <w:pStyle w:val="Point1"/>
        <w:ind w:left="960" w:hanging="110"/>
        <w:rPr>
          <w:noProof/>
        </w:rPr>
      </w:pPr>
      <w:r>
        <w:rPr>
          <w:noProof/>
        </w:rPr>
        <w:t>„Faktiniu dujų suvartojimu grindžiamų sąskaitų išrašymo ir informacijos pateikimo sąskaitose būtiniausi reikalavimai“;</w:t>
      </w:r>
    </w:p>
    <w:p>
      <w:pPr>
        <w:pStyle w:val="Point1"/>
        <w:rPr>
          <w:noProof/>
        </w:rPr>
      </w:pPr>
      <w:r>
        <w:rPr>
          <w:noProof/>
        </w:rPr>
        <w:t>b)</w:t>
      </w:r>
      <w:r>
        <w:rPr>
          <w:noProof/>
        </w:rPr>
        <w:tab/>
        <w:t>įterpiamas šis VIIa priedas:</w:t>
      </w:r>
    </w:p>
    <w:p>
      <w:pPr>
        <w:pStyle w:val="Text1"/>
        <w:jc w:val="center"/>
        <w:rPr>
          <w:i/>
          <w:noProof/>
        </w:rPr>
      </w:pPr>
      <w:r>
        <w:rPr>
          <w:noProof/>
        </w:rPr>
        <w:t>„</w:t>
      </w:r>
      <w:r>
        <w:rPr>
          <w:i/>
          <w:noProof/>
        </w:rPr>
        <w:t>VIIa priedas</w:t>
      </w:r>
    </w:p>
    <w:p>
      <w:pPr>
        <w:pStyle w:val="Text1"/>
        <w:jc w:val="center"/>
        <w:rPr>
          <w:b/>
          <w:noProof/>
        </w:rPr>
      </w:pPr>
      <w:r>
        <w:rPr>
          <w:b/>
          <w:noProof/>
        </w:rPr>
        <w:t>„Faktiniu šilumos, vėsumos ir karšto vandens suvartojimu grindžiamų sąskaitų išrašymo ir suvartojimo informacijos pateikimo būtiniausi reikalavimai“</w:t>
      </w:r>
    </w:p>
    <w:p>
      <w:pPr>
        <w:pStyle w:val="ManualNumPar1"/>
        <w:ind w:left="1440" w:hanging="610"/>
        <w:rPr>
          <w:noProof/>
        </w:rPr>
      </w:pPr>
      <w:r>
        <w:rPr>
          <w:noProof/>
        </w:rPr>
        <w:t>1.</w:t>
      </w:r>
      <w:r>
        <w:rPr>
          <w:noProof/>
        </w:rPr>
        <w:tab/>
        <w:t>Faktiniu suvartojimu grindžiamas sąskaitų išrašymas</w:t>
      </w:r>
    </w:p>
    <w:p>
      <w:pPr>
        <w:pStyle w:val="Text2"/>
        <w:rPr>
          <w:noProof/>
        </w:rPr>
      </w:pPr>
      <w:r>
        <w:rPr>
          <w:noProof/>
        </w:rPr>
        <w:t>Tam, kad vartotojai galėtų reguliuoti savo energijos vartojimą, sąskaitos turėtų būti grindžiamos faktiniu suvartojimu ir išrašomos ne rečiau nei kartą per metus.</w:t>
      </w:r>
    </w:p>
    <w:p>
      <w:pPr>
        <w:pStyle w:val="ManualNumPar1"/>
        <w:ind w:left="1440" w:hanging="610"/>
        <w:rPr>
          <w:noProof/>
        </w:rPr>
      </w:pPr>
      <w:r>
        <w:rPr>
          <w:noProof/>
        </w:rPr>
        <w:t>2.</w:t>
      </w:r>
      <w:r>
        <w:rPr>
          <w:noProof/>
        </w:rPr>
        <w:tab/>
        <w:t>Minimalus sąskaitų išrašymo arba suvartojimo informacijos pateikimo dažnumas</w:t>
      </w:r>
    </w:p>
    <w:p>
      <w:pPr>
        <w:pStyle w:val="Text2"/>
        <w:rPr>
          <w:noProof/>
        </w:rPr>
      </w:pPr>
      <w:r>
        <w:rPr>
          <w:noProof/>
        </w:rPr>
        <w:t>Jei įrengti skaitikliai arba dalikliai, kurių duomenis galima nuskaityti nuotoliniu būdu, nuo [</w:t>
      </w:r>
      <w:r>
        <w:rPr>
          <w:noProof/>
          <w:color w:val="FF0000"/>
        </w:rPr>
        <w:t>čia įrašykite įsigaliojimo datą</w:t>
      </w:r>
      <w:r>
        <w:rPr>
          <w:noProof/>
        </w:rPr>
        <w:t>] faktiniu suvartojimu grindžiamos sąskaitos išrašomos arba suvartojimo informacija pateikiama bent kartą per ketvirtį, jei to pageidauja vartotojas arba jei galutinis vartotojas pasirinko galimybę gauti elektronines sąskaitas, kitu atveju – du kartus per metus.</w:t>
      </w:r>
    </w:p>
    <w:p>
      <w:pPr>
        <w:pStyle w:val="Text2"/>
        <w:rPr>
          <w:noProof/>
        </w:rPr>
      </w:pPr>
      <w:r>
        <w:rPr>
          <w:noProof/>
        </w:rPr>
        <w:t xml:space="preserve">Jei įrengti skaitikliai arba dalikliai, kurių duomenis galima nuskaityti nuotoliniu būdu, nuo 2022 m. sausio 1 d. sąskaitos išrašomos arba suvartojimo </w:t>
      </w:r>
      <w:r>
        <w:rPr>
          <w:noProof/>
        </w:rPr>
        <w:lastRenderedPageBreak/>
        <w:t>informacija pateikiama bent kartą per mėnesį. Šildymui ir vėsinimui ši nuostata gali būti netaikoma ne šildymo (vėsinimo) sezono metu.</w:t>
      </w:r>
    </w:p>
    <w:p>
      <w:pPr>
        <w:pStyle w:val="ManualNumPar1"/>
        <w:ind w:left="1440" w:hanging="610"/>
        <w:rPr>
          <w:noProof/>
        </w:rPr>
      </w:pPr>
      <w:r>
        <w:rPr>
          <w:noProof/>
        </w:rPr>
        <w:t>3.</w:t>
      </w:r>
      <w:r>
        <w:rPr>
          <w:noProof/>
        </w:rPr>
        <w:tab/>
        <w:t>Faktiniu suvartojimo grindžiamoje sąskaitoje pateikiama būtinoji informacija</w:t>
      </w:r>
    </w:p>
    <w:p>
      <w:pPr>
        <w:pStyle w:val="Text2"/>
        <w:rPr>
          <w:noProof/>
        </w:rPr>
      </w:pPr>
      <w:r>
        <w:rPr>
          <w:noProof/>
        </w:rPr>
        <w:t>Valstybės narės užtikrina, kad galutiniams naudotojams jiems išrašomose sąskaitose arba kartu su jomis būtų aiškiai ir suprantamai pateikiama toliau nurodyta informacija:</w:t>
      </w:r>
    </w:p>
    <w:p>
      <w:pPr>
        <w:pStyle w:val="Point2"/>
        <w:rPr>
          <w:noProof/>
        </w:rPr>
      </w:pPr>
      <w:r>
        <w:rPr>
          <w:noProof/>
        </w:rPr>
        <w:t>a)</w:t>
      </w:r>
      <w:r>
        <w:rPr>
          <w:noProof/>
        </w:rPr>
        <w:tab/>
        <w:t>galiojančios faktinės kainos ir faktinis suvartotas energijos kiekis;</w:t>
      </w:r>
    </w:p>
    <w:p>
      <w:pPr>
        <w:pStyle w:val="Point2"/>
        <w:rPr>
          <w:noProof/>
        </w:rPr>
      </w:pPr>
      <w:r>
        <w:rPr>
          <w:noProof/>
        </w:rPr>
        <w:t>b)</w:t>
      </w:r>
      <w:r>
        <w:rPr>
          <w:noProof/>
        </w:rPr>
        <w:tab/>
        <w:t>informacija apie naudojamą kuro rūšių derinį, įskaitant kurą, naudojamą galutiniams naudotojams centralizuotai tiekiamai šilumai arba vėsumai gaminti;</w:t>
      </w:r>
    </w:p>
    <w:p>
      <w:pPr>
        <w:pStyle w:val="Point2"/>
        <w:rPr>
          <w:noProof/>
        </w:rPr>
      </w:pPr>
      <w:r>
        <w:rPr>
          <w:noProof/>
        </w:rPr>
        <w:t>c)</w:t>
      </w:r>
      <w:r>
        <w:rPr>
          <w:noProof/>
        </w:rPr>
        <w:tab/>
        <w:t>galutinių naudotojų per einamąjį laikotarpį suvartotos energijos kiekio ir per tą patį praėjusių metų laikotarpį suvartotos energijos kiekio palyginimas, pavaizduotas grafiškai ir, šilumos bei vėsumos atveju, pakoreguotas atsižvelgiant į klimato sąlygas;</w:t>
      </w:r>
    </w:p>
    <w:p>
      <w:pPr>
        <w:pStyle w:val="Point2"/>
        <w:rPr>
          <w:noProof/>
        </w:rPr>
      </w:pPr>
      <w:r>
        <w:rPr>
          <w:noProof/>
        </w:rPr>
        <w:t>d)</w:t>
      </w:r>
      <w:r>
        <w:rPr>
          <w:noProof/>
        </w:rPr>
        <w:tab/>
        <w:t>galutinių vartotojų organizacijų, energetikos agentūrų ar panašių organizacijų kontaktinė informacija, įskaitant interneto svetainių adresus, kuriose galima gauti informacijos apie esamas energijos vartojimo efektyvumo didinimo priemones, lyginamąsias galutinių naudotojų charakteristikas ir energiją naudojančios įrangos objektyvias technines specifikacijas.</w:t>
      </w:r>
    </w:p>
    <w:p>
      <w:pPr>
        <w:pStyle w:val="Text2"/>
        <w:rPr>
          <w:noProof/>
        </w:rPr>
      </w:pPr>
      <w:r>
        <w:rPr>
          <w:noProof/>
        </w:rPr>
        <w:t>Be to, valstybės narės užtikrina, kad galutiniams naudotojams išrašomose sąskaitose, kartu su jomis arba jose pateikiamose nuorodose galutiniams naudotojams būtų aiškiai ir suprantamai pateikiamas palyginimas su vidutiniu tipiniu arba lyginamuoju tos pačios naudotojų kategorijos galutiniu naudotoju.“.</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2009 m. balandžio 23 d. Europos Parlamento ir Tarybos reglamentas (EB) Nr. 443/2009, nustatantis naujų keleivinių automobilių išmetamų teršalų normas pagal Bendrijos integruotą principą mažinti lengvųjų transporto priemonių išmetamo CO2 kiekį (OL L 140, 2009 6 5, p. 1).</w:t>
      </w:r>
    </w:p>
  </w:footnote>
  <w:footnote w:id="3">
    <w:p>
      <w:pPr>
        <w:pStyle w:val="FootnoteText"/>
      </w:pPr>
      <w:r>
        <w:rPr>
          <w:rStyle w:val="FootnoteReference"/>
        </w:rPr>
        <w:footnoteRef/>
      </w:r>
      <w:r>
        <w:tab/>
        <w:t>2011 m. gegužės 11 d. Europos Parlamento ir Tarybos reglamentas (ES) Nr. 510/2011, kuriuo nustatomos naujų lengvųjų komercinių transporto priemonių išmetamų teršalų normos pagal Sąjungos integruotą principą mažinti lengvųjų transporto priemonių išmetamo CO2 kiekį (OL L 145, 2011 5 31, p. 1).</w:t>
      </w:r>
    </w:p>
  </w:footnote>
  <w:footnote w:id="4">
    <w:p>
      <w:pPr>
        <w:pStyle w:val="FootnoteText"/>
      </w:pPr>
      <w:r>
        <w:rPr>
          <w:rStyle w:val="FootnoteReference"/>
        </w:rPr>
        <w:footnoteRef/>
      </w:r>
      <w:r>
        <w:tab/>
        <w:t>2003 m. spalio 27 d. Tarybos direktyva 2003/96/EB pakeičianti Bendrijos energetikos produktų ir elektros energijos mokesčių struktūrą (OL L 283, 2003 10 31, p. 51).</w:t>
      </w:r>
    </w:p>
  </w:footnote>
  <w:footnote w:id="5">
    <w:p>
      <w:pPr>
        <w:pStyle w:val="FootnoteText"/>
      </w:pPr>
      <w:r>
        <w:rPr>
          <w:rStyle w:val="FootnoteReference"/>
        </w:rPr>
        <w:footnoteRef/>
      </w:r>
      <w:r>
        <w:tab/>
        <w:t>2006 m. lapkričio 28 d. Tarybos direktyva 2006/112/EB dėl pridėtinės vertės mokesčio bendros sistemos (OL L 347, 2006 12 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 w:numId="25">
    <w:abstractNumId w:val="19"/>
  </w:num>
  <w:num w:numId="26">
    <w:abstractNumId w:val="13"/>
  </w:num>
  <w:num w:numId="27">
    <w:abstractNumId w:val="21"/>
  </w:num>
  <w:num w:numId="28">
    <w:abstractNumId w:val="12"/>
  </w:num>
  <w:num w:numId="29">
    <w:abstractNumId w:val="14"/>
  </w:num>
  <w:num w:numId="30">
    <w:abstractNumId w:val="10"/>
  </w:num>
  <w:num w:numId="31">
    <w:abstractNumId w:val="20"/>
  </w:num>
  <w:num w:numId="32">
    <w:abstractNumId w:val="9"/>
  </w:num>
  <w:num w:numId="33">
    <w:abstractNumId w:val="15"/>
  </w:num>
  <w:num w:numId="34">
    <w:abstractNumId w:val="17"/>
  </w:num>
  <w:num w:numId="35">
    <w:abstractNumId w:val="18"/>
  </w:num>
  <w:num w:numId="36">
    <w:abstractNumId w:val="11"/>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CP" w:val="prie"/>
    <w:docVar w:name="LW_ANNEX_NBR_FIRST" w:val="1"/>
    <w:docVar w:name="LW_ANNEX_NBR_LAST" w:val="1"/>
    <w:docVar w:name="LW_CONFIDENCE" w:val=" "/>
    <w:docVar w:name="LW_CONST_RESTREINT_UE" w:val="RESTREINT UE"/>
    <w:docVar w:name="LW_CORRIGENDUM" w:val="&lt;UNUSED&gt;"/>
    <w:docVar w:name="LW_COVERPAGE_GUID" w:val="520A0223401242D296EDA60E19B895DE"/>
    <w:docVar w:name="LW_CROSSREFERENCE" w:val="{SWD(2016) 399 final}_x000b_{SWD(2016) 401 final}_x000b_{SWD(2016) 402 final}_x000b_{SWD(2016) 403 final}_x000b_{SWD(2016) 404 final}_x000b_{SWD(2016) 405 final}_x000b_{SWD(2016) 406 final}"/>
    <w:docVar w:name="LW_DocType" w:val="ANNEX"/>
    <w:docVar w:name="LW_EMISSION" w:val="2016 11 30"/>
    <w:docVar w:name="LW_EMISSION_ISODATE" w:val="2016-11-30"/>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Pasi\u363?lymo d\u279?l_x000b__x000b_EUROPOS PARLAMENTO IR TARYBOS DIREKTYVOS _x000b__x000b_kuria i\u353? dalies kei\u269?iama Direktyva 2012/27/ES d\u279?l energijos vartojimo efektyvumo"/>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PRIEDAS"/>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Text1Char">
    <w:name w:val="Text 1 Char"/>
    <w:basedOn w:val="DefaultParagraphFont"/>
    <w:rPr>
      <w:rFonts w:ascii="Times New Roman" w:hAnsi="Times New Roman" w:cs="Times New Roman"/>
      <w:sz w:val="24"/>
      <w:lang w:val="lt-L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lt-L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lt-LT"/>
    </w:rPr>
  </w:style>
  <w:style w:type="character" w:customStyle="1" w:styleId="Heading7Char">
    <w:name w:val="Heading 7 Char"/>
    <w:basedOn w:val="DefaultParagraphFont"/>
    <w:link w:val="Heading7"/>
    <w:rPr>
      <w:rFonts w:ascii="Arial" w:hAnsi="Arial" w:cs="Times New Roman"/>
      <w:sz w:val="20"/>
      <w:szCs w:val="20"/>
      <w:lang w:val="lt-LT"/>
    </w:rPr>
  </w:style>
  <w:style w:type="character" w:customStyle="1" w:styleId="Heading8Char">
    <w:name w:val="Heading 8 Char"/>
    <w:basedOn w:val="DefaultParagraphFont"/>
    <w:link w:val="Heading8"/>
    <w:rPr>
      <w:rFonts w:ascii="Arial" w:hAnsi="Arial" w:cs="Times New Roman"/>
      <w:i/>
      <w:sz w:val="20"/>
      <w:szCs w:val="20"/>
      <w:lang w:val="lt-LT"/>
    </w:rPr>
  </w:style>
  <w:style w:type="character" w:customStyle="1" w:styleId="Heading9Char">
    <w:name w:val="Heading 9 Char"/>
    <w:basedOn w:val="DefaultParagraphFont"/>
    <w:link w:val="Heading9"/>
    <w:rPr>
      <w:rFonts w:ascii="Arial" w:hAnsi="Arial" w:cs="Arial"/>
      <w:i/>
      <w:sz w:val="18"/>
      <w:szCs w:val="20"/>
      <w:lang w:val="lt-L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lt-L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lt-L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lt-L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lt-L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lt-L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lt-L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lt-LT" w:eastAsia="lt-LT"/>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lt-L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lt-L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Text1Char">
    <w:name w:val="Text 1 Char"/>
    <w:basedOn w:val="DefaultParagraphFont"/>
    <w:rPr>
      <w:rFonts w:ascii="Times New Roman" w:hAnsi="Times New Roman" w:cs="Times New Roman"/>
      <w:sz w:val="24"/>
      <w:lang w:val="lt-L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lt-L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lt-LT"/>
    </w:rPr>
  </w:style>
  <w:style w:type="character" w:customStyle="1" w:styleId="Heading7Char">
    <w:name w:val="Heading 7 Char"/>
    <w:basedOn w:val="DefaultParagraphFont"/>
    <w:link w:val="Heading7"/>
    <w:rPr>
      <w:rFonts w:ascii="Arial" w:hAnsi="Arial" w:cs="Times New Roman"/>
      <w:sz w:val="20"/>
      <w:szCs w:val="20"/>
      <w:lang w:val="lt-LT"/>
    </w:rPr>
  </w:style>
  <w:style w:type="character" w:customStyle="1" w:styleId="Heading8Char">
    <w:name w:val="Heading 8 Char"/>
    <w:basedOn w:val="DefaultParagraphFont"/>
    <w:link w:val="Heading8"/>
    <w:rPr>
      <w:rFonts w:ascii="Arial" w:hAnsi="Arial" w:cs="Times New Roman"/>
      <w:i/>
      <w:sz w:val="20"/>
      <w:szCs w:val="20"/>
      <w:lang w:val="lt-LT"/>
    </w:rPr>
  </w:style>
  <w:style w:type="character" w:customStyle="1" w:styleId="Heading9Char">
    <w:name w:val="Heading 9 Char"/>
    <w:basedOn w:val="DefaultParagraphFont"/>
    <w:link w:val="Heading9"/>
    <w:rPr>
      <w:rFonts w:ascii="Arial" w:hAnsi="Arial" w:cs="Arial"/>
      <w:i/>
      <w:sz w:val="18"/>
      <w:szCs w:val="20"/>
      <w:lang w:val="lt-L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lt-L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lt-L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lt-L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lt-L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lt-L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lt-L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lt-LT" w:eastAsia="lt-LT"/>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lt-L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lt-L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3024-3AC2-4F4E-9063-A566ED7E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1707</Words>
  <Characters>11974</Characters>
  <Application>Microsoft Office Word</Application>
  <DocSecurity>0</DocSecurity>
  <Lines>230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2016-11-18T12:26:00Z</cp:lastPrinted>
  <dcterms:created xsi:type="dcterms:W3CDTF">2016-11-23T14:02:00Z</dcterms:created>
  <dcterms:modified xsi:type="dcterms:W3CDTF">2016-11-29T15:21:00Z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