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B6401E1F253B4083B0E4E49D9ECD0788" style="width:450.55pt;height:467.3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pPr>
        <w:jc w:val="center"/>
        <w:rPr>
          <w:b/>
          <w:noProof/>
        </w:rPr>
      </w:pPr>
      <w:bookmarkStart w:id="0" w:name="_GoBack"/>
      <w:bookmarkEnd w:id="0"/>
      <w:r>
        <w:rPr>
          <w:b/>
          <w:noProof/>
        </w:rPr>
        <w:lastRenderedPageBreak/>
        <w:t>PRILOGA</w:t>
      </w:r>
    </w:p>
    <w:p>
      <w:pPr>
        <w:rPr>
          <w:i/>
          <w:noProof/>
        </w:rPr>
      </w:pPr>
      <w:r>
        <w:rPr>
          <w:noProof/>
        </w:rPr>
        <w:t>Priloge k direktivi se spremenijo:</w:t>
      </w:r>
    </w:p>
    <w:p>
      <w:pPr>
        <w:pStyle w:val="NumPar1"/>
        <w:numPr>
          <w:ilvl w:val="0"/>
          <w:numId w:val="1"/>
        </w:numPr>
        <w:rPr>
          <w:noProof/>
        </w:rPr>
      </w:pPr>
      <w:r>
        <w:rPr>
          <w:noProof/>
        </w:rPr>
        <w:t>Priloga I se spremeni:</w:t>
      </w:r>
    </w:p>
    <w:p>
      <w:pPr>
        <w:pStyle w:val="Point1letter"/>
        <w:numPr>
          <w:ilvl w:val="3"/>
          <w:numId w:val="10"/>
        </w:numPr>
        <w:rPr>
          <w:noProof/>
        </w:rPr>
      </w:pPr>
      <w:r>
        <w:rPr>
          <w:noProof/>
        </w:rPr>
        <w:t xml:space="preserve">točka 1 se nadomesti z naslednjim: </w:t>
      </w:r>
    </w:p>
    <w:p>
      <w:pPr>
        <w:pStyle w:val="Text2"/>
        <w:rPr>
          <w:noProof/>
        </w:rPr>
      </w:pPr>
      <w:r>
        <w:rPr>
          <w:noProof/>
        </w:rPr>
        <w:t>„1.</w:t>
      </w:r>
      <w:r>
        <w:rPr>
          <w:noProof/>
        </w:rPr>
        <w:tab/>
        <w:t>Energetska učinkovitost stavbe odraža njeno običajno porabo energije za ogrevanje, hlajenje, sanitarno toplo vodo, prezračevanje in razsvetljavo.</w:t>
      </w:r>
    </w:p>
    <w:p>
      <w:pPr>
        <w:pStyle w:val="Text2"/>
        <w:rPr>
          <w:noProof/>
        </w:rPr>
      </w:pPr>
      <w:r>
        <w:rPr>
          <w:noProof/>
        </w:rPr>
        <w:t>Energetska učinkovitost stavbe se izrazi z numeričnim indikatorjem porabe primarne energije v kWh/m</w:t>
      </w:r>
      <w:r>
        <w:rPr>
          <w:noProof/>
          <w:vertAlign w:val="superscript"/>
        </w:rPr>
        <w:t>2</w:t>
      </w:r>
      <w:r>
        <w:rPr>
          <w:noProof/>
        </w:rPr>
        <w:t xml:space="preserve"> na leto, ki je usklajena za namene energetskih izkaznic in minimalnih zahtev glede energetske učinkovitosti. Energetska učinkovitost in metodologija za njeno določitev morata biti pregledni in odprti za inovacije. </w:t>
      </w:r>
    </w:p>
    <w:p>
      <w:pPr>
        <w:pStyle w:val="Text2"/>
        <w:rPr>
          <w:noProof/>
        </w:rPr>
      </w:pPr>
      <w:r>
        <w:rPr>
          <w:noProof/>
        </w:rPr>
        <w:t xml:space="preserve">Države članice opišejo svojo nacionalno metodologijo izračunavanja v skladu z nacionalno prilogo okvira povezanih evropskih standardov, ki so bili razviti na podlagi mandata M/480, ki ga je Evropska komisija dala Evropskemu odboru za standardizacijo (CEN).“; </w:t>
      </w:r>
    </w:p>
    <w:p>
      <w:pPr>
        <w:pStyle w:val="Point1letter"/>
        <w:rPr>
          <w:noProof/>
        </w:rPr>
      </w:pPr>
      <w:r>
        <w:rPr>
          <w:noProof/>
        </w:rPr>
        <w:t xml:space="preserve">točka 2 se nadomesti z naslednjim: </w:t>
      </w:r>
    </w:p>
    <w:p>
      <w:pPr>
        <w:pStyle w:val="Text2"/>
        <w:rPr>
          <w:noProof/>
        </w:rPr>
      </w:pPr>
      <w:r>
        <w:rPr>
          <w:noProof/>
        </w:rPr>
        <w:t>„2.</w:t>
      </w:r>
      <w:r>
        <w:rPr>
          <w:noProof/>
        </w:rPr>
        <w:tab/>
        <w:t xml:space="preserve">Za zagotavljanje minimalnih ravni za zdravje in udobje, ki jih opredelijo države članice, je treba izračunati energetske potrebe za ogrevanje in hlajenje prostorov, sanitarno toplo vodo in ustrezno prezračevanje. </w:t>
      </w:r>
    </w:p>
    <w:p>
      <w:pPr>
        <w:pStyle w:val="Text2"/>
        <w:rPr>
          <w:noProof/>
        </w:rPr>
      </w:pPr>
      <w:r>
        <w:rPr>
          <w:noProof/>
        </w:rPr>
        <w:t xml:space="preserve">Izračun primarne energije temelji na količnikih primarne energije na nosilec energije, ki lahko temelji na ponderiranem nacionalnem ali regionalnem letnem povprečju ali podrobnejših informacijah, ki so na voljo za posamezen daljinski sistem. </w:t>
      </w:r>
    </w:p>
    <w:p>
      <w:pPr>
        <w:pStyle w:val="Text2"/>
        <w:rPr>
          <w:noProof/>
        </w:rPr>
      </w:pPr>
      <w:r>
        <w:rPr>
          <w:noProof/>
        </w:rPr>
        <w:t>S količniki primarne energije se zmanjša delež obnovljivih virov energije v energetskih nosilcih, tako da izračuni obravnavajo enako: (a) energijo iz obnovljivih virov, ki se proizvede na kraju samem (za posamezen števec, tj. ob dobavi se ne obračuna), in (b) energijo iz obnovljivih virov, dobavljeno preko nosilca energije.“;</w:t>
      </w:r>
    </w:p>
    <w:p>
      <w:pPr>
        <w:pStyle w:val="Point1letter"/>
        <w:rPr>
          <w:noProof/>
        </w:rPr>
      </w:pPr>
      <w:r>
        <w:rPr>
          <w:noProof/>
        </w:rPr>
        <w:t>V točki 4 se uvodni stavek nadomesti z naslednjim:</w:t>
      </w:r>
    </w:p>
    <w:p>
      <w:pPr>
        <w:pStyle w:val="Text2"/>
        <w:rPr>
          <w:noProof/>
        </w:rPr>
      </w:pPr>
      <w:r>
        <w:rPr>
          <w:noProof/>
        </w:rPr>
        <w:t>„4.</w:t>
      </w:r>
      <w:r>
        <w:rPr>
          <w:noProof/>
        </w:rPr>
        <w:tab/>
        <w:t>Upošteva se pozitivni vpliv naslednjih vidikov:“;</w:t>
      </w:r>
    </w:p>
    <w:p>
      <w:pPr>
        <w:pStyle w:val="NumPar1"/>
        <w:numPr>
          <w:ilvl w:val="0"/>
          <w:numId w:val="1"/>
        </w:numPr>
        <w:rPr>
          <w:noProof/>
          <w:lang w:eastAsia="en-US"/>
        </w:rPr>
      </w:pPr>
      <w:r>
        <w:rPr>
          <w:noProof/>
        </w:rPr>
        <w:t>Priloga II se spremeni:</w:t>
      </w:r>
    </w:p>
    <w:p>
      <w:pPr>
        <w:pStyle w:val="Point1letter"/>
        <w:numPr>
          <w:ilvl w:val="3"/>
          <w:numId w:val="10"/>
        </w:numPr>
        <w:rPr>
          <w:noProof/>
        </w:rPr>
      </w:pPr>
      <w:r>
        <w:rPr>
          <w:noProof/>
          <w:lang w:eastAsia="en-GB"/>
        </w:rPr>
        <w:t>prvi odstavek točke</w:t>
      </w:r>
      <w:r>
        <w:rPr>
          <w:noProof/>
        </w:rPr>
        <w:t xml:space="preserve"> 1 se nadomesti z naslednjim:</w:t>
      </w:r>
    </w:p>
    <w:p>
      <w:pPr>
        <w:pStyle w:val="Text2"/>
        <w:ind w:left="1440" w:hanging="23"/>
        <w:rPr>
          <w:noProof/>
        </w:rPr>
      </w:pPr>
      <w:r>
        <w:rPr>
          <w:noProof/>
        </w:rPr>
        <w:t>„1. Pristojni organi ali telesa, na katera so pristojni organi prenesli pristojnost za izvajanje neodvisnih nadzornih sistemov, opravijo naključni izbor med vsemi letno izdanimi energetskimi izkaznicami in jih preverijo. Vzorec mora biti dovolj velik, da se zagotovi statistično pomembne rezultate glede skladnosti.“;</w:t>
      </w:r>
    </w:p>
    <w:p>
      <w:pPr>
        <w:pStyle w:val="Point1letter"/>
        <w:numPr>
          <w:ilvl w:val="3"/>
          <w:numId w:val="10"/>
        </w:numPr>
        <w:rPr>
          <w:noProof/>
          <w:lang w:eastAsia="en-GB"/>
        </w:rPr>
      </w:pPr>
      <w:r>
        <w:rPr>
          <w:noProof/>
          <w:lang w:eastAsia="en-GB"/>
        </w:rPr>
        <w:t>doda se točka 3:</w:t>
      </w:r>
    </w:p>
    <w:p>
      <w:pPr>
        <w:pStyle w:val="Text2"/>
        <w:ind w:left="1440" w:hanging="23"/>
        <w:rPr>
          <w:noProof/>
        </w:rPr>
      </w:pPr>
      <w:r>
        <w:rPr>
          <w:noProof/>
        </w:rPr>
        <w:t>„</w:t>
      </w:r>
      <w:r>
        <w:rPr>
          <w:noProof/>
          <w:lang w:eastAsia="en-GB"/>
        </w:rPr>
        <w:t>3</w:t>
      </w:r>
      <w:r>
        <w:rPr>
          <w:noProof/>
        </w:rPr>
        <w:t>. Po vnosu podatkov v zbirko podatkov mora biti nacionalnim organom omogočeno, da za namene spremljanja in preverjanja identificirajo avtorja vnosa.“.</w:t>
      </w:r>
    </w:p>
    <w:sectPr>
      <w:footerReference w:type="default" r:id="rId16"/>
      <w:footerReference w:type="first" r:id="rId17"/>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SL</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SL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SL</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SL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ADC1FA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74BE2144"/>
    <w:lvl w:ilvl="0">
      <w:start w:val="1"/>
      <w:numFmt w:val="decimal"/>
      <w:pStyle w:val="ListNumber3"/>
      <w:lvlText w:val="%1."/>
      <w:lvlJc w:val="left"/>
      <w:pPr>
        <w:tabs>
          <w:tab w:val="num" w:pos="926"/>
        </w:tabs>
        <w:ind w:left="926" w:hanging="360"/>
      </w:pPr>
    </w:lvl>
  </w:abstractNum>
  <w:abstractNum w:abstractNumId="2">
    <w:nsid w:val="FFFFFF7F"/>
    <w:multiLevelType w:val="singleLevel"/>
    <w:tmpl w:val="EA94BE82"/>
    <w:lvl w:ilvl="0">
      <w:start w:val="1"/>
      <w:numFmt w:val="decimal"/>
      <w:pStyle w:val="ListNumber2"/>
      <w:lvlText w:val="%1."/>
      <w:lvlJc w:val="left"/>
      <w:pPr>
        <w:tabs>
          <w:tab w:val="num" w:pos="643"/>
        </w:tabs>
        <w:ind w:left="643" w:hanging="360"/>
      </w:pPr>
    </w:lvl>
  </w:abstractNum>
  <w:abstractNum w:abstractNumId="3">
    <w:nsid w:val="FFFFFF81"/>
    <w:multiLevelType w:val="singleLevel"/>
    <w:tmpl w:val="A35C7A1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0C28962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3F76DF4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F544B550"/>
    <w:lvl w:ilvl="0">
      <w:start w:val="1"/>
      <w:numFmt w:val="decimal"/>
      <w:pStyle w:val="ListNumber"/>
      <w:lvlText w:val="%1."/>
      <w:lvlJc w:val="left"/>
      <w:pPr>
        <w:tabs>
          <w:tab w:val="num" w:pos="360"/>
        </w:tabs>
        <w:ind w:left="360" w:hanging="360"/>
      </w:pPr>
    </w:lvl>
  </w:abstractNum>
  <w:abstractNum w:abstractNumId="7">
    <w:nsid w:val="FFFFFF89"/>
    <w:multiLevelType w:val="singleLevel"/>
    <w:tmpl w:val="3600F19A"/>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hideSpellingErrors/>
  <w:hideGrammaticalErrors/>
  <w:attachedTemplate r:id="rId1"/>
  <w:revisionView w:markup="0"/>
  <w:defaultTabStop w:val="720"/>
  <w:hyphenationZone w:val="425"/>
  <w:characterSpacingControl w:val="doNotCompress"/>
  <w:hdrShapeDefaults>
    <o:shapedefaults v:ext="edit" spidmax="7782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11-29 18:15:50"/>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2"/>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ACCOMPAGNANT.CP" w:val="k"/>
    <w:docVar w:name="LW_ANNEX_NBR_FIRST" w:val="1"/>
    <w:docVar w:name="LW_ANNEX_NBR_LAST" w:val="1"/>
    <w:docVar w:name="LW_CONFIDENCE" w:val=" "/>
    <w:docVar w:name="LW_CONST_RESTREINT_UE" w:val="RESTREINT UE"/>
    <w:docVar w:name="LW_CORRIGENDUM" w:val="&lt;UNUSED&gt;"/>
    <w:docVar w:name="LW_COVERPAGE_GUID" w:val="B6401E1F253B4083B0E4E49D9ECD0788"/>
    <w:docVar w:name="LW_CROSSREFERENCE" w:val="{SWD(2016) 408 final}_x000b_{SWD(2016) 409 final}_x000b_{SWD(2016) 414 final}_x000b_{SWD(2016) 415 final}"/>
    <w:docVar w:name="LW_DocType" w:val="ANNEX"/>
    <w:docVar w:name="LW_EMISSION" w:val="30.11.2016"/>
    <w:docVar w:name="LW_EMISSION_ISODATE" w:val="2016-11-30"/>
    <w:docVar w:name="LW_EMISSION_LOCATION" w:val="BRX"/>
    <w:docVar w:name="LW_EMISSION_PREFIX" w:val="Bruselj, "/>
    <w:docVar w:name="LW_EMISSION_SUFFIX" w:val=" "/>
    <w:docVar w:name="LW_ID_DOCSTRUCTURE" w:val="COM/ANNEX"/>
    <w:docVar w:name="LW_ID_DOCTYPE" w:val="SG-017"/>
    <w:docVar w:name="LW_LANGUE" w:val="SL"/>
    <w:docVar w:name="LW_MARKING" w:val="&lt;UNUSED&gt;"/>
    <w:docVar w:name="LW_NOM.INST" w:val="EVROPSKA KOMISIJA"/>
    <w:docVar w:name="LW_NOM.INST_JOINTDOC" w:val="&lt;EMPTY&gt;"/>
    <w:docVar w:name="LW_OBJETACTEPRINCIPAL.CP" w:val="predlogu_x000b__x000b_DIREKTIVE EVROPSKEGA PARLAMENTA IN SVETA_x000b__x000b_o spremembi Direktive 2010/31/EU o energetski u\u269?inkovitosti stavb_x000b_"/>
    <w:docVar w:name="LW_PART_NBR" w:val="1"/>
    <w:docVar w:name="LW_PART_NBR_TOTAL" w:val="1"/>
    <w:docVar w:name="LW_REF.INST.NEW" w:val="COM"/>
    <w:docVar w:name="LW_REF.INST.NEW_ADOPTED" w:val="final"/>
    <w:docVar w:name="LW_REF.INST.NEW_TEXT" w:val="(2016) 765"/>
    <w:docVar w:name="LW_REF.INTERNE" w:val="&lt;UNUSED&gt;"/>
    <w:docVar w:name="LW_SUPERTITRE" w:val="&lt;UNUSED&gt;"/>
    <w:docVar w:name="LW_TITRE.OBJ.CP" w:val="&lt;UNUSED&gt;"/>
    <w:docVar w:name="LW_TYPE.DOC.CP" w:val="PRILOGA"/>
    <w:docVar w:name="LW_TYPEACTEPRINCIPAL.CP" w:val="&lt;UNUSED&gt;"/>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sl-SI" w:bidi="sl-S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l-SI"/>
    </w:rPr>
  </w:style>
  <w:style w:type="character" w:customStyle="1" w:styleId="Text1Char">
    <w:name w:val="Text 1 Char"/>
    <w:basedOn w:val="DefaultParagraphFont"/>
    <w:rPr>
      <w:rFonts w:ascii="Times New Roman" w:hAnsi="Times New Roman" w:cs="Times New Roman"/>
      <w:sz w:val="24"/>
      <w:lang w:val="sl-SI"/>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l-S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l-SI"/>
    </w:rPr>
  </w:style>
  <w:style w:type="character" w:styleId="Hyperlink">
    <w:name w:val="Hyperlink"/>
    <w:basedOn w:val="DefaultParagraphFont"/>
    <w:uiPriority w:val="99"/>
    <w:unhideWhenUsed/>
    <w:rPr>
      <w:color w:val="0000FF" w:themeColor="hyperlink"/>
      <w:u w:val="single"/>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rPr>
      <w:rFonts w:ascii="Times New Roman" w:hAnsi="Times New Roman" w:cs="Times New Roman"/>
      <w:sz w:val="24"/>
      <w:lang w:val="sl-SI"/>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sl-SI" w:bidi="sl-S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l-SI"/>
    </w:rPr>
  </w:style>
  <w:style w:type="character" w:customStyle="1" w:styleId="Text1Char">
    <w:name w:val="Text 1 Char"/>
    <w:basedOn w:val="DefaultParagraphFont"/>
    <w:rPr>
      <w:rFonts w:ascii="Times New Roman" w:hAnsi="Times New Roman" w:cs="Times New Roman"/>
      <w:sz w:val="24"/>
      <w:lang w:val="sl-SI"/>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l-S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l-SI"/>
    </w:rPr>
  </w:style>
  <w:style w:type="character" w:styleId="Hyperlink">
    <w:name w:val="Hyperlink"/>
    <w:basedOn w:val="DefaultParagraphFont"/>
    <w:uiPriority w:val="99"/>
    <w:unhideWhenUsed/>
    <w:rPr>
      <w:color w:val="0000FF" w:themeColor="hyperlink"/>
      <w:u w:val="single"/>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rPr>
      <w:rFonts w:ascii="Times New Roman" w:hAnsi="Times New Roman" w:cs="Times New Roman"/>
      <w:sz w:val="24"/>
      <w:lang w:val="sl-SI"/>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599997">
      <w:bodyDiv w:val="1"/>
      <w:marLeft w:val="0"/>
      <w:marRight w:val="0"/>
      <w:marTop w:val="0"/>
      <w:marBottom w:val="0"/>
      <w:divBdr>
        <w:top w:val="none" w:sz="0" w:space="0" w:color="auto"/>
        <w:left w:val="none" w:sz="0" w:space="0" w:color="auto"/>
        <w:bottom w:val="none" w:sz="0" w:space="0" w:color="auto"/>
        <w:right w:val="none" w:sz="0" w:space="0" w:color="auto"/>
      </w:divBdr>
    </w:div>
    <w:div w:id="767506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D25A97-37D9-4A08-A76E-952940CB2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0</TotalTime>
  <Pages>2</Pages>
  <Words>327</Words>
  <Characters>1995</Characters>
  <Application>Microsoft Office Word</Application>
  <DocSecurity>0</DocSecurity>
  <Lines>43</Lines>
  <Paragraphs>20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MICHIELS Isabelle (ENER)</dc:creator>
  <cp:lastModifiedBy>DIGIT/A3</cp:lastModifiedBy>
  <cp:revision>8</cp:revision>
  <cp:lastPrinted>2016-10-27T13:04:00Z</cp:lastPrinted>
  <dcterms:created xsi:type="dcterms:W3CDTF">2016-11-23T15:06:00Z</dcterms:created>
  <dcterms:modified xsi:type="dcterms:W3CDTF">2016-11-29T17:15:00Z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First annex">
    <vt:lpwstr>1</vt:lpwstr>
  </property>
  <property fmtid="{D5CDD505-2E9C-101B-9397-08002B2CF9AE}" pid="8" name="Last annex">
    <vt:lpwstr>1</vt:lpwstr>
  </property>
  <property fmtid="{D5CDD505-2E9C-101B-9397-08002B2CF9AE}" pid="9" name="Part">
    <vt:lpwstr>1</vt:lpwstr>
  </property>
  <property fmtid="{D5CDD505-2E9C-101B-9397-08002B2CF9AE}" pid="10" name="Total parts">
    <vt:lpwstr>1</vt:lpwstr>
  </property>
  <property fmtid="{D5CDD505-2E9C-101B-9397-08002B2CF9AE}" pid="11" name="LWTemplateID">
    <vt:lpwstr>SG-017</vt:lpwstr>
  </property>
  <property fmtid="{D5CDD505-2E9C-101B-9397-08002B2CF9AE}" pid="12" name="DocStatus">
    <vt:lpwstr>Green</vt:lpwstr>
  </property>
  <property fmtid="{D5CDD505-2E9C-101B-9397-08002B2CF9AE}" pid="13" name="DQCStatus">
    <vt:lpwstr>Green (DQC version 03)</vt:lpwstr>
  </property>
</Properties>
</file>