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3BF4862E0094F5BB82110B749B1A2F9" style="width:450.8pt;height:453.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BILAGA</w:t>
      </w:r>
    </w:p>
    <w:p>
      <w:pPr>
        <w:rPr>
          <w:i/>
          <w:noProof/>
        </w:rPr>
      </w:pPr>
      <w:r>
        <w:rPr>
          <w:noProof/>
        </w:rPr>
        <w:t>Bilagorna till direktivet ska ändras på följande sätt:</w:t>
      </w:r>
    </w:p>
    <w:p>
      <w:pPr>
        <w:pStyle w:val="NumPar1"/>
        <w:numPr>
          <w:ilvl w:val="0"/>
          <w:numId w:val="1"/>
        </w:numPr>
        <w:rPr>
          <w:noProof/>
        </w:rPr>
      </w:pPr>
      <w:r>
        <w:rPr>
          <w:noProof/>
        </w:rPr>
        <w:t>Bilaga I ska ändras på följande sätt:</w:t>
      </w:r>
    </w:p>
    <w:p>
      <w:pPr>
        <w:pStyle w:val="Point1letter"/>
        <w:numPr>
          <w:ilvl w:val="3"/>
          <w:numId w:val="10"/>
        </w:numPr>
        <w:rPr>
          <w:noProof/>
        </w:rPr>
      </w:pPr>
      <w:r>
        <w:rPr>
          <w:noProof/>
        </w:rPr>
        <w:t xml:space="preserve">Punkt 1 ska ersättas med följande: </w:t>
      </w:r>
    </w:p>
    <w:p>
      <w:pPr>
        <w:pStyle w:val="Text2"/>
        <w:rPr>
          <w:noProof/>
        </w:rPr>
      </w:pPr>
      <w:r>
        <w:rPr>
          <w:noProof/>
        </w:rPr>
        <w:t>”1.</w:t>
      </w:r>
      <w:r>
        <w:rPr>
          <w:noProof/>
        </w:rPr>
        <w:tab/>
        <w:t>En byggnads energiprestanda ska återspegla dess normala energianvändning för uppvärmning, kylning, varmvatten för hushållsbruk, ventilation och belysning.</w:t>
      </w:r>
    </w:p>
    <w:p>
      <w:pPr>
        <w:pStyle w:val="Text2"/>
        <w:rPr>
          <w:noProof/>
        </w:rPr>
      </w:pPr>
      <w:r>
        <w:rPr>
          <w:noProof/>
        </w:rPr>
        <w:t xml:space="preserve">En byggnads energiprestanda ska uttryckas med en numerisk indikator för primärenergianvändning i kWh/(m²*år) som är harmoniserad med tanke på både certifiering av energiprestanda och efterlevnad av minimikraven för energiprestanda. Energiprestandan och den metod som används för dess beräkning ska vara klar och tydlig och öppen för nya idéer. </w:t>
      </w:r>
    </w:p>
    <w:p>
      <w:pPr>
        <w:pStyle w:val="Text2"/>
        <w:rPr>
          <w:noProof/>
        </w:rPr>
      </w:pPr>
      <w:r>
        <w:rPr>
          <w:noProof/>
        </w:rPr>
        <w:t xml:space="preserve">Medlemsstaterna ska beskriva sin nationella beräkningsmetod inom ramen för nationella bilagor i relevanta europeiska standarder som utvecklas inom ramen för mandat M/480 från Europeiska kommissionen till Europeiska standardiseringskommittén (CEN).”. </w:t>
      </w:r>
    </w:p>
    <w:p>
      <w:pPr>
        <w:pStyle w:val="Point1letter"/>
        <w:rPr>
          <w:noProof/>
        </w:rPr>
      </w:pPr>
      <w:r>
        <w:rPr>
          <w:noProof/>
        </w:rPr>
        <w:t xml:space="preserve">Punkt 2 ska ersättas med följande: </w:t>
      </w:r>
    </w:p>
    <w:p>
      <w:pPr>
        <w:pStyle w:val="Text2"/>
        <w:rPr>
          <w:noProof/>
        </w:rPr>
      </w:pPr>
      <w:r>
        <w:rPr>
          <w:noProof/>
        </w:rPr>
        <w:t>”2.</w:t>
      </w:r>
      <w:r>
        <w:rPr>
          <w:noProof/>
        </w:rPr>
        <w:tab/>
        <w:t xml:space="preserve">Energibehoven för rumsuppvärmning, rumskylning, varmvatten för hushållsbruk och tillräcklig ventilation ska beräknas för att säkerställa de lägstanivåer för hälsa och komfort som definieras av medlemsstaterna. </w:t>
      </w:r>
    </w:p>
    <w:p>
      <w:pPr>
        <w:pStyle w:val="Text2"/>
        <w:rPr>
          <w:noProof/>
        </w:rPr>
      </w:pPr>
      <w:r>
        <w:rPr>
          <w:noProof/>
        </w:rPr>
        <w:t xml:space="preserve">Beräkningen av primärenergi ska baseras på primärenergifaktorer per energibärare, vilka kan baseras på nationella eller regionala viktade årsmedelvärden eller på mer specifik information som görs tillgänglig för enskilda områdestäckande system. </w:t>
      </w:r>
    </w:p>
    <w:p>
      <w:pPr>
        <w:pStyle w:val="Text2"/>
        <w:rPr>
          <w:noProof/>
        </w:rPr>
      </w:pPr>
      <w:r>
        <w:rPr>
          <w:noProof/>
        </w:rPr>
        <w:t>Primärenergifaktorer ska göra avdrag för andelen förnybar energi i energibärare så att beräkningarna på ett likvärdigt sätt tar med a) den energi från förnybara energikällor som produceras på plats (bortom den individuella mätaren, dvs. den räknas inte som levererad energi) och b) den energi från förnybara energikällor som levereras med hjälp av energibäraren.”.</w:t>
      </w:r>
    </w:p>
    <w:p>
      <w:pPr>
        <w:pStyle w:val="Point1letter"/>
        <w:rPr>
          <w:noProof/>
        </w:rPr>
      </w:pPr>
      <w:r>
        <w:rPr>
          <w:noProof/>
        </w:rPr>
        <w:t>Inledningsfrasen i punkt 4 ska ersättas med följande:</w:t>
      </w:r>
    </w:p>
    <w:p>
      <w:pPr>
        <w:pStyle w:val="Text2"/>
        <w:rPr>
          <w:noProof/>
        </w:rPr>
      </w:pPr>
      <w:r>
        <w:rPr>
          <w:noProof/>
        </w:rPr>
        <w:t>”4.</w:t>
      </w:r>
      <w:r>
        <w:rPr>
          <w:noProof/>
        </w:rPr>
        <w:tab/>
        <w:t>Positiv påverkan av följande aspekter ska beaktas:”.</w:t>
      </w:r>
    </w:p>
    <w:p>
      <w:pPr>
        <w:pStyle w:val="NumPar1"/>
        <w:numPr>
          <w:ilvl w:val="0"/>
          <w:numId w:val="1"/>
        </w:numPr>
        <w:rPr>
          <w:noProof/>
        </w:rPr>
      </w:pPr>
      <w:r>
        <w:rPr>
          <w:noProof/>
        </w:rPr>
        <w:t>Bilaga II ska ändras på följande sätt:</w:t>
      </w:r>
    </w:p>
    <w:p>
      <w:pPr>
        <w:pStyle w:val="Point1letter"/>
        <w:numPr>
          <w:ilvl w:val="3"/>
          <w:numId w:val="11"/>
        </w:numPr>
        <w:rPr>
          <w:noProof/>
        </w:rPr>
      </w:pPr>
      <w:r>
        <w:rPr>
          <w:noProof/>
        </w:rPr>
        <w:t>Första stycket i punkt 1 ska ersättas med följande:</w:t>
      </w:r>
    </w:p>
    <w:p>
      <w:pPr>
        <w:pStyle w:val="Text2"/>
        <w:ind w:left="1440" w:hanging="23"/>
        <w:rPr>
          <w:noProof/>
        </w:rPr>
      </w:pPr>
      <w:r>
        <w:rPr>
          <w:noProof/>
        </w:rPr>
        <w:t>”1. De behöriga myndigheterna, eller de organ till vilka de behöriga myndigheterna har delegerat ansvaret för genomförandet av det oberoende kontrollsystemet, ska göra ett slumpvis urval bland alla energicertifikat som utfärdas årligen och kontrollera dessa certifikat. Urvalet ska vara tillräckligt stort för att säkerställa statistiskt signifikanta resultat i fråga om efterlevnaden.”.</w:t>
      </w:r>
    </w:p>
    <w:p>
      <w:pPr>
        <w:pStyle w:val="Point1letter"/>
        <w:rPr>
          <w:noProof/>
        </w:rPr>
      </w:pPr>
      <w:r>
        <w:rPr>
          <w:noProof/>
        </w:rPr>
        <w:t>Följande punkt ska läggas till som punkt 3:</w:t>
      </w:r>
    </w:p>
    <w:p>
      <w:pPr>
        <w:pStyle w:val="Text2"/>
        <w:rPr>
          <w:noProof/>
        </w:rPr>
      </w:pPr>
      <w:r>
        <w:rPr>
          <w:noProof/>
        </w:rPr>
        <w:lastRenderedPageBreak/>
        <w:t>”3. När information läggs till i en databas ska det för övervaknings- och kontrolländamål vara möjligt för nationella myndigheter att identifiera vem som lagt till informationen.”.</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71"/>
  <w:hideSpellingErrors/>
  <w:hideGrammaticalErrors/>
  <w:attachedTemplate r:id="rId1"/>
  <w:revisionView w:markup="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5: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till"/>
    <w:docVar w:name="LW_ANNEX_NBR_FIRST" w:val="1"/>
    <w:docVar w:name="LW_ANNEX_NBR_LAST" w:val="1"/>
    <w:docVar w:name="LW_CONFIDENCE" w:val=" "/>
    <w:docVar w:name="LW_CONST_RESTREINT_UE" w:val="RESTREINT UE"/>
    <w:docVar w:name="LW_CORRIGENDUM" w:val="&lt;UNUSED&gt;"/>
    <w:docVar w:name="LW_COVERPAGE_GUID" w:val="A3BF4862E0094F5BB82110B749B1A2F9"/>
    <w:docVar w:name="LW_CROSSREFERENCE" w:val="{SWD(2016) 408 final}_x000b_{SWD(2016) 409 final}_x000b_{SWD(2016) 414 final}_x000b_{SWD(2016) 415 final}"/>
    <w:docVar w:name="LW_DocType" w:val="ANNEX"/>
    <w:docVar w:name="LW_EMISSION" w:val="30.11.2016"/>
    <w:docVar w:name="LW_EMISSION_ISODATE" w:val="2016-11-30"/>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Förslag till_x000b__x000b_EUROPAPARLAMENTETS OCH RÅDETS DIREKTIV_x000b__x000b_om ändring av direktiv 2010/31/EU om byggnaders energiprestanda"/>
    <w:docVar w:name="LW_PART_NBR" w:val="1"/>
    <w:docVar w:name="LW_PART_NBR_TOTAL" w:val="1"/>
    <w:docVar w:name="LW_REF.INST.NEW" w:val="COM"/>
    <w:docVar w:name="LW_REF.INST.NEW_ADOPTED" w:val="final"/>
    <w:docVar w:name="LW_REF.INST.NEW_TEXT" w:val="(2016) 765"/>
    <w:docVar w:name="LW_REF.INTERNE" w:val="&lt;UNUSED&gt;"/>
    <w:docVar w:name="LW_SUPERTITRE" w:val="&lt;UNUSED&gt;"/>
    <w:docVar w:name="LW_TITRE.OBJ.CP" w:val="&lt;UNUSED&gt;"/>
    <w:docVar w:name="LW_TYPE.DOC.CP" w:val="BILAG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Text1Char">
    <w:name w:val="Text 1 Char"/>
    <w:basedOn w:val="DefaultParagraphFont"/>
    <w:rPr>
      <w:rFonts w:ascii="Times New Roman" w:hAnsi="Times New Roman" w:cs="Times New Roman"/>
      <w:sz w:val="24"/>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Text1Char">
    <w:name w:val="Text 1 Char"/>
    <w:basedOn w:val="DefaultParagraphFont"/>
    <w:rPr>
      <w:rFonts w:ascii="Times New Roman" w:hAnsi="Times New Roman" w:cs="Times New Roman"/>
      <w:sz w:val="24"/>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9521-4C3E-4C30-AD8A-1F4BB681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354</Words>
  <Characters>2217</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2016-11-17T09:23:00Z</cp:lastPrinted>
  <dcterms:created xsi:type="dcterms:W3CDTF">2016-11-24T13:27:00Z</dcterms:created>
  <dcterms:modified xsi:type="dcterms:W3CDTF">2016-11-29T17:15:00Z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