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AB59EF0556C4F8FA26B80D0CB575C90" style="width:450.8pt;height:379.4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Αιτιολόγηση και στόχοι της πρότασης</w:t>
      </w:r>
    </w:p>
    <w:p>
      <w:pPr>
        <w:pBdr>
          <w:top w:val="nil"/>
          <w:left w:val="nil"/>
          <w:bottom w:val="nil"/>
          <w:right w:val="nil"/>
          <w:between w:val="nil"/>
          <w:bar w:val="nil"/>
        </w:pBdr>
        <w:spacing w:before="0" w:after="240"/>
        <w:rPr>
          <w:noProof/>
        </w:rPr>
      </w:pPr>
      <w:r>
        <w:rPr>
          <w:noProof/>
        </w:rPr>
        <w:t xml:space="preserve">Σύμφωνα με την οδηγία 2006/112/ΕΚ του Συμβουλίου, της 28 Νοεμβρίου 2006, σχετικά με το κοινό σύστημα φόρου προστιθέμενης αξίας (εφεξής «η οδηγία ΦΠΑ») οι ηλεκτρονικά παρεχόμενες υπηρεσίες, συμπεριλαμβανομένων των ηλεκτρονικά παρεχόμενων δημοσιεύσεων (εφεξής «ηλεκτρονικές δημοσιεύσεις»), πρέπει να φορολογούνται με τον κανονικό συντελεστή ΦΠΑ (τουλάχιστον 15 %). Από την άλλη πλευρά, τα κράτη μέλη έχουν τη δυνατότητα να φορολογούν τις δημοσιεύσεις κάθε υλικού υποθέματος με μειωμένο συντελεστή ΦΠΑ (τουλάχιστον 5 %), ενώ σε ορισμένα κράτη μέλη δόθηκε η δυνατότητα να εξακολουθήσουν να εφαρμόζουν συντελεστές ΦΠΑ χαμηλότερους από το ισχύον κατώτατο όριο του 5 % (εξαιρετικά μειωμένους συντελεστές), καθώς και απαλλαγές με δικαίωμα έκπτωσης του ΦΠΑ που καταβλήθηκε στο προηγούμενο στάδιο (οι καλούμενοι μηδενικοί συντελεστές), σε ορισμένες έντυπες δημοσιεύσεις. </w:t>
      </w:r>
    </w:p>
    <w:p>
      <w:pPr>
        <w:pBdr>
          <w:top w:val="nil"/>
          <w:left w:val="nil"/>
          <w:bottom w:val="nil"/>
          <w:right w:val="nil"/>
          <w:between w:val="nil"/>
          <w:bar w:val="nil"/>
        </w:pBdr>
        <w:spacing w:before="0" w:after="240"/>
        <w:rPr>
          <w:noProof/>
        </w:rPr>
      </w:pPr>
      <w:r>
        <w:rPr>
          <w:noProof/>
        </w:rPr>
        <w:t xml:space="preserve">Η οδηγία περί ΦΠΑ εμποδίζει τα κράτη μέλη να εφαρμόζουν σε ηλεκτρονικές δημοσιεύσεις τους ίδιους συντελεστές ΦΠΑ που ισχύουν επί του παρόντος για τις έντυπες δημοσιεύσεις και το αποτέλεσμα είναι σημαντικά λιγότερο ευνοϊκή μεταχείριση των ηλεκτρονικών δημοσιεύσεων από πλευράς ΦΠΑ στα περισσότερα κράτη μέλη. Παρά τις διαφορές μεταξύ των έντυπων και των ηλεκτρονικών δημοσιεύσεων όσον αφορά τη μορφή, το περιεχόμενο που προσφέρεται για ανάγνωση στους καταναλωτές είναι το ίδιο. </w:t>
      </w:r>
    </w:p>
    <w:p>
      <w:pPr>
        <w:pBdr>
          <w:top w:val="nil"/>
          <w:left w:val="nil"/>
          <w:bottom w:val="nil"/>
          <w:right w:val="nil"/>
          <w:between w:val="nil"/>
          <w:bar w:val="nil"/>
        </w:pBdr>
        <w:spacing w:before="0" w:after="240"/>
        <w:rPr>
          <w:noProof/>
        </w:rPr>
      </w:pPr>
      <w:r>
        <w:rPr>
          <w:noProof/>
        </w:rPr>
        <w:t>Από την 1η Ιανουαρίου 2015, με την έναρξη ισχύος των νέων κανόνων περί του «τόπου παροχής», δεν αποτελεί πλέον απαίτηση η εναρμόνιση των συντελεστών ΦΠΑ για ηλεκτρονικά παρεχόμενες υπηρεσίες και ιδίως για ηλεκτρονικά παρεχόμενες δημοσιεύσεις. Έκτοτε ο ΦΠΑ επιβάλλεται στην έδρα του πελάτη και οι πάροχοι δεν μπορούν πλέον να επωφελούνται από το γεγονός ότι είναι εγκατεστημένοι σε κράτη μέλη με τους χαμηλότερους συντελεστές ΦΠΑ.</w:t>
      </w:r>
    </w:p>
    <w:p>
      <w:pPr>
        <w:pBdr>
          <w:top w:val="nil"/>
          <w:left w:val="nil"/>
          <w:bottom w:val="nil"/>
          <w:right w:val="nil"/>
          <w:between w:val="nil"/>
          <w:bar w:val="nil"/>
        </w:pBdr>
        <w:spacing w:before="0" w:after="240"/>
        <w:rPr>
          <w:noProof/>
        </w:rPr>
      </w:pPr>
      <w:r>
        <w:rPr>
          <w:noProof/>
        </w:rPr>
        <w:t>Όπως αναφέρεται στο σχέδιο δράσης της Επιτροπής για τον ΦΠΑ</w:t>
      </w:r>
      <w:r>
        <w:rPr>
          <w:rStyle w:val="FootnoteReference"/>
          <w:noProof/>
        </w:rPr>
        <w:footnoteReference w:id="1"/>
      </w:r>
      <w:r>
        <w:rPr>
          <w:noProof/>
        </w:rPr>
        <w:t>, οι ισχύοντες κανόνες σχετικά με τους συντελεστές ΦΠΑ δεν λαμβάνουν πλήρως υπόψη τις τεχνολογικές και οικονομικές εξελίξεις όσον αφορά τα ηλεκτρονικά βιβλία και τις ηλεκτρονικές εφημερίδες. Ο εκσυγχρονισμός του ΦΠΑ για την ψηφιακή οικονομία αποτελεί επίσης βασικό στόχο της στρατηγικής για την ψηφιακή ενιαία αγορά</w:t>
      </w:r>
      <w:r>
        <w:rPr>
          <w:rStyle w:val="FootnoteReference"/>
          <w:rFonts w:eastAsia="Arial Unicode MS"/>
          <w:noProof/>
          <w:lang w:eastAsia="en-GB"/>
        </w:rPr>
        <w:footnoteReference w:id="2"/>
      </w:r>
      <w:r>
        <w:rPr>
          <w:noProof/>
        </w:rPr>
        <w:t xml:space="preserve">. </w:t>
      </w:r>
    </w:p>
    <w:p>
      <w:pPr>
        <w:pBdr>
          <w:top w:val="nil"/>
          <w:left w:val="nil"/>
          <w:bottom w:val="nil"/>
          <w:right w:val="nil"/>
          <w:between w:val="nil"/>
          <w:bar w:val="nil"/>
        </w:pBdr>
        <w:spacing w:before="0" w:after="240"/>
        <w:rPr>
          <w:noProof/>
        </w:rPr>
      </w:pPr>
      <w:r>
        <w:rPr>
          <w:noProof/>
        </w:rPr>
        <w:t xml:space="preserve">Στα συμπεράσματά του της 25ης Μαΐου 2016 σχετικά με το σχέδιο δράσης στον τομέα του ΦΠΑ, το Συμβούλιο κάλεσε την Επιτροπή να υποβάλει νομοθετική πρόταση που θα ενσωματώνει διατάξεις σχετικά με τους συντελεστές ΦΠΑ για τις ηλεκτρονικές δημοσιεύσεις στο πλαίσιο πρωτοβουλιών της Ψηφιακής Ενιαίας Αγοράς έως τα τέλη του 2016 και να συμπεριλάβει αξιολόγηση των επιπτώσεων. </w:t>
      </w:r>
    </w:p>
    <w:p>
      <w:pPr>
        <w:pBdr>
          <w:top w:val="nil"/>
          <w:left w:val="nil"/>
          <w:bottom w:val="nil"/>
          <w:right w:val="nil"/>
          <w:between w:val="nil"/>
          <w:bar w:val="nil"/>
        </w:pBdr>
        <w:spacing w:before="0" w:after="240"/>
        <w:rPr>
          <w:noProof/>
        </w:rPr>
      </w:pPr>
      <w:r>
        <w:rPr>
          <w:noProof/>
        </w:rPr>
        <w:lastRenderedPageBreak/>
        <w:t xml:space="preserve">Σύμφωνα με τα συμπεράσματα του Συμβουλίου και τη δέσμευσή της στο σχέδιο δράσης του 2016 για τον ΦΠΑ, η Επιτροπή προτείνει να δοθεί σε όλα τα κράτη μέλη η δυνατότητα να εφαρμόζουν σε ηλεκτρονικά παρεχόμενες δημοσιεύσεις τους ίδιους συντελεστές ΦΠΑ με εκείνους που εφαρμόζουν επί του παρόντος σε έντυπες δημοσιεύσεις και στους οποίους περιλαμβάνονται μειωμένοι, εξαιρετικά μειωμένοι και μηδενικοί συντελεστές. </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Συνοχή με ισχύουσες διατάξεις στον τομέα πολιτικής</w:t>
      </w:r>
    </w:p>
    <w:p>
      <w:pPr>
        <w:pBdr>
          <w:top w:val="nil"/>
          <w:left w:val="nil"/>
          <w:bottom w:val="nil"/>
          <w:right w:val="nil"/>
          <w:between w:val="nil"/>
          <w:bar w:val="nil"/>
        </w:pBdr>
        <w:spacing w:before="0" w:after="240"/>
        <w:rPr>
          <w:rFonts w:eastAsia="Arial Unicode MS"/>
          <w:noProof/>
        </w:rPr>
      </w:pPr>
      <w:r>
        <w:rPr>
          <w:noProof/>
        </w:rPr>
        <w:t xml:space="preserve">Η πρόταση είναι σύμφωνη με την αναγγελία, στο πλαίσιο του σχεδίου δράσης για τον ΦΠΑ, της παροχής περισσότερης ελευθερίας στα κράτη μέλη για τον καθορισμό των συντελεστών ΦΠΑ σε ένα οριστικό καθεστώς ΦΠΑ βάσει του τόπου προορισμού, με νομοθετική πρόταση το 2017. </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Συνοχή με άλλες πολιτικές της Ένωσης</w:t>
      </w:r>
    </w:p>
    <w:p>
      <w:pPr>
        <w:pBdr>
          <w:top w:val="nil"/>
          <w:left w:val="nil"/>
          <w:bottom w:val="nil"/>
          <w:right w:val="nil"/>
          <w:between w:val="nil"/>
          <w:bar w:val="nil"/>
        </w:pBdr>
        <w:spacing w:before="0" w:after="240"/>
        <w:rPr>
          <w:rFonts w:eastAsia="Arial Unicode MS"/>
          <w:noProof/>
        </w:rPr>
      </w:pPr>
      <w:r>
        <w:rPr>
          <w:noProof/>
        </w:rPr>
        <w:t>Η πρόταση συνάδει με τη στρατηγική της Επιτροπής για την ψηφιακή ενιαία αγορά.</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pBdr>
          <w:top w:val="nil"/>
          <w:left w:val="nil"/>
          <w:bottom w:val="nil"/>
          <w:right w:val="nil"/>
          <w:between w:val="nil"/>
          <w:bar w:val="nil"/>
        </w:pBdr>
        <w:spacing w:before="0" w:after="240"/>
        <w:rPr>
          <w:rFonts w:eastAsia="Arial Unicode MS"/>
          <w:noProof/>
        </w:rPr>
      </w:pPr>
      <w:r>
        <w:rPr>
          <w:noProof/>
        </w:rPr>
        <w:t>Η πρόταση βασίζεται στο άρθρο 113 της Συνθήκης για τη λειτουργία της Ευρωπαϊκής Ένωσης (ΣΛΕΕ). Το εν λόγω άρθρο προβλέπει ότι το Συμβούλιο, αποφασίζοντας ομόφωνα σύμφωνα με ειδική νομοθετική διαδικασία και μετά από διαβούλευση με το Ευρωπαϊκό Κοινοβούλιο και την Οικονομική και Κοινωνική Επιτροπή, εκδίδει διατάξεις για την εναρμόνιση των κανόνων των κρατών μελών στον τομέα της έμμεσης φορολογίας.</w:t>
      </w:r>
    </w:p>
    <w:p>
      <w:pPr>
        <w:pStyle w:val="ManualHeading2"/>
        <w:rPr>
          <w:rFonts w:eastAsia="Arial Unicode MS"/>
          <w:noProof/>
          <w:u w:color="000000"/>
          <w:bdr w:val="nil"/>
        </w:rPr>
      </w:pPr>
      <w:r>
        <w:rPr>
          <w:noProof/>
          <w:u w:color="000000"/>
          <w:bdr w:val="nil"/>
        </w:rPr>
        <w:t>•</w:t>
      </w:r>
      <w:r>
        <w:rPr>
          <w:noProof/>
          <w:u w:color="000000"/>
          <w:bdr w:val="nil"/>
        </w:rPr>
        <w:tab/>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rFonts w:eastAsia="Arial Unicode MS"/>
          <w:noProof/>
        </w:rPr>
      </w:pPr>
      <w:r>
        <w:rPr>
          <w:noProof/>
        </w:rPr>
        <w:t>Τα κράτη μέλη είναι υποχρεωμένα να συμμορφώνονται με την οδηγία για τον ΦΠΑ, η οποία δεν τους επιτρέπει να εφαρμόζουν σε ηλεκτρονικές δημοσιεύσεις τους ίδιους συντελεστές ΦΠΑ που εφαρμόζουν επί του παρόντος σε έντυπες δημοσιεύσεις. Απαιτείται νομοθετική πρωτοβουλία σε επίπεδο ΕΕ για την τροποποίηση της οδηγίας προκειμένου να αντιμετωπιστεί το πρόβλημα. Αυτό επιβεβαιώθηκε από το Δικαστήριο της Ευρωπαϊκής Ένωσης (ΔΕΕ) στις αποφάσεις της 5ης Μαρτίου 2015 για τις υποθέσεις C-479/13 και C-502/13, στις οποίες το ΔΕΕ διευκρίνισε σαφώς ότι τα κράτη μέλη δεν μπορούν να εφαρμόζουν μειωμένο συντελεστή ΦΠΑ στα ηλεκτρονικά βιβλία δυνάμει της ισχύουσας οδηγίας για τον ΦΠΑ.</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pBdr>
          <w:top w:val="nil"/>
          <w:left w:val="nil"/>
          <w:bottom w:val="nil"/>
          <w:right w:val="nil"/>
          <w:between w:val="nil"/>
          <w:bar w:val="nil"/>
        </w:pBdr>
        <w:spacing w:before="0" w:after="240"/>
        <w:rPr>
          <w:rFonts w:eastAsia="Arial Unicode MS"/>
          <w:noProof/>
        </w:rPr>
      </w:pPr>
      <w:r>
        <w:rPr>
          <w:noProof/>
        </w:rPr>
        <w:t>Η πρόταση κρίνεται σύμφωνη με την αρχή της αναλογικότητας, υπό την έννοια ότι δεν υπερβαίνει τα αναγκαία για την επίτευξη των στόχων των Συνθηκών και ιδίως της ομαλής λειτουργίας της ενιαίας αγοράς. Ο καθορισμός και ο περιορισμός των συντελεστών ΦΠΑ για τις ηλεκτρονικές δημοσιεύσεις εμπίπτει στην αρμοδιότητα των κρατών μελών. Η πρωτοβουλία δεν υποχρεώνει τα κράτη μέλη να αλλάξουν τυχόν συντελεστές ΦΠΑ που ισχύουν επί του παρόντος· απλώς απαλλάσσει τα κράτη μέλη από κάθε περιορισμό όσον αφορά τον καθορισμό συντελεστών ΦΠΑ για τις δημοσιεύσεις.</w:t>
      </w:r>
    </w:p>
    <w:p>
      <w:pPr>
        <w:pStyle w:val="ManualHeading2"/>
        <w:rPr>
          <w:rFonts w:eastAsia="Arial Unicode MS"/>
          <w:noProof/>
          <w:u w:color="000000"/>
          <w:bdr w:val="nil"/>
        </w:rPr>
      </w:pPr>
      <w:r>
        <w:rPr>
          <w:noProof/>
          <w:u w:color="000000"/>
          <w:bdr w:val="nil"/>
        </w:rPr>
        <w:t>•</w:t>
      </w:r>
      <w:r>
        <w:rPr>
          <w:noProof/>
          <w:u w:color="000000"/>
          <w:bdr w:val="nil"/>
        </w:rPr>
        <w:tab/>
        <w:t>Επιλογή του νομικού μέσου</w:t>
      </w:r>
    </w:p>
    <w:p>
      <w:pPr>
        <w:pBdr>
          <w:top w:val="nil"/>
          <w:left w:val="nil"/>
          <w:bottom w:val="nil"/>
          <w:right w:val="nil"/>
          <w:between w:val="nil"/>
          <w:bar w:val="nil"/>
        </w:pBdr>
        <w:spacing w:before="0" w:after="240"/>
        <w:rPr>
          <w:rFonts w:eastAsia="Arial Unicode MS"/>
          <w:noProof/>
        </w:rPr>
      </w:pPr>
      <w:r>
        <w:rPr>
          <w:noProof/>
        </w:rPr>
        <w:t>Απαιτείται οδηγία για την τροποποίηση της ισχύουσας οδηγίας.</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Διαβουλεύσεις με τα ενδιαφερόμενα μέρη</w:t>
      </w:r>
    </w:p>
    <w:p>
      <w:pPr>
        <w:pBdr>
          <w:top w:val="nil"/>
          <w:left w:val="nil"/>
          <w:bottom w:val="nil"/>
          <w:right w:val="nil"/>
          <w:between w:val="nil"/>
          <w:bar w:val="nil"/>
        </w:pBdr>
        <w:spacing w:before="0" w:after="240"/>
        <w:rPr>
          <w:rFonts w:eastAsia="Arial Unicode MS"/>
          <w:noProof/>
        </w:rPr>
      </w:pPr>
      <w:r>
        <w:rPr>
          <w:noProof/>
        </w:rPr>
        <w:t xml:space="preserve">Πραγματοποιήθηκε ανοικτή δημόσια διαβούλευση για 8 εβδομάδες, μεταξύ 25 Ιουλίου και 19 Σεπτεμβρίου 2016. Η διαβούλευση είχε δύο κύριους σκοπούς. Πρώτον, να συγκεντρωθούν οι απόψεις από ευρύ φάσμα ενδιαφερόμενων μερών σχετικά με τη δέσμευση της Επιτροπής να δοθεί η δυνατότητα στα κράτη μέλη να εφαρμόζουν μειωμένους συντελεστές ΦΠΑ για ηλεκτρονικές δημοσιεύσεις και, δεύτερον, να τους δοθεί η ευκαιρία να εκθέσουν τις απόψεις τους σχετικά με τον/τους πλέον κατάλληλο/-ους ορισμό/-ούς για τις ηλεκτρονικές δημοσιεύσεις που θα μπορούσαν να επωφεληθούν από τον μειωμένο συντελεστή ΦΠΑ. </w:t>
      </w:r>
    </w:p>
    <w:p>
      <w:pPr>
        <w:pBdr>
          <w:top w:val="nil"/>
          <w:left w:val="nil"/>
          <w:bottom w:val="nil"/>
          <w:right w:val="nil"/>
          <w:between w:val="nil"/>
          <w:bar w:val="nil"/>
        </w:pBdr>
        <w:spacing w:before="0" w:after="240"/>
        <w:rPr>
          <w:noProof/>
        </w:rPr>
      </w:pPr>
      <w:r>
        <w:rPr>
          <w:noProof/>
        </w:rPr>
        <w:t>Η Επιτροπή έλαβε 858 παρατηρήσεις από αναγνώστες (50 %), επιχειρήσεις (16 %), οργανώσεις (14 %), συγγραφείς (12 %) και δημόσιες αρχές, ερευνητές και βιβλιοθήκες (8 %), μέσω του εργαλείου «EU Survey» και άλλες τέσσερις εισηγήσεις μέσω ηλεκτρονικού ταχυδρομείου. Η γενική τάση των απαντήσεων δεν διέφερε σημαντικά μεταξύ αυτών των ομάδων ερωτηθέντων, ούτε ανάλογα με τα κράτη μέλη στα οποία βρίσκονται οι συμμετέχοντες. Η συντριπτική πλειονότητα του 94 % των ερωτηθέντων συμφώνησε ότι θα πρέπει να επιτραπεί στα κράτη μέλη να εφαρμόζουν μειωμένο συντελεστή ΦΠΑ στα ηλεκτρονικά βιβλία, ενώ το 88 % εξ αυτών συμφώνησε ότι θα πρέπει να επιτραπεί στα κράτη μέλη να εφαρμόζουν μειωμένο συντελεστή ΦΠΑ σε ηλεκτρονικές εφημερίδες και ηλεκτρονικά περιοδικά επίσης. Πολλοί ερωτηθέντες (45 %) έκριναν ότι δεν θα πρέπει να καταργηθούν οι υφιστάμενοι εξαιρετικά μειωμένοι (κάτω του 5 %) και μηδενικοί συντελεστές για έντυπες δημοσιεύσεις, ενώ το 90 % αυτών των ερωτηθέντων συμφώνησε να επιτραπεί σε όλα τα κράτη μέλη να εφαρμόζουν τους εν λόγω εξαιρετικά μειωμένους ή μηδενικούς συντελεστές ΦΠΑ σε έντυπες δημοσιεύσεις, καθώς και σε ηλεκτρονικές δημοσιεύσεις. Οι ερωτηθέντες ήταν, σε γενικές γραμμές, μοιρασμένοι ομοιόμορφα όσον αφορά τον αντίκτυπο της μείωσης των συντελεστών ΦΠΑ στις ηλεκτρονικές δημοσιεύσεις, με ορισμένους να αναμένουν πλήρη μετακύλιση τυχόν μείωσης του ΦΠΑ στους καταναλωτές και άλλους να αναμένουν μερική μετακύλιση. Στην τελευταία αυτή περίπτωση, τα περιθώρια κέρδους για τους εκδότες θα αυξηθούν, και η πλειονότητα των ενδιαφερόμενων μερών θεώρησε ότι σε αυτή την περίπτωση ο εκδοτικός κλάδος θα επενδύσει σε νέο περιεχόμενο, όσον αφορά τα βιβλία, και ότι, όσον αφορά τις εφημερίδες και τα περιοδικά, θα επενδύσει επίσης σε νέο περιεχόμενο, αλλά και θα μειώσει την εξάρτησή του από τα διαφημιστικά έσοδα.</w:t>
      </w:r>
    </w:p>
    <w:p>
      <w:pPr>
        <w:pBdr>
          <w:top w:val="nil"/>
          <w:left w:val="nil"/>
          <w:bottom w:val="nil"/>
          <w:right w:val="nil"/>
          <w:between w:val="nil"/>
          <w:bar w:val="nil"/>
        </w:pBdr>
        <w:spacing w:before="0" w:after="240"/>
        <w:rPr>
          <w:noProof/>
        </w:rPr>
      </w:pPr>
      <w:r>
        <w:rPr>
          <w:noProof/>
        </w:rPr>
        <w:t>Από τη διαβούλευση επιβεβαιώθηκε επίσης ότι ο ορισμός των δημοσιεύσεων στο ενωσιακό δίκαιο έπρεπε να είναι αρκετά ευρύς και άρτιος ώστε να ανταποκρίνεται σε μελλοντικές τεχνολογικές εξελίξεις. Ποσοστό 59 % των ερωτηθέντων θεώρησε ότι δεν υπάρχει ανάγκη να προσδιοριστούν με ομοιόμορφο τρόπο σε επίπεδο ΕΕ οι όροι βιβλίο, εφημερίδα ή περιοδικό.</w:t>
      </w:r>
    </w:p>
    <w:p>
      <w:pPr>
        <w:pStyle w:val="ManualHeading2"/>
        <w:rPr>
          <w:rFonts w:eastAsia="Arial Unicode MS"/>
          <w:noProof/>
          <w:u w:color="000000"/>
          <w:bdr w:val="nil"/>
        </w:rPr>
      </w:pPr>
      <w:r>
        <w:rPr>
          <w:noProof/>
          <w:u w:color="000000"/>
          <w:bdr w:val="nil"/>
        </w:rPr>
        <w:t>•</w:t>
      </w:r>
      <w:r>
        <w:rPr>
          <w:noProof/>
          <w:u w:color="000000"/>
          <w:bdr w:val="nil"/>
        </w:rPr>
        <w:tab/>
        <w:t>Εκτίμηση των επιπτώσεων</w:t>
      </w:r>
    </w:p>
    <w:p>
      <w:pPr>
        <w:pBdr>
          <w:top w:val="nil"/>
          <w:left w:val="nil"/>
          <w:bottom w:val="nil"/>
          <w:right w:val="nil"/>
          <w:between w:val="nil"/>
          <w:bar w:val="nil"/>
        </w:pBdr>
        <w:spacing w:before="0" w:after="240"/>
        <w:rPr>
          <w:noProof/>
        </w:rPr>
      </w:pPr>
      <w:r>
        <w:rPr>
          <w:noProof/>
        </w:rPr>
        <w:t>Η εκτίμηση των επιπτώσεων που συνοδεύει την παρούσα πρόταση εξετάστηκε από την Επιτροπή ρυθμιστικού ελέγχου. Κατόπιν αρνητικής γνώμης και μετά την αναθεώρηση της αρχικής εκτίμησης των επιπτώσεων, η επιτροπή διατύπωσε τελικά θετική γνώμη με επιφυλάξεις, στις 11 Νοεμβρίου 2016</w:t>
      </w:r>
      <w:r>
        <w:rPr>
          <w:rStyle w:val="FootnoteReference"/>
          <w:noProof/>
        </w:rPr>
        <w:footnoteReference w:id="3"/>
      </w:r>
      <w:r>
        <w:rPr>
          <w:noProof/>
        </w:rPr>
        <w:t xml:space="preserve">. Στην τελική εκτίμηση των επιπτώσεων λαμβάνονται υπόψη όλες οι συστάσεις της επιτροπής, ενώ στο παράρτημα 1 του εγγράφου εργασίας των υπηρεσιών της Επιτροπής για την εκτίμηση των επιπτώσεων περιλαμβάνεται λεπτομερής επισκόπηση σχετικά με τον τρόπο με τον οποίο ελήφθησαν υπόψη οι συστάσεις. </w:t>
      </w:r>
    </w:p>
    <w:p>
      <w:pPr>
        <w:pBdr>
          <w:top w:val="nil"/>
          <w:left w:val="nil"/>
          <w:bottom w:val="nil"/>
          <w:right w:val="nil"/>
          <w:between w:val="nil"/>
          <w:bar w:val="nil"/>
        </w:pBdr>
        <w:spacing w:before="0" w:after="240"/>
        <w:rPr>
          <w:noProof/>
        </w:rPr>
      </w:pPr>
      <w:r>
        <w:rPr>
          <w:noProof/>
        </w:rPr>
        <w:t>Στην εκτίμηση επιπτώσεων εξετάζεται το βασικό σενάριο, δύο επιλογές πολιτικής και οι επιπτώσεις τους. Με την επιλογή 1 θα παρασχεθεί στα κράτη μέλη η δυνατότητα να εφαρμόζουν μειωμένο συντελεστή ΦΠΑ στην παροχή δημοσιεύσεων, τόσο με κάθε υλικό υπόθεμα όσο και ηλεκτρονικά. Εκτός από την επιλογή 1, και με την επιλογή 2 θα παρασχεθεί επίσης στα κράτη μέλη η δυνατότητα να εφαρμόζουν μειωμένους συντελεστές ΦΠΑ χαμηλότερους από το ισχύον κατώτατο όριο του 5 % ή να παρέχουν απαλλαγές με δικαίωμα έκπτωσης του ΦΠΑ που καταβάλλεται σε προηγούμενο στάδιο στην παροχή δημοσιεύσεων, τόσο με κάθε υλικό υπόθεμα όσο και ηλεκτρονικά.</w:t>
      </w:r>
    </w:p>
    <w:p>
      <w:pPr>
        <w:pBdr>
          <w:top w:val="nil"/>
          <w:left w:val="nil"/>
          <w:bottom w:val="nil"/>
          <w:right w:val="nil"/>
          <w:between w:val="nil"/>
          <w:bar w:val="nil"/>
        </w:pBdr>
        <w:spacing w:before="0" w:after="240"/>
        <w:rPr>
          <w:noProof/>
        </w:rPr>
      </w:pPr>
      <w:r>
        <w:rPr>
          <w:noProof/>
        </w:rPr>
        <w:t xml:space="preserve">Και οι δύο επιλογές είναι προτιμότερες από το βασικό σενάριο (καμία αλλαγή στους ισχύοντες κανόνες), διότι ανταποκρίνονται στον στόχο της παρούσας στοχευμένης πρωτοβουλίας. Με την επιλογή 1 θα επιτραπεί σε 19 κράτη μέλη να εναρμονίσουν τους συντελεστές ΦΠΑ για ηλεκτρονικές δημοσιεύσεις με τους ισχύοντες συντελεστές ΦΠΑ για έντυπες δημοσιεύσεις, ενώ με την επιλογή 2 θα επιτραπεί και στα 28 κράτη μέλη να εναρμονίσουν τους συντελεστές ΦΠΑ για ηλεκτρονικές δημοσιεύσεις με τους ισχύοντες συντελεστές ΦΠΑ για έντυπες δημοσιεύσεις. </w:t>
      </w:r>
    </w:p>
    <w:p>
      <w:pPr>
        <w:pBdr>
          <w:top w:val="nil"/>
          <w:left w:val="nil"/>
          <w:bottom w:val="nil"/>
          <w:right w:val="nil"/>
          <w:between w:val="nil"/>
          <w:bar w:val="nil"/>
        </w:pBdr>
        <w:spacing w:before="0" w:after="240"/>
        <w:rPr>
          <w:noProof/>
        </w:rPr>
      </w:pPr>
      <w:r>
        <w:rPr>
          <w:noProof/>
        </w:rPr>
        <w:t>Η επιλογή 2 έχει το πρόσθετο πλεονέκτημα ότι συνάδει πλήρως με το σχέδιο δράσης για τον ΦΠΑ, ιδίως ως προς το ότι, σε ένα οριστικό καθεστώς ΦΠΑ, οι παρεκκλίσεις (εξαιρετικά μειωμένοι και μηδενικοί συντελεστές) που είναι διαθέσιμες μόνο για λίγα κράτη μέλη θα πρέπει να παρέχονται σε όλα τα κράτη μέλη. Ως εκ τούτου, για την παρούσα πρόταση έχει επιλεγεί η επιλογή 2. Εκτιμάται ότι η επιλογή αυτή θα μπορούσε να οδηγήσει σε μέγιστη μείωση των εσόδων από τον ΦΠΑ για τα κράτη μέλη κατά 4,7 δισ. EUR ετησίως έως το 2021, αν όλα τα κράτη μέλη αποφάσιζαν να εφαρμόσουν τους ισχύοντες συντελεστές ΦΠΑ για έντυπες δημοσιεύσεις και σε ηλεκτρονικές δημοσιεύσεις επίσης.</w:t>
      </w:r>
    </w:p>
    <w:p>
      <w:pPr>
        <w:pBdr>
          <w:top w:val="nil"/>
          <w:left w:val="nil"/>
          <w:bottom w:val="nil"/>
          <w:right w:val="nil"/>
          <w:between w:val="nil"/>
          <w:bar w:val="nil"/>
        </w:pBdr>
        <w:spacing w:before="0" w:after="240"/>
        <w:rPr>
          <w:noProof/>
        </w:rPr>
      </w:pPr>
      <w:r>
        <w:rPr>
          <w:noProof/>
        </w:rPr>
        <w:t>Η πρόταση δεν θα μειώσει τον διοικητικό φόρτο για τις επιχειρήσεις και τα έξοδα είσπραξης για τα κράτη μέλη. Θα μπορούσε να προκύψει αυξημένο διοικητικό κόστος κατά τη μετάβαση από το απλούστερο πλαίσιο του κανονικού συντελεστή για ηλεκτρονικές δημοσιεύσεις σε ένα σύστημα με μεγαλύτερη ποικιλία συντελεστών. Από την άλλη πλευρά, θα μπορούσε να διευκολυνθεί η φορολόγηση των συναλλαγών που συνίστανται σε παροχή έντυπης δημοσίευσης μαζί με ηλεκτρονική δημοσίευση, ως πακέτο.</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noProof/>
        </w:rPr>
      </w:pPr>
      <w:r>
        <w:rPr>
          <w:noProof/>
        </w:rPr>
        <w:t xml:space="preserve">Η παρούσα πρόταση δεν έχει καμία αρνητική επίπτωση στον ενωσιακό προϋπολογισμό, διότι οι συντελεστές ΦΠΑ που εφαρμόζονται στα κράτη μέλη δεν έχουν καμιά επίπτωση στους υπολογισμούς των ιδίων πόρων ΦΠΑ. </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u w:color="000000"/>
          <w:bdr w:val="nil"/>
        </w:rPr>
        <w:t>•</w:t>
      </w:r>
      <w:r>
        <w:rPr>
          <w:noProof/>
          <w:u w:color="000000"/>
          <w:bdr w:val="nil"/>
        </w:rPr>
        <w:tab/>
        <w:t>Σχέδια εφαρμογής και παρακολούθηση, αξιολόγηση και ρυθμίσεις περί υποβολής εκθέσεων</w:t>
      </w:r>
    </w:p>
    <w:p>
      <w:pPr>
        <w:pBdr>
          <w:top w:val="nil"/>
          <w:left w:val="nil"/>
          <w:bottom w:val="nil"/>
          <w:right w:val="nil"/>
          <w:between w:val="nil"/>
          <w:bar w:val="nil"/>
        </w:pBdr>
        <w:spacing w:before="0" w:after="240"/>
        <w:rPr>
          <w:noProof/>
        </w:rPr>
      </w:pPr>
      <w:r>
        <w:rPr>
          <w:noProof/>
        </w:rPr>
        <w:t>Απαιτείται παρακολούθηση όσον αφορά την ορθή εφαρμογή της οδηγίας ΦΠΑ. Πέραν αυτού, η παρακολούθηση σε επίπεδο ΕΕ πραγματοποιείται στο πλαίσιο συνεχούς επανεξέτασης του πεδίου εφαρμογής του μειωμένου συντελεστή, σύμφωνα με το άρθρο 100 της οδηγίας ΦΠΑ, καθώς και της συλλογής πληροφοριών σχετικά με τους συντελεστές ΦΠΑ που εφαρμόζονται στα κράτη μέλη, οι οποίες έχουν επί του παρόντος δημοσιευτεί από την Επιτροπή στο έγγραφο «Συντελεστές ΦΠΑ που εφαρμόζονται στα κράτη μέλη της Ευρωπαϊκής Ένωσης»</w:t>
      </w:r>
      <w:r>
        <w:rPr>
          <w:rStyle w:val="FootnoteReference"/>
          <w:noProof/>
        </w:rPr>
        <w:footnoteReference w:id="4"/>
      </w:r>
      <w:r>
        <w:rPr>
          <w:noProof/>
        </w:rPr>
        <w:t>.</w:t>
      </w:r>
    </w:p>
    <w:p>
      <w:pPr>
        <w:pStyle w:val="ManualHeading2"/>
        <w:rPr>
          <w:rFonts w:eastAsia="Arial Unicode MS"/>
          <w:noProof/>
          <w:u w:color="000000"/>
          <w:bdr w:val="nil"/>
        </w:rPr>
      </w:pPr>
      <w:r>
        <w:rPr>
          <w:noProof/>
          <w:u w:color="000000"/>
          <w:bdr w:val="nil"/>
        </w:rPr>
        <w:t>•</w:t>
      </w:r>
      <w:r>
        <w:rPr>
          <w:noProof/>
          <w:u w:color="000000"/>
          <w:bdr w:val="nil"/>
        </w:rPr>
        <w:tab/>
        <w:t>Επεξηγηματικά έγγραφα (για οδηγίες)</w:t>
      </w:r>
    </w:p>
    <w:p>
      <w:pPr>
        <w:pBdr>
          <w:top w:val="nil"/>
          <w:left w:val="nil"/>
          <w:bottom w:val="nil"/>
          <w:right w:val="nil"/>
          <w:between w:val="nil"/>
          <w:bar w:val="nil"/>
        </w:pBdr>
        <w:spacing w:before="0" w:after="240"/>
        <w:rPr>
          <w:rFonts w:eastAsia="Arial Unicode MS"/>
          <w:noProof/>
        </w:rPr>
      </w:pPr>
      <w:r>
        <w:rPr>
          <w:noProof/>
        </w:rPr>
        <w:t>Η πρόταση δεν απαιτεί επεξηγηματικά έγγραφα σχετικά με τη μεταφορά στο εθνικό δίκαιο.</w:t>
      </w:r>
    </w:p>
    <w:p>
      <w:pPr>
        <w:pStyle w:val="ManualHeading2"/>
        <w:rPr>
          <w:rFonts w:eastAsia="Arial Unicode MS"/>
          <w:noProof/>
          <w:u w:color="000000"/>
          <w:bdr w:val="nil"/>
        </w:rPr>
      </w:pPr>
      <w:r>
        <w:rPr>
          <w:noProof/>
          <w:u w:color="000000"/>
          <w:bdr w:val="nil"/>
        </w:rPr>
        <w:t>•</w:t>
      </w:r>
      <w:r>
        <w:rPr>
          <w:noProof/>
          <w:u w:color="000000"/>
          <w:bdr w:val="nil"/>
        </w:rPr>
        <w:tab/>
        <w:t>Αναλυτική επεξήγηση των επιμέρους διατάξεων της πρότασης</w:t>
      </w:r>
    </w:p>
    <w:p>
      <w:pPr>
        <w:pBdr>
          <w:top w:val="nil"/>
          <w:left w:val="nil"/>
          <w:bottom w:val="nil"/>
          <w:right w:val="nil"/>
          <w:between w:val="nil"/>
          <w:bar w:val="nil"/>
        </w:pBdr>
        <w:spacing w:before="0" w:after="240"/>
        <w:rPr>
          <w:noProof/>
        </w:rPr>
      </w:pPr>
      <w:r>
        <w:rPr>
          <w:noProof/>
        </w:rPr>
        <w:t xml:space="preserve">Προκειμένου να δοθεί στα κράτη μέλη η δυνατότητα να εναρμονίσουν τη μεταχείριση των ηλεκτρονικών δημοσιεύσεων από πλευράς συντελεστών ΦΠΑ με τη μεταχείριση των έντυπων δημοσιεύσεων και των δημοσιεύσεων κάθε υλικού υποθέματος, απαιτούνται τρεις τροποποιήσεις της οδηγίας ΦΠΑ: </w:t>
      </w:r>
    </w:p>
    <w:p>
      <w:pPr>
        <w:pBdr>
          <w:top w:val="nil"/>
          <w:left w:val="nil"/>
          <w:bottom w:val="nil"/>
          <w:right w:val="nil"/>
          <w:between w:val="nil"/>
          <w:bar w:val="nil"/>
        </w:pBdr>
        <w:spacing w:before="0"/>
        <w:ind w:left="720"/>
        <w:rPr>
          <w:noProof/>
        </w:rPr>
      </w:pPr>
      <w:r>
        <w:rPr>
          <w:noProof/>
        </w:rPr>
        <w:t>1. Τροποποίηση του παραρτήματος III</w:t>
      </w:r>
    </w:p>
    <w:p>
      <w:pPr>
        <w:pBdr>
          <w:top w:val="nil"/>
          <w:left w:val="nil"/>
          <w:bottom w:val="nil"/>
          <w:right w:val="nil"/>
          <w:between w:val="nil"/>
          <w:bar w:val="nil"/>
        </w:pBdr>
        <w:spacing w:before="0" w:after="240"/>
        <w:ind w:left="720"/>
        <w:rPr>
          <w:noProof/>
        </w:rPr>
      </w:pPr>
      <w:r>
        <w:rPr>
          <w:noProof/>
        </w:rPr>
        <w:t>Στο παράρτημα III σημείο 6 θα διαγραφούν οι αναφορές σε «όλες τις μορφές» και σε συγκεκριμένες μορφές για έντυπες δημοσιεύσεις «(τα παντός είδους φυλλάδια, έντυπα και παρόμοιο έντυπο υλικό, τα παιδικά εικονογραφημένα βιβλία και τετράδια ιχνογραφίας και χρωματισμού, οι έντυπες ή χειρόγραφες μουσικές παρτιτούρες, οι χάρτες και οι υδρογραφικοί ή παρόμοιοι χάρτες)» και θα εισαχθεί η προϋπόθεση «εκτός από δημοσιεύσεις αποτελούμενες εξ ολοκλήρου ή κατά κύριο λόγο από μουσικό περιεχόμενο ή περιεχόμενο βίντεο».</w:t>
      </w:r>
    </w:p>
    <w:p>
      <w:pPr>
        <w:pBdr>
          <w:top w:val="nil"/>
          <w:left w:val="nil"/>
          <w:bottom w:val="nil"/>
          <w:right w:val="nil"/>
          <w:between w:val="nil"/>
          <w:bar w:val="nil"/>
        </w:pBdr>
        <w:spacing w:before="0" w:after="240"/>
        <w:ind w:left="720"/>
        <w:rPr>
          <w:noProof/>
        </w:rPr>
      </w:pPr>
      <w:r>
        <w:rPr>
          <w:noProof/>
        </w:rPr>
        <w:t>2. Τροποποίηση του άρθρου 98</w:t>
      </w:r>
    </w:p>
    <w:p>
      <w:pPr>
        <w:pBdr>
          <w:top w:val="nil"/>
          <w:left w:val="nil"/>
          <w:bottom w:val="nil"/>
          <w:right w:val="nil"/>
          <w:between w:val="nil"/>
          <w:bar w:val="nil"/>
        </w:pBdr>
        <w:spacing w:before="0" w:after="240"/>
        <w:ind w:left="720"/>
        <w:rPr>
          <w:noProof/>
        </w:rPr>
      </w:pPr>
      <w:r>
        <w:rPr>
          <w:noProof/>
        </w:rPr>
        <w:t xml:space="preserve">Βάσει της ισχύουσας οδηγίας, όλες οι ηλεκτρονικά παρεχόμενες υπηρεσίες πρέπει να φορολογούνται με τον κανονικό συντελεστή ΦΠΑ. Εν προκειμένω, εισάγεται εξαίρεση για τις ηλεκτρονικά παρεχόμενες δημοσιεύσεις. </w:t>
      </w:r>
    </w:p>
    <w:p>
      <w:pPr>
        <w:pBdr>
          <w:top w:val="nil"/>
          <w:left w:val="nil"/>
          <w:bottom w:val="nil"/>
          <w:right w:val="nil"/>
          <w:between w:val="nil"/>
          <w:bar w:val="nil"/>
        </w:pBdr>
        <w:spacing w:before="0" w:after="240"/>
        <w:rPr>
          <w:noProof/>
        </w:rPr>
      </w:pPr>
      <w:r>
        <w:rPr>
          <w:noProof/>
        </w:rPr>
        <w:tab/>
        <w:t>3. Τροποποίηση του άρθρου 99</w:t>
      </w:r>
    </w:p>
    <w:p>
      <w:pPr>
        <w:pBdr>
          <w:top w:val="nil"/>
          <w:left w:val="nil"/>
          <w:bottom w:val="nil"/>
          <w:right w:val="nil"/>
          <w:between w:val="nil"/>
          <w:bar w:val="nil"/>
        </w:pBdr>
        <w:spacing w:before="0" w:after="240"/>
        <w:ind w:left="720"/>
        <w:rPr>
          <w:noProof/>
        </w:rPr>
      </w:pPr>
      <w:r>
        <w:rPr>
          <w:noProof/>
        </w:rPr>
        <w:t>Στο άρθρο 99 προστίθεται η παράγραφος 3, ώστε να επιτραπεί στα κράτη μέλη να εφαρμόζουν μειωμένους συντελεστές χαμηλότερους από το κατώτατο όριο που καθορίζεται στο εν λόγω άρθρο ή να παρέχουν απαλλαγές με δικαίωμα έκπτωσης του ΦΠΑ που καταβλήθηκε στο προηγούμενο στάδιο για την παράδοση των αγαθών και την παροχή των υπηρεσιών που αναφέρονται στο τροποποιημένο παράρτημα III σημείο 6.</w:t>
      </w:r>
    </w:p>
    <w:p>
      <w:pPr>
        <w:pBdr>
          <w:top w:val="nil"/>
          <w:left w:val="nil"/>
          <w:bottom w:val="nil"/>
          <w:right w:val="nil"/>
          <w:between w:val="nil"/>
          <w:bar w:val="nil"/>
        </w:pBdr>
        <w:spacing w:before="0" w:after="240"/>
        <w:rPr>
          <w:noProof/>
        </w:rPr>
      </w:pPr>
      <w:r>
        <w:rPr>
          <w:noProof/>
        </w:rPr>
        <w:t xml:space="preserve">Η διαγραφή των αναφορών στη μορφή και η αναφορά γενικά σε βιβλία, εφημερίδες και περιοδικά αποτελεί απαίτηση ώστε να καλύπτονται επίσης και οι ηλεκτρονικές δημοσιεύσεις, ενώ τα κράτη μέλη θα μπορούν να συνεχίσουν να περιορίζουν την εφαρμογή μειωμένων συντελεστών σε ορισμένα βιβλία, εφημερίδες και περιοδικά, π.χ. αποκλείοντας συγκεκριμένες μορφές ή συγκεκριμένο περιεχόμενο. </w:t>
      </w:r>
    </w:p>
    <w:p>
      <w:pPr>
        <w:pBdr>
          <w:top w:val="nil"/>
          <w:left w:val="nil"/>
          <w:bottom w:val="nil"/>
          <w:right w:val="nil"/>
          <w:between w:val="nil"/>
          <w:bar w:val="nil"/>
        </w:pBdr>
        <w:spacing w:before="0" w:after="240"/>
        <w:rPr>
          <w:noProof/>
        </w:rPr>
      </w:pPr>
      <w:r>
        <w:rPr>
          <w:noProof/>
        </w:rPr>
        <w:t xml:space="preserve">Η παροχή καθαρά μουσικού περιεχομένου και περιεχομένου βίντεο θα εξακολουθήσει να φορολογείται με τον κανονικό συντελεστή ΦΠΑ, όπως και η παροχή δημοσιεύσεων που αποτελούνται κατά κύριο λόγο από μουσικό περιεχόμενο και περιεχόμενο βίντεο. Τα κράτη μέλη θα έχουν την ευχέρεια να διευκρινίσουν τον όρο «κατά κύριο λόγο» στην εθνική τους νομοθεσία περί ΦΠΑ. Η λύση αυτή θα επιτρέψει επίσης στα κράτη μέλη να συνεχίσουν να εφαρμόζουν μειωμένο συντελεστή για ακουστικά βιβλία, ακουστικές εφημερίδες και περιοδικά για άτομα με προβλήματα όρασης. </w:t>
      </w:r>
    </w:p>
    <w:p>
      <w:pPr>
        <w:pBdr>
          <w:top w:val="nil"/>
          <w:left w:val="nil"/>
          <w:bottom w:val="nil"/>
          <w:right w:val="nil"/>
          <w:between w:val="nil"/>
          <w:bar w:val="nil"/>
        </w:pBdr>
        <w:spacing w:before="0" w:after="240"/>
        <w:rPr>
          <w:noProof/>
        </w:rPr>
      </w:pPr>
      <w:r>
        <w:rPr>
          <w:noProof/>
        </w:rPr>
        <w:t xml:space="preserve">Στην παρούσα πρόταση δεν προτείνεται κανένας ορισμός σε επίπεδο ΕΕ για τους όρους βιβλίο, εφημερίδα και περιοδικό. Οι ηλεκτρονικές δημοσιεύσεις εξελίσσονται και οποιοσδήποτε συγκεκριμένος ορισμός του τι είναι βιβλίο, εφημερίδα ή περιοδικό ενδέχεται να είναι παρωχημένος σε σύντομο χρονικό διάστημα. Λόγω της απαίτησης ομοφωνίας για την ενωσιακή νομοθεσία στον τομέα της φορολογίας, τα κράτη μέλη έχουν γενικά τη δυνατότητα να προσαρμόζουν τους κανόνες στις μελλοντικές ανάγκες πιο έγκαιρα απ’ ό,τι θα μπορούσε η ΕΕ. </w:t>
      </w:r>
    </w:p>
    <w:p>
      <w:pPr>
        <w:pBdr>
          <w:top w:val="nil"/>
          <w:left w:val="nil"/>
          <w:bottom w:val="nil"/>
          <w:right w:val="nil"/>
          <w:between w:val="nil"/>
          <w:bar w:val="nil"/>
        </w:pBdr>
        <w:spacing w:before="0" w:after="0"/>
        <w:rPr>
          <w:noProof/>
        </w:rPr>
      </w:pPr>
      <w:r>
        <w:rPr>
          <w:noProof/>
        </w:rPr>
        <w:t xml:space="preserve">Με την τρίτη τροποποίηση της οδηγίας ΦΠΑ αναγνωρίζεται το γεγονός ότι σε πολλά κράτη μέλη χορηγήθηκαν παρεκκλίσεις και εφαρμόζονται συντελεστές χαμηλότεροι από τους μειωμένους συντελεστές (περιλαμβανομένων των μηδενικών συντελεστών) σε ορισμένες έντυπες δημοσιεύσεις. Θα χορηγηθεί σε όλα τα κράτη μέλη η δυνατότητα να εφαρμόζουν επιπλέον μειωμένους συντελεστές χαμηλότερους από το ισχύον κατώτατο όριο του 5 % ή να παρέχουν απαλλαγές με δικαίωμα έκπτωσης του ΦΠΑ που καταβλήθηκε στο προηγούμενο στάδιο στην παράδοση βιβλίων, εφημερίδων και περιοδικών, ώστε να μπορούν να εναρμονίζουν τους συντελεστές ΦΠΑ για ηλεκτρονικές δημοσιεύσεις με τον ΦΠΑ που ισχύει σήμερα για τις έντυπες δημοσιεύσεις. </w:t>
      </w:r>
    </w:p>
    <w:p>
      <w:pPr>
        <w:pBdr>
          <w:top w:val="nil"/>
          <w:left w:val="nil"/>
          <w:bottom w:val="nil"/>
          <w:right w:val="nil"/>
          <w:between w:val="nil"/>
          <w:bar w:val="nil"/>
        </w:pBdr>
        <w:spacing w:before="0" w:after="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2016/0374 (CNS)</w:t>
      </w:r>
    </w:p>
    <w:p>
      <w:pPr>
        <w:pStyle w:val="Statut"/>
        <w:rPr>
          <w:noProof/>
        </w:rPr>
      </w:pPr>
      <w:r>
        <w:rPr>
          <w:noProof/>
        </w:rPr>
        <w:t>Πρόταση</w:t>
      </w:r>
    </w:p>
    <w:p>
      <w:pPr>
        <w:pStyle w:val="Typedudocument"/>
        <w:rPr>
          <w:noProof/>
        </w:rPr>
      </w:pPr>
      <w:r>
        <w:rPr>
          <w:noProof/>
        </w:rPr>
        <w:t>ΟΔΗΓΙΑ ΤΟΥ ΣΥΜΒΟΥΛΙΟΥ</w:t>
      </w:r>
    </w:p>
    <w:p>
      <w:pPr>
        <w:pStyle w:val="Titreobjet"/>
        <w:rPr>
          <w:noProof/>
        </w:rPr>
      </w:pPr>
      <w:r>
        <w:rPr>
          <w:noProof/>
        </w:rPr>
        <w:t xml:space="preserve">για την τροποποίηση της οδηγίας 2006/112/ΕΚ όσον αφορά τους συντελεστές του φόρου προστιθέμενης αξίας που εφαρμόζονται σε βιβλία, εφημερίδες και περιοδικά  </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113,</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του Ευρωπαϊκού Κοινοβουλίου</w:t>
      </w:r>
      <w:r>
        <w:rPr>
          <w:rStyle w:val="FootnoteReference"/>
          <w:noProof/>
        </w:rPr>
        <w:footnoteReference w:id="5"/>
      </w:r>
      <w:r>
        <w:rPr>
          <w:noProof/>
        </w:rPr>
        <w:t>,</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6"/>
      </w:r>
      <w:r>
        <w:rPr>
          <w:noProof/>
        </w:rPr>
        <w:t>,</w:t>
      </w:r>
    </w:p>
    <w:p>
      <w:pPr>
        <w:rPr>
          <w:noProof/>
        </w:rPr>
      </w:pPr>
      <w:r>
        <w:rPr>
          <w:noProof/>
        </w:rPr>
        <w:t>Αποφασίζοντας σύμφωνα με ειδική νομοθετική διαδικασία,</w:t>
      </w:r>
    </w:p>
    <w:p>
      <w:pPr>
        <w:rPr>
          <w:noProof/>
        </w:rPr>
      </w:pPr>
      <w:r>
        <w:rPr>
          <w:noProof/>
        </w:rPr>
        <w:t>Εκτιμώντας τα ακόλουθα:</w:t>
      </w:r>
    </w:p>
    <w:p>
      <w:pPr>
        <w:pStyle w:val="ManualConsidrant"/>
        <w:rPr>
          <w:noProof/>
        </w:rPr>
      </w:pPr>
      <w:r>
        <w:rPr>
          <w:noProof/>
        </w:rPr>
        <w:t>(1)</w:t>
      </w:r>
      <w:r>
        <w:rPr>
          <w:noProof/>
        </w:rPr>
        <w:tab/>
        <w:t>Στην οδηγία 2006/112/ΕΚ του Συμβουλίου</w:t>
      </w:r>
      <w:r>
        <w:rPr>
          <w:rStyle w:val="FootnoteReference"/>
          <w:noProof/>
        </w:rPr>
        <w:footnoteReference w:id="7"/>
      </w:r>
      <w:r>
        <w:rPr>
          <w:noProof/>
        </w:rPr>
        <w:t xml:space="preserve"> προβλέπεται ότι τα κράτη μέλη μπορούν να εφαρμόζουν μειωμένους συντελεστές φόρου προστιθέμενης αξίας (ΦΠΑ) σε δημοσιεύσεις κάθε υλικού υποθέματος. Ωστόσο, δεν είναι δυνατή η εφαρμογή μειωμένου συντελεστή ΦΠΑ σε ηλεκτρονικά παρεχόμενες δημοσιεύσεις, οι οποίες πρέπει να φορολογούνται με τον κανονικό συντελεστή ΦΠΑ.</w:t>
      </w:r>
    </w:p>
    <w:p>
      <w:pPr>
        <w:pStyle w:val="ManualConsidrant"/>
        <w:rPr>
          <w:noProof/>
        </w:rPr>
      </w:pPr>
      <w:r>
        <w:rPr>
          <w:noProof/>
        </w:rPr>
        <w:t>(2)</w:t>
      </w:r>
      <w:r>
        <w:rPr>
          <w:noProof/>
        </w:rPr>
        <w:tab/>
        <w:t>Σύμφωνα με τη στρατηγική της Επιτροπής για την ψηφιακή ενιαία αγορά</w:t>
      </w:r>
      <w:r>
        <w:rPr>
          <w:rStyle w:val="FootnoteReference"/>
          <w:noProof/>
        </w:rPr>
        <w:footnoteReference w:id="8"/>
      </w:r>
      <w:r>
        <w:rPr>
          <w:noProof/>
        </w:rPr>
        <w:t xml:space="preserve"> και για λόγους προσαρμογής στην τεχνολογική πρόοδο σε μια ψηφιακή οικονομία, τα κράτη μέλη θα πρέπει να μπορούν να εναρμονίζουν τους συντελεστές ΦΠΑ για ηλεκτρονικά παρεχόμενες δημοσιεύσεις με τους χαμηλότερους συντελεστές ΦΠΑ για δημοσιεύσεις κάθε υλικού υποθέματος. </w:t>
      </w:r>
    </w:p>
    <w:p>
      <w:pPr>
        <w:pStyle w:val="ManualConsidrant"/>
        <w:rPr>
          <w:noProof/>
        </w:rPr>
      </w:pPr>
      <w:r>
        <w:rPr>
          <w:noProof/>
        </w:rPr>
        <w:t>(3)</w:t>
      </w:r>
      <w:r>
        <w:rPr>
          <w:noProof/>
        </w:rPr>
        <w:tab/>
        <w:t>Στο σχέδιο δράσης για τον ΦΠΑ</w:t>
      </w:r>
      <w:r>
        <w:rPr>
          <w:rStyle w:val="FootnoteReference"/>
          <w:noProof/>
        </w:rPr>
        <w:footnoteReference w:id="9"/>
      </w:r>
      <w:r>
        <w:rPr>
          <w:noProof/>
        </w:rPr>
        <w:t>, η Επιτροπή επισήμανε ότι οι ηλεκτρονικά παρεχόμενες δημοσιεύσεις θα πρέπει να μπορούν να επωφεληθούν από την ίδια προτιμησιακή μεταχείριση από πλευράς συντελεστών ΦΠΑ όπως και οι δημοσιεύσεις κάθε υλικού υποθέματος. Για την επίτευξη αυτού του στόχου, είναι σκόπιμο να προβλεφθεί η δυνατότητα για όλα τα κράτη μέλη να εφαρμόζουν στην παράδοση βιβλίων, εφημερίδων και περιοδικών είτε μειωμένο συντελεστή ΦΠΑ είτε χαμηλότερους μειωμένους συντελεστές ΦΠΑ, καθώς και η δυνατότητα παροχής απαλλαγών με δικαίωμα έκπτωσης του ΦΠΑ που καταβλήθηκε στο προηγούμενο στάδιο.</w:t>
      </w:r>
    </w:p>
    <w:p>
      <w:pPr>
        <w:pStyle w:val="ManualConsidrant"/>
        <w:rPr>
          <w:noProof/>
        </w:rPr>
      </w:pPr>
      <w:r>
        <w:rPr>
          <w:noProof/>
        </w:rPr>
        <w:t>(4)</w:t>
      </w:r>
      <w:r>
        <w:rPr>
          <w:noProof/>
        </w:rPr>
        <w:tab/>
        <w:t>Από την 1η Ιανουαρίου 2015, ο ΦΠΑ για όλες τις ηλεκτρονικά παρεχόμενες υπηρεσίες επιβάλλεται στο κράτος μέλος όπου είναι εγκατεστημένος ο πελάτης. Με δεδομένη την εφαρμογή της βασισμένης στον τόπο προορισμού αρχής, δεν είναι πλέον αναγκαίο να εφαρμόζεται ο κανονικός συντελεστής σε ηλεκτρονικά παρεχόμενες δημοσιεύσεις για να εξασφαλιστεί η εγκαθίδρυση και η λειτουργία της εσωτερικής αγοράς και να αποφευχθούν οι στρεβλώσεις του ανταγωνισμού.</w:t>
      </w:r>
    </w:p>
    <w:p>
      <w:pPr>
        <w:pStyle w:val="ManualConsidrant"/>
        <w:rPr>
          <w:noProof/>
        </w:rPr>
      </w:pPr>
      <w:r>
        <w:rPr>
          <w:noProof/>
        </w:rPr>
        <w:t>(5)</w:t>
      </w:r>
      <w:r>
        <w:rPr>
          <w:noProof/>
        </w:rPr>
        <w:tab/>
        <w:t xml:space="preserve">Προκειμένου να αποφευχθεί η εκτεταμένη χρήση μειωμένων συντελεστών ΦΠΑ σε οπτικοακουστικό περιεχόμενο, τα κράτη μέλη θα πρέπει να έχουν τη δυνατότητα να εφαρμόζουν μειωμένο συντελεστή σε βιβλία, εφημερίδες και περιοδικά, μόνον εφόσον οι εν λόγω δημοσιεύσεις, οι οποίες παρέχονται τόσο με κάθε υλικό υπόθεμα όσο και ηλεκτρονικά, δεν αποτελούνται εξ ολοκλήρου ή κατά κύριο λόγο από μουσικό περιεχόμενο ή περιεχόμενο βίντεο. </w:t>
      </w:r>
    </w:p>
    <w:p>
      <w:pPr>
        <w:pStyle w:val="ManualConsidrant"/>
        <w:rPr>
          <w:noProof/>
        </w:rPr>
      </w:pPr>
      <w:r>
        <w:rPr>
          <w:noProof/>
        </w:rPr>
        <w:t>(6)</w:t>
      </w:r>
      <w:r>
        <w:rPr>
          <w:noProof/>
        </w:rPr>
        <w:tab/>
        <w:t xml:space="preserve">Τα κράτη μέλη θα πρέπει να διατηρήσουν τη διακριτική τους ευχέρεια να καθορίζουν συντελεστές ΦΠΑ για δημοσιεύσεις και να περιορίζουν το πεδίο εφαρμογής των μειωμένων συντελεστών ΦΠΑ. </w:t>
      </w:r>
    </w:p>
    <w:p>
      <w:pPr>
        <w:pStyle w:val="ManualConsidrant"/>
        <w:rPr>
          <w:noProof/>
        </w:rPr>
      </w:pPr>
      <w:r>
        <w:rPr>
          <w:noProof/>
        </w:rPr>
        <w:t>(7)</w:t>
      </w:r>
      <w:r>
        <w:rPr>
          <w:noProof/>
        </w:rPr>
        <w:tab/>
        <w:t>Ως εκ τούτου, η οδηγία 2006/112/ΕΚ θα πρέπει να τροποποιηθεί αναλόγως,</w:t>
      </w:r>
    </w:p>
    <w:p>
      <w:pPr>
        <w:rPr>
          <w:noProof/>
        </w:rPr>
      </w:pPr>
    </w:p>
    <w:p>
      <w:pPr>
        <w:pStyle w:val="Formuledadoption"/>
        <w:rPr>
          <w:noProof/>
        </w:rPr>
      </w:pPr>
      <w:r>
        <w:rPr>
          <w:noProof/>
        </w:rPr>
        <w:t>ΕΞΕΔΩΣΕ ΤΗΝ ΠΑΡΟΥΣΑ ΟΔΗΓΙΑ:</w:t>
      </w:r>
    </w:p>
    <w:p>
      <w:pPr>
        <w:pStyle w:val="Titrearticle"/>
        <w:rPr>
          <w:noProof/>
        </w:rPr>
      </w:pPr>
      <w:r>
        <w:rPr>
          <w:noProof/>
        </w:rPr>
        <w:t>Άρθρο 1</w:t>
      </w:r>
    </w:p>
    <w:p>
      <w:pPr>
        <w:rPr>
          <w:noProof/>
        </w:rPr>
      </w:pPr>
      <w:r>
        <w:rPr>
          <w:noProof/>
        </w:rPr>
        <w:t>Η οδηγία 2006/112/ΕΚ τροποποιείται ως εξής:</w:t>
      </w:r>
    </w:p>
    <w:p>
      <w:pPr>
        <w:pStyle w:val="Point0"/>
        <w:rPr>
          <w:noProof/>
        </w:rPr>
      </w:pPr>
      <w:r>
        <w:rPr>
          <w:noProof/>
        </w:rPr>
        <w:t>(1)</w:t>
      </w:r>
      <w:r>
        <w:rPr>
          <w:noProof/>
        </w:rPr>
        <w:tab/>
        <w:t>στο άρθρο 98 παράγραφος 2, το δεύτερο εδάφιο αντικαθίσταται από το ακόλουθο κείμενο:</w:t>
      </w:r>
    </w:p>
    <w:p>
      <w:pPr>
        <w:rPr>
          <w:noProof/>
        </w:rPr>
      </w:pPr>
      <w:r>
        <w:rPr>
          <w:noProof/>
        </w:rPr>
        <w:t>«Οι μειωμένοι συντελεστές δεν εφαρμόζονται στις ηλεκτρονικά παρεχόμενες υπηρεσίες, με την εξαίρεση εκείνων που εμπίπτουν στο παράρτημα III σημείο 6.»</w:t>
      </w:r>
    </w:p>
    <w:p>
      <w:pPr>
        <w:pStyle w:val="Point0"/>
        <w:rPr>
          <w:noProof/>
        </w:rPr>
      </w:pPr>
      <w:r>
        <w:rPr>
          <w:noProof/>
        </w:rPr>
        <w:t>(2)</w:t>
      </w:r>
      <w:r>
        <w:rPr>
          <w:noProof/>
        </w:rPr>
        <w:tab/>
        <w:t>στο άρθρο 99, προστίθεται η ακόλουθη παράγραφος 3:</w:t>
      </w:r>
    </w:p>
    <w:p>
      <w:pPr>
        <w:rPr>
          <w:noProof/>
        </w:rPr>
      </w:pPr>
      <w:r>
        <w:rPr>
          <w:noProof/>
        </w:rPr>
        <w:t>«3.</w:t>
      </w:r>
      <w:r>
        <w:rPr>
          <w:noProof/>
        </w:rPr>
        <w:tab/>
        <w:t xml:space="preserve"> Κατά παρέκκλιση από την παράγραφο 1, τα κράτη μέλη επιτρέπεται να εφαρμόζουν μειωμένους συντελεστές χαμηλότερους από το κατώτατο όριο που καθορίζεται στο παρόν άρθρο ή να παρέχουν απαλλαγές με δικαίωμα έκπτωσης του ΦΠΑ που καταβλήθηκε στο προηγούμενο στάδιο για αγαθά και υπηρεσίες που αναφέρονται στο παράρτημα III σημείο 6.»</w:t>
      </w:r>
    </w:p>
    <w:p>
      <w:pPr>
        <w:pStyle w:val="Point0"/>
        <w:rPr>
          <w:noProof/>
        </w:rPr>
      </w:pPr>
      <w:r>
        <w:rPr>
          <w:noProof/>
        </w:rPr>
        <w:t>(3)</w:t>
      </w:r>
      <w:r>
        <w:rPr>
          <w:noProof/>
        </w:rPr>
        <w:tab/>
        <w:t>στο παράρτημα III, το σημείο 6 αντικαθίστανται από το ακόλουθο κείμενο:</w:t>
      </w:r>
    </w:p>
    <w:p>
      <w:pPr>
        <w:pStyle w:val="Point0"/>
        <w:rPr>
          <w:noProof/>
        </w:rPr>
      </w:pPr>
      <w:r>
        <w:rPr>
          <w:noProof/>
        </w:rPr>
        <w:t>«6)</w:t>
      </w:r>
      <w:r>
        <w:rPr>
          <w:noProof/>
        </w:rPr>
        <w:tab/>
        <w:t xml:space="preserve">η παράδοση, συμπεριλαμβανομένου του χρησιδανεισμού από βιβλιοθήκες, βιβλίων, εφημερίδων και περιοδικών, εκτός από δημοσιεύσεις που προορίζονται εξ ολοκλήρου ή κατά κύριο λόγο για διαφημιστικούς σκοπούς και εκτός από δημοσιεύσεις αποτελούμενες εξ ολοκλήρου ή κατά κύριο λόγο από μουσικό περιεχόμενο ή περιεχόμενο βίντεο,» </w:t>
      </w:r>
    </w:p>
    <w:p>
      <w:pPr>
        <w:pStyle w:val="Titrearticle"/>
        <w:rPr>
          <w:noProof/>
        </w:rPr>
      </w:pPr>
      <w:r>
        <w:rPr>
          <w:noProof/>
        </w:rPr>
        <w:t>Άρθρο 2</w:t>
      </w:r>
    </w:p>
    <w:p>
      <w:pPr>
        <w:rPr>
          <w:noProof/>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w:t>
      </w:r>
    </w:p>
    <w:p>
      <w:pPr>
        <w:pStyle w:val="Titrearticle"/>
        <w:rPr>
          <w:noProof/>
        </w:rPr>
      </w:pPr>
      <w:r>
        <w:rPr>
          <w:noProof/>
        </w:rPr>
        <w:t>Άρθρο 3</w:t>
      </w:r>
    </w:p>
    <w:p>
      <w:pPr>
        <w:rPr>
          <w:noProof/>
        </w:rPr>
      </w:pPr>
      <w:r>
        <w:rPr>
          <w:noProof/>
        </w:rPr>
        <w:t>Η παρούσα οδηγία απευθύνεται στα κράτη μέλη.</w:t>
      </w:r>
    </w:p>
    <w:p>
      <w:pPr>
        <w:pStyle w:val="Fait"/>
        <w:rPr>
          <w:noProof/>
        </w:rPr>
      </w:pPr>
      <w:r>
        <w:rPr>
          <w:noProof/>
        </w:rP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Ανακοίνωση της Επιτροπής προς το Ευρωπαϊκό Κοινοβούλιο, το Συμβούλιο και την Ευρωπαϊκή Οικονομική και Κοινωνική Επιτροπή σχετικά με ένα σχέδιο δράσης για τον ΦΠΑ - Προς έναν ενιαίο χώρο ΦΠΑ στην ΕΕ - Η ώρα των αποφάσεων, </w:t>
      </w:r>
      <w:r>
        <w:rPr>
          <w:color w:val="000000"/>
        </w:rPr>
        <w:t>COM(2016)148 final της 7ης Απριλίου 2016.</w:t>
      </w:r>
    </w:p>
  </w:footnote>
  <w:footnote w:id="2">
    <w:p>
      <w:pPr>
        <w:pStyle w:val="FootnoteText"/>
      </w:pPr>
      <w:r>
        <w:rPr>
          <w:rStyle w:val="FootnoteReference"/>
        </w:rPr>
        <w:footnoteRef/>
      </w:r>
      <w:r>
        <w:tab/>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 «Στρατηγική για την ψηφιακή ενιαία αγορά της Ευρώπης», COM(2015) 192 final της 6ης Μαΐου 2015.</w:t>
      </w:r>
    </w:p>
  </w:footnote>
  <w:footnote w:id="3">
    <w:p>
      <w:pPr>
        <w:pStyle w:val="FootnoteText"/>
        <w:rPr>
          <w:lang w:val="fr-FR"/>
        </w:rPr>
      </w:pPr>
      <w:r>
        <w:rPr>
          <w:rStyle w:val="FootnoteReference"/>
        </w:rPr>
        <w:footnoteRef/>
      </w:r>
      <w:r>
        <w:rPr>
          <w:lang w:val="fr-FR"/>
        </w:rPr>
        <w:tab/>
        <w:t xml:space="preserve">SEC(2016) 493 </w:t>
      </w:r>
    </w:p>
  </w:footnote>
  <w:footnote w:id="4">
    <w:p>
      <w:pPr>
        <w:pStyle w:val="FootnoteText"/>
        <w:rPr>
          <w:lang w:val="fr-FR"/>
        </w:rPr>
      </w:pPr>
      <w:r>
        <w:rPr>
          <w:rStyle w:val="FootnoteReference"/>
        </w:rPr>
        <w:footnoteRef/>
      </w:r>
      <w:r>
        <w:rPr>
          <w:lang w:val="fr-FR"/>
        </w:rPr>
        <w:tab/>
        <w:t>https://ec.europa.eu/taxation_customs/sites/taxation/files/docs/body/vat_rates_en.pdf</w:t>
      </w:r>
    </w:p>
  </w:footnote>
  <w:footnote w:id="5">
    <w:p>
      <w:pPr>
        <w:pStyle w:val="FootnoteText"/>
      </w:pPr>
      <w:r>
        <w:rPr>
          <w:rStyle w:val="FootnoteReference"/>
        </w:rPr>
        <w:footnoteRef/>
      </w:r>
      <w:r>
        <w:tab/>
        <w:t>ΕΕ C της , σ. .</w:t>
      </w:r>
    </w:p>
  </w:footnote>
  <w:footnote w:id="6">
    <w:p>
      <w:pPr>
        <w:pStyle w:val="FootnoteText"/>
      </w:pPr>
      <w:r>
        <w:rPr>
          <w:rStyle w:val="FootnoteReference"/>
        </w:rPr>
        <w:footnoteRef/>
      </w:r>
      <w:r>
        <w:tab/>
        <w:t>ΕΕ C της , σ. .</w:t>
      </w:r>
    </w:p>
  </w:footnote>
  <w:footnote w:id="7">
    <w:p>
      <w:pPr>
        <w:pStyle w:val="FootnoteText"/>
      </w:pPr>
      <w:r>
        <w:rPr>
          <w:rStyle w:val="FootnoteReference"/>
        </w:rPr>
        <w:footnoteRef/>
      </w:r>
      <w:r>
        <w:tab/>
        <w:t>Οδηγία 2006/112/ΕΚ του Συμβουλίου, της 28ης Νοεμβρίου 2006, σχετικά με το κοινό σύστημα φόρου προστιθέμενης αξίας (ΕΕ L 347 της 11.12.2006, σ. 1).</w:t>
      </w:r>
    </w:p>
  </w:footnote>
  <w:footnote w:id="8">
    <w:p>
      <w:pPr>
        <w:pStyle w:val="FootnoteText"/>
      </w:pPr>
      <w:r>
        <w:rPr>
          <w:rStyle w:val="FootnoteReference"/>
        </w:rPr>
        <w:footnoteRef/>
      </w:r>
      <w:r>
        <w:tab/>
        <w:t>COM(2015) 0192 final.</w:t>
      </w:r>
    </w:p>
  </w:footnote>
  <w:footnote w:id="9">
    <w:p>
      <w:pPr>
        <w:pStyle w:val="FootnoteText"/>
      </w:pPr>
      <w:r>
        <w:rPr>
          <w:rStyle w:val="FootnoteReference"/>
        </w:rPr>
        <w:footnoteRef/>
      </w:r>
      <w:r>
        <w:tab/>
        <w:t>COM(2016) 148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EEEE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A2C2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6F4267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0BAEC8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9C90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8E6D4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4CA4C0A"/>
    <w:lvl w:ilvl="0">
      <w:start w:val="1"/>
      <w:numFmt w:val="decimal"/>
      <w:pStyle w:val="ListNumber"/>
      <w:lvlText w:val="%1."/>
      <w:lvlJc w:val="left"/>
      <w:pPr>
        <w:tabs>
          <w:tab w:val="num" w:pos="360"/>
        </w:tabs>
        <w:ind w:left="360" w:hanging="360"/>
      </w:pPr>
    </w:lvl>
  </w:abstractNum>
  <w:abstractNum w:abstractNumId="7">
    <w:nsid w:val="FFFFFF89"/>
    <w:multiLevelType w:val="singleLevel"/>
    <w:tmpl w:val="9FFE4E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5 14:40: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AB59EF0556C4F8FA26B80D0CB575C90"/>
    <w:docVar w:name="LW_CROSSREFERENCE" w:val="{SWD(2016) 392 final}_x000b_{SWD(2016) 393 final}"/>
    <w:docVar w:name="LW_DocType" w:val="COM"/>
    <w:docVar w:name="LW_EMISSION" w:val="1.12.2016"/>
    <w:docVar w:name="LW_EMISSION_ISODATE" w:val="2016-12-01"/>
    <w:docVar w:name="LW_EMISSION_LOCATION" w:val="BRX"/>
    <w:docVar w:name="LW_EMISSION_PREFIX" w:val="Βρυξέλλες,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NS"/>
    <w:docVar w:name="LW_REF.II.NEW.CP_NUMBER" w:val="0374"/>
    <w:docVar w:name="LW_REF.II.NEW.CP_YEAR" w:val="2016"/>
    <w:docVar w:name="LW_REF.INST.NEW" w:val="COM"/>
    <w:docVar w:name="LW_REF.INST.NEW_ADOPTED" w:val="final"/>
    <w:docVar w:name="LW_REF.INST.NEW_TEXT" w:val="(2016) 758"/>
    <w:docVar w:name="LW_REF.INTERNE" w:val="&lt;UNUSED&gt;"/>
    <w:docVar w:name="LW_SOUS.TITRE.OBJ.CP" w:val="&lt;UNUSED&gt;"/>
    <w:docVar w:name="LW_STATUT.CP" w:val="\u928?\u961?\u972?\u964?\u945?\u963?\u951?"/>
    <w:docVar w:name="LW_SUPERTITRE" w:val="&lt;UNUSED&gt;"/>
    <w:docVar w:name="LW_TITRE.OBJ.CP" w:val="\u947?\u953?\u945? \u964?\u951?\u957? \u964?\u961?\u959?\u960?\u959?\u960?\u959?\u943?\u951?\u963?\u951? \u964?\u951?\u962? \u959?\u948?\u951?\u947?\u943?\u945?\u962? 2006/112/\u917?\u922? \u972?\u963?\u959?\u957? \u945?\u966?\u959?\u961?\u940? \u964?\u959?\u965?\u962? \u963?\u965?\u957?\u964?\u949?\u955?\u949?\u963?\u964?\u941?\u962? \u964?\u959?\u965? \u966?\u972?\u961?\u959?\u965? \u960?\u961?\u959?\u963?\u964?\u953?\u952?\u941?\u956?\u949?\u957?\u951?\u962? \u945?\u958?\u943?\u945?\u962? \u960?\u959?\u965? \u949?\u966?\u945?\u961?\u956?\u972?\u950?\u959?\u957?\u964?\u945?\u953? \u963?\u949? \u946?\u953?\u946?\u955?\u943?\u945?, \u949?\u966?\u951?\u956?\u949?\u961?\u943?\u948?\u949?\u962? \u954?\u945?\u953? \u960?\u949?\u961?\u953?\u959?\u948?\u953?\u954?\u940?  "/>
    <w:docVar w:name="LW_TYPE.DOC.CP" w:val="\u927?\u916?\u919?\u915?\u921?\u913?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0518">
      <w:bodyDiv w:val="1"/>
      <w:marLeft w:val="0"/>
      <w:marRight w:val="0"/>
      <w:marTop w:val="0"/>
      <w:marBottom w:val="0"/>
      <w:divBdr>
        <w:top w:val="none" w:sz="0" w:space="0" w:color="auto"/>
        <w:left w:val="none" w:sz="0" w:space="0" w:color="auto"/>
        <w:bottom w:val="none" w:sz="0" w:space="0" w:color="auto"/>
        <w:right w:val="none" w:sz="0" w:space="0" w:color="auto"/>
      </w:divBdr>
    </w:div>
    <w:div w:id="1723208351">
      <w:bodyDiv w:val="1"/>
      <w:marLeft w:val="390"/>
      <w:marRight w:val="390"/>
      <w:marTop w:val="0"/>
      <w:marBottom w:val="0"/>
      <w:divBdr>
        <w:top w:val="none" w:sz="0" w:space="0" w:color="auto"/>
        <w:left w:val="none" w:sz="0" w:space="0" w:color="auto"/>
        <w:bottom w:val="none" w:sz="0" w:space="0" w:color="auto"/>
        <w:right w:val="none" w:sz="0" w:space="0" w:color="auto"/>
      </w:divBdr>
      <w:divsChild>
        <w:div w:id="1464420973">
          <w:marLeft w:val="0"/>
          <w:marRight w:val="0"/>
          <w:marTop w:val="0"/>
          <w:marBottom w:val="0"/>
          <w:divBdr>
            <w:top w:val="none" w:sz="0" w:space="0" w:color="auto"/>
            <w:left w:val="none" w:sz="0" w:space="0" w:color="auto"/>
            <w:bottom w:val="none" w:sz="0" w:space="0" w:color="auto"/>
            <w:right w:val="none" w:sz="0" w:space="0" w:color="auto"/>
          </w:divBdr>
          <w:divsChild>
            <w:div w:id="20035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97308-A6F0-425E-A208-C273B25E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2945</Words>
  <Characters>17201</Characters>
  <Application>Microsoft Office Word</Application>
  <DocSecurity>0</DocSecurity>
  <Lines>301</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2016-11-24T10:47:00Z</cp:lastPrinted>
  <dcterms:created xsi:type="dcterms:W3CDTF">2016-12-01T14:00:00Z</dcterms:created>
  <dcterms:modified xsi:type="dcterms:W3CDTF">2016-12-05T13:40:00Z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