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311CC3AF1264CC29976A92362142C71" style="width:450.35pt;height:379.7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közös hozzáadottértékadó-rendszerről szóló, 2006. november 28-i 2006/112/EK tanácsi irányelv (a továbbiakban: héairányelv) szerint az elektronikus úton nyújtott szolgáltatásokat, köztük az elektronikus formátumban értékesített kiadványokat (a továbbiakban: elektronikus kiadványok) a héa általános mértéke szerint (legalább 15%-kal) kell adóztatni. Másfelől a tagállamoknak lehetőségük van arra, hogy a kiadványokat a fizikai adathordozótól függetlenül csökkentett mértékű (legalább 5%-os) héával adóztassák, egyes tagállamok pedig lehetőséget kaptak arra, hogy a továbbiakban is a jelenlegi minimális, 5%-os mértéknél is alacsonyabb mértékű (rendkívül kedvezményes mértékű) héát alkalmazzanak – ideértve az előzetesen felszámított héa levonásának jogával járó adómentességet (az úgynevezett nulla adómértéket) is – bizonyos nyomtatott kiadványok esetében.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héairányelv megakadályozza a tagállamokat abban, hogy ugyanazokat a héakulcsokat alkalmazzák</w:t>
      </w:r>
      <w:r>
        <w:rPr>
          <w:noProof/>
        </w:rPr>
        <w:br/>
        <w:t xml:space="preserve">az elektronikus kiadványokra, mint amelyeket jelenleg a fizikai kiadványokra is alkalmaznak, ennek pedig az az eredménye, hogy a legtöbb tagállamban az elektronikus kiadványok jelentősen kedvezőtlenebb héaelbírálásban részesülnek. Elismerve a formátum tekintetében a nyomtatott kiadványok és az elektronikus kiadványok között megmutatkozó különbségeket, e kiadványok ugyanazt az olvasnivaló tartalmat kínálják a fogyasztóknak.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2015. január 1-je óta – a „teljesítési helyre” vonatkozó új szabályok hatálybalépésével – az elektronikus úton nyújtott szolgáltatásokra, és különösen az elektronikus kiadványokra vonatkozó héakulcsok harmonizálása már nem követelmény. Azóta a héa kivetése az ügyfél letelepedésének helye szerint történik, az értékesítők pedig már nem élvezhetik annak előnyét, hogy a legalacsonyabb héakulcsot alkalmazó tagállambeli illetőséggel rendelkeznek.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Ahogyan az a Bizottság héára vonatkozó cselekvési tervében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szerepel, a jelenlegi héaszabályok nem teljes mértékben veszik figyelembe a technológiai és gazdasági fejlődést az elektronikus könyvek és elektronikus újságok esetében. A héának a digitális gazdaságra figyelemmel történő modernizálása a digitális egységes piaci stratégiának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is az egyik fő célkitűzése.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héára vonatkozó cselekvési tervről szóló, 2016. május 25-i következtetéseiben a Tanács felkérte a Bizottságot, hogy a digitális egységes piaci stratégiához kapcsolódó kezdeményezésekkel összefüggésben 2016 végéig terjesszen elő az elektronikus kiadványokra vonatkozó héakulccsal kapcsolatos rendelkezéseket is magában foglaló jogalkotási javaslatot, és végezzen hatásvizsgálatot is.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Tanács következtetéseivel és a héára vonatkozó 2016-os cselekvési tervében foglalt kötelezettségvállalással összhangban a Bizottság azt javasolja, hogy valamennyi tagállam kapja meg annak lehetőségét, hogy ugyanazokat a héakulcsokat alkalmazza az elektronikus kiadványokra, mint amelyeket a tagállamok jelenleg a nyomtatott kiadványokra alkalmaznak, és amelyek a kedvezményes, a rendkívül kedvezményes és a nulla adómértéket foglalják magukban.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javaslat összhangban van a héára vonatkozó cselekvési tervben szereplő bejelentéssel, amely szerint 2017-ben egy jogalkotási javaslat révén egy rendeltetési helyen alapuló, végleges héarendszer keretében nagyobb szabadságot kell adni a tagállamoknak a héakulcsok megállapítására.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összhangban van a Bizottság digitális egységes piaci stratégiájával.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jogalapja az EU működéséről szóló Szerződés (EUMSZ) 113. cikke. Ez a cikk előírja a Tanácsnak, hogy az Európai Parlamenttel, valamint a Gazdasági és Szociális Bizottsággal folytatott konzultációt követően, különleges jogalkotási eljárás keretében fogadjon el egyhangúlag rendelkezéseket a tagállamok közvetett adókra vonatkozó jogszabályainak harmonizálására.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Szubszidiaritás (nem kizárólagos hatáskör esetén)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tagállamok kötelesek megfelelni a héairányelvnek, amely megakadályozza őket abban, hogy ugyanazokat a héakulcsokat biztosítsák az elektronikus kiadványoknak, mint amelyeket jelenleg a nyomtatott kiadványokra is alkalmaznak. A probléma rendezéséhez elengedhetetlen az irányelv módosítására irányuló uniós szintű jogalkotási kezdeményezés. Ezt erősítette meg 2015. március 5-i, C-479/13. és C-502/13. sz. ítéleteiben az Európai Unió Bírósága (EUB) is, amely egyértelműen kijelentette, hogy a jelenlegi héairányelv alapján a tagállamok nem alkalmazhatnak kedvezményes héakulcsot az elektronikus könyvekre.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összhangban van az arányosság elvével, azaz nem lépi túl a Szerződések célkitűzéseinek, különösen az egységes piac zökkenőmentes működésének eléréséhez szükséges mértéket. Az elektronikus kiadványokra vonatkozó héakulcsok megállapítása és korlátozása a tagállamok felelősségi körébe tartozik. A kezdeményezés nem kötelezi a tagállamokat a jelenleg hatályos héakulcsok módosítására, csupán mentesíti őket a kiadványokra vonatkozó héakulcsok megállapításával kapcsolatos mindennemű korlátozás alól.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jelenlegi irányelv módosításához irányelv szükséges.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Az érdekelt felekkel folytatott konzultációk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2016. július 25. és szeptember 19. között 8 hétig tartó nyilvános konzultációra került sor. A konzultációnak két fő célja volt. Az első cél az volt, hogy megismerjék az érdekelt felek széles körének véleményét a Bizottság arra irányuló kötelezettségvállalásával kapcsolatban, hogy lehetővé tegye a tagállamoknak a kedvezményes héakulcs alkalmazását az elektronikus kiadványokra vonatkozóan, a második pedig, hogy lehetőséget teremtsen az érdekelt felek számára az olyan elektronikus kiadványok leginkább megfelelő meghatározásával kapcsolatos nézeteik előterjesztésére, amelyek esetében előnyös volna a kedvezményes héakulcs.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Bizottság 858 választ kapott olvasóktól (50%), üzleti vállalkozásoktól (16%), szervezetektől (14%), szerzőktől (12%), valamint hatóságoktól, kutatóktól és könyvtáraktól (8%) az EU Survey eszközön keresztül, négy másik válasz pedig e-mailben érkezett be. A válaszok csapásiránya nem különbözött jelentős mértékben a válaszadók e csoportjai tekintetében, és a résztvevők tagállamai szerint sem. A válaszadók elsöprő, 94%-os többsége egyetértett azzal, hogy a tagállamok számára lehetővé kell tenni a kedvezményes héakulcs alkalmazását az elektronikus könyvekre vonatkozóan, ugyanakkor 88%-uk egyetértett azzal, hogy a tagállamok számára lehetővé kell tenni azt is, hogy az elektronikus újságokra és az elektronikus folyóiratokra is kedvezményes héakulcsot alkalmazzanak. A válaszadók relatív többsége (45%) találta úgy, hogy a nyomtatott kiadványokra vonatkozóan már meglévő rendkívül kedvezményes (5% alatti) és nulla mértékű kulcsokat nem kellene megszüntetni, és ezeknek a válaszadóknak a 90%-a értett egyet azzal, hogy lehetővé kellene tenni a tagállamok számára, hogy ezeket a rendkívül kedvezményes vagy nulla mértékű kulcsokat a nyomtatott kiadványok mellett az elektronikus kiadványokra is alkalmazzák. A válaszadók véleménye nagyjából egyenlően oszlott meg az elektronikus kiadványok héakulcsai csökkentésének hatását illetően – néhányan arra számítanak, hogy a héacsökkentés teljes mértékben megjelenik az ügyfeleknél, mások pedig a csökkenés részleges megjelenését várják. Az utóbbi esetben növekedne a kiadók haszonkulcsa, az érdekelt felek többsége pedig azt tételezte fel, hogy ilyen esetben a kiadói ágazat a könyvek tekintetében új tartalomba fektetne be, az újságok és folyóiratok vonatkozásában pedig szintén, de egyben kevésbé is függene a hirdetésekből befolyó bevételtől.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konzultáció megerősítette azt is, hogy az uniós jogban a kiadványok meghatározásának elég tágnak és kellően megalapozottnak kell lennie ahhoz, hogy a technológia jövőbeni fejlődése esetén is használható maradjon. A válaszadók 59%-a vélte úgy, hogy nem szükséges a könyv, az újság és a folyóirat fogalmának egységes, uniós szintű meghatározása.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Hatásvizsgálat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javaslatot kísérő hatásvizsgálatot a Szabályozói Ellenőrzési Testület vizsgálta meg. Egy kedvezőtlen véleményt és az eredeti hatásvizsgálat felülvizsgálatát követően a Testület 2016. november 11-én végül kedvező véleményt nyilvánított, fenntartásainak is hangot adva.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 végleges hatásvizsgálat a Testület valamennyi ajánlását figyelembe veszi, a hatásvizsgálattal foglalkozó szolgálati munkadokumentum 1. melléklete pedig részletes áttekintést nyújt arra vonatkozóan, hogy miként vették figyelembe a Testület ajánlásait.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hatásvizsgálat az alapforgatókönyvet, két szakpolitikai alternatívát, és ezek hatásait vizsgálja. Az 1. alternatíva lehetővé tenné a tagállamok számára a kedvezményes héakulcsnak a kiadványok értékesítésére vonatkozó alkalmazását – bármilyen fizikai adathordozó és az elektronikus formátum esetében egyaránt. A 2. alternatíva az 1. alternatíván túlmenően lehetővé tenné a tagállamoknak a jelenlegi 5%-os minimális mértéknél is alacsonyabb kedvezményes héakulcsok alkalmazását, illetve az előzetesen felszámított héa levonásának jogával járó adómentesség alkalmazását a fizikai adathordozón értékesített és az elektronikus kiadványok esetében egyaránt.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hatásvizsgálat mindkét alternatívát előnyben részesíti az alapforgatókönyvvel (azaz a jelenlegi szabályok változatlanul hagyásával) szemben, mivel teljesítik a célzott kezdeményezés célkitűzéseit. Az 1. alternatíva 19 tagállam számára tenné lehetővé, hogy az elektronikus kiadványok héakulcsait a nyomtatott kiadványokra vonatkozó jelenlegi héakulcshoz igazítsák, a 2. alternatíva pedig mind a 28 tagállam számára lehetőé tenné, hogy az elektronikus kiadványok héakulcsait a nyomtatott kiadványok aktuális héakulcsaihoz igazítsák.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2. alternatívának az a további előnye, hogy teljes mértékben összhangban van a héára vonatkozó cselekvési tervvel, azaz hogy a csupán néhány tagállam számára rendelkezésre álló eltéréseket (a rendkívül kedvezményes és a nulla mértékű kulcsot) valamennyi tagállam számára biztosítani kellene egy végleges héarendszerben. Ezért a 2. alternatíva került ebbe a javaslatba. A becslések szerint ez az alternatíva legfeljebb évi 4,7 milliárd EUR héabevétel-csökkenést eredményezhet a tagállamok számára 2021-ig, ha valamennyi tagállam úgy határoz, hogy a jelenlegi héakulcsokat alkalmazza a nyomtatott kiadványokra és az elektronikus kiadványokra egyaránt.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javaslat nem csökkenti az üzleti vállalkozások adminisztratív terheit és a tagállamok beszedési költségeit. Az elektronikus kiadványok esetében alkalmazott egyszerűbb, általános héakulcsról a többféle kulccsal működő rendszerre való átállás nagyobb adminisztratív költségeket hozhat. Másrészről viszont egyszerűsödhet az olyan ügyletek adóztatása, amelyek valamilyen nyomtatott kiadványnak egy elektronikus kiadvánnyal együtt, csomagban történő értékesítéséből állnak.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javaslat nincs kedvezőtlen hatással az Unió költségvetésére, mivel a tagállamokban alkalmazott héakulcsok nincsenek hatással a héaalapú saját források kiszámítására.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héairányelv helyes alkalmazása tekintetében nyomon követés szükséges. Ezen túlmenően az európai uniós szintű nyomon követés a kedvezményes adómérték alkalmazási területének folyamatos, a héairányelv 100. cikke szerinti felülvizsgálatával és az egyes tagállamok által alkalmazott héakulcsokra vonatkozó adatok gyűjtésével valósul meg; az összegyűjtött adatokat a Bizottság jelenleg a „VAT rates applied in the Member States of the European Union”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(Az Európai Unió tagállamaiban alkalmazott héakulcsok) című dokumentumban teszi közzé.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Magyarázó dokumentumok (irányelvek esetén)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nem igényel magyarázó dokumentumokat az átültetéshez.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javaslat egyes rendelkezéseinek részletes magyarázata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Annak érdekében, hogy a tagállamok harmonizálhassák az elektronikus kiadványokra vonatkozó héakulcsot a nyomtatott kiadványokra és a bármilyen fizikai adathordozón megjelenített kiadványokra vonatkozó kulccsal, három helyen szükséges módosítani a héairányelvet: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720"/>
        <w:rPr>
          <w:noProof/>
        </w:rPr>
      </w:pPr>
      <w:r>
        <w:rPr>
          <w:noProof/>
        </w:rPr>
        <w:t>1. A III. melléklet módosítása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/>
        <w:rPr>
          <w:noProof/>
        </w:rPr>
      </w:pPr>
      <w:r>
        <w:rPr>
          <w:noProof/>
        </w:rPr>
        <w:t>A III. melléklet 6. pontjában a „bármilyen fizikai adathordozóra” és a nyomtatott kiadványok meghatározott formátumaira „(ideértve a brosúrákat, röplapokat és más nyomtatott anyagokat, gyermekeknek szóló képes-, rajzoló-, illetve kifestőkönyveket, nyomtatott vagy kéziratos kottákat, térképeket, vízrajzi vagy hasonló ábrákat)” való hivatkozásokat el kell hagyni, és helyükbe a „kivéve a nagyrészt vagy teljes egészében zenei vagy videotartalomból álló kiadványokat” feltétel lép.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/>
        <w:rPr>
          <w:noProof/>
        </w:rPr>
      </w:pPr>
      <w:r>
        <w:rPr>
          <w:noProof/>
        </w:rPr>
        <w:t>2. A 98. cikk módosítása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/>
        <w:rPr>
          <w:noProof/>
        </w:rPr>
      </w:pPr>
      <w:r>
        <w:rPr>
          <w:noProof/>
        </w:rPr>
        <w:t xml:space="preserve">A jelenlegi irányelv alapján valamennyi elektronikus úton értékesített szolgáltatást az általános mértékű héa szerint kell adóztatni, amellyel kapcsolatban bevezetésre kerül az elektronikus kiadványokra vonatkozó kivétel.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ab/>
        <w:t>3. A 99. cikk módosítása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720"/>
        <w:rPr>
          <w:noProof/>
        </w:rPr>
      </w:pPr>
      <w:r>
        <w:rPr>
          <w:noProof/>
        </w:rPr>
        <w:t>A 99. cikk egy (3) bekezdéssel egészül ki, amely lehetővé teszi a tagállamok számára, hogy az e cikkben megállapított minimális adómértéknél alacsonyabb kedvezményes mértéket alkalmazzanak, vagy az előzetesen felszámított héa levonásának jogával mentességet adjanak a III. melléklet 6. pontjában említett áruk értékesítésére és szolgáltatások nyújtására vonatkozóan.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formátumra való hivatkozások elhagyása és általában a könyvekre, újságokra és folyóiratokra való hivatkozás olyan követelmény, amely az elektronikus kiadványokra is kiterjed, a tagállamoknak pedig megmarad az a lehetősége, hogy a kedvezményes mértékeket bizonyos könyvekre, újságokra és folyóiratokra korlátozzák, például bizonyos formátumok vagy tartalmak kizárásával.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tisztán zenei és videotartalom után továbbra is az általános mértékű héa szerint kell adózni, ahogyan a nagyrészt zenei és videotartalomból álló kiadványok után is. A tagállamoknak lehetőségük nyílna arra, hogy a „nagyrészt” kifejezést belefoglalják a héára vonatkozó nemzeti jogszabályaikba. E megoldás lehetővé tenné a tagállamok számára azt is, hogy továbbra is kedvezményes adómértéket alkalmazzanak a látássérülteknek szánt hangoskönyvekre, hangosújságokra és -folyóiratokra.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javaslat nem terjeszti elő a könyv, az újság és a folyóirat fogalmának uniós szintű meghatározását. Az elektronikus kiadványok folyamatosan változnak, és a könyv, az újság vagy a folyóirat konkrét meghatározása lehetséges, hogy rövid időn belül elavulna. Tekintettel arra, hogy az adóügyekkel kapcsolatos uniós jogalkotás esetében követelmény az egyhangú döntéshozatal, a tagállamok általában időszerűbben tudják a szabályokat a jövőbeni igényekhez igazítani, mint ahogyan az EU tudná.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noProof/>
        </w:rPr>
      </w:pPr>
      <w:r>
        <w:rPr>
          <w:noProof/>
        </w:rPr>
        <w:t xml:space="preserve">A héairányelv harmadik módosítása tudomásul veszi, hogy több tagállam mentességet kapott, és a kedvezményes mértéknél kisebb mértéket (például nulla adómértéket) alkalmaz bizonyos nyomtatott kiadványokra. Valamennyi tagállam megkapja annak lehetőségét, hogy a könyvek, újságok és a folyóiratok értékesítésére a jelenlegi 5%-os minimális mértéknél alacsonyabb kedvezményes adómértéket, vagy hogy az előzetesen megfizetett héa levonásának jogával járó adómentességeket alkalmazzon, így lehetővé válik a tagállamok számára, hogy az elektronikus kiadványok héakulcsát a nyomtatott kiadványokra vonatkozóan jelenleg hatályban lévő héához igazítsák.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2016/0374 (CNS)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IRÁNYELVE</w:t>
      </w:r>
    </w:p>
    <w:p>
      <w:pPr>
        <w:pStyle w:val="Titreobjet"/>
        <w:rPr>
          <w:noProof/>
        </w:rPr>
      </w:pPr>
      <w:r>
        <w:rPr>
          <w:noProof/>
        </w:rPr>
        <w:t xml:space="preserve">a 2006/112/EK irányelvnek a könyvekre, újságokra és folyóiratokra alkalmazott hozzáadottértékadó-mérték tekintetében történő módosításáról  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113. cikkére,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a jogalkotási aktus tervezete nemzeti parlamenteknek való megküldését követően,</w:t>
      </w:r>
    </w:p>
    <w:p>
      <w:pPr>
        <w:rPr>
          <w:noProof/>
        </w:rPr>
      </w:pPr>
      <w:r>
        <w:rPr>
          <w:noProof/>
        </w:rPr>
        <w:t>tekintettel az Európai Parlament véleményére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tekintettel az Európai Gazdasági és Szociális Bizottság véleményére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különleges jogalkotási eljárás keretében,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 2006/112/EK tanácsi irányelv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előírja, hogy a tagállamok a fizikai adathordozótól függetlenül alkalmazhatnak a kiadványokra vonatkozóan csökkentett mértékű hozzáadottérték-adót (héát). Az elektronikus kiadványokra azonban nem alkalmazható csökkentett mértékű héa, e kiadványokat az általános mértékű héa szerint kell adóztatni.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A Bizottság digitális egységes piaci stratégiájával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összhangban, valamint hogy lépést tarthassanak a digitális gazdaság terén megmutatkozó technológiai fejlődéssel, lehetővé kell tenni a tagállamok számára, hogy az elektronikus kiadványok esetében alkalmazott héakulcsot a bármilyen fizikai adathordozón megjelenő kiadványokra alkalmazott, alacsonyabb mértékű héához igazítsák.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 héára vonatkozó cselekvési tervben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a Bizottság közölte, hogy az elektronikus kiadványokra vonatkozóan is lehetővé kell tenni, hogy ugyanaz a kedvezményes héamérték vonatkozzon rájuk, mint a bármilyen fizikai adathordozón megjelenő kiadványokra. E cél elérése érdekében minden tagállam számára lehetővé kell tenni, hogy vagy csökkentett mértékű héát alkalmazzanak a könyvek, újságok és folyóiratok értékesítésére, vagy pedig alacsonyabb kedvezményes héamértéket annak lehetőségével együtt, hogy az előzetesen felszámított héa levonásának jogával járó mentességeket biztosíthassanak.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2015. január 1-je óta a héát valamennyi elektronikus úton nyújtott szolgáltatás után abban a tagállamban vetik ki, amelyben az ügyfél le van telepedve. Figyelemmel a rendeltetési helyen alapuló elv végrehajtására, a továbbiakban már nem szükséges az általános héamérték alkalmazása az elektronikus kiadványokra a belső piac megteremtésének és működésének biztosítása, valamint a verseny torzulásának elkerülése érdekében.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A kedvezményes héakulcs audiovizuális tartalomra történő széles körű alkalmazásának elkerülése érdekében lehetővé kell tenni a tagállamok számára, hogy kedvezményes héamértéket alkalmazhassanak a könyvekre, újságokra és folyóiratokra, de csak akkor, ha ezek a kiadványok – mind a bármilyen fizikai adathordozón megjelenő, mind pedig az elektronikus kiadványok – nem állnak teljes egészében vagy nagyrészt zenei vagy videotartalomból.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 xml:space="preserve">A tagállamoknak mérlegelési jogkörrel kell rendelkezniük a kiadványok héakulcsának megállapítása és a kedvezményes héakulcs alkalmazási körének korlátozása tekintetében. 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A 2006/112/EK irányelvet ezért ennek megfelelően módosítani kell,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ELFOGADTA EZT AZ IRÁNYELVET: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 2006/112/EK irányelv a következőképpen módosul: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 98. cikk (2) bekezdésének második albekezdése helyébe a következő szöveg lép:</w:t>
      </w:r>
    </w:p>
    <w:p>
      <w:pPr>
        <w:rPr>
          <w:noProof/>
        </w:rPr>
      </w:pPr>
      <w:r>
        <w:rPr>
          <w:noProof/>
        </w:rPr>
        <w:t>A kedvezményes adómérték nem alkalmazható az elektronikus úton nyújtott szolgáltatásokra, kivéve a III. melléklet 6. pontjának hatálya alá tartozó szolgáltatásokat.”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 99. cikk a következő (3) bekezdéssel egészül ki:</w:t>
      </w:r>
    </w:p>
    <w:p>
      <w:pPr>
        <w:rPr>
          <w:noProof/>
        </w:rPr>
      </w:pPr>
      <w:r>
        <w:rPr>
          <w:noProof/>
        </w:rPr>
        <w:t>„(3)</w:t>
      </w:r>
      <w:r>
        <w:rPr>
          <w:noProof/>
        </w:rPr>
        <w:tab/>
        <w:t xml:space="preserve"> Az (1) bekezdés rendelkezéseitől eltérve a tagállamok az e cikkben megállapított minimális adómértéknél alacsonyabb kedvezményes héamértéket alkalmazhatnak vagy az előzetesen felszámított héa levonásának jogával járó mentességet biztosíthatnak a III. melléklet 6. pontjában említett árukra és szolgáltatásokra vonatkozóan.”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A III. melléklet 6. pontja helyébe a következő szöveg lép:</w:t>
      </w:r>
    </w:p>
    <w:p>
      <w:pPr>
        <w:pStyle w:val="Point0"/>
        <w:rPr>
          <w:noProof/>
        </w:rPr>
      </w:pPr>
      <w:r>
        <w:rPr>
          <w:noProof/>
        </w:rPr>
        <w:t>„6.</w:t>
      </w:r>
      <w:r>
        <w:rPr>
          <w:noProof/>
        </w:rPr>
        <w:tab/>
        <w:t xml:space="preserve">könyvek, újságok és folyóiratok értékesítése, beleértve a könyvtári kölcsönzést is, kivéve a nagyrészt vagy teljes egészében reklámcélú kiadványokat, valamint a nagyrészt vagy teljes egészében zenei vagy videotartalomból álló kiadványokat;”. 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 xml:space="preserve">Ez az irányelv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huszadik napon lép hatályba.</w:t>
      </w:r>
    </w:p>
    <w:p>
      <w:pPr>
        <w:pStyle w:val="Titrearticle"/>
        <w:rPr>
          <w:noProof/>
        </w:rPr>
      </w:pPr>
      <w:r>
        <w:rPr>
          <w:noProof/>
        </w:rPr>
        <w:t>3. cikk</w:t>
      </w:r>
    </w:p>
    <w:p>
      <w:pPr>
        <w:keepNext/>
        <w:keepLines/>
        <w:rPr>
          <w:noProof/>
        </w:rPr>
      </w:pPr>
      <w:r>
        <w:rPr>
          <w:noProof/>
        </w:rPr>
        <w:t>Ennek az irányelvnek a tagállamok a címzettjei.</w:t>
      </w:r>
    </w:p>
    <w:p>
      <w:pPr>
        <w:pStyle w:val="Fait"/>
        <w:rPr>
          <w:noProof/>
        </w:rPr>
      </w:pPr>
      <w:r>
        <w:rPr>
          <w:noProof/>
        </w:rP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A Bizottság közleménye az Európai Parlamentnek, a Tanácsnak és az Európai Gazdasági és Szociális Bizottságnak egy, a héára vonatkozó cselekvési tervről – Úton egy egységes uniós héaövezet felé – új döntések szükségeltetnek, </w:t>
      </w:r>
      <w:r>
        <w:rPr>
          <w:color w:val="000000"/>
        </w:rPr>
        <w:t>COM(2016) 148 final, 2016. április 7.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 Bizottság közleménye az Európai Parlamentnek, a Tanácsnak és az Európai Gazdasági és Szociális Bizottságnak és a Régiók Bizottságának – Európai digitális egységes piaci stratégia, COM(2015) 192 final, 2015. május 6.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 xml:space="preserve">SEC(2016) 493. 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https://ec.europa.eu/taxation_customs/sites/taxation/files/docs/body/vat_rates_en.pdf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HL C , , . o.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HL C , , . o.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 Tanács 2006/112/EK irányelve (2006. november 28.) a közös hozzáadottértékadó-rendszerről (HL L 347., 2006.12.11., 1. o.).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COM(2015) 0192 final.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COM(2016) 148 final.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9EEEE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9A2C2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6F426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0BAEC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9C9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E6D4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4CA4C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FFE4E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5 14:40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4311CC3AF1264CC29976A92362142C71"/>
    <w:docVar w:name="LW_CROSSREFERENCE" w:val="{SWD(2016) 392 final}_x000b_{SWD(2016) 393 final}"/>
    <w:docVar w:name="LW_DocType" w:val="COM"/>
    <w:docVar w:name="LW_EMISSION" w:val="2016.12.1."/>
    <w:docVar w:name="LW_EMISSION_ISODATE" w:val="2016-12-01"/>
    <w:docVar w:name="LW_EMISSION_LOCATION" w:val="BRX"/>
    <w:docVar w:name="LW_EMISSION_PREFIX" w:val="Brüsszel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374"/>
    <w:docVar w:name="LW_REF.II.NEW.CP_YEAR" w:val="2016"/>
    <w:docVar w:name="LW_REF.INST.NEW" w:val="COM"/>
    <w:docVar w:name="LW_REF.INST.NEW_ADOPTED" w:val="final"/>
    <w:docVar w:name="LW_REF.INST.NEW_TEXT" w:val="(2016) 758"/>
    <w:docVar w:name="LW_REF.INTERNE" w:val="&lt;UNUSED&gt;"/>
    <w:docVar w:name="LW_SOUS.TITRE.OBJ.CP" w:val="&lt;UNUSED&gt;"/>
    <w:docVar w:name="LW_STATUT.CP" w:val="Javaslat"/>
    <w:docVar w:name="LW_SUPERTITRE" w:val="&lt;UNUSED&gt;"/>
    <w:docVar w:name="LW_TITRE.OBJ.CP" w:val="a 2006/112/EK irányelvnek a könyvekre, újságokra és folyóiratokra alkalmazott hozzáadottértékadó-mérték tekintetében történ\u337? módosításáról  "/>
    <w:docVar w:name="LW_TYPE.DOC.CP" w:val="A TANÁCS IRÁNYELV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835-B85F-4EC1-B1A5-A984DE82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10</Pages>
  <Words>2423</Words>
  <Characters>17284</Characters>
  <Application>Microsoft Office Word</Application>
  <DocSecurity>0</DocSecurity>
  <Lines>283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2016-11-24T10:47:00Z</cp:lastPrinted>
  <dcterms:created xsi:type="dcterms:W3CDTF">2016-12-01T16:54:00Z</dcterms:created>
  <dcterms:modified xsi:type="dcterms:W3CDTF">2016-12-05T13:40:00Z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DQCStatus">
    <vt:lpwstr>Green (DQC version 03)</vt:lpwstr>
  </property>
</Properties>
</file>