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EA21914B4AA452BBCA0B4CEEDDF510C" style="width:450.75pt;height:38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rPr>
      </w:pPr>
      <w:r>
        <w:rPr>
          <w:noProof/>
        </w:rPr>
        <w:t xml:space="preserve">Eurostat julkaisee alueellisiin tietoihin perustuvia Euroopan tilastotietoja useilla eri tilastoaloilla yhteisestä tilastollisten alueyksiköiden nimikkeistöstä (NUTS) annetun </w:t>
      </w:r>
      <w:hyperlink r:id="rId11">
        <w:r>
          <w:rPr>
            <w:noProof/>
          </w:rPr>
          <w:t>asetuksen (EY) N:o 1059/2003</w:t>
        </w:r>
      </w:hyperlink>
      <w:r>
        <w:rPr>
          <w:noProof/>
          <w:vertAlign w:val="superscript"/>
        </w:rPr>
        <w:t>(</w:t>
      </w:r>
      <w:r>
        <w:rPr>
          <w:rStyle w:val="FootnoteReference"/>
          <w:noProof/>
        </w:rPr>
        <w:footnoteReference w:id="2"/>
      </w:r>
      <w:r>
        <w:rPr>
          <w:noProof/>
          <w:vertAlign w:val="superscript"/>
        </w:rPr>
        <w:t>)</w:t>
      </w:r>
      <w:r>
        <w:rPr>
          <w:noProof/>
        </w:rPr>
        <w:t xml:space="preserve"> mukaisesti. Näitä tilastoja käytetään laajasti EU:n aluepolitiikassa. Niiden avulla määritetään, mitkä alueet saavat tukea koheesiorahastoista. Viime vuosina Eurostat on ulottanut julkaistavien tilastojen kirjon joihinkin alueellisiin typologioihin, koska EU:n päättäjät tarvitsevat yhä enemmän tällaisia tietoja koheesio- ja aluekehityspolitiikan yhteydessä. Komissio on määritellyt nämä alueelliset typologiat yhteistyössä taloudellisen yhteistyön ja kehityksen järjestön (OECD) kanssa ja hyväksynyt menetelmiä niiden ottamiseksi käyttöön ja ylläpitämiseksi. Alueelliset typologiat, joiden avulla voidaan määrittää kaupunki-, maaseutu- ja rannikkoalueet ja/tai muut alueet EU:ssa, ovat jo käytössä, mutta niistä ei vielä ole annettu säännöksiä eikä oikeudellisia määritelmiä NUTS-asetuksessa. Se, että näillä typologioilla ja niiden menetelmillä ei ole oikeusperustaa tai että Euroopan tilastojärjestelmä (ESS) ei ole tunnustanut niitä virallisesti, on ongelma, joka on ratkaistava, jotta näitä typologioita voidaan pitää tunnustettuina, puolueettomina ja avoimina tilastollisina typologioina.</w:t>
      </w:r>
    </w:p>
    <w:p>
      <w:pPr>
        <w:spacing w:before="60" w:after="60"/>
        <w:rPr>
          <w:noProof/>
          <w:szCs w:val="24"/>
        </w:rPr>
      </w:pPr>
      <w:r>
        <w:rPr>
          <w:noProof/>
        </w:rPr>
        <w:t>Aloitteen tärkeimmät poliittiset tavoitteet ovat seuraavat:</w:t>
      </w:r>
    </w:p>
    <w:p>
      <w:pPr>
        <w:spacing w:before="60" w:after="60"/>
        <w:rPr>
          <w:noProof/>
          <w:szCs w:val="24"/>
        </w:rPr>
      </w:pPr>
      <w:r>
        <w:rPr>
          <w:noProof/>
        </w:rPr>
        <w:t>1. Luodaan oikeusperusta alueellisille typologioille, mukaan lukien kaupunkien määritelmä, jotta voidaan laatia Euroopan tilastotietoja</w:t>
      </w:r>
    </w:p>
    <w:p>
      <w:pPr>
        <w:spacing w:after="0"/>
        <w:rPr>
          <w:noProof/>
          <w:szCs w:val="24"/>
        </w:rPr>
      </w:pPr>
      <w:r>
        <w:rPr>
          <w:noProof/>
        </w:rPr>
        <w:t xml:space="preserve">Asetuksella, jolla muutetaan </w:t>
      </w:r>
      <w:hyperlink r:id="rId12">
        <w:r>
          <w:rPr>
            <w:noProof/>
          </w:rPr>
          <w:t>asetusta (EY) N:o 1059/2003</w:t>
        </w:r>
      </w:hyperlink>
      <w:r>
        <w:rPr>
          <w:noProof/>
        </w:rPr>
        <w:t>, pyritään sisällyttämään alueelliset typologiat osaksi voimassa olevaa NUTS-asetusta. Tällä tavoin temaattisissa tilastoasetuksissa ja politiikka-aloitteissa voidaan viitata näihin alueellisiin typologioihin, kun tarkoituksena on kerätä Euroopan tilastotietoja ja/tai kohdistaa poliittiset toimenpiteet tiettyihin alueisiin, kuten suuriin kaupunkeihin tai kaupunki-, maaseutu- taikka rannikkoalueisiin. Tämä aloite kattaa näin ollen nykyiset NUTS-tasoon 3 perustuvat alueelliset typologiat (esimerkiksi kaupunki-maaseututypologia ja suurkaupunkialueet), paikalliset hallinnolliset yksiköt (esimerkiksi kaupungistumisaste, kaupungit ja rannikkoalueet) sekä yhden neliökilometrin kokoisen ruudukkotason, jonka avulla lasketaan muut typologiat, jotka perustuvat väestöjakaumaan ja -tiheyteen ruudukkosoluissa.</w:t>
      </w:r>
    </w:p>
    <w:p>
      <w:pPr>
        <w:spacing w:before="60" w:after="60"/>
        <w:rPr>
          <w:noProof/>
          <w:szCs w:val="24"/>
        </w:rPr>
      </w:pPr>
      <w:r>
        <w:rPr>
          <w:noProof/>
        </w:rPr>
        <w:t>2. Vahvistetaan keskeiset määritelmät ja tilastolliset perusteet alueellisia typologioita varten</w:t>
      </w:r>
    </w:p>
    <w:p>
      <w:pPr>
        <w:spacing w:before="60" w:after="60"/>
        <w:rPr>
          <w:noProof/>
          <w:szCs w:val="24"/>
        </w:rPr>
      </w:pPr>
      <w:r>
        <w:rPr>
          <w:noProof/>
        </w:rPr>
        <w:t>Jotta voidaan taata menetelmien avoimuus ja alueellisten typologioiden vakaus pitkällä aikavälillä, keskeiset määritelmät ja typologioiden laatimis- ja ajantasaistamisperusteet on täsmennettävä asetuksessa ja sen täytäntöönpanosäännöksissä. Tätä varten tässä aloitteessa sovelletaan eri typologioihin jo olemassa olevia menetelmiä.</w:t>
      </w:r>
    </w:p>
    <w:p>
      <w:pPr>
        <w:spacing w:before="60" w:after="60"/>
        <w:rPr>
          <w:noProof/>
          <w:szCs w:val="24"/>
        </w:rPr>
      </w:pPr>
      <w:r>
        <w:rPr>
          <w:noProof/>
        </w:rPr>
        <w:t>3. Varmistetaan alueellisten typologioiden yhdenmukainen ja avoin soveltaminen EU:n tasolla ja jäsenvaltioissa</w:t>
      </w:r>
    </w:p>
    <w:p>
      <w:pPr>
        <w:spacing w:after="0"/>
        <w:rPr>
          <w:noProof/>
          <w:szCs w:val="24"/>
        </w:rPr>
      </w:pPr>
      <w:r>
        <w:rPr>
          <w:noProof/>
        </w:rPr>
        <w:t>Aloitteella pyritään parantamaan typologioiden vertailukelpoisuutta ja vakautta. Tämä puolestaan vaikuttaa myönteisesti Euroopan aluetilastojen kokoamiseen ja levittämiseen.</w:t>
      </w:r>
    </w:p>
    <w:p>
      <w:pPr>
        <w:spacing w:after="0"/>
        <w:rPr>
          <w:noProof/>
          <w:szCs w:val="24"/>
        </w:rPr>
      </w:pPr>
      <w:r>
        <w:rPr>
          <w:noProof/>
        </w:rPr>
        <w:t xml:space="preserve">4. Siirretään komissiolle valta antaa delegoituja säädöksiä. Kun </w:t>
      </w:r>
      <w:hyperlink r:id="rId13">
        <w:r>
          <w:rPr>
            <w:noProof/>
          </w:rPr>
          <w:t>asetusta (EY) N:o 1059/2003</w:t>
        </w:r>
      </w:hyperlink>
      <w:r>
        <w:rPr>
          <w:noProof/>
        </w:rPr>
        <w:t xml:space="preserve"> mukautetaan Euroopan unionin toiminnasta tehdyn sopimuksen (SEUT) uusiin sääntöihin, </w:t>
      </w:r>
      <w:r>
        <w:rPr>
          <w:noProof/>
        </w:rPr>
        <w:lastRenderedPageBreak/>
        <w:t>komissiolle kyseisellä asetuksella siirrettyä valtaa antaa säädöksiä, joiden tarkoituksena on muuttaa asetuksen muita kuin keskeisiä osia, on täydennettävä – valvonnan käsittävän sääntelymenettelyn mukaisesti – vallalla antaa delegoituja säädöksiä.</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rPr>
          <w:noProof/>
          <w:u w:color="000000"/>
          <w:bdr w:val="nil"/>
        </w:rPr>
      </w:pPr>
      <w:r>
        <w:rPr>
          <w:noProof/>
        </w:rPr>
        <w:t>Tällä ehdotuksella sisällytetään osaksi NUTS-asetusta typologioita, jotka liittyvät eri tilastoaloihin, kuten aluetilinpitoon, työmarkkinoihin, maaseudun kehittämiseen, maatalouteen, matkailuun ja meripolitiikkaan. Ehdotuksen ansiosta tietoja voidaan yhdistellä selkeiden typologioiden mukaisesti. Tällöin on mahdollista esimerkiksi vertailla BKT:tä maaseutu- ja kaupunkialueilla, matkailijoiden yöpymisten määrää rannikkoalueilla ja muilla alueilla sekä työllisyyttä/työttömyyttä kaupungistumisasteen mukaan.</w:t>
      </w:r>
    </w:p>
    <w:p>
      <w:pPr>
        <w:rPr>
          <w:noProof/>
          <w:u w:color="000000"/>
          <w:bdr w:val="nil"/>
        </w:rPr>
      </w:pPr>
      <w:r>
        <w:rPr>
          <w:noProof/>
        </w:rPr>
        <w:t>Kaupungistumisasteen kaltaisia käsitteitä voidaan käyttää myös tietojen toimittamiseen YK:lle kaupunki- ja maaseutualueista.</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rFonts w:eastAsia="Arial Unicode MS"/>
          <w:noProof/>
          <w:szCs w:val="24"/>
        </w:rPr>
      </w:pPr>
      <w:r>
        <w:rPr>
          <w:noProof/>
        </w:rPr>
        <w:t xml:space="preserve">Alueelliset typologiat vaikuttavat merkittävällä tavalla aluepolitiikkaan Eurooppa 2020 </w:t>
      </w:r>
      <w:r>
        <w:rPr>
          <w:noProof/>
        </w:rPr>
        <w:noBreakHyphen/>
        <w:t>aloitteen</w:t>
      </w:r>
      <w:r>
        <w:rPr>
          <w:noProof/>
          <w:vertAlign w:val="superscript"/>
        </w:rPr>
        <w:t>(</w:t>
      </w:r>
      <w:r>
        <w:rPr>
          <w:rStyle w:val="FootnoteReference"/>
          <w:noProof/>
        </w:rPr>
        <w:footnoteReference w:id="3"/>
      </w:r>
      <w:r>
        <w:rPr>
          <w:noProof/>
          <w:vertAlign w:val="superscript"/>
        </w:rPr>
        <w:t>)</w:t>
      </w:r>
      <w:r>
        <w:rPr>
          <w:noProof/>
        </w:rPr>
        <w:t xml:space="preserve"> yleisten tavoitteiden yhteydessä. Esimerkiksi EU:n koheesiopolitiikan tarkoituksena on vähentää EU:n alueiden välisiä eroja ja edistää kasvua, työllisyyttä ja kestävää kehitystä muita huonommassa asemassa olevilla alueilla. Viime vuosina painopiste on siirtynyt enemmän näyttöön perustuviin poliittisiin toimenpiteisiin ja integroidumpiin alueellisiin lähestymistapoihin, jotka kuvastavat EU:n alueiden kirjoa, esimerkiksi työllisyyden, väestörakenteen, köyhyyden torjunnan, koulutuksen ja taloudellisen toiminnan alalla. Eräät aluepoliittiset analyysit ovat osoittaneet, että on tarpeen tutkia kaupunkien ja maaseudun välisiä merkittäviä eroja, jotka vaihtelevat jäsenvaltioittain (katso esimerkiksi </w:t>
      </w:r>
      <w:hyperlink r:id="rId14">
        <w:r>
          <w:rPr>
            <w:noProof/>
          </w:rPr>
          <w:t>kuudes taloudellista, sosiaalista ja alueellista yhteenkuuluvuutta käsittelevä kertomus</w:t>
        </w:r>
      </w:hyperlink>
      <w:r>
        <w:rPr>
          <w:noProof/>
          <w:vertAlign w:val="superscript"/>
        </w:rPr>
        <w:t>(</w:t>
      </w:r>
      <w:r>
        <w:rPr>
          <w:rStyle w:val="FootnoteReference"/>
          <w:noProof/>
        </w:rPr>
        <w:footnoteReference w:id="4"/>
      </w:r>
      <w:r>
        <w:rPr>
          <w:noProof/>
          <w:vertAlign w:val="superscript"/>
        </w:rPr>
        <w:t>)</w:t>
      </w:r>
      <w:r>
        <w:rPr>
          <w:noProof/>
        </w:rPr>
        <w:t xml:space="preserve">). Vuosien 2014–2020 koheesiopolitiikassa painopisteenä ovat alueellisen kehityksen strategiat, joissa keskitytään kaupunki- ja maaseutualueiden lisäksi myös rannikkoalueisiin. Vuosien 2014–2020 koheesiopolitiikan periaatteissa, jotka vahvistetaan </w:t>
      </w:r>
      <w:hyperlink r:id="rId15">
        <w:r>
          <w:rPr>
            <w:noProof/>
          </w:rPr>
          <w:t>yhteisessä strategiakehyksessä</w:t>
        </w:r>
      </w:hyperlink>
      <w:r>
        <w:rPr>
          <w:noProof/>
          <w:vertAlign w:val="superscript"/>
        </w:rPr>
        <w:t>(</w:t>
      </w:r>
      <w:r>
        <w:rPr>
          <w:rStyle w:val="FootnoteReference"/>
          <w:noProof/>
        </w:rPr>
        <w:footnoteReference w:id="5"/>
      </w:r>
      <w:r>
        <w:rPr>
          <w:noProof/>
          <w:vertAlign w:val="superscript"/>
        </w:rPr>
        <w:t>)</w:t>
      </w:r>
      <w:r>
        <w:rPr>
          <w:noProof/>
        </w:rPr>
        <w:t xml:space="preserve"> korostetaan, että älykkään, kestävän ja osallistavan kasvun edistämisstrategioissa on otettava huomioon kaupunkien ja kaupunki-, maaseutu- ja rannikkoalueiden asema sekä kaupunkien ja maaseudun väliset yhteydet. Kaupungistumisasteen typologiaa käytettiin vastikään </w:t>
      </w:r>
      <w:hyperlink r:id="rId16">
        <w:r>
          <w:rPr>
            <w:noProof/>
          </w:rPr>
          <w:t>asetuksessa (EU) N:o 522/2014</w:t>
        </w:r>
      </w:hyperlink>
      <w:r>
        <w:rPr>
          <w:noProof/>
          <w:vertAlign w:val="superscript"/>
        </w:rPr>
        <w:t>(</w:t>
      </w:r>
      <w:r>
        <w:rPr>
          <w:rStyle w:val="FootnoteReference"/>
          <w:noProof/>
        </w:rPr>
        <w:footnoteReference w:id="6"/>
      </w:r>
      <w:r>
        <w:rPr>
          <w:noProof/>
          <w:vertAlign w:val="superscript"/>
        </w:rPr>
        <w:t>)</w:t>
      </w:r>
      <w:r>
        <w:rPr>
          <w:noProof/>
        </w:rPr>
        <w:t xml:space="preserve"> sen määrittämiseksi, mitkä alueet voivat saada tukea Euroopan aluekehitysrahastosta innovatiivisten toimenpiteiden toteuttamiseksi kaupungeissa ja esikaupungeissa.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autoSpaceDE w:val="0"/>
        <w:autoSpaceDN w:val="0"/>
        <w:adjustRightInd w:val="0"/>
        <w:spacing w:before="0" w:after="0"/>
        <w:rPr>
          <w:noProof/>
          <w:szCs w:val="24"/>
        </w:rPr>
      </w:pPr>
      <w:r>
        <w:rPr>
          <w:noProof/>
        </w:rPr>
        <w:t>Euroopan tilastojen oikeusperusta on SEUT-sopimuksen 338 artikla. Euroopan parlamentti ja neuvosto päättävät tavallista lainsäätämisjärjestystä noudattaen EU:n toiminnan kannalta tarpeellisten tilastojen tuottamiseen liittyvistä toimenpiteistä.</w:t>
      </w:r>
    </w:p>
    <w:p>
      <w:pPr>
        <w:pStyle w:val="ManualHeading2"/>
        <w:rPr>
          <w:rFonts w:eastAsia="Arial Unicode MS"/>
          <w:noProof/>
          <w:u w:color="000000"/>
          <w:bdr w:val="nil"/>
        </w:rPr>
      </w:pPr>
      <w:r>
        <w:rPr>
          <w:noProof/>
        </w:rPr>
        <w:t>•</w:t>
      </w:r>
      <w:r>
        <w:rPr>
          <w:noProof/>
        </w:rPr>
        <w:tab/>
        <w:t>Toissijaisuusperiaate (jaetun toimivallan osalta)</w:t>
      </w:r>
    </w:p>
    <w:p>
      <w:pPr>
        <w:autoSpaceDE w:val="0"/>
        <w:autoSpaceDN w:val="0"/>
        <w:adjustRightInd w:val="0"/>
        <w:spacing w:before="0" w:after="0"/>
        <w:rPr>
          <w:noProof/>
          <w:szCs w:val="24"/>
        </w:rPr>
      </w:pPr>
      <w:r>
        <w:rPr>
          <w:noProof/>
        </w:rPr>
        <w:t>Toissijaisuusperiaatetta sovelletaan, koska asia, jota ehdotus koskee, ei kuulu EU:n yksinomaiseen toimivaltaan. Jäsenvaltiot eivät yksinään pysty riittävällä tavalla saavuttamaan ehdotetun toimen tavoitetta, joka on alueellisia typologioita koskevien tarvittavien osatekijöiden käyttöönotto, vaan toimet voidaan toteuttaa tehokkaammin EU:n tasolla EU:n säädöksen pohjalta. EU:n tasolla voidaan laatia, koordinoida ja ylläpitää yhdenmukaistettuja tilastoluokituksia, mukaan lukien alueelliset typologiat tilastointia varten EU:n tasolla.</w:t>
      </w:r>
    </w:p>
    <w:p>
      <w:pPr>
        <w:pStyle w:val="ManualHeading2"/>
        <w:rPr>
          <w:rFonts w:eastAsia="Arial Unicode MS"/>
          <w:noProof/>
          <w:u w:color="000000"/>
          <w:bdr w:val="nil"/>
        </w:rPr>
      </w:pPr>
      <w:r>
        <w:rPr>
          <w:noProof/>
        </w:rPr>
        <w:t>•</w:t>
      </w:r>
      <w:r>
        <w:rPr>
          <w:noProof/>
        </w:rPr>
        <w:tab/>
        <w:t>Suhteellisuusperiaate</w:t>
      </w:r>
    </w:p>
    <w:p>
      <w:pPr>
        <w:spacing w:before="60" w:after="60"/>
        <w:rPr>
          <w:noProof/>
          <w:szCs w:val="24"/>
        </w:rPr>
      </w:pPr>
      <w:r>
        <w:rPr>
          <w:noProof/>
        </w:rPr>
        <w:t>Aloitteessa ehdotetaan, ettei voimassa olevaa NUTS-asetusta muuteta enempää kuin on ehdottoman välttämätöntä. Koska alueelliset typologiat on tarpeen tunnustaa virallisesti tilastoja ja poliittisia toimenpiteitä varten, aloitteella pyritään tarkistamaan NUTS-asetusta, jotta alueelliset typologiat voidaan sisällyttää osaksi oikeuskehystä muuttamatta kuitenkaan NUTS-alueiden perusperiaatteita, rakennetta ja määritelmiä, jotka on jo hyväksytty ja jotka ovat toimivia ja kiistattomia.</w:t>
      </w:r>
    </w:p>
    <w:p>
      <w:pPr>
        <w:pBdr>
          <w:top w:val="nil"/>
          <w:left w:val="nil"/>
          <w:bottom w:val="nil"/>
          <w:right w:val="nil"/>
          <w:between w:val="nil"/>
          <w:bar w:val="nil"/>
        </w:pBdr>
        <w:spacing w:before="0" w:after="240"/>
        <w:rPr>
          <w:rFonts w:eastAsia="Arial Unicode MS"/>
          <w:noProof/>
          <w:szCs w:val="24"/>
        </w:rPr>
      </w:pPr>
      <w:r>
        <w:rPr>
          <w:noProof/>
        </w:rPr>
        <w:t>Tätä vaihtoehtoa pidetään kaikkein tasapainoisimpana ratkaisuna tilanteeseen, jossa pyritään sovittamaan yhteen tarve toteuttaa toimia ja rajata aloite minimiin tavoitteiden saavuttamiseksi. Koska kyse on jo käytössä olevien typologioiden ja niiden osatekijöiden oikeudellisesta kodifioinnista ja koska komissio (Eurostat) tekee typologioiden osoittamisen itse, aloitteesta aiheutuu vain vähäisiä lisäkustannuksia kansallisille tilastolaitoksille. Yrityksille ja kansalaisille ei aiheudu minkäänlaisia kustannuksia.</w:t>
      </w:r>
    </w:p>
    <w:p>
      <w:pPr>
        <w:pStyle w:val="ManualHeading2"/>
        <w:rPr>
          <w:rFonts w:eastAsia="Arial Unicode MS"/>
          <w:noProof/>
          <w:u w:color="000000"/>
          <w:bdr w:val="nil"/>
        </w:rPr>
      </w:pPr>
      <w:r>
        <w:rPr>
          <w:noProof/>
        </w:rPr>
        <w:t>•</w:t>
      </w:r>
      <w:r>
        <w:rPr>
          <w:noProof/>
        </w:rPr>
        <w:tab/>
        <w:t>Sääntelytavan valinta</w:t>
      </w:r>
    </w:p>
    <w:p>
      <w:pPr>
        <w:autoSpaceDE w:val="0"/>
        <w:autoSpaceDN w:val="0"/>
        <w:adjustRightInd w:val="0"/>
        <w:spacing w:before="0" w:after="0"/>
        <w:rPr>
          <w:noProof/>
          <w:szCs w:val="24"/>
        </w:rPr>
      </w:pPr>
      <w:r>
        <w:rPr>
          <w:noProof/>
        </w:rPr>
        <w:t>Ehdotettu sääntelytapa: asetus.</w:t>
      </w:r>
    </w:p>
    <w:p>
      <w:pPr>
        <w:rPr>
          <w:noProof/>
          <w:szCs w:val="24"/>
        </w:rPr>
      </w:pPr>
      <w:r>
        <w:rPr>
          <w:noProof/>
        </w:rPr>
        <w:t>Kun otetaan huomioon ehdotuksen tavoitteet ja sisältö sekä se, että ehdotuksella muutetaan voimassa olevaa asetusta, soveltuvin sääntelytapa on asetus.</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rPr>
          <w:noProof/>
        </w:rPr>
      </w:pPr>
      <w:r>
        <w:rPr>
          <w:noProof/>
        </w:rPr>
        <w:t>Voimassa oleva lainsäädäntö ei vielä sisällä typologioita, mistä syystä on erittäin vaikeaa vahvistaa ja taata yhdenmukaiset edellytykset niiden yhdenmukaiselle soveltamiselle.</w:t>
      </w:r>
    </w:p>
    <w:p>
      <w:pPr>
        <w:pStyle w:val="ManualHeading2"/>
        <w:rPr>
          <w:rFonts w:eastAsia="Arial Unicode MS"/>
          <w:noProof/>
          <w:u w:color="000000"/>
          <w:bdr w:val="nil"/>
        </w:rPr>
      </w:pPr>
      <w:r>
        <w:rPr>
          <w:noProof/>
        </w:rPr>
        <w:t>•</w:t>
      </w:r>
      <w:r>
        <w:rPr>
          <w:noProof/>
        </w:rPr>
        <w:tab/>
        <w:t>Sidosryhmien kuuleminen</w:t>
      </w:r>
    </w:p>
    <w:p>
      <w:pPr>
        <w:spacing w:before="60" w:after="60"/>
        <w:rPr>
          <w:noProof/>
          <w:szCs w:val="24"/>
        </w:rPr>
      </w:pPr>
      <w:r>
        <w:rPr>
          <w:noProof/>
        </w:rPr>
        <w:t>Sidosryhmät, joihin tämä ehdotus vaikuttaa, ovat pääasiassa jäsenvaltioiden kansallisia tilastolaitoksia. Komissio (Eurostat) kuuli asiantuntijoitaan jo hyvin varhain ehdotuksen laadintavaiheessa. Se luottaa hyvin suuressa määrin heiltä saamaansa palautteeseen ja asiantuntemukseen.</w:t>
      </w:r>
    </w:p>
    <w:p>
      <w:pPr>
        <w:spacing w:before="60" w:after="60"/>
        <w:rPr>
          <w:noProof/>
          <w:szCs w:val="24"/>
        </w:rPr>
      </w:pPr>
      <w:r>
        <w:rPr>
          <w:noProof/>
        </w:rPr>
        <w:t>Alueellisten tietojen tärkein poliittinen käyttäjä on komission alue- ja kaupunkipolitiikan pääosasto (REGIO), jota kuultiin useita kertoja ja jolta myös saatiin arvokasta palautetta.</w:t>
      </w:r>
    </w:p>
    <w:p>
      <w:pPr>
        <w:spacing w:before="60" w:after="60"/>
        <w:rPr>
          <w:noProof/>
          <w:szCs w:val="24"/>
        </w:rPr>
      </w:pPr>
      <w:r>
        <w:rPr>
          <w:noProof/>
        </w:rPr>
        <w:t>Koska tämä ehdotus on luonteeltaan tekninen, ei katsottu tarpeelliseksi ottaa mukaan muita elimiä.</w:t>
      </w:r>
    </w:p>
    <w:p>
      <w:pPr>
        <w:pStyle w:val="ManualHeading2"/>
        <w:rPr>
          <w:rFonts w:eastAsia="Arial Unicode MS"/>
          <w:noProof/>
          <w:u w:color="000000"/>
          <w:bdr w:val="nil"/>
        </w:rPr>
      </w:pPr>
      <w:r>
        <w:rPr>
          <w:noProof/>
        </w:rPr>
        <w:t>•</w:t>
      </w:r>
      <w:r>
        <w:rPr>
          <w:noProof/>
        </w:rPr>
        <w:tab/>
        <w:t>Asiantuntijatiedon keruu ja käyttö</w:t>
      </w:r>
    </w:p>
    <w:p>
      <w:pPr>
        <w:pBdr>
          <w:top w:val="nil"/>
          <w:left w:val="nil"/>
          <w:bottom w:val="nil"/>
          <w:right w:val="nil"/>
          <w:between w:val="nil"/>
          <w:bar w:val="nil"/>
        </w:pBdr>
        <w:spacing w:before="0" w:after="240"/>
        <w:rPr>
          <w:noProof/>
          <w:szCs w:val="24"/>
        </w:rPr>
      </w:pPr>
      <w:r>
        <w:rPr>
          <w:noProof/>
        </w:rPr>
        <w:t>Typologioiden käsitteitä on kehitetty tiiviissä yhteistyössä Eurostatin, REGIO-pääosaston ja Yhteisen tutkimuskeskuksen (jolta saatiin tärkeä tekninen työpanos) ja OECD:n kanssa. Tällä tavoin on voitu kerätä useita jo käytössä olevia käsitteitä ja niiden menetelmiä.</w:t>
      </w:r>
    </w:p>
    <w:p>
      <w:pPr>
        <w:pBdr>
          <w:top w:val="nil"/>
          <w:left w:val="nil"/>
          <w:bottom w:val="nil"/>
          <w:right w:val="nil"/>
          <w:between w:val="nil"/>
          <w:bar w:val="nil"/>
        </w:pBdr>
        <w:spacing w:before="0" w:after="240"/>
        <w:rPr>
          <w:noProof/>
          <w:szCs w:val="24"/>
        </w:rPr>
      </w:pPr>
      <w:r>
        <w:rPr>
          <w:noProof/>
        </w:rPr>
        <w:t>Myös OECD käyttää yhdenmukaisia typologioita tilasto- ja analyysitarkoituksiin.</w:t>
      </w:r>
    </w:p>
    <w:p>
      <w:pPr>
        <w:pStyle w:val="ManualHeading2"/>
        <w:rPr>
          <w:rFonts w:eastAsia="Arial Unicode MS"/>
          <w:noProof/>
          <w:u w:color="000000"/>
          <w:bdr w:val="nil"/>
        </w:rPr>
      </w:pPr>
      <w:r>
        <w:rPr>
          <w:noProof/>
        </w:rPr>
        <w:t>•</w:t>
      </w:r>
      <w:r>
        <w:rPr>
          <w:noProof/>
        </w:rPr>
        <w:tab/>
        <w:t>Vaikutusten arviointi</w:t>
      </w:r>
    </w:p>
    <w:p>
      <w:pPr>
        <w:autoSpaceDE w:val="0"/>
        <w:autoSpaceDN w:val="0"/>
        <w:adjustRightInd w:val="0"/>
        <w:spacing w:after="0"/>
        <w:rPr>
          <w:noProof/>
          <w:color w:val="000000"/>
          <w:szCs w:val="24"/>
        </w:rPr>
      </w:pPr>
      <w:r>
        <w:rPr>
          <w:noProof/>
          <w:color w:val="000000"/>
        </w:rPr>
        <w:t>Vaikutusten arviointia ei tehty, koska ehdotuksella ei ole merkittäviä taloudellisia, yhteiskunnallisia ja ympäristöön kohdistuvia vaikutuksia ja koska siitä ei aiheudu lisärasitetta yrityksille tai kansalaisille. Aloitteella pyritään ennen kaikkea täydentämään voimassa olevaa NUTS-asetusta välttämättömillä osatekijöillä, jotta voidaan ottaa huomioon viimeaikainen kehitys tilastotarkoituksiin tehtävän alueellisen luokituksen alalla.</w:t>
      </w:r>
    </w:p>
    <w:p>
      <w:pPr>
        <w:pStyle w:val="ManualHeading2"/>
        <w:rPr>
          <w:rFonts w:eastAsia="Arial Unicode MS"/>
          <w:noProof/>
          <w:u w:color="000000"/>
          <w:bdr w:val="nil"/>
        </w:rPr>
      </w:pPr>
      <w:r>
        <w:rPr>
          <w:noProof/>
        </w:rPr>
        <w:t>•</w:t>
      </w:r>
      <w:r>
        <w:rPr>
          <w:noProof/>
        </w:rPr>
        <w:tab/>
        <w:t>Sääntelyn toimivuus ja yksinkertaistaminen</w:t>
      </w:r>
    </w:p>
    <w:p>
      <w:pPr>
        <w:rPr>
          <w:noProof/>
        </w:rPr>
      </w:pPr>
      <w:r>
        <w:rPr>
          <w:noProof/>
        </w:rPr>
        <w:t>Alueellisten typologioiden kodifiointi NUTS-asetuksessa tekee tarpeettomaksi niiden määrittelemisen ja selittämisen esimerkiksi kaupunkeja tai maaseudun kehittämistä koskevien säädösten kaltaisissa erityisissä säädöksissä. Tällä tavoin yksinkertaistetaan ja yhdenmukaistetaan lainsäädäntöä, joka koskee kaupunkien ja maaseudun kehittämistä ja meripolitiikkaa.</w:t>
      </w:r>
    </w:p>
    <w:p>
      <w:pPr>
        <w:pStyle w:val="ManualHeading2"/>
        <w:rPr>
          <w:rFonts w:eastAsia="Arial Unicode MS"/>
          <w:noProof/>
          <w:u w:color="000000"/>
          <w:bdr w:val="nil"/>
        </w:rPr>
      </w:pPr>
      <w:r>
        <w:rPr>
          <w:noProof/>
        </w:rPr>
        <w:t>•</w:t>
      </w:r>
      <w:r>
        <w:rPr>
          <w:noProof/>
        </w:rPr>
        <w:tab/>
        <w:t>Perusoikeudet</w:t>
      </w:r>
    </w:p>
    <w:p>
      <w:pPr>
        <w:rPr>
          <w:noProof/>
        </w:rPr>
      </w:pPr>
      <w:r>
        <w:rPr>
          <w:noProof/>
        </w:rPr>
        <w:t>Tämä ehdotus ei vaikuta perusoikeuksiin.</w:t>
      </w:r>
    </w:p>
    <w:p>
      <w:pPr>
        <w:pStyle w:val="ManualHeading1"/>
        <w:rPr>
          <w:noProof/>
        </w:rPr>
      </w:pPr>
      <w:r>
        <w:rPr>
          <w:noProof/>
        </w:rPr>
        <w:t>4.</w:t>
      </w:r>
      <w:r>
        <w:rPr>
          <w:noProof/>
        </w:rPr>
        <w:tab/>
        <w:t>TALOUSARVIOVAIKUTUKSET</w:t>
      </w:r>
    </w:p>
    <w:p>
      <w:pPr>
        <w:rPr>
          <w:noProof/>
        </w:rPr>
      </w:pPr>
      <w:r>
        <w:rPr>
          <w:noProof/>
        </w:rPr>
        <w:t>Ehdotuksella ei ole vaikutuksia EU:n talousarvioon.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rPr>
          <w:noProof/>
          <w:u w:color="000000"/>
          <w:bdr w:val="nil"/>
        </w:rPr>
      </w:pPr>
      <w:r>
        <w:rPr>
          <w:noProof/>
        </w:rPr>
        <w:t>Koska typologiat ovat jo käytössä, vaikka niitä ei olekaan vielä tunnustettu oikeudellisesti, erityisiä toteuttamissuunnitelmia tai seurantasäännöksiä ei ole tarkoitus laatia. Typologiat määritellään ja julkaistaan periaatteessa seuraavalla tavalla:</w:t>
      </w:r>
    </w:p>
    <w:p>
      <w:pPr>
        <w:rPr>
          <w:noProof/>
          <w:u w:color="000000"/>
          <w:bdr w:val="nil"/>
        </w:rPr>
      </w:pPr>
      <w:r>
        <w:rPr>
          <w:noProof/>
        </w:rPr>
        <w:t>Komissio (Eurostat) tekee tarvittavat laskelmat typologioiden osoittamiseksi, kun saatavilla on uusia tietoja väestöjakaumasta ja -tiheydestä ruudukkosoluissa. Yleensä tämä tapahtuu väestönlaskennan jälkeen. Pienempiä päivityksiä, joilla otetaan huomioon muutokset jäsenvaltioiden paikallisissa tai alueellisissa rakenteissa, voidaan tehdä vuosittain asianomaisten jäsenvaltioiden osalta.</w:t>
      </w:r>
    </w:p>
    <w:p>
      <w:pPr>
        <w:rPr>
          <w:noProof/>
          <w:u w:color="000000"/>
          <w:bdr w:val="nil"/>
        </w:rPr>
      </w:pPr>
      <w:r>
        <w:rPr>
          <w:noProof/>
        </w:rPr>
        <w:t>Tehtyään nämä alustavat laskelmat komissio (Eurostat) ilmoittaa tulokset jäsenvaltioille. Jäsenvaltiot voivat tarkistaa tulokset tai muuttaa niitä esimerkiksi erityisten maantieteellisten olojen perusteella.</w:t>
      </w:r>
    </w:p>
    <w:p>
      <w:pPr>
        <w:rPr>
          <w:noProof/>
          <w:u w:color="000000"/>
          <w:bdr w:val="nil"/>
        </w:rPr>
      </w:pPr>
      <w:r>
        <w:rPr>
          <w:noProof/>
        </w:rPr>
        <w:t>Sen jälkeen, kun tuloksista on päästy yhteisymmärrykseen jäsenvaltioiden kanssa, komissio (Eurostat) julkaisee ne asiaa koskevilla verkkosivuillaan.</w:t>
      </w:r>
    </w:p>
    <w:p>
      <w:pPr>
        <w:rPr>
          <w:noProof/>
          <w:u w:color="000000"/>
          <w:bdr w:val="nil"/>
        </w:rPr>
      </w:pPr>
      <w:r>
        <w:rPr>
          <w:noProof/>
        </w:rPr>
        <w:t>Typologioiden yhdenmukaistamiseksi on tarpeen ottaa käyttöön yhdenmukaiset edellytykset. Komissiolle olisi täytäntöönpanosäädöksillä siirrettävä valta panna typologiat täytäntöön.</w:t>
      </w:r>
    </w:p>
    <w:p>
      <w:pPr>
        <w:pStyle w:val="ManualHeading2"/>
        <w:rPr>
          <w:rFonts w:eastAsia="Arial Unicode MS"/>
          <w:noProof/>
          <w:u w:color="000000"/>
          <w:bdr w:val="nil"/>
        </w:rPr>
      </w:pPr>
      <w:r>
        <w:rPr>
          <w:noProof/>
        </w:rPr>
        <w:t>•</w:t>
      </w:r>
      <w:r>
        <w:rPr>
          <w:noProof/>
        </w:rPr>
        <w:tab/>
        <w:t>Ehdotukseen sisältyvien säännösten yksityiskohtaiset selitykset</w:t>
      </w:r>
    </w:p>
    <w:p>
      <w:pPr>
        <w:rPr>
          <w:noProof/>
          <w:u w:color="000000"/>
          <w:bdr w:val="nil"/>
        </w:rPr>
      </w:pPr>
      <w:r>
        <w:rPr>
          <w:noProof/>
        </w:rPr>
        <w:t>Ehdotuksella ei muuteta NUTS-asetusta enempää kuin on ehdottoman välttämätöntä tavoitteiden saavuttamiseksi. Ehdotuksella ei siten kajota NUTS-asetuksen laajalti hyväksyttyihin ja hyvin toimiviin olennaisiin osiin.</w:t>
      </w:r>
    </w:p>
    <w:p>
      <w:pPr>
        <w:rPr>
          <w:noProof/>
          <w:u w:color="000000"/>
          <w:bdr w:val="nil"/>
        </w:rPr>
      </w:pPr>
      <w:r>
        <w:rPr>
          <w:noProof/>
        </w:rPr>
        <w:t>Ehdotuksella muutetaan tai korvataan joitakin asetuksen (EY) N:o 1059/2003 säännöksiä seuraavassa esitetyistä syistä.</w:t>
      </w:r>
    </w:p>
    <w:p>
      <w:pPr>
        <w:rPr>
          <w:noProof/>
          <w:u w:color="000000"/>
          <w:bdr w:val="nil"/>
        </w:rPr>
      </w:pPr>
      <w:r>
        <w:rPr>
          <w:noProof/>
        </w:rPr>
        <w:t>– 1 artikla</w:t>
      </w:r>
    </w:p>
    <w:p>
      <w:pPr>
        <w:rPr>
          <w:noProof/>
          <w:u w:color="000000"/>
          <w:bdr w:val="nil"/>
        </w:rPr>
      </w:pPr>
      <w:r>
        <w:rPr>
          <w:noProof/>
        </w:rPr>
        <w:t>Uudella 1 artiklalla laajennetaan NUTS-asetuksen kohdetta lisäämällä siihen alueellisia typologioita ja tilastoruudukkoja, joiden avulla typologiat lasketaan väestöjakauman ja -tiheyden perusteella yksittäisissä ruudukkosoluissa. Kyseisellä artiklalla myös selvennetään paikallisten hallinnollisten yksiköiden (LAU) tehtäviä ja nimikettä, joka voimassa olevassa NUTS-asetuksessa on epäyhtenäinen (”NUTS-luokituksen osatekijät” ja ”pienemmät hallinnolliset yksiköt”).</w:t>
      </w:r>
    </w:p>
    <w:p>
      <w:pPr>
        <w:rPr>
          <w:noProof/>
          <w:u w:color="000000"/>
          <w:bdr w:val="nil"/>
        </w:rPr>
      </w:pPr>
      <w:r>
        <w:rPr>
          <w:noProof/>
        </w:rPr>
        <w:t>– 2 artikla</w:t>
      </w:r>
    </w:p>
    <w:p>
      <w:pPr>
        <w:rPr>
          <w:noProof/>
          <w:u w:color="000000"/>
          <w:bdr w:val="nil"/>
        </w:rPr>
      </w:pPr>
      <w:r>
        <w:rPr>
          <w:noProof/>
        </w:rPr>
        <w:t>Ehdotuksella poistetaan 2 artiklan 5 kohta. Kyseisessä kohdassa viitataan vuonna 2005 eli kaksi vuotta alkuperäisen NUTS-asetuksen voimaantulon (2003) jälkeen annettavaan tiedonantoon. Kyseinen kohta on siksi vanhentunut.</w:t>
      </w:r>
    </w:p>
    <w:p>
      <w:pPr>
        <w:rPr>
          <w:noProof/>
          <w:u w:color="000000"/>
          <w:bdr w:val="nil"/>
        </w:rPr>
      </w:pPr>
      <w:r>
        <w:rPr>
          <w:noProof/>
        </w:rPr>
        <w:t>– 3 artikla</w:t>
      </w:r>
    </w:p>
    <w:p>
      <w:pPr>
        <w:rPr>
          <w:noProof/>
          <w:u w:color="000000"/>
          <w:bdr w:val="nil"/>
        </w:rPr>
      </w:pPr>
      <w:r>
        <w:rPr>
          <w:noProof/>
        </w:rPr>
        <w:t>Ehdotuksella mukautetaan 3 artiklan 4 kohtaa vastaamaan uusia institutionaalisia menettelyjä, jotka otettiin käyttöön Lissabonin sopimuksen myötä (delegoidut säädökset valvonnan käsittävän sääntelymenettelyn sijaan).</w:t>
      </w:r>
    </w:p>
    <w:p>
      <w:pPr>
        <w:rPr>
          <w:noProof/>
          <w:u w:color="000000"/>
          <w:bdr w:val="nil"/>
        </w:rPr>
      </w:pPr>
      <w:r>
        <w:rPr>
          <w:noProof/>
        </w:rPr>
        <w:t>Ehdotuksella myös poistetaan 3 artiklan 5 kohdan viimeinen virke, koska asianomaisen vallan siirtäminen komissiolle ei enää ole tarkoituksenmukaista.</w:t>
      </w:r>
    </w:p>
    <w:p>
      <w:pPr>
        <w:rPr>
          <w:noProof/>
          <w:u w:color="000000"/>
          <w:bdr w:val="nil"/>
        </w:rPr>
      </w:pPr>
      <w:r>
        <w:rPr>
          <w:noProof/>
        </w:rPr>
        <w:t>– 4 artikla</w:t>
      </w:r>
    </w:p>
    <w:p>
      <w:pPr>
        <w:rPr>
          <w:noProof/>
          <w:u w:color="000000"/>
          <w:bdr w:val="nil"/>
        </w:rPr>
      </w:pPr>
      <w:r>
        <w:rPr>
          <w:noProof/>
        </w:rPr>
        <w:t>Ehdotuksen 4 artiklassa säädetään paikallisista hallinnollisista yksiköistä (LAU). Sillä myös selkeytetään ja yksinkertaistetaan toimitusvaatimuksia koskevia säännöksiä. Ne eivät aiemmin olleet johdonmukaisia.</w:t>
      </w:r>
    </w:p>
    <w:p>
      <w:pPr>
        <w:rPr>
          <w:noProof/>
          <w:u w:color="000000"/>
          <w:bdr w:val="nil"/>
        </w:rPr>
      </w:pPr>
      <w:r>
        <w:rPr>
          <w:noProof/>
        </w:rPr>
        <w:t>Lisäksi komissiolle siirretään valta antaa delegoituja säädöksiä, jotta NUTS-asetuksen liitteessä III olevaa LAU-luetteloa voidaan mukauttaa.</w:t>
      </w:r>
    </w:p>
    <w:p>
      <w:pPr>
        <w:rPr>
          <w:noProof/>
          <w:u w:color="000000"/>
          <w:bdr w:val="nil"/>
        </w:rPr>
      </w:pPr>
      <w:r>
        <w:rPr>
          <w:noProof/>
        </w:rPr>
        <w:t>– 4 a artikla</w:t>
      </w:r>
    </w:p>
    <w:p>
      <w:pPr>
        <w:rPr>
          <w:noProof/>
          <w:u w:color="000000"/>
          <w:bdr w:val="nil"/>
        </w:rPr>
      </w:pPr>
      <w:r>
        <w:rPr>
          <w:noProof/>
        </w:rPr>
        <w:t>Uudella 4 a artiklalla otetaan käyttöön tilastoruudukkoja, joita komissio (Eurostat) ylläpitää ja julkaisee ja jotka toimivat alueellisten typologioiden laskentaperustana eri alueilla.</w:t>
      </w:r>
    </w:p>
    <w:p>
      <w:pPr>
        <w:rPr>
          <w:noProof/>
          <w:u w:color="000000"/>
          <w:bdr w:val="nil"/>
        </w:rPr>
      </w:pPr>
      <w:r>
        <w:rPr>
          <w:noProof/>
        </w:rPr>
        <w:t>– 4 b artikla</w:t>
      </w:r>
    </w:p>
    <w:p>
      <w:pPr>
        <w:rPr>
          <w:noProof/>
          <w:u w:color="000000"/>
          <w:bdr w:val="nil"/>
        </w:rPr>
      </w:pPr>
      <w:r>
        <w:rPr>
          <w:noProof/>
        </w:rPr>
        <w:t>Uudella 4 b artiklalla otetaan käyttöön itse typologiat ja annetaan komissiolle täytäntöönpanovalta ottaa käyttöön yhdenmukaiset edellytykset typologioiden yhdenmukaista soveltamista varten.</w:t>
      </w:r>
    </w:p>
    <w:p>
      <w:pPr>
        <w:rPr>
          <w:noProof/>
          <w:u w:color="000000"/>
          <w:bdr w:val="nil"/>
        </w:rPr>
      </w:pPr>
      <w:r>
        <w:rPr>
          <w:noProof/>
        </w:rPr>
        <w:t>– 5 artikla</w:t>
      </w:r>
    </w:p>
    <w:p>
      <w:pPr>
        <w:rPr>
          <w:noProof/>
          <w:u w:color="000000"/>
          <w:bdr w:val="nil"/>
        </w:rPr>
      </w:pPr>
      <w:r>
        <w:rPr>
          <w:noProof/>
        </w:rPr>
        <w:t>Uudella 5 artiklalla selkeytetään ja yksinkertaistetaan sanamuotoa ja muita muotoseikkoja. Komissiolle siirretään valta antaa delegoituja säädöksiä, jotta NUTS-asetuksen liitteessä I olevaa NUTS-luokitusta voidaan mukauttaa.</w:t>
      </w:r>
    </w:p>
    <w:p>
      <w:pPr>
        <w:rPr>
          <w:noProof/>
          <w:u w:color="000000"/>
          <w:bdr w:val="nil"/>
        </w:rPr>
      </w:pPr>
      <w:r>
        <w:rPr>
          <w:noProof/>
        </w:rPr>
        <w:t>– 7 ja 7 a artikla</w:t>
      </w:r>
    </w:p>
    <w:p>
      <w:pPr>
        <w:rPr>
          <w:noProof/>
          <w:u w:color="000000"/>
          <w:bdr w:val="nil"/>
        </w:rPr>
      </w:pPr>
      <w:r>
        <w:rPr>
          <w:noProof/>
        </w:rPr>
        <w:t>NUTS-asetuksen 7 artiklaa ajantasaistetaan sitä toimivaltaista komiteaa koskevan viittauksen osalta, joka avustaa komissiota täytäntöönpanosäädösten antamisessa. Uusi 7 a artikla puolestaan koskee siirretyn säädösvallan käyttämistä paremmasta lainsäädännöstä tehdyn toimielinten välisen sopimuksen mukaisesti.</w:t>
      </w:r>
    </w:p>
    <w:p>
      <w:pPr>
        <w:rPr>
          <w:noProof/>
          <w:u w:color="000000"/>
          <w:bdr w:val="nil"/>
        </w:rPr>
      </w:pPr>
      <w:r>
        <w:rPr>
          <w:noProof/>
        </w:rPr>
        <w:t>– 8 artikla</w:t>
      </w:r>
    </w:p>
    <w:p>
      <w:pPr>
        <w:rPr>
          <w:noProof/>
          <w:u w:color="000000"/>
          <w:bdr w:val="nil"/>
        </w:rPr>
      </w:pPr>
      <w:r>
        <w:rPr>
          <w:noProof/>
        </w:rPr>
        <w:t>Ehdotuksella poistetaan 8 artikla. Kyseinen artikla koskee vuonna 2006 eli kolme vuotta alkuperäisen NUTS-asetuksen voimaantulon (2003) jälkeen annettavaa kertomusta NUTS-asetuksen täytäntöönpanosta. Kyseinen kohta on siksi vanhentunut.</w:t>
      </w:r>
    </w:p>
    <w:p>
      <w:pPr>
        <w:rPr>
          <w:noProof/>
          <w:u w:color="000000"/>
          <w:bdr w:val="nil"/>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2016/0393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asetuksen (EY) N:o 1059/2003 muuttamisesta alueellisten typologioiden (Tercet) osalta</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338 artiklan 1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noProof/>
          <w:vertAlign w:val="superscript"/>
        </w:rPr>
        <w:t>(</w:t>
      </w:r>
      <w:r>
        <w:rPr>
          <w:rStyle w:val="FootnoteReference"/>
          <w:noProof/>
        </w:rPr>
        <w:footnoteReference w:id="7"/>
      </w:r>
      <w:r>
        <w:rPr>
          <w:noProof/>
          <w:vertAlign w:val="superscript"/>
        </w:rPr>
        <w:t>)</w:t>
      </w:r>
      <w:r>
        <w:rPr>
          <w:noProof/>
        </w:rPr>
        <w:t>,</w:t>
      </w:r>
    </w:p>
    <w:p>
      <w:pPr>
        <w:rPr>
          <w:noProof/>
        </w:rPr>
      </w:pPr>
      <w:r>
        <w:rPr>
          <w:noProof/>
        </w:rPr>
        <w:t>ottavat huomioon alueiden komitean lausunnon</w:t>
      </w:r>
      <w:r>
        <w:rPr>
          <w:noProof/>
          <w:vertAlign w:val="superscript"/>
        </w:rPr>
        <w:t>(</w:t>
      </w:r>
      <w:r>
        <w:rPr>
          <w:rStyle w:val="FootnoteReference"/>
          <w:noProof/>
        </w:rPr>
        <w:footnoteReference w:id="8"/>
      </w:r>
      <w:r>
        <w:rPr>
          <w:noProof/>
          <w:vertAlign w:val="superscript"/>
        </w:rPr>
        <w:t>)</w:t>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Toukokuun 26 päivänä 2003 annetulla Euroopan parlamentin ja neuvoston asetuksella (EY) N:o 1059/2003</w:t>
      </w:r>
      <w:r>
        <w:rPr>
          <w:noProof/>
          <w:vertAlign w:val="superscript"/>
        </w:rPr>
        <w:t>(</w:t>
      </w:r>
      <w:r>
        <w:rPr>
          <w:rStyle w:val="FootnoteReference"/>
          <w:noProof/>
        </w:rPr>
        <w:footnoteReference w:id="9"/>
      </w:r>
      <w:r>
        <w:rPr>
          <w:noProof/>
          <w:vertAlign w:val="superscript"/>
        </w:rPr>
        <w:t>)</w:t>
      </w:r>
      <w:r>
        <w:rPr>
          <w:noProof/>
        </w:rPr>
        <w:t xml:space="preserve"> luodaan yhteinen tilastollisten alueyksiköiden nimikkeistö (NUTS), jotta voidaan kerätä, koota ja levittää yhdenmukaistettuja alueellisia tilastotietoja EU:n alueella.</w:t>
      </w:r>
    </w:p>
    <w:p>
      <w:pPr>
        <w:pStyle w:val="ManualConsidrant"/>
        <w:rPr>
          <w:noProof/>
        </w:rPr>
      </w:pPr>
      <w:r>
        <w:t>(2)</w:t>
      </w:r>
      <w:r>
        <w:tab/>
      </w:r>
      <w:r>
        <w:rPr>
          <w:noProof/>
        </w:rPr>
        <w:t>Kohdennetumpaa poliittista päätöksentekoa silmällä pitäen komissio on yhteistyössä OECD:n kanssa määritellyt alueellisia typologioita NUTS-asetuksessa vahvistettujen tilastollisten yksiköiden luokittelemiseksi.</w:t>
      </w:r>
    </w:p>
    <w:p>
      <w:pPr>
        <w:pStyle w:val="ManualConsidrant"/>
        <w:rPr>
          <w:noProof/>
        </w:rPr>
      </w:pPr>
      <w:r>
        <w:t>(3)</w:t>
      </w:r>
      <w:r>
        <w:tab/>
      </w:r>
      <w:r>
        <w:rPr>
          <w:noProof/>
        </w:rPr>
        <w:t>Euroopan tilastojärjestelmä (ESS) on jo käyttänyt kyseisiä typologioita, etenkin kaupungistumisastetta, mukaan lukien kaupunkien määritelmä, esimerkiksi sen määrittämiseksi, mitkä alueet voivat saada tukea Euroopan aluekehitysrahastosta innovatiivisten toimien toteuttamiseksi kaupungeissa ja esikaupungeissa</w:t>
      </w:r>
      <w:r>
        <w:rPr>
          <w:noProof/>
          <w:vertAlign w:val="superscript"/>
        </w:rPr>
        <w:t>(</w:t>
      </w:r>
      <w:r>
        <w:rPr>
          <w:rStyle w:val="FootnoteReference"/>
          <w:noProof/>
        </w:rPr>
        <w:footnoteReference w:id="10"/>
      </w:r>
      <w:r>
        <w:rPr>
          <w:noProof/>
          <w:vertAlign w:val="superscript"/>
        </w:rPr>
        <w:t>)</w:t>
      </w:r>
      <w:r>
        <w:rPr>
          <w:noProof/>
        </w:rPr>
        <w:t>.</w:t>
      </w:r>
    </w:p>
    <w:p>
      <w:pPr>
        <w:pStyle w:val="ManualConsidrant"/>
        <w:rPr>
          <w:noProof/>
        </w:rPr>
      </w:pPr>
      <w:r>
        <w:t>(4)</w:t>
      </w:r>
      <w:r>
        <w:tab/>
      </w:r>
      <w:r>
        <w:rPr>
          <w:noProof/>
        </w:rPr>
        <w:t>Typologiat on kodifioitava, jotta voidaan vahvistaa yksiselitteiset määritelmät ja edellytykset alueellisille tyypeille ja siten varmistaa typologioiden yhdenmukainen ja avoin soveltaminen sekä vakaus. Tällä tavoin pyritään tukemaan Euroopan tilastojen kokoamista ja levittämistä.</w:t>
      </w:r>
    </w:p>
    <w:p>
      <w:pPr>
        <w:pStyle w:val="ManualConsidrant"/>
        <w:rPr>
          <w:noProof/>
        </w:rPr>
      </w:pPr>
      <w:r>
        <w:t>(5)</w:t>
      </w:r>
      <w:r>
        <w:tab/>
      </w:r>
      <w:r>
        <w:rPr>
          <w:noProof/>
        </w:rPr>
        <w:t>Alueellisten tyyppien laskemiseen ja osoittamiseen kyseessä oleviin alueisiin olisi sovellettava tilastoruudukkojärjestelmää, koska ne määräytyvät väestöjakauman ja -tiheyden perusteella yhden neliökilometrin kokoisissa ruudukkosoluissa.</w:t>
      </w:r>
    </w:p>
    <w:p>
      <w:pPr>
        <w:pStyle w:val="ManualConsidrant"/>
        <w:rPr>
          <w:noProof/>
        </w:rPr>
      </w:pPr>
      <w:r>
        <w:t>(6)</w:t>
      </w:r>
      <w:r>
        <w:tab/>
      </w:r>
      <w:r>
        <w:rPr>
          <w:noProof/>
        </w:rPr>
        <w:t>Olisi myös tarpeen selkeyttää joitakin paikallisiin hallinnollisiin yksiköihin (LAU) liittyviä vähämerkityksisiä näkökohtia, jotta voidaan yksinkertaistaa terminologiaa ja mekanismia, jolla LAU-luettelot siirretään jäsenvaltioilta komissiolle (Eurostat).</w:t>
      </w:r>
    </w:p>
    <w:p>
      <w:pPr>
        <w:pStyle w:val="ManualConsidrant"/>
        <w:rPr>
          <w:noProof/>
        </w:rPr>
      </w:pPr>
      <w:r>
        <w:t>(7)</w:t>
      </w:r>
      <w:r>
        <w:tab/>
      </w:r>
      <w:r>
        <w:rPr>
          <w:noProof/>
        </w:rPr>
        <w:t>Jotta voidaan mukautua vastaavaan kehitykseen jäsenvaltioissa, komissiolle olisi siirrettävä valta antaa säädöksiä perussopimuksen 290 artiklan mukaisesti, kun tarkoituksena on muuttaa asetuksen (EY) N:o 1059/2003 liitteessä I olevaa NUTS-luokitusta, liitteessä II olevaa nykyisten hallinnollisten yksiköiden luetteloa ja liitteessä III olevaa paikallisten hallinnollisten yksiköiden luetteloa. On erityisen tärkeää, että komissio asiaa valmistellessaan toteuttaa asianmukaiset kuulemiset, myös asiantuntijatasolla, ja että kyseiset kuulemiset toteutetaan niiden periaatteiden mukaan, jotka on vahvistettu 13 päivänä huhtikuuta 2016 tehdyssä parempaa lainsäädäntöä koskevassa toimielinten välisessä sopimuksessa</w:t>
      </w:r>
      <w:r>
        <w:rPr>
          <w:noProof/>
          <w:vertAlign w:val="superscript"/>
        </w:rPr>
        <w:t>(</w:t>
      </w:r>
      <w:r>
        <w:rPr>
          <w:rStyle w:val="FootnoteReference"/>
          <w:noProof/>
        </w:rPr>
        <w:footnoteReference w:id="11"/>
      </w:r>
      <w:r>
        <w:rPr>
          <w:noProof/>
          <w:vertAlign w:val="superscript"/>
        </w:rPr>
        <w:t>)</w:t>
      </w:r>
      <w:r>
        <w:rPr>
          <w:noProof/>
        </w:rPr>
        <w:t>.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pPr>
        <w:pStyle w:val="ManualConsidrant"/>
        <w:rPr>
          <w:noProof/>
        </w:rPr>
      </w:pPr>
      <w:r>
        <w:t>(8)</w:t>
      </w:r>
      <w:r>
        <w:tab/>
      </w:r>
      <w:r>
        <w:rPr>
          <w:noProof/>
        </w:rPr>
        <w:t>Jotta voidaan varmistaa yhdenmukaiset edellytykset tämän asetuksen täytäntöönpanolle, komissiolle olisi siirrettävä täytäntöönpanovalta sovellettaessa alueellisia typologioita ja aikasarjoja, jotka jäsenvaltioiden on toimitettava komissiolle NUTS-luokituksen muuttamisen yhteydessä. Tätä valtaa olisi käytettävä Euroopan parlamentin ja neuvoston asetuksen (EU) N:o 182/2011</w:t>
      </w:r>
      <w:r>
        <w:rPr>
          <w:noProof/>
          <w:vertAlign w:val="superscript"/>
        </w:rPr>
        <w:t>(</w:t>
      </w:r>
      <w:r>
        <w:rPr>
          <w:rStyle w:val="FootnoteReference"/>
          <w:noProof/>
        </w:rPr>
        <w:footnoteReference w:id="12"/>
      </w:r>
      <w:r>
        <w:rPr>
          <w:noProof/>
          <w:vertAlign w:val="superscript"/>
        </w:rPr>
        <w:t>)</w:t>
      </w:r>
      <w:r>
        <w:rPr>
          <w:noProof/>
        </w:rPr>
        <w:t xml:space="preserve"> mukaisesti.</w:t>
      </w:r>
    </w:p>
    <w:p>
      <w:pPr>
        <w:pStyle w:val="ManualConsidrant"/>
        <w:rPr>
          <w:noProof/>
        </w:rPr>
      </w:pPr>
      <w:r>
        <w:t>(9)</w:t>
      </w:r>
      <w:r>
        <w:tab/>
      </w:r>
      <w:r>
        <w:rPr>
          <w:noProof/>
        </w:rPr>
        <w:t>Sen vuoksi asetusta (EY) N:o 1059/2003 olisi muutettava,</w:t>
      </w:r>
    </w:p>
    <w:p>
      <w:pPr>
        <w:pStyle w:val="Formuledadoption"/>
        <w:rPr>
          <w:noProof/>
        </w:rPr>
      </w:pPr>
      <w:r>
        <w:rPr>
          <w:noProof/>
        </w:rPr>
        <w:t>OVAT HYVÄKSYNEET TÄMÄN ASETUKSEN:</w:t>
      </w:r>
    </w:p>
    <w:p>
      <w:pPr>
        <w:pStyle w:val="Titrearticle"/>
        <w:rPr>
          <w:noProof/>
        </w:rPr>
      </w:pPr>
      <w:r>
        <w:rPr>
          <w:noProof/>
        </w:rPr>
        <w:t>1 artikla</w:t>
      </w:r>
    </w:p>
    <w:p>
      <w:pPr>
        <w:rPr>
          <w:noProof/>
        </w:rPr>
      </w:pPr>
      <w:r>
        <w:rPr>
          <w:noProof/>
        </w:rPr>
        <w:t>Muutetaan asetus (EY) N:o 1059/2003 seuraavasti:</w:t>
      </w:r>
    </w:p>
    <w:p>
      <w:pPr>
        <w:pStyle w:val="Point0number"/>
        <w:numPr>
          <w:ilvl w:val="0"/>
          <w:numId w:val="6"/>
        </w:numPr>
        <w:rPr>
          <w:noProof/>
        </w:rPr>
      </w:pPr>
      <w:r>
        <w:rPr>
          <w:noProof/>
        </w:rPr>
        <w:t>Korvataan 1 artikla seuraavasti:</w:t>
      </w:r>
    </w:p>
    <w:p>
      <w:pPr>
        <w:pStyle w:val="Text1"/>
        <w:rPr>
          <w:noProof/>
        </w:rPr>
      </w:pPr>
      <w:r>
        <w:rPr>
          <w:noProof/>
        </w:rPr>
        <w:t>”</w:t>
      </w:r>
      <w:r>
        <w:rPr>
          <w:i/>
          <w:noProof/>
        </w:rPr>
        <w:t>1 artikla</w:t>
      </w:r>
    </w:p>
    <w:p>
      <w:pPr>
        <w:pStyle w:val="Text1"/>
        <w:rPr>
          <w:b/>
          <w:noProof/>
        </w:rPr>
      </w:pPr>
      <w:r>
        <w:rPr>
          <w:b/>
          <w:noProof/>
        </w:rPr>
        <w:t>Kohde</w:t>
      </w:r>
    </w:p>
    <w:p>
      <w:pPr>
        <w:pStyle w:val="Text1"/>
        <w:rPr>
          <w:noProof/>
        </w:rPr>
      </w:pPr>
      <w:r>
        <w:rPr>
          <w:noProof/>
        </w:rPr>
        <w:t>1. Tällä asetuksella luodaan yhteinen tilastollisten alueyksiköiden luokitus (NUTS), jotta EU:ssa voidaan kerätä, koota ja levittää yhdenmukaistettuja alueellisia tilastotietoja eri aluetasoilla.</w:t>
      </w:r>
    </w:p>
    <w:p>
      <w:pPr>
        <w:pStyle w:val="Text1"/>
        <w:rPr>
          <w:noProof/>
        </w:rPr>
      </w:pPr>
      <w:r>
        <w:rPr>
          <w:noProof/>
        </w:rPr>
        <w:t>2. NUTS-luokitus esitetään liitteessä I.</w:t>
      </w:r>
    </w:p>
    <w:p>
      <w:pPr>
        <w:pStyle w:val="Text1"/>
        <w:rPr>
          <w:noProof/>
        </w:rPr>
      </w:pPr>
      <w:r>
        <w:rPr>
          <w:noProof/>
        </w:rPr>
        <w:t>3. NUTS-luokitusta täydennetään 4 artiklassa tarkoitetuilla paikallisilla hallinnollisilla yksiköillä (LAU).</w:t>
      </w:r>
    </w:p>
    <w:p>
      <w:pPr>
        <w:pStyle w:val="Text1"/>
        <w:rPr>
          <w:noProof/>
        </w:rPr>
      </w:pPr>
      <w:r>
        <w:rPr>
          <w:noProof/>
        </w:rPr>
        <w:t>4. NUTS-luokitusta täydennetään 4 a artiklassa tarkoitetuilla tilastoruudukoilla. Niiden avulla lasketaan väestöpohjaiset alueelliset typologiat.</w:t>
      </w:r>
    </w:p>
    <w:p>
      <w:pPr>
        <w:pStyle w:val="Text1"/>
        <w:rPr>
          <w:noProof/>
        </w:rPr>
      </w:pPr>
      <w:r>
        <w:rPr>
          <w:noProof/>
        </w:rPr>
        <w:t>5. NUTS-luokitusta täydennetään 4 b artiklassa tarkoitetuilla unionin tason alueellisilla typologioilla jakamalla alueyksiköitä eri tyyppeihin.”</w:t>
      </w:r>
    </w:p>
    <w:p>
      <w:pPr>
        <w:pStyle w:val="Point0number"/>
        <w:rPr>
          <w:noProof/>
        </w:rPr>
      </w:pPr>
      <w:r>
        <w:rPr>
          <w:noProof/>
        </w:rPr>
        <w:t>Poistetaan 2 artiklan 5 kohta.</w:t>
      </w:r>
    </w:p>
    <w:p>
      <w:pPr>
        <w:pStyle w:val="Point0number"/>
        <w:rPr>
          <w:noProof/>
        </w:rPr>
      </w:pPr>
      <w:r>
        <w:rPr>
          <w:noProof/>
        </w:rPr>
        <w:t>Muutetaan 3 artikla seuraavasti:</w:t>
      </w:r>
    </w:p>
    <w:p>
      <w:pPr>
        <w:pStyle w:val="Point1"/>
        <w:rPr>
          <w:noProof/>
        </w:rPr>
      </w:pPr>
      <w:r>
        <w:rPr>
          <w:noProof/>
        </w:rPr>
        <w:t>a)</w:t>
      </w:r>
      <w:r>
        <w:rPr>
          <w:noProof/>
        </w:rPr>
        <w:tab/>
        <w:t>Korvataan 4 kohta seuraavasti:</w:t>
      </w:r>
    </w:p>
    <w:p>
      <w:pPr>
        <w:pStyle w:val="Text1"/>
        <w:rPr>
          <w:noProof/>
        </w:rPr>
      </w:pPr>
      <w:r>
        <w:rPr>
          <w:noProof/>
        </w:rPr>
        <w:t>”4. NUTS-luokituksessa käytettävät nykyiset hallinnolliset yksiköt luetellaan liitteessä II. Komissiolle siirretään valta antaa delegoituja säädöksiä 7 a artiklan mukaisesti, jotta liitettä II voidaan mukauttaa jäsenvaltioissa tapahtuvaan kehitykseen.”</w:t>
      </w:r>
    </w:p>
    <w:p>
      <w:pPr>
        <w:pStyle w:val="Text1"/>
        <w:rPr>
          <w:noProof/>
        </w:rPr>
      </w:pPr>
      <w:r>
        <w:rPr>
          <w:noProof/>
        </w:rPr>
        <w:t>b)</w:t>
      </w:r>
      <w:r>
        <w:rPr>
          <w:noProof/>
        </w:rPr>
        <w:tab/>
        <w:t>Korvataan 5 kohdan kolmas alakohta seuraavasti:</w:t>
      </w:r>
    </w:p>
    <w:p>
      <w:pPr>
        <w:pStyle w:val="Text1"/>
        <w:rPr>
          <w:noProof/>
        </w:rPr>
      </w:pPr>
      <w:r>
        <w:rPr>
          <w:noProof/>
        </w:rPr>
        <w:t>”Yksittäiset muut kuin hallinnolliset yksiköt voivat kuitenkin poiketa näistä rajoista erityisten maantieteellisten, sosioekonomisten, historiaan, kulttuuriin tai ympäristöön liittyvien olosuhteiden vuoksi, varsinkin saarilla ja syrjäisimmillä alueilla.”</w:t>
      </w:r>
    </w:p>
    <w:p>
      <w:pPr>
        <w:pStyle w:val="Point0number"/>
        <w:rPr>
          <w:noProof/>
        </w:rPr>
      </w:pPr>
      <w:r>
        <w:rPr>
          <w:noProof/>
        </w:rPr>
        <w:t>Korvataan 4 artikla seuraavasti:</w:t>
      </w:r>
    </w:p>
    <w:p>
      <w:pPr>
        <w:pStyle w:val="Text1"/>
        <w:rPr>
          <w:i/>
          <w:noProof/>
        </w:rPr>
      </w:pPr>
      <w:r>
        <w:rPr>
          <w:noProof/>
        </w:rPr>
        <w:t>”</w:t>
      </w:r>
      <w:r>
        <w:rPr>
          <w:i/>
          <w:noProof/>
        </w:rPr>
        <w:t>4 artikla</w:t>
      </w:r>
    </w:p>
    <w:p>
      <w:pPr>
        <w:pStyle w:val="Text1"/>
        <w:rPr>
          <w:noProof/>
        </w:rPr>
      </w:pPr>
      <w:r>
        <w:rPr>
          <w:b/>
          <w:noProof/>
        </w:rPr>
        <w:t>Paikalliset hallinnolliset yksiköt</w:t>
      </w:r>
    </w:p>
    <w:p>
      <w:pPr>
        <w:pStyle w:val="Text1"/>
        <w:rPr>
          <w:noProof/>
        </w:rPr>
      </w:pPr>
      <w:r>
        <w:rPr>
          <w:noProof/>
        </w:rPr>
        <w:t>1. Kussakin jäsenvaltiossa paikallisten hallinnollisten yksiköiden (LAU) on jaoteltava NUTS-taso 3 yhteen tai kahteen alueyksiköiden tasoon. LAU-tasoista vähintään yhden on oltava 3 artiklan 1 kohdassa määritelty ja liitteessä III lueteltu hallinnollinen yksikkö. Komissiolle siirretään valta antaa delegoituja säädöksiä 7 a artiklan mukaisesti, jotta liitteessä III olevaa paikallisten hallinnollisten yksiköiden luetteloa voidaan mukauttaa jäsenvaltioissa tapahtuvan vastaavan kehityksen perusteella.</w:t>
      </w:r>
    </w:p>
    <w:p>
      <w:pPr>
        <w:pStyle w:val="Text1"/>
        <w:rPr>
          <w:noProof/>
        </w:rPr>
      </w:pPr>
      <w:r>
        <w:rPr>
          <w:noProof/>
        </w:rPr>
        <w:t>2. Kunkin vuoden ensimmäisten kuuden kuukauden kuluessa jäsenvaltioiden on toimitettava komissiolle (Eurostat) LAU-luettelo edellisvuoden 31 päivältä joulukuuta sekä ilmoitettava mahdolliset muutokset ja se, mihin NUTS 3 -alueeseen nämä kuuluvat. Tiedot on toimitettava komission (Eurostat) pyytämässä sähköisessä muodossa.</w:t>
      </w:r>
    </w:p>
    <w:p>
      <w:pPr>
        <w:pStyle w:val="Text1"/>
        <w:rPr>
          <w:noProof/>
        </w:rPr>
      </w:pPr>
      <w:r>
        <w:rPr>
          <w:noProof/>
        </w:rPr>
        <w:t>3. Komissio (Eurostat) julkaisee LAU-luettelon asiaa koskevilla verkkosivuillaan viimeistään kunkin vuoden 31 päivänä joulukuuta.”</w:t>
      </w:r>
    </w:p>
    <w:p>
      <w:pPr>
        <w:pStyle w:val="Point0number"/>
        <w:rPr>
          <w:noProof/>
        </w:rPr>
      </w:pPr>
      <w:r>
        <w:rPr>
          <w:noProof/>
        </w:rPr>
        <w:t>Lisätään 4 a ja 4 b artikla seuraavasti:</w:t>
      </w:r>
    </w:p>
    <w:p>
      <w:pPr>
        <w:pStyle w:val="Text1"/>
        <w:rPr>
          <w:i/>
          <w:noProof/>
        </w:rPr>
      </w:pPr>
      <w:r>
        <w:rPr>
          <w:noProof/>
        </w:rPr>
        <w:t>”</w:t>
      </w:r>
      <w:r>
        <w:rPr>
          <w:i/>
          <w:noProof/>
        </w:rPr>
        <w:t>4 a artikla</w:t>
      </w:r>
    </w:p>
    <w:p>
      <w:pPr>
        <w:pStyle w:val="Text1"/>
        <w:rPr>
          <w:b/>
          <w:noProof/>
        </w:rPr>
      </w:pPr>
      <w:r>
        <w:rPr>
          <w:b/>
          <w:noProof/>
        </w:rPr>
        <w:t>Tilastoruudukot</w:t>
      </w:r>
    </w:p>
    <w:p>
      <w:pPr>
        <w:pStyle w:val="Text1"/>
        <w:rPr>
          <w:noProof/>
        </w:rPr>
      </w:pPr>
      <w:r>
        <w:rPr>
          <w:noProof/>
        </w:rPr>
        <w:t>Komissio (Eurostat) julkaisee unionin tason tilastoruudukkojärjestelmän ja pitää sitä yllä asiaa koskevilla verkkosivuillaan. Tilastoruudukkojen on oltava komission asetuksessa (EU) N:o 1089/2010</w:t>
      </w:r>
      <w:r>
        <w:rPr>
          <w:noProof/>
          <w:vertAlign w:val="superscript"/>
        </w:rPr>
        <w:t>(</w:t>
      </w:r>
      <w:r>
        <w:rPr>
          <w:rStyle w:val="FootnoteReference"/>
          <w:noProof/>
        </w:rPr>
        <w:footnoteReference w:id="13"/>
      </w:r>
      <w:r>
        <w:rPr>
          <w:noProof/>
          <w:vertAlign w:val="superscript"/>
        </w:rPr>
        <w:t>)</w:t>
      </w:r>
      <w:r>
        <w:rPr>
          <w:noProof/>
        </w:rPr>
        <w:t xml:space="preserve"> vahvistettujen eritelmien mukaiset.</w:t>
      </w:r>
    </w:p>
    <w:p>
      <w:pPr>
        <w:pStyle w:val="Text1"/>
        <w:rPr>
          <w:i/>
          <w:noProof/>
        </w:rPr>
      </w:pPr>
      <w:r>
        <w:rPr>
          <w:i/>
          <w:noProof/>
        </w:rPr>
        <w:t>4 b artikla</w:t>
      </w:r>
    </w:p>
    <w:p>
      <w:pPr>
        <w:pStyle w:val="Text1"/>
        <w:rPr>
          <w:b/>
          <w:noProof/>
        </w:rPr>
      </w:pPr>
      <w:r>
        <w:rPr>
          <w:b/>
          <w:noProof/>
        </w:rPr>
        <w:t>Unionin tason alueelliset typologiat</w:t>
      </w:r>
    </w:p>
    <w:p>
      <w:pPr>
        <w:pStyle w:val="Text1"/>
        <w:rPr>
          <w:noProof/>
        </w:rPr>
      </w:pPr>
      <w:r>
        <w:rPr>
          <w:noProof/>
        </w:rPr>
        <w:t>1. Komissio (Eurostat) julkaisee unionin tason typologiat, jotka koostuvat alueyksiköistä NUTS-, LAU- ja ruudukkosolutasolla, ja pitää niitä yllä asiaa koskevilla verkkosivuillaan.</w:t>
      </w:r>
    </w:p>
    <w:p>
      <w:pPr>
        <w:pStyle w:val="Text1"/>
        <w:rPr>
          <w:noProof/>
        </w:rPr>
      </w:pPr>
      <w:r>
        <w:rPr>
          <w:noProof/>
        </w:rPr>
        <w:t>2. Ruudukkoperusteinen typologia vahvistetaan neliökilometrin kokoisella ruudukkotasolla seuraavasti:</w:t>
      </w:r>
    </w:p>
    <w:p>
      <w:pPr>
        <w:pStyle w:val="Tiret2"/>
        <w:numPr>
          <w:ilvl w:val="0"/>
          <w:numId w:val="7"/>
        </w:numPr>
        <w:rPr>
          <w:noProof/>
        </w:rPr>
      </w:pPr>
      <w:r>
        <w:rPr>
          <w:noProof/>
        </w:rPr>
        <w:t>”kaupunkikeskukset”,</w:t>
      </w:r>
    </w:p>
    <w:p>
      <w:pPr>
        <w:pStyle w:val="Tiret2"/>
        <w:rPr>
          <w:noProof/>
        </w:rPr>
      </w:pPr>
      <w:r>
        <w:rPr>
          <w:noProof/>
        </w:rPr>
        <w:t>”kaupunkiklusterit”,</w:t>
      </w:r>
    </w:p>
    <w:p>
      <w:pPr>
        <w:pStyle w:val="Tiret2"/>
        <w:rPr>
          <w:noProof/>
        </w:rPr>
      </w:pPr>
      <w:r>
        <w:rPr>
          <w:noProof/>
        </w:rPr>
        <w:t>”maaseutua kuvaavat ruudukkosolut”.</w:t>
      </w:r>
    </w:p>
    <w:p>
      <w:pPr>
        <w:pStyle w:val="Text1"/>
        <w:rPr>
          <w:noProof/>
        </w:rPr>
      </w:pPr>
      <w:r>
        <w:rPr>
          <w:noProof/>
        </w:rPr>
        <w:t>3. LAU-tasolla vahvistetaan seuraavat typologiat:</w:t>
      </w:r>
    </w:p>
    <w:p>
      <w:pPr>
        <w:pStyle w:val="Text1"/>
        <w:rPr>
          <w:noProof/>
        </w:rPr>
      </w:pPr>
      <w:r>
        <w:rPr>
          <w:noProof/>
        </w:rPr>
        <w:t>a) kaupungistumisaste (DEGURBA):</w:t>
      </w:r>
    </w:p>
    <w:p>
      <w:pPr>
        <w:pStyle w:val="Tiret2"/>
        <w:rPr>
          <w:noProof/>
        </w:rPr>
      </w:pPr>
      <w:r>
        <w:rPr>
          <w:noProof/>
        </w:rPr>
        <w:t>”kaupunkialueet”:</w:t>
      </w:r>
    </w:p>
    <w:p>
      <w:pPr>
        <w:pStyle w:val="Tiret3"/>
        <w:numPr>
          <w:ilvl w:val="0"/>
          <w:numId w:val="12"/>
        </w:numPr>
        <w:rPr>
          <w:noProof/>
        </w:rPr>
      </w:pPr>
      <w:r>
        <w:rPr>
          <w:noProof/>
        </w:rPr>
        <w:t>”kaupungit” tai ”tiheästi asutut alueet”,</w:t>
      </w:r>
    </w:p>
    <w:p>
      <w:pPr>
        <w:pStyle w:val="Tiret3"/>
        <w:rPr>
          <w:noProof/>
        </w:rPr>
      </w:pPr>
      <w:r>
        <w:rPr>
          <w:noProof/>
        </w:rPr>
        <w:t>”pikkukaupungit ja esikaupungit” tai ”keskitiheään asutetut alueet”,</w:t>
      </w:r>
    </w:p>
    <w:p>
      <w:pPr>
        <w:pStyle w:val="Tiret2"/>
        <w:rPr>
          <w:noProof/>
        </w:rPr>
      </w:pPr>
      <w:r>
        <w:rPr>
          <w:noProof/>
        </w:rPr>
        <w:t>”maaseutualueet” tai ”harvaan asutut alueet”;</w:t>
      </w:r>
    </w:p>
    <w:p>
      <w:pPr>
        <w:pStyle w:val="Text1"/>
        <w:rPr>
          <w:noProof/>
        </w:rPr>
      </w:pPr>
      <w:r>
        <w:rPr>
          <w:noProof/>
        </w:rPr>
        <w:t>b) toiminnalliset kaupunkialueet:</w:t>
      </w:r>
    </w:p>
    <w:p>
      <w:pPr>
        <w:pStyle w:val="Tiret2"/>
        <w:rPr>
          <w:noProof/>
        </w:rPr>
      </w:pPr>
      <w:r>
        <w:rPr>
          <w:noProof/>
        </w:rPr>
        <w:t xml:space="preserve"> ”kaupungit” ja niiden ”työssäkäyntialueet”;</w:t>
      </w:r>
    </w:p>
    <w:p>
      <w:pPr>
        <w:pStyle w:val="Text1"/>
        <w:rPr>
          <w:noProof/>
        </w:rPr>
      </w:pPr>
      <w:r>
        <w:rPr>
          <w:noProof/>
        </w:rPr>
        <w:t>c) rannikkoalueet:</w:t>
      </w:r>
    </w:p>
    <w:p>
      <w:pPr>
        <w:pStyle w:val="Tiret2"/>
        <w:rPr>
          <w:noProof/>
        </w:rPr>
      </w:pPr>
      <w:r>
        <w:rPr>
          <w:noProof/>
        </w:rPr>
        <w:t>”rannikkoalueet”,</w:t>
      </w:r>
    </w:p>
    <w:p>
      <w:pPr>
        <w:pStyle w:val="Tiret2"/>
        <w:rPr>
          <w:noProof/>
        </w:rPr>
      </w:pPr>
      <w:r>
        <w:rPr>
          <w:noProof/>
        </w:rPr>
        <w:t>”muut kuin rannikkoalueet”.</w:t>
      </w:r>
    </w:p>
    <w:p>
      <w:pPr>
        <w:pStyle w:val="Text1"/>
        <w:rPr>
          <w:noProof/>
        </w:rPr>
      </w:pPr>
      <w:r>
        <w:rPr>
          <w:noProof/>
        </w:rPr>
        <w:t>Jos jossakin jäsenvaltiossa on useampi kuin yksi hallinnollinen LAU-taso, komissio (Eurostat) kuulee kyseistä jäsenvaltiota typologioiden jakamisessa käytettävän hallinnollisen LAU-tason määrittämiseksi.</w:t>
      </w:r>
    </w:p>
    <w:p>
      <w:pPr>
        <w:pStyle w:val="Text1"/>
        <w:rPr>
          <w:noProof/>
        </w:rPr>
      </w:pPr>
      <w:r>
        <w:rPr>
          <w:noProof/>
        </w:rPr>
        <w:t>4. NUTS-tasolla 3 vahvistetaan seuraavat typologiat ja nimikkeet:</w:t>
      </w:r>
    </w:p>
    <w:p>
      <w:pPr>
        <w:pStyle w:val="Text1"/>
        <w:rPr>
          <w:noProof/>
        </w:rPr>
      </w:pPr>
      <w:r>
        <w:rPr>
          <w:noProof/>
        </w:rPr>
        <w:t>a) kaupunki-maaseututypologia:</w:t>
      </w:r>
    </w:p>
    <w:p>
      <w:pPr>
        <w:pStyle w:val="Tiret2"/>
        <w:rPr>
          <w:noProof/>
        </w:rPr>
      </w:pPr>
      <w:r>
        <w:rPr>
          <w:noProof/>
        </w:rPr>
        <w:t>”kaupunkivoittoiset alueet”,</w:t>
      </w:r>
    </w:p>
    <w:p>
      <w:pPr>
        <w:pStyle w:val="Tiret2"/>
        <w:rPr>
          <w:noProof/>
        </w:rPr>
      </w:pPr>
      <w:r>
        <w:rPr>
          <w:noProof/>
        </w:rPr>
        <w:t>”välialueet”,</w:t>
      </w:r>
    </w:p>
    <w:p>
      <w:pPr>
        <w:pStyle w:val="Tiret2"/>
        <w:rPr>
          <w:noProof/>
        </w:rPr>
      </w:pPr>
      <w:r>
        <w:rPr>
          <w:noProof/>
        </w:rPr>
        <w:t>”maaseutuvoittoiset alueet”;</w:t>
      </w:r>
    </w:p>
    <w:p>
      <w:pPr>
        <w:pStyle w:val="Text1"/>
        <w:rPr>
          <w:noProof/>
        </w:rPr>
      </w:pPr>
      <w:r>
        <w:rPr>
          <w:noProof/>
        </w:rPr>
        <w:t>b) suurkaupunkitypologia:</w:t>
      </w:r>
    </w:p>
    <w:p>
      <w:pPr>
        <w:pStyle w:val="Tiret2"/>
        <w:rPr>
          <w:noProof/>
        </w:rPr>
      </w:pPr>
      <w:r>
        <w:rPr>
          <w:noProof/>
        </w:rPr>
        <w:t>”suurkaupunkialueet”,</w:t>
      </w:r>
    </w:p>
    <w:p>
      <w:pPr>
        <w:pStyle w:val="Tiret2"/>
        <w:rPr>
          <w:noProof/>
        </w:rPr>
      </w:pPr>
      <w:r>
        <w:rPr>
          <w:noProof/>
        </w:rPr>
        <w:t>”muut kuin suurkaupunkialueet”;</w:t>
      </w:r>
    </w:p>
    <w:p>
      <w:pPr>
        <w:pStyle w:val="Text1"/>
        <w:rPr>
          <w:noProof/>
        </w:rPr>
      </w:pPr>
      <w:r>
        <w:rPr>
          <w:noProof/>
        </w:rPr>
        <w:t>c) rannikkotypologia:</w:t>
      </w:r>
    </w:p>
    <w:p>
      <w:pPr>
        <w:pStyle w:val="Tiret2"/>
        <w:rPr>
          <w:noProof/>
        </w:rPr>
      </w:pPr>
      <w:r>
        <w:rPr>
          <w:noProof/>
        </w:rPr>
        <w:t>”rannikkoalueet”,</w:t>
      </w:r>
    </w:p>
    <w:p>
      <w:pPr>
        <w:pStyle w:val="Tiret2"/>
        <w:rPr>
          <w:noProof/>
        </w:rPr>
      </w:pPr>
      <w:r>
        <w:rPr>
          <w:noProof/>
        </w:rPr>
        <w:t>”muut kuin rannikkoalueet”.</w:t>
      </w:r>
    </w:p>
    <w:p>
      <w:pPr>
        <w:pStyle w:val="Text1"/>
        <w:rPr>
          <w:noProof/>
        </w:rPr>
      </w:pPr>
      <w:r>
        <w:rPr>
          <w:noProof/>
        </w:rPr>
        <w:t>5. Komissio vahvistaa täytäntöönpanosäädöksissä yhdenmukaiset edellytykset typologioiden yhdenmukaista soveltamista varten kaikissa jäsenvaltioissa ja unionin tasolla. Nämä täytäntöönpanosäädökset hyväksytään 7 artiklassa tarkoitettua tarkastelumenettelyä noudattaen.”</w:t>
      </w:r>
    </w:p>
    <w:p>
      <w:pPr>
        <w:pStyle w:val="Point0number"/>
        <w:rPr>
          <w:noProof/>
        </w:rPr>
      </w:pPr>
      <w:r>
        <w:rPr>
          <w:noProof/>
        </w:rPr>
        <w:t>Muutetaan 5 artikla seuraavasti:</w:t>
      </w:r>
    </w:p>
    <w:p>
      <w:pPr>
        <w:pStyle w:val="Point1"/>
        <w:rPr>
          <w:noProof/>
        </w:rPr>
      </w:pPr>
      <w:r>
        <w:rPr>
          <w:noProof/>
        </w:rPr>
        <w:t>a)</w:t>
      </w:r>
      <w:r>
        <w:rPr>
          <w:noProof/>
        </w:rPr>
        <w:tab/>
        <w:t>Korvataan 4 kohta seuraavasti:</w:t>
      </w:r>
    </w:p>
    <w:p>
      <w:pPr>
        <w:pStyle w:val="Text1"/>
        <w:rPr>
          <w:noProof/>
        </w:rPr>
      </w:pPr>
      <w:r>
        <w:rPr>
          <w:noProof/>
        </w:rPr>
        <w:t>”4. NUTS-luokitusta voidaan muuttaa kalenterivuoden jälkipuoliskolla 3 artiklassa säädettyjen perusteiden mukaisesti kolmen vuoden välein tai harvemmin. NUTS-luokitusta voidaan kuitenkin muuttaa tätä useammin, jos jonkin jäsenvaltion asiaa koskevaa hallintorakennetta uudistetaan huomattavasti.</w:t>
      </w:r>
    </w:p>
    <w:p>
      <w:pPr>
        <w:pStyle w:val="Text1"/>
        <w:rPr>
          <w:noProof/>
        </w:rPr>
      </w:pPr>
      <w:r>
        <w:rPr>
          <w:noProof/>
        </w:rPr>
        <w:t>Komissiolle siirretään valta antaa delegoituja säädöksiä 7 a artiklan mukaisesti, jotta liitteessä I olevaa NUTS-luokitusta voidaan mukauttaa jäsenvaltioissa tapahtuvaan kehitykseen. Jäsenvaltioiden komissiolle (Eurostat) lähettämien aluetietojen on perustuttava muutettuun NUTS-luokitukseen 1 päivästä tammikuuta toisena vuonna sen jälkeen, kun ensimmäisessä alakohdassa tarkoitettu delegoitu säädös on annettu.”</w:t>
      </w:r>
    </w:p>
    <w:p>
      <w:pPr>
        <w:pStyle w:val="Point1"/>
        <w:rPr>
          <w:noProof/>
        </w:rPr>
      </w:pPr>
      <w:r>
        <w:rPr>
          <w:noProof/>
        </w:rPr>
        <w:t>b)</w:t>
      </w:r>
      <w:r>
        <w:rPr>
          <w:noProof/>
        </w:rPr>
        <w:tab/>
        <w:t>Korvataan 5 kohta seuraavasti:</w:t>
      </w:r>
    </w:p>
    <w:p>
      <w:pPr>
        <w:pStyle w:val="Text1"/>
        <w:rPr>
          <w:noProof/>
        </w:rPr>
      </w:pPr>
      <w:r>
        <w:rPr>
          <w:noProof/>
        </w:rPr>
        <w:t>”5. Muuttaessaan NUTS-luokitusta asianomaisen jäsenvaltion on toimitettava komissiolle (Eurostat) aikasarjat uutta alueellista jaottelua varten, jotta niillä voidaan korvata aiemmin toimitetut tiedot.</w:t>
      </w:r>
    </w:p>
    <w:p>
      <w:pPr>
        <w:pStyle w:val="Text1"/>
        <w:rPr>
          <w:noProof/>
        </w:rPr>
      </w:pPr>
      <w:r>
        <w:rPr>
          <w:noProof/>
        </w:rPr>
        <w:t>Komissio vahvistaa täytäntöönpanosäädöksillä yhdenmukaiset edellytykset aikasarjoille ja niiden pituudelle ja ottaa tässä yhteydessä huomioon, missä määrin niitä on mahdollista toimittaa. Nämä täytäntöönpanosäädökset hyväksytään 7 artiklassa tarkoitettua tarkastelumenettelyä noudattaen.</w:t>
      </w:r>
    </w:p>
    <w:p>
      <w:pPr>
        <w:pStyle w:val="Text1"/>
        <w:rPr>
          <w:noProof/>
        </w:rPr>
      </w:pPr>
      <w:r>
        <w:rPr>
          <w:noProof/>
        </w:rPr>
        <w:t>Aikasarjat on toimitettava viimeistään 1 päivänä tammikuuta neljäntenä vuonna sen jälkeen, kun 4 kohdassa tarkoitettu delegoitu säädös on annettu.”</w:t>
      </w:r>
    </w:p>
    <w:p>
      <w:pPr>
        <w:pStyle w:val="Point0number"/>
        <w:rPr>
          <w:noProof/>
        </w:rPr>
      </w:pPr>
      <w:r>
        <w:rPr>
          <w:noProof/>
        </w:rPr>
        <w:t>Korvataan 7 artikla seuraavasti:</w:t>
      </w:r>
    </w:p>
    <w:p>
      <w:pPr>
        <w:pStyle w:val="Text1"/>
        <w:rPr>
          <w:i/>
          <w:noProof/>
        </w:rPr>
      </w:pPr>
      <w:r>
        <w:rPr>
          <w:noProof/>
        </w:rPr>
        <w:t>”</w:t>
      </w:r>
      <w:r>
        <w:rPr>
          <w:i/>
          <w:noProof/>
        </w:rPr>
        <w:t>7 artikla</w:t>
      </w:r>
    </w:p>
    <w:p>
      <w:pPr>
        <w:pStyle w:val="Text1"/>
        <w:rPr>
          <w:b/>
          <w:noProof/>
        </w:rPr>
      </w:pPr>
      <w:r>
        <w:rPr>
          <w:b/>
          <w:noProof/>
        </w:rPr>
        <w:t>Komiteamenettely</w:t>
      </w:r>
    </w:p>
    <w:p>
      <w:pPr>
        <w:pStyle w:val="Text1"/>
        <w:rPr>
          <w:noProof/>
        </w:rPr>
      </w:pPr>
      <w:r>
        <w:rPr>
          <w:noProof/>
        </w:rPr>
        <w:t>1. Komissiota avustaa Euroopan tilastojärjestelmää käsittelevä komitea. Tämä komitea on asetuksessa (EU) N:o 182/2011 tarkoitettu komitea.</w:t>
      </w:r>
    </w:p>
    <w:p>
      <w:pPr>
        <w:pStyle w:val="Text1"/>
        <w:rPr>
          <w:noProof/>
        </w:rPr>
      </w:pPr>
      <w:r>
        <w:rPr>
          <w:noProof/>
        </w:rPr>
        <w:t>2. Kun viitataan tähän kohtaan, sovelletaan asetuksen (EU) N:o 182/2011 5 artiklaa.”</w:t>
      </w:r>
    </w:p>
    <w:p>
      <w:pPr>
        <w:pStyle w:val="Point0number"/>
        <w:rPr>
          <w:noProof/>
        </w:rPr>
      </w:pPr>
      <w:r>
        <w:rPr>
          <w:noProof/>
        </w:rPr>
        <w:t>Lisätään 7 a artikla seuraavasti:</w:t>
      </w:r>
    </w:p>
    <w:p>
      <w:pPr>
        <w:pStyle w:val="Text1"/>
        <w:rPr>
          <w:noProof/>
        </w:rPr>
      </w:pPr>
      <w:r>
        <w:rPr>
          <w:noProof/>
        </w:rPr>
        <w:t>”</w:t>
      </w:r>
      <w:r>
        <w:rPr>
          <w:i/>
          <w:noProof/>
        </w:rPr>
        <w:t>7 a artikla</w:t>
      </w:r>
    </w:p>
    <w:p>
      <w:pPr>
        <w:pStyle w:val="Text1"/>
        <w:rPr>
          <w:b/>
          <w:noProof/>
        </w:rPr>
      </w:pPr>
      <w:r>
        <w:rPr>
          <w:b/>
          <w:noProof/>
        </w:rPr>
        <w:t>Siirretyn säädösvallan käyttäminen</w:t>
      </w:r>
    </w:p>
    <w:p>
      <w:pPr>
        <w:pStyle w:val="Text1"/>
        <w:rPr>
          <w:noProof/>
        </w:rPr>
      </w:pPr>
      <w:r>
        <w:rPr>
          <w:noProof/>
        </w:rPr>
        <w:t>1. Komissiolle siirrettyä valta antaa delegoituja säädöksiä koskevat tässä artiklassa säädetyt edellytykset.</w:t>
      </w:r>
    </w:p>
    <w:p>
      <w:pPr>
        <w:pStyle w:val="Text1"/>
        <w:rPr>
          <w:noProof/>
          <w:lang w:val="en-GB"/>
        </w:rPr>
      </w:pPr>
      <w:r>
        <w:rPr>
          <w:noProof/>
        </w:rPr>
        <w:t>2. Siirretään komissiolle 3 artiklan 4 kohdassa, 4 artiklan 1 kohdassa ja 5 artiklan 4 kohdassa tarkoitettu valta antaa delegoituja säädöksiä määräämättömäksi ajaksi […] päivästä […][…]</w:t>
      </w:r>
      <w:r>
        <w:rPr>
          <w:i/>
          <w:noProof/>
        </w:rPr>
        <w:t xml:space="preserve"> </w:t>
      </w:r>
      <w:r>
        <w:rPr>
          <w:noProof/>
          <w:lang w:val="en-GB"/>
        </w:rPr>
        <w:t>[</w:t>
      </w:r>
      <w:r>
        <w:rPr>
          <w:i/>
          <w:noProof/>
          <w:lang w:val="en-GB"/>
        </w:rPr>
        <w:t>Publications Office: please insert exact date of entry into force of this Regulation].</w:t>
      </w:r>
    </w:p>
    <w:p>
      <w:pPr>
        <w:pStyle w:val="Text1"/>
        <w:rPr>
          <w:noProof/>
        </w:rPr>
      </w:pPr>
      <w:r>
        <w:rPr>
          <w:noProof/>
        </w:rPr>
        <w:t xml:space="preserve">3. Euroopan parlamentti tai neuvosto voi milloin tahansa peruuttaa 3 artiklan 4 kohdassa, 4 artiklan 1 kohdassa ja 5 artiklan 4 kohdassa tarkoitetun säädösvallan siirron. Peruuttamispäätöksellä lopetetaan kyseisessä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pStyle w:val="Text1"/>
        <w:rPr>
          <w:noProof/>
        </w:rPr>
      </w:pPr>
      <w:r>
        <w:rPr>
          <w:noProof/>
        </w:rPr>
        <w:t>4. Ennen kuin komissio hyväksyy delegoidun säädöksen, se kuulee kunkin jäsenvaltion nimeämiä asiantuntijoita paremmasta lainsäädännöstä 13 päivänä huhtikuuta 2016 tehdyssä toimielinten välisessä sopimuksessa vahvistettujen periaatteiden mukaisesti.</w:t>
      </w:r>
    </w:p>
    <w:p>
      <w:pPr>
        <w:pStyle w:val="Text1"/>
        <w:rPr>
          <w:noProof/>
        </w:rPr>
      </w:pPr>
      <w:r>
        <w:rPr>
          <w:noProof/>
        </w:rPr>
        <w:t>5. Heti kun komissio on antanut delegoidun säädöksen, komissio antaa sen tiedoksi yhtäaikaisesti Euroopan parlamentille ja neuvostolle.</w:t>
      </w:r>
    </w:p>
    <w:p>
      <w:pPr>
        <w:pStyle w:val="Text1"/>
        <w:rPr>
          <w:noProof/>
        </w:rPr>
      </w:pPr>
      <w:r>
        <w:rPr>
          <w:noProof/>
        </w:rPr>
        <w:t>6. Edellä olevien 3 artiklan 4 kohdan, 4 artiklan 1 kohdan ja 5 artiklan 4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Point0number"/>
        <w:rPr>
          <w:noProof/>
        </w:rPr>
      </w:pPr>
      <w:r>
        <w:rPr>
          <w:noProof/>
        </w:rPr>
        <w:t>Ehdotuksella poistetaan 8 artikla.</w:t>
      </w:r>
    </w:p>
    <w:p>
      <w:pPr>
        <w:pStyle w:val="Titrearticle"/>
        <w:rPr>
          <w:noProof/>
        </w:rPr>
      </w:pPr>
      <w:r>
        <w:rPr>
          <w:noProof/>
        </w:rPr>
        <w:t>2 artikla</w:t>
      </w:r>
    </w:p>
    <w:p>
      <w:pPr>
        <w:rPr>
          <w:noProof/>
        </w:rPr>
      </w:pPr>
      <w:r>
        <w:rPr>
          <w:noProof/>
        </w:rPr>
        <w:t xml:space="preserve">Tämä asetus tulee voimaan kahdentenakymmenentenä päivänä sen jälkeen, kun se on julkaistu </w:t>
      </w:r>
      <w:r>
        <w:rPr>
          <w:i/>
          <w:noProof/>
        </w:rPr>
        <w:t>Euroopan unionin virallisessa lehdessä</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Euroopan parlamentin ja neuvoston asetus (EY) N:o 1059/2003, annettu 26 päivänä toukokuuta 2003, yhteisestä tilastollisten alueyksiköiden nimikkeistöstä (NUTS) (EUVL L 154, 21.6.2003, s. 1).</w:t>
      </w:r>
    </w:p>
  </w:footnote>
  <w:footnote w:id="3">
    <w:p>
      <w:pPr>
        <w:pStyle w:val="FootnoteText"/>
      </w:pPr>
      <w:r>
        <w:rPr>
          <w:rStyle w:val="FootnoteReference"/>
        </w:rPr>
        <w:footnoteRef/>
      </w:r>
      <w:r>
        <w:tab/>
        <w:t>http://ec.europa.eu/europe2020/index_en.htm.</w:t>
      </w:r>
    </w:p>
  </w:footnote>
  <w:footnote w:id="4">
    <w:p>
      <w:pPr>
        <w:pStyle w:val="FootnoteText"/>
      </w:pPr>
      <w:r>
        <w:rPr>
          <w:rStyle w:val="FootnoteReference"/>
        </w:rPr>
        <w:footnoteRef/>
      </w:r>
      <w:r>
        <w:tab/>
        <w:t>http://ec.europa.eu/regional_policy/en/information/publications/reports/2014/6th-report-on-economic-social-and-territorial-cohesion.</w:t>
      </w:r>
    </w:p>
  </w:footnote>
  <w:footnote w:id="5">
    <w:p>
      <w:pPr>
        <w:pStyle w:val="FootnoteText"/>
      </w:pPr>
      <w:r>
        <w:rPr>
          <w:rStyle w:val="FootnoteReference"/>
        </w:rPr>
        <w:footnoteRef/>
      </w:r>
      <w:r>
        <w:tab/>
        <w:t>EUVL L 347, 20.12.2013, s. 320.</w:t>
      </w:r>
    </w:p>
  </w:footnote>
  <w:footnote w:id="6">
    <w:p>
      <w:pPr>
        <w:pStyle w:val="FootnoteText"/>
      </w:pPr>
      <w:r>
        <w:rPr>
          <w:rStyle w:val="FootnoteReference"/>
        </w:rPr>
        <w:footnoteRef/>
      </w:r>
      <w:r>
        <w:tab/>
        <w:t>EUVL L 148, 20.5.2014, s. 1.</w:t>
      </w:r>
    </w:p>
  </w:footnote>
  <w:footnote w:id="7">
    <w:p>
      <w:pPr>
        <w:pStyle w:val="FootnoteText"/>
      </w:pPr>
      <w:r>
        <w:rPr>
          <w:rStyle w:val="FootnoteReference"/>
        </w:rPr>
        <w:footnoteRef/>
      </w:r>
      <w:r>
        <w:tab/>
        <w:t>EUVL C , , s. .</w:t>
      </w:r>
    </w:p>
  </w:footnote>
  <w:footnote w:id="8">
    <w:p>
      <w:pPr>
        <w:pStyle w:val="FootnoteText"/>
      </w:pPr>
      <w:r>
        <w:rPr>
          <w:rStyle w:val="FootnoteReference"/>
        </w:rPr>
        <w:footnoteRef/>
      </w:r>
      <w:r>
        <w:tab/>
        <w:t>EUVL C , , s. .</w:t>
      </w:r>
    </w:p>
  </w:footnote>
  <w:footnote w:id="9">
    <w:p>
      <w:pPr>
        <w:pStyle w:val="FootnoteText"/>
      </w:pPr>
      <w:r>
        <w:rPr>
          <w:rStyle w:val="FootnoteReference"/>
        </w:rPr>
        <w:footnoteRef/>
      </w:r>
      <w:r>
        <w:tab/>
        <w:t>Euroopan parlamentin ja neuvoston asetus (EY) N:o 1059/2003, annettu 26 päivänä toukokuuta 2003, yhteisestä tilastollisten alueyksiköiden nimikkeistöstä (NUTS) (EUVL L 154, 21.6.2003, s. 1).</w:t>
      </w:r>
    </w:p>
  </w:footnote>
  <w:footnote w:id="10">
    <w:p>
      <w:pPr>
        <w:pStyle w:val="FootnoteText"/>
      </w:pPr>
      <w:r>
        <w:rPr>
          <w:rStyle w:val="FootnoteReference"/>
        </w:rPr>
        <w:footnoteRef/>
      </w:r>
      <w:r>
        <w:tab/>
        <w:t>EUVL L 148, 20.5.2014, s. 1.</w:t>
      </w:r>
    </w:p>
  </w:footnote>
  <w:footnote w:id="11">
    <w:p>
      <w:pPr>
        <w:pStyle w:val="FootnoteText"/>
      </w:pPr>
      <w:r>
        <w:rPr>
          <w:rStyle w:val="FootnoteReference"/>
        </w:rPr>
        <w:footnoteRef/>
      </w:r>
      <w:r>
        <w:tab/>
        <w:t>EUVL L 123, 12.5.2016, s. 1.</w:t>
      </w:r>
    </w:p>
  </w:footnote>
  <w:footnote w:id="12">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13">
    <w:p>
      <w:pPr>
        <w:pStyle w:val="FootnoteText"/>
      </w:pPr>
      <w:r>
        <w:rPr>
          <w:rStyle w:val="FootnoteReference"/>
        </w:rPr>
        <w:footnoteRef/>
      </w:r>
      <w:r>
        <w:tab/>
        <w:t>Komission asetus (EU) N:o 1089/2010, annettu 23 päivänä marraskuuta 2010, Euroopan parlamentin ja neuvoston direktiivin 2007/2/EY täytäntöönpanosta paikkatietoaineistojen ja -palvelujen yhteentoimivuuden osalta (EUVL L 323, 8.12.2010, s.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ACA2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8D80D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6A96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6A4A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BAAD1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20BA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FAC910E"/>
    <w:lvl w:ilvl="0">
      <w:start w:val="1"/>
      <w:numFmt w:val="decimal"/>
      <w:pStyle w:val="ListNumber"/>
      <w:lvlText w:val="%1."/>
      <w:lvlJc w:val="left"/>
      <w:pPr>
        <w:tabs>
          <w:tab w:val="num" w:pos="360"/>
        </w:tabs>
        <w:ind w:left="360" w:hanging="360"/>
      </w:pPr>
    </w:lvl>
  </w:abstractNum>
  <w:abstractNum w:abstractNumId="7">
    <w:nsid w:val="FFFFFF89"/>
    <w:multiLevelType w:val="singleLevel"/>
    <w:tmpl w:val="87924D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6"/>
  </w:num>
  <w:num w:numId="9">
    <w:abstractNumId w:val="2"/>
  </w:num>
  <w:num w:numId="10">
    <w:abstractNumId w:val="1"/>
  </w:num>
  <w:num w:numId="11">
    <w:abstractNumId w:val="0"/>
  </w:num>
  <w:num w:numId="12">
    <w:abstractNumId w:val="1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isplayBackgroundShape/>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6 11:46: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BEA21914B4AA452BBCA0B4CEEDDF510C"/>
    <w:docVar w:name="LW_CROSSREFERENCE" w:val="&lt;UNUSED&gt;"/>
    <w:docVar w:name="LW_DocType" w:val="COM"/>
    <w:docVar w:name="LW_EMISSION" w:val="13.12.2016"/>
    <w:docVar w:name="LW_EMISSION_ISODATE" w:val="2016-12-13"/>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393"/>
    <w:docVar w:name="LW_REF.II.NEW.CP_YEAR" w:val="2016"/>
    <w:docVar w:name="LW_REF.INST.NEW" w:val="COM"/>
    <w:docVar w:name="LW_REF.INST.NEW_ADOPTED" w:val="final"/>
    <w:docVar w:name="LW_REF.INST.NEW_TEXT" w:val="(2016) 788"/>
    <w:docVar w:name="LW_REF.INTERNE" w:val="&lt;UNUSED&gt;"/>
    <w:docVar w:name="LW_SOUS.TITRE.OBJ.CP" w:val="&lt;UNUSED&gt;"/>
    <w:docVar w:name="LW_STATUT.CP" w:val="Ehdotus"/>
    <w:docVar w:name="LW_SUPERTITRE" w:val="&lt;UNUSED&gt;"/>
    <w:docVar w:name="LW_TITRE.OBJ.CP" w:val="asetuksen (EY) N:o 1059/2003 muuttamisesta alueellisten typologioiden (Tercet) osalta"/>
    <w:docVar w:name="LW_TYPE.DOC.CP" w:val="EUROOPAN PARLAMENTIN JA NEUVOSTON ASETUS"/>
    <w:docVar w:name="Stamp" w:val="\\dossiers.dgt.cec.eu.int\dossiers\ESTAT\ESTAT-2016-10201\ESTAT-2016-10201-00-00-EN-REV-00.20160826120549868882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3:154:0001:0041:EN: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03:154:0001:0041: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gal-content/EN/TXT/PDF/?uri=CELEX:32014R0522&amp;fr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3:154:0001:0041:EN:PDF" TargetMode="External"/><Relationship Id="rId5" Type="http://schemas.openxmlformats.org/officeDocument/2006/relationships/settings" Target="settings.xml"/><Relationship Id="rId15" Type="http://schemas.openxmlformats.org/officeDocument/2006/relationships/hyperlink" Target="http://eur-lex.europa.eu/LexUriServ/LexUriServ.do?uri=OJ:L:2013:347:0320:0469:EN:PD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net1.cec.eu.int\Homes\048\BRANDTH\My%20Documents\ec.europa.eu\regional_policy\sources\reports\cohesion6\6cr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FDF5-6143-4D7C-B34C-975FC61B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2958</Words>
  <Characters>24793</Characters>
  <Application>Microsoft Office Word</Application>
  <DocSecurity>0</DocSecurity>
  <Lines>434</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2016-09-27T08:56:00Z</cp:lastPrinted>
  <dcterms:created xsi:type="dcterms:W3CDTF">2016-11-11T13:31:00Z</dcterms:created>
  <dcterms:modified xsi:type="dcterms:W3CDTF">2016-12-06T10:46:00Z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