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EECDD8B823A46E794851809EE96C229" style="width:450.75pt;height:39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rPr>
          <w:noProof/>
        </w:rPr>
      </w:pPr>
      <w:r>
        <w:rPr>
          <w:noProof/>
        </w:rPr>
        <w:t xml:space="preserve">Det finns många statistikområden där Eurostat offentliggör europeisk statistik på regional nivå i enlighet med </w:t>
      </w:r>
      <w:hyperlink r:id="rId11">
        <w:r>
          <w:rPr>
            <w:noProof/>
          </w:rPr>
          <w:t>förordning (EG) nr 1059/2003</w:t>
        </w:r>
      </w:hyperlink>
      <w:r>
        <w:rPr>
          <w:rStyle w:val="FootnoteReference"/>
          <w:noProof/>
        </w:rPr>
        <w:footnoteReference w:id="2"/>
      </w:r>
      <w:r>
        <w:rPr>
          <w:noProof/>
        </w:rPr>
        <w:t xml:space="preserve"> om inrättande av en gemensam nomenklatur för statistiska territoriella enheter (Nuts). Denna statistik används i stor utsträckning i samband med EU:s regionalpolitik och för att fastställa vilka regioner som är berättigade till stöd från sammanhållningsfonderna. På senare år har Eurostat offentliggjort allt mer statistik uppdelad på ett antal territoriella typer för att tillgodose det allt större behovet av sådana uppgifter hos EU:s beslutsfattare i samband med sammanhållningspolitiken och den territoriella utvecklingspolitiken. Kommissionen har utformat dessa territoriella typindelningar i samarbete med OECD (Organisationen för ekonomiskt samarbete och utveckling) och antagit metoder för att fastställa typindelningen och hålla den uppdaterad. Nuts-förordningen innehåller ännu inte någon territoriell typindelning eller någon juridisk definition av de olika typerna för att klargöra vilka områden och regioner i EU som är att betrakta som stads-, landsbygds- eller kustområden eller </w:t>
      </w:r>
      <w:r>
        <w:rPr>
          <w:noProof/>
        </w:rPr>
        <w:noBreakHyphen/>
        <w:t>regioner, och/eller andra områden och regioner, trots att begreppen redan används. Det faktum att dessa typindelningar och de metoder som ligger till grund för dem inte är juridiskt erkända, och inte heller formellt erkända av det europeiska statistiksystemet (ESS), behöver åtgärdas så att de blir erkända som objektiva och transparenta statistiska typindelningar.</w:t>
      </w:r>
    </w:p>
    <w:p>
      <w:pPr>
        <w:spacing w:before="60" w:after="60"/>
        <w:rPr>
          <w:noProof/>
          <w:szCs w:val="24"/>
        </w:rPr>
      </w:pPr>
      <w:r>
        <w:rPr>
          <w:noProof/>
        </w:rPr>
        <w:t>De huvudsakliga policymålen med initiativet är följande:</w:t>
      </w:r>
    </w:p>
    <w:p>
      <w:pPr>
        <w:spacing w:before="60" w:after="60"/>
        <w:rPr>
          <w:noProof/>
          <w:szCs w:val="24"/>
        </w:rPr>
      </w:pPr>
      <w:r>
        <w:rPr>
          <w:noProof/>
        </w:rPr>
        <w:t>1. Att göra de territoriella typindelningarna, inklusive definitionen av städer, för den europeiska statistiken juridiskt erkända</w:t>
      </w:r>
    </w:p>
    <w:p>
      <w:pPr>
        <w:spacing w:after="0"/>
        <w:rPr>
          <w:noProof/>
          <w:szCs w:val="24"/>
        </w:rPr>
      </w:pPr>
      <w:r>
        <w:rPr>
          <w:noProof/>
        </w:rPr>
        <w:t xml:space="preserve">Genom en förordning om ändring av </w:t>
      </w:r>
      <w:hyperlink r:id="rId12">
        <w:r>
          <w:rPr>
            <w:noProof/>
          </w:rPr>
          <w:t>förordning (EG) nr 1059/2003</w:t>
        </w:r>
      </w:hyperlink>
      <w:r>
        <w:rPr>
          <w:noProof/>
        </w:rPr>
        <w:t xml:space="preserve"> kommer de territoriella typindelningarna att införlivas i den nuvarande Nuts-förordningen. Detta gör att man i ämnesspecifika statistikförordningar och policyinitiativ kommer att kunna hänvisa till dessa territoriella typindelningar i syfte att samla in europeisk statistik om dem och/eller inrikta sig på särskilda typer av områden, såsom städer eller stads-, landsbygds- och kustområden och </w:t>
      </w:r>
      <w:r>
        <w:rPr>
          <w:noProof/>
        </w:rPr>
        <w:noBreakHyphen/>
        <w:t>regioner, vid utformningen av politiken. Initiativet kommer därför att omfatta de befintliga territoriella typindelningarna baserade på Nuts 3-nivån (t.ex. typindelningen stad–land, storstadsregioner), lokala administrativa enheter (t.ex. urbaniseringsgrad, städer, kustområden) och det rutnät med 1 km²-rutor som krävs för att beräkna de övriga typindelningarna, som baseras på befolkningsfördelningen och befolkningstätheten i kilometerrutorna.</w:t>
      </w:r>
    </w:p>
    <w:p>
      <w:pPr>
        <w:spacing w:before="60" w:after="60"/>
        <w:rPr>
          <w:noProof/>
          <w:szCs w:val="24"/>
        </w:rPr>
      </w:pPr>
      <w:r>
        <w:rPr>
          <w:noProof/>
        </w:rPr>
        <w:t>2. Att fastställa de centrala definitionerna och statistiska kriterierna för de olika territoriella typindelningarna</w:t>
      </w:r>
    </w:p>
    <w:p>
      <w:pPr>
        <w:spacing w:before="60" w:after="60"/>
        <w:rPr>
          <w:noProof/>
          <w:szCs w:val="24"/>
        </w:rPr>
      </w:pPr>
      <w:r>
        <w:rPr>
          <w:noProof/>
        </w:rPr>
        <w:t>För att skapa öppenhet i metoderna och se till att de territoriella typindelningarna förblir stabila över tid måste de centrala definitionerna och kriterierna för att skapa och uppdatera typindelningarna klargöras i förordningen och dess genomförandebestämmelser. Initiativet kommer därför att bygga på de metoder som redan finns för de olika typindelningarna.</w:t>
      </w:r>
    </w:p>
    <w:p>
      <w:pPr>
        <w:spacing w:before="60" w:after="60"/>
        <w:rPr>
          <w:noProof/>
          <w:szCs w:val="24"/>
        </w:rPr>
      </w:pPr>
      <w:r>
        <w:rPr>
          <w:noProof/>
        </w:rPr>
        <w:t>3. Att säkerställa att de territoriella typindelningarna tillämpas och används på ett harmoniserat och öppet sätt på EU-nivå och i medlemsstaterna</w:t>
      </w:r>
    </w:p>
    <w:p>
      <w:pPr>
        <w:spacing w:after="0"/>
        <w:rPr>
          <w:noProof/>
          <w:szCs w:val="24"/>
        </w:rPr>
      </w:pPr>
      <w:r>
        <w:rPr>
          <w:noProof/>
        </w:rPr>
        <w:lastRenderedPageBreak/>
        <w:t>Initiativet syftar till att förbättra typindelningarnas jämförbarhet och stabilitet. Detta kommer att inverka positivt på sammanställningen och spridningen av den europeiska regionalstatistiken.</w:t>
      </w:r>
    </w:p>
    <w:p>
      <w:pPr>
        <w:spacing w:after="0"/>
        <w:rPr>
          <w:noProof/>
          <w:szCs w:val="24"/>
        </w:rPr>
      </w:pPr>
      <w:r>
        <w:rPr>
          <w:noProof/>
        </w:rPr>
        <w:t xml:space="preserve">4. I samband med anpassningen av </w:t>
      </w:r>
      <w:hyperlink r:id="rId13">
        <w:r>
          <w:rPr>
            <w:noProof/>
          </w:rPr>
          <w:t>förordning (EG) nr 1059/2003</w:t>
        </w:r>
      </w:hyperlink>
      <w:r>
        <w:rPr>
          <w:noProof/>
        </w:rPr>
        <w:t xml:space="preserve"> till de nya bestämmelserna i fördraget om Europeiska unionens funktionssätt (EUF-fördraget) bör de befogenheter som kommissionen för närvarande har genom den förordningen att anta akter som syftar till att ändra icke-väsentliga delar av förordningen genom att komplettera den, i enlighet med det föreskrivande förfarandet med kontroll, ges i form av befogenheten att anta delegerade akter.</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rPr>
          <w:noProof/>
          <w:u w:color="000000"/>
          <w:bdr w:val="nil"/>
        </w:rPr>
      </w:pPr>
      <w:r>
        <w:rPr>
          <w:noProof/>
        </w:rPr>
        <w:t>Detta förslag skulle medföra att det i Nuts-förordningen införlivas typindelningar som knyter an till flera olika statistikområden, t.ex. regionalräkenskaper, arbetsmarknad, landsbygdsutveckling, jordbruk, turism, havspolitik m.m. Det skulle göra det möjligt att aggregera data enligt entydiga typindelningar: Exempelvis skulle det bli möjligt att jämföra BNP i landsbygdsområden kontra stadsområden, turistövernattningar i kustområden/-regioner kontra inlandsområden/-regioner, sysselsättning/arbetslöshet i förhållande till urbaniseringsgrad och mycket mer.</w:t>
      </w:r>
    </w:p>
    <w:p>
      <w:pPr>
        <w:rPr>
          <w:noProof/>
          <w:u w:color="000000"/>
          <w:bdr w:val="nil"/>
        </w:rPr>
      </w:pPr>
      <w:r>
        <w:rPr>
          <w:noProof/>
        </w:rPr>
        <w:t>Begrepp som urbaniseringsgrad kan också användas för att förse FN med uppgifter om stads- och landsbygdsområden.</w:t>
      </w:r>
    </w:p>
    <w:p>
      <w:pPr>
        <w:pStyle w:val="ManualHeading2"/>
        <w:rPr>
          <w:rFonts w:eastAsia="Arial Unicode MS"/>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spacing w:before="0" w:after="240"/>
        <w:rPr>
          <w:rFonts w:eastAsia="Arial Unicode MS"/>
          <w:noProof/>
          <w:szCs w:val="24"/>
        </w:rPr>
      </w:pPr>
      <w:r>
        <w:rPr>
          <w:noProof/>
        </w:rPr>
        <w:t>De territoriella typindelningarna har stor betydelse för regionalpolitiken inom ramen för Europa 2020-initiativets övergripande mål</w:t>
      </w:r>
      <w:r>
        <w:rPr>
          <w:rStyle w:val="FootnoteReference"/>
          <w:noProof/>
        </w:rPr>
        <w:footnoteReference w:id="3"/>
      </w:r>
      <w:r>
        <w:rPr>
          <w:noProof/>
        </w:rPr>
        <w:t xml:space="preserve">. Exempelvis syftar EU:s sammanhållningspolitik till att minska skillnaderna mellan EU:s regioner och främja tillväxt, sysselsättning och hållbar utveckling i mindre gynnade regioner och områden. Under de senaste åren har allt större fokus lagts på faktabaserade politiska åtgärder och mer integrerade territoriella strategier som speglar EU-regionernas mångfald, t.ex. i fråga om sysselsättning, befolkningsstruktur, fattigdom, utbildning och näringsverksamhet. Analyser av regionalpolitiken understryker behovet att undersöka de avsevärda skillnader som finns mellan stad och landsbygd och som ser olika ut i olika medlemsstater (se t.ex. den </w:t>
      </w:r>
      <w:hyperlink r:id="rId14">
        <w:r>
          <w:rPr>
            <w:noProof/>
          </w:rPr>
          <w:t>sjätte rapporten om ekonomisk, social och territoriell sammanhållning</w:t>
        </w:r>
      </w:hyperlink>
      <w:r>
        <w:rPr>
          <w:rStyle w:val="FootnoteReference"/>
          <w:noProof/>
        </w:rPr>
        <w:footnoteReference w:id="4"/>
      </w:r>
      <w:r>
        <w:rPr>
          <w:noProof/>
        </w:rPr>
        <w:t xml:space="preserve">). I sammanhållningspolitiken för 2014–2020 betonas territoriella utvecklingsstrategier som är inriktade på stads- och landsbygdsområden, men även på kustområden. I de principer för 2014–2020 års sammanhållningspolitik som anges i </w:t>
      </w:r>
      <w:hyperlink r:id="rId15">
        <w:r>
          <w:rPr>
            <w:noProof/>
          </w:rPr>
          <w:t>den gemensamma strategiska ramen</w:t>
        </w:r>
      </w:hyperlink>
      <w:r>
        <w:rPr>
          <w:rStyle w:val="FootnoteReference"/>
          <w:noProof/>
        </w:rPr>
        <w:footnoteReference w:id="5"/>
      </w:r>
      <w:r>
        <w:rPr>
          <w:noProof/>
        </w:rPr>
        <w:t xml:space="preserve"> betonas att satsningarna på smart och hållbar tillväxt för alla måste spegla städernas, stadsområdenas, landsbygdsområdenas och kustområdenas olika roller samt ta hänsyn till kopplingarna mellan stad och landsbygd. Typindelningen för urbaniseringsgrad användes nyligen i </w:t>
      </w:r>
      <w:hyperlink r:id="rId16">
        <w:r>
          <w:rPr>
            <w:noProof/>
          </w:rPr>
          <w:t>förordning (EU) nr 522/2014</w:t>
        </w:r>
      </w:hyperlink>
      <w:r>
        <w:rPr>
          <w:rStyle w:val="FootnoteReference"/>
          <w:noProof/>
        </w:rPr>
        <w:footnoteReference w:id="6"/>
      </w:r>
      <w:r>
        <w:rPr>
          <w:noProof/>
        </w:rPr>
        <w:t xml:space="preserve"> för att fastställa berättigande till stöd från Europeiska regionala utvecklingsfonden för att genomföra innovativa satsningar i större eller mindre städer och i förorter.</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autoSpaceDE w:val="0"/>
        <w:autoSpaceDN w:val="0"/>
        <w:adjustRightInd w:val="0"/>
        <w:spacing w:before="0" w:after="0"/>
        <w:rPr>
          <w:noProof/>
          <w:szCs w:val="24"/>
        </w:rPr>
      </w:pPr>
      <w:r>
        <w:rPr>
          <w:noProof/>
        </w:rPr>
        <w:t>Artikel 338 i EUF-fördraget är den rättsliga grunden för europeisk statistik. Europaparlamentet och rådet beslutar i enlighet med det ordinarie lagstiftningsförfarandet om åtgärder för att framställa sådan statistik som behövs för att EU ska kunna fullgöra sin uppgift.</w:t>
      </w:r>
    </w:p>
    <w:p>
      <w:pPr>
        <w:pStyle w:val="ManualHeading2"/>
        <w:rPr>
          <w:rFonts w:eastAsia="Arial Unicode MS"/>
          <w:noProof/>
          <w:u w:color="000000"/>
          <w:bdr w:val="nil"/>
        </w:rPr>
      </w:pPr>
      <w:r>
        <w:rPr>
          <w:noProof/>
        </w:rPr>
        <w:t>•</w:t>
      </w:r>
      <w:r>
        <w:rPr>
          <w:noProof/>
        </w:rPr>
        <w:tab/>
        <w:t>Subsidiaritetsprincipen (för icke-exklusiv befogenhet)</w:t>
      </w:r>
    </w:p>
    <w:p>
      <w:pPr>
        <w:autoSpaceDE w:val="0"/>
        <w:autoSpaceDN w:val="0"/>
        <w:adjustRightInd w:val="0"/>
        <w:spacing w:before="0" w:after="0"/>
        <w:rPr>
          <w:noProof/>
          <w:szCs w:val="24"/>
        </w:rPr>
      </w:pPr>
      <w:r>
        <w:rPr>
          <w:noProof/>
        </w:rPr>
        <w:t>Subsidiaritetsprincipen är tillämplig eftersom förslaget inte avser ett område där EU har exklusiv befogenhet. Medlemsstaterna kan inte på egen hand i tillräcklig utsträckning uppnå målen med den föreslagna åtgärden, dvs. införa de nödvändiga beståndsdelarna med avseende på territoriella typindelningar. Åtgärder kan vidtas på ett effektivare sätt på EU-nivå, genom en EU-rättsakt, för att upprätta, samordna och vidmakthålla harmoniserade statistiska indelningar, däribland territoriella typindelningar för statistikändamål på EU-nivå.</w:t>
      </w:r>
    </w:p>
    <w:p>
      <w:pPr>
        <w:pStyle w:val="ManualHeading2"/>
        <w:rPr>
          <w:rFonts w:eastAsia="Arial Unicode MS"/>
          <w:noProof/>
          <w:u w:color="000000"/>
          <w:bdr w:val="nil"/>
        </w:rPr>
      </w:pPr>
      <w:r>
        <w:rPr>
          <w:noProof/>
        </w:rPr>
        <w:t>•</w:t>
      </w:r>
      <w:r>
        <w:rPr>
          <w:noProof/>
        </w:rPr>
        <w:tab/>
        <w:t>Proportionalitetsprincipen</w:t>
      </w:r>
    </w:p>
    <w:p>
      <w:pPr>
        <w:spacing w:before="60" w:after="60"/>
        <w:rPr>
          <w:noProof/>
          <w:szCs w:val="24"/>
        </w:rPr>
      </w:pPr>
      <w:r>
        <w:rPr>
          <w:noProof/>
        </w:rPr>
        <w:t>Genom initiativet föreslås att den gällande Nuts-förordningen ändras, men inte mer än vad som är absolut nödvändigt. Det behövs ett formellt erkännande av territoriella typindelningar för statistik och politiskt beslutsfattande, och syftet är därför att ändra Nuts-förordningen så att de territoriella typindelningarna införlivas i lagstiftningen utan att de grundläggande principerna eller Nuts-regionernas struktur och definitioner ändras, eftersom dessa är vedertagna, väl beprövade och oomstridda.</w:t>
      </w:r>
    </w:p>
    <w:p>
      <w:pPr>
        <w:pBdr>
          <w:top w:val="nil"/>
          <w:left w:val="nil"/>
          <w:bottom w:val="nil"/>
          <w:right w:val="nil"/>
          <w:between w:val="nil"/>
          <w:bar w:val="nil"/>
        </w:pBdr>
        <w:spacing w:before="0" w:after="240"/>
        <w:rPr>
          <w:rFonts w:eastAsia="Arial Unicode MS"/>
          <w:noProof/>
          <w:szCs w:val="24"/>
        </w:rPr>
      </w:pPr>
      <w:r>
        <w:rPr>
          <w:noProof/>
        </w:rPr>
        <w:t>Detta alternativ anses vara det mest välavvägda sättet att förena behovet att vidta åtgärder med avsikten att begränsa initiativets räckvidd till minsta möjliga för att uppnå målen. Eftersom det rör sig om en rättslig kodifiering av befintliga typindelningar och deras beståndsdelar och kommissionen (Eurostat) kommer att göra själva typindelningen, medför det endast försumbara merkostnader för de nationella statistikbyråerna, och inga kostnader för företagen eller allmänheten.</w:t>
      </w:r>
    </w:p>
    <w:p>
      <w:pPr>
        <w:pStyle w:val="ManualHeading2"/>
        <w:rPr>
          <w:rFonts w:eastAsia="Arial Unicode MS"/>
          <w:noProof/>
          <w:u w:color="000000"/>
          <w:bdr w:val="nil"/>
        </w:rPr>
      </w:pPr>
      <w:r>
        <w:rPr>
          <w:noProof/>
        </w:rPr>
        <w:t>•</w:t>
      </w:r>
      <w:r>
        <w:rPr>
          <w:noProof/>
        </w:rPr>
        <w:tab/>
        <w:t>Val av instrument</w:t>
      </w:r>
    </w:p>
    <w:p>
      <w:pPr>
        <w:autoSpaceDE w:val="0"/>
        <w:autoSpaceDN w:val="0"/>
        <w:adjustRightInd w:val="0"/>
        <w:spacing w:before="0" w:after="0"/>
        <w:rPr>
          <w:noProof/>
          <w:szCs w:val="24"/>
        </w:rPr>
      </w:pPr>
      <w:r>
        <w:rPr>
          <w:noProof/>
        </w:rPr>
        <w:t>Föreslagen regleringsform: förordning.</w:t>
      </w:r>
    </w:p>
    <w:p>
      <w:pPr>
        <w:rPr>
          <w:noProof/>
          <w:szCs w:val="24"/>
        </w:rPr>
      </w:pPr>
      <w:r>
        <w:rPr>
          <w:noProof/>
        </w:rPr>
        <w:t>Med hänsyn till förslagets syfte och innehåll och det faktum att det är ett förslag om ändring av en förordning, är en förordning den lämpligaste regleringsformen.</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rPr>
          <w:noProof/>
        </w:rPr>
      </w:pPr>
      <w:r>
        <w:rPr>
          <w:noProof/>
        </w:rPr>
        <w:t>Typindelningarna förekommer ännu inte i den befintliga lagstiftningen, vilket gör det mycket svårt att fastställa och säkerställa enhetliga villkor för en harmoniserad tillämpning.</w:t>
      </w:r>
    </w:p>
    <w:p>
      <w:pPr>
        <w:pStyle w:val="ManualHeading2"/>
        <w:rPr>
          <w:rFonts w:eastAsia="Arial Unicode MS"/>
          <w:noProof/>
          <w:u w:color="000000"/>
          <w:bdr w:val="nil"/>
        </w:rPr>
      </w:pPr>
      <w:r>
        <w:rPr>
          <w:noProof/>
        </w:rPr>
        <w:t>•</w:t>
      </w:r>
      <w:r>
        <w:rPr>
          <w:noProof/>
        </w:rPr>
        <w:tab/>
        <w:t>Samråd med berörda parter</w:t>
      </w:r>
    </w:p>
    <w:p>
      <w:pPr>
        <w:spacing w:before="60" w:after="60"/>
        <w:rPr>
          <w:noProof/>
          <w:szCs w:val="24"/>
        </w:rPr>
      </w:pPr>
      <w:r>
        <w:rPr>
          <w:noProof/>
        </w:rPr>
        <w:t>De som berörs av förslaget är i första hand medlemsstaternas nationella statistikbyråer. Kommissionen (Eurostat) har från första början involverat deras experter och i hög grad förlitat sig på deras synpunkter och sakkunskap i arbetet med att utarbeta förslaget.</w:t>
      </w:r>
    </w:p>
    <w:p>
      <w:pPr>
        <w:spacing w:before="60" w:after="60"/>
        <w:rPr>
          <w:noProof/>
          <w:szCs w:val="24"/>
        </w:rPr>
      </w:pPr>
      <w:r>
        <w:rPr>
          <w:noProof/>
        </w:rPr>
        <w:t>Som främsta användare av regionala data för policyändamål rådfrågades kommissionens generaldirektorat för regional- och stadspolitik (GD REGIO) flera gånger och gav dessutom värdefull återkoppling.</w:t>
      </w:r>
    </w:p>
    <w:p>
      <w:pPr>
        <w:spacing w:before="60" w:after="60"/>
        <w:rPr>
          <w:noProof/>
          <w:szCs w:val="24"/>
        </w:rPr>
      </w:pPr>
      <w:r>
        <w:rPr>
          <w:noProof/>
        </w:rPr>
        <w:t>Med tanke på att detta förslag är av teknisk karaktär ansågs det inte nödvändigt att rådfråga något annat organ.</w:t>
      </w:r>
    </w:p>
    <w:p>
      <w:pPr>
        <w:pStyle w:val="ManualHeading2"/>
        <w:rPr>
          <w:rFonts w:eastAsia="Arial Unicode MS"/>
          <w:noProof/>
          <w:u w:color="000000"/>
          <w:bdr w:val="nil"/>
        </w:rPr>
      </w:pPr>
      <w:r>
        <w:rPr>
          <w:noProof/>
        </w:rPr>
        <w:t>•</w:t>
      </w:r>
      <w:r>
        <w:rPr>
          <w:noProof/>
        </w:rPr>
        <w:tab/>
        <w:t>Insamling och användning av sakkunnigutlåtanden</w:t>
      </w:r>
    </w:p>
    <w:p>
      <w:pPr>
        <w:pBdr>
          <w:top w:val="nil"/>
          <w:left w:val="nil"/>
          <w:bottom w:val="nil"/>
          <w:right w:val="nil"/>
          <w:between w:val="nil"/>
          <w:bar w:val="nil"/>
        </w:pBdr>
        <w:spacing w:before="0" w:after="240"/>
        <w:rPr>
          <w:noProof/>
          <w:szCs w:val="24"/>
        </w:rPr>
      </w:pPr>
      <w:r>
        <w:rPr>
          <w:noProof/>
        </w:rPr>
        <w:t>Typindelningarnas begrepp utvecklades i nära samarbete med Eurostat, GD REGIO och gemensamma forskningscentrumet, som bidrog med väsentlig sakkunskap, samt OECD, genom att man sammanförde ett antal redan befintliga begrepp och deras respektive metoder.</w:t>
      </w:r>
    </w:p>
    <w:p>
      <w:pPr>
        <w:pBdr>
          <w:top w:val="nil"/>
          <w:left w:val="nil"/>
          <w:bottom w:val="nil"/>
          <w:right w:val="nil"/>
          <w:between w:val="nil"/>
          <w:bar w:val="nil"/>
        </w:pBdr>
        <w:spacing w:before="0" w:after="240"/>
        <w:rPr>
          <w:noProof/>
          <w:szCs w:val="24"/>
        </w:rPr>
      </w:pPr>
      <w:r>
        <w:rPr>
          <w:noProof/>
        </w:rPr>
        <w:t>OECD använder också de harmoniserade typindelningarna för statistik och analyser.</w:t>
      </w:r>
    </w:p>
    <w:p>
      <w:pPr>
        <w:pStyle w:val="ManualHeading2"/>
        <w:rPr>
          <w:rFonts w:eastAsia="Arial Unicode MS"/>
          <w:noProof/>
          <w:u w:color="000000"/>
          <w:bdr w:val="nil"/>
        </w:rPr>
      </w:pPr>
      <w:r>
        <w:rPr>
          <w:noProof/>
        </w:rPr>
        <w:t>•</w:t>
      </w:r>
      <w:r>
        <w:rPr>
          <w:noProof/>
        </w:rPr>
        <w:tab/>
        <w:t>Konsekvensbedömning</w:t>
      </w:r>
    </w:p>
    <w:p>
      <w:pPr>
        <w:autoSpaceDE w:val="0"/>
        <w:autoSpaceDN w:val="0"/>
        <w:adjustRightInd w:val="0"/>
        <w:spacing w:after="0"/>
        <w:rPr>
          <w:noProof/>
          <w:color w:val="000000"/>
          <w:szCs w:val="24"/>
        </w:rPr>
      </w:pPr>
      <w:r>
        <w:rPr>
          <w:noProof/>
          <w:color w:val="000000"/>
        </w:rPr>
        <w:t>Någon konsekvensbedömning har inte gjorts eftersom förslaget inte har några betydande ekonomiska, sociala eller miljörelaterade effekter och inte medför någon ytterligare börda för företag eller allmänhet. Syftet med initiativet är huvudsakligen att komplettera den nuvarande Nuts-förordningen med de inslag som krävs för att beakta den senaste tidens utveckling av klassificeringar av territoriella enheter för statistikändamål.</w:t>
      </w:r>
    </w:p>
    <w:p>
      <w:pPr>
        <w:pStyle w:val="ManualHeading2"/>
        <w:rPr>
          <w:rFonts w:eastAsia="Arial Unicode MS"/>
          <w:noProof/>
          <w:u w:color="000000"/>
          <w:bdr w:val="nil"/>
        </w:rPr>
      </w:pPr>
      <w:r>
        <w:rPr>
          <w:noProof/>
        </w:rPr>
        <w:t>•</w:t>
      </w:r>
      <w:r>
        <w:rPr>
          <w:noProof/>
        </w:rPr>
        <w:tab/>
        <w:t>Lagstiftningens ändamålsenlighet och förenkling</w:t>
      </w:r>
    </w:p>
    <w:p>
      <w:pPr>
        <w:rPr>
          <w:noProof/>
        </w:rPr>
      </w:pPr>
      <w:r>
        <w:rPr>
          <w:noProof/>
        </w:rPr>
        <w:t>Kodifieringen av de territoriella typindelningarna i Nuts-förordningen gör att de inte behöver definieras eller förklaras i andra specifika rättsakter, t.ex. sådana som rör städer eller landsbygdsutveckling. Detta förenklar och harmoniserar lagstiftningen om stads- och landsbygdsutveckling samt havspolitik.</w:t>
      </w:r>
    </w:p>
    <w:p>
      <w:pPr>
        <w:pStyle w:val="ManualHeading2"/>
        <w:rPr>
          <w:rFonts w:eastAsia="Arial Unicode MS"/>
          <w:noProof/>
          <w:u w:color="000000"/>
          <w:bdr w:val="nil"/>
        </w:rPr>
      </w:pPr>
      <w:r>
        <w:rPr>
          <w:noProof/>
        </w:rPr>
        <w:t>•</w:t>
      </w:r>
      <w:r>
        <w:rPr>
          <w:noProof/>
        </w:rPr>
        <w:tab/>
        <w:t>Grundläggande rättigheter</w:t>
      </w:r>
    </w:p>
    <w:p>
      <w:pPr>
        <w:rPr>
          <w:noProof/>
        </w:rPr>
      </w:pPr>
      <w:r>
        <w:rPr>
          <w:noProof/>
        </w:rPr>
        <w:t>Detta förslag påverkar inte de grundläggande rättigheterna.</w:t>
      </w:r>
    </w:p>
    <w:p>
      <w:pPr>
        <w:pStyle w:val="ManualHeading1"/>
        <w:rPr>
          <w:noProof/>
        </w:rPr>
      </w:pPr>
      <w:r>
        <w:rPr>
          <w:noProof/>
        </w:rPr>
        <w:t>4.</w:t>
      </w:r>
      <w:r>
        <w:rPr>
          <w:noProof/>
        </w:rPr>
        <w:tab/>
        <w:t>BUDGETKONSEKVENSER</w:t>
      </w:r>
    </w:p>
    <w:p>
      <w:pPr>
        <w:rPr>
          <w:noProof/>
        </w:rPr>
      </w:pPr>
      <w:r>
        <w:rPr>
          <w:noProof/>
        </w:rPr>
        <w:t>Förslaget påverkar inte unionens budget.</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rPr>
          <w:noProof/>
          <w:u w:color="000000"/>
          <w:bdr w:val="nil"/>
        </w:rPr>
      </w:pPr>
      <w:r>
        <w:rPr>
          <w:noProof/>
        </w:rPr>
        <w:t>Eftersom typindelningarna redan är i bruk, även om de inte är juridiskt erkända, finns det inga planer på att utarbeta några särskilda genomförandeplaner eller bestämmelser om övervakning. I princip är förfarandet för att fastställa och offentliggöra typindelningarna som följer.</w:t>
      </w:r>
    </w:p>
    <w:p>
      <w:pPr>
        <w:rPr>
          <w:noProof/>
          <w:u w:color="000000"/>
          <w:bdr w:val="nil"/>
        </w:rPr>
      </w:pPr>
      <w:r>
        <w:rPr>
          <w:noProof/>
        </w:rPr>
        <w:t>Kommissionen (Eurostat) gör de beräkningar som krävs för att göra typindelningen när nya uppgifter om befolkningsfördelningen och befolkningstätheten i kilometerrutorna blir tillgängliga. Detta är i regel fallet efter en folkräkning. Mindre uppdateringar för att återspegla förändringar i medlemsstaternas lokala eller regionala struktur kan göras varje år för de medlemsstater som berörs.</w:t>
      </w:r>
    </w:p>
    <w:p>
      <w:pPr>
        <w:rPr>
          <w:noProof/>
          <w:u w:color="000000"/>
          <w:bdr w:val="nil"/>
        </w:rPr>
      </w:pPr>
      <w:r>
        <w:rPr>
          <w:noProof/>
        </w:rPr>
        <w:t>Efter att kommissionen (Eurostat) har gjort dessa inledande beräkningar låter den medlemsstaterna ta del av resultaten. De kan kontrollera eller ändra dem utifrån exempelvis särskilda geografiska omständigheter.</w:t>
      </w:r>
    </w:p>
    <w:p>
      <w:pPr>
        <w:rPr>
          <w:noProof/>
          <w:u w:color="000000"/>
          <w:bdr w:val="nil"/>
        </w:rPr>
      </w:pPr>
      <w:r>
        <w:rPr>
          <w:noProof/>
        </w:rPr>
        <w:t>Sedan kommissionen (Eurostat) enats med medlemsstaterna om resultaten offentliggör den dessa på de särskilda webbplatserna.</w:t>
      </w:r>
    </w:p>
    <w:p>
      <w:pPr>
        <w:rPr>
          <w:noProof/>
          <w:u w:color="000000"/>
          <w:bdr w:val="nil"/>
        </w:rPr>
      </w:pPr>
      <w:r>
        <w:rPr>
          <w:noProof/>
        </w:rPr>
        <w:t>För att typindelningarna ska bli harmoniserade krävs att det fastställs enhetliga villkor. Kommissionen bör ges befogenhet att göra detta för genomförandet av typindelningarna med hjälp av genomförandeakter.</w:t>
      </w:r>
    </w:p>
    <w:p>
      <w:pPr>
        <w:pStyle w:val="ManualHeading2"/>
        <w:rPr>
          <w:rFonts w:eastAsia="Arial Unicode MS"/>
          <w:noProof/>
          <w:u w:color="000000"/>
          <w:bdr w:val="nil"/>
        </w:rPr>
      </w:pPr>
      <w:r>
        <w:rPr>
          <w:noProof/>
        </w:rPr>
        <w:t>•</w:t>
      </w:r>
      <w:r>
        <w:rPr>
          <w:noProof/>
        </w:rPr>
        <w:tab/>
        <w:t>Ingående redogörelse för de specifika bestämmelserna i förslaget</w:t>
      </w:r>
    </w:p>
    <w:p>
      <w:pPr>
        <w:rPr>
          <w:noProof/>
          <w:u w:color="000000"/>
          <w:bdr w:val="nil"/>
        </w:rPr>
      </w:pPr>
      <w:r>
        <w:rPr>
          <w:noProof/>
        </w:rPr>
        <w:t>Förslaget medför inte någon förändring av det huvudsakliga innehållet i Nuts-förordningen, som är allmänt vedertaget och väl beprövat, och ändrar inte mer än vad som är absolut nödvändigt för att målen med förslaget ska kunna uppnås.</w:t>
      </w:r>
    </w:p>
    <w:p>
      <w:pPr>
        <w:rPr>
          <w:noProof/>
          <w:u w:color="000000"/>
          <w:bdr w:val="nil"/>
        </w:rPr>
      </w:pPr>
      <w:r>
        <w:rPr>
          <w:noProof/>
        </w:rPr>
        <w:t>Det föreslås att vissa av bestämmelserna i förordning (EG) nr 1059/2003 ändras eller ersätts av följande skäl.</w:t>
      </w:r>
    </w:p>
    <w:p>
      <w:pPr>
        <w:rPr>
          <w:noProof/>
          <w:u w:color="000000"/>
          <w:bdr w:val="nil"/>
        </w:rPr>
      </w:pPr>
      <w:r>
        <w:rPr>
          <w:noProof/>
        </w:rPr>
        <w:t>- Artikel 1</w:t>
      </w:r>
    </w:p>
    <w:p>
      <w:pPr>
        <w:rPr>
          <w:noProof/>
          <w:u w:color="000000"/>
          <w:bdr w:val="nil"/>
        </w:rPr>
      </w:pPr>
      <w:r>
        <w:rPr>
          <w:noProof/>
        </w:rPr>
        <w:t>Den nya artikel 1 breddar Nuts-förordningens syfte genom att de territoriella typindelningarna och de statistiska rutnät som behövs för beräkningen av dem utifrån befolkningsfördelningen och befolkningstätheten i de enskilda kilometerrutorna läggs till. Den klargör dessutom de lokala administrativa enheternas (LAU) roll och benämning, som är inkonsekvent i den gällande Nuts-förordningen (t.ex. ”enheter i Nuts” och ”mindre administrativa enheter”).</w:t>
      </w:r>
    </w:p>
    <w:p>
      <w:pPr>
        <w:rPr>
          <w:noProof/>
          <w:u w:color="000000"/>
          <w:bdr w:val="nil"/>
        </w:rPr>
      </w:pPr>
      <w:r>
        <w:rPr>
          <w:noProof/>
        </w:rPr>
        <w:t>- Artikel 2</w:t>
      </w:r>
    </w:p>
    <w:p>
      <w:pPr>
        <w:rPr>
          <w:noProof/>
          <w:u w:color="000000"/>
          <w:bdr w:val="nil"/>
        </w:rPr>
      </w:pPr>
      <w:r>
        <w:rPr>
          <w:noProof/>
        </w:rPr>
        <w:t>I artikel 2 utgår punkt 5. Den hänvisar till ett meddelande som skulle läggas fram 2005, två år efter att den ursprungliga Nuts-förordningen trädde i kraft 2003. Den är därför inte aktuell längre.</w:t>
      </w:r>
    </w:p>
    <w:p>
      <w:pPr>
        <w:rPr>
          <w:noProof/>
          <w:u w:color="000000"/>
          <w:bdr w:val="nil"/>
        </w:rPr>
      </w:pPr>
      <w:r>
        <w:rPr>
          <w:noProof/>
        </w:rPr>
        <w:t>- Artikel 3</w:t>
      </w:r>
    </w:p>
    <w:p>
      <w:pPr>
        <w:rPr>
          <w:noProof/>
          <w:u w:color="000000"/>
          <w:bdr w:val="nil"/>
        </w:rPr>
      </w:pPr>
      <w:r>
        <w:rPr>
          <w:noProof/>
        </w:rPr>
        <w:t>I artikel 3 anpassas punkt 4 till de nya institutionella förfaranden som infördes genom Lissabonfördraget (genom att det föreskrivande förfarande med kontroll ändras till delegerade akter).</w:t>
      </w:r>
    </w:p>
    <w:p>
      <w:pPr>
        <w:rPr>
          <w:noProof/>
          <w:u w:color="000000"/>
          <w:bdr w:val="nil"/>
        </w:rPr>
      </w:pPr>
      <w:r>
        <w:rPr>
          <w:noProof/>
        </w:rPr>
        <w:t>I punkt 5 utgår den sista meningen eftersom det inte längre är relevant att ge kommissionen några sådana befogenheter.</w:t>
      </w:r>
    </w:p>
    <w:p>
      <w:pPr>
        <w:rPr>
          <w:noProof/>
          <w:u w:color="000000"/>
          <w:bdr w:val="nil"/>
        </w:rPr>
      </w:pPr>
      <w:r>
        <w:rPr>
          <w:noProof/>
        </w:rPr>
        <w:t>- Artikel 4</w:t>
      </w:r>
    </w:p>
    <w:p>
      <w:pPr>
        <w:rPr>
          <w:noProof/>
          <w:u w:color="000000"/>
          <w:bdr w:val="nil"/>
        </w:rPr>
      </w:pPr>
      <w:r>
        <w:rPr>
          <w:noProof/>
        </w:rPr>
        <w:t>Artikel 4 innehåller bestämmelser om lokala administrativa enheter. Bestämmelserna om överföringskraven klargörs och förenklas också. Dessa tolkades tidigare inte konsekvent.</w:t>
      </w:r>
    </w:p>
    <w:p>
      <w:pPr>
        <w:rPr>
          <w:noProof/>
          <w:u w:color="000000"/>
          <w:bdr w:val="nil"/>
        </w:rPr>
      </w:pPr>
      <w:r>
        <w:rPr>
          <w:noProof/>
        </w:rPr>
        <w:t>Avslutningsvis ges kommissionen befogenhet att anta delegerade akter för att anpassa förteckningen över lokala administrativa enheter i bilaga III till Nuts-förordningen.</w:t>
      </w:r>
    </w:p>
    <w:p>
      <w:pPr>
        <w:rPr>
          <w:noProof/>
          <w:u w:color="000000"/>
          <w:bdr w:val="nil"/>
        </w:rPr>
      </w:pPr>
      <w:r>
        <w:rPr>
          <w:noProof/>
        </w:rPr>
        <w:t>- Artikel 4a</w:t>
      </w:r>
    </w:p>
    <w:p>
      <w:pPr>
        <w:rPr>
          <w:noProof/>
          <w:u w:color="000000"/>
          <w:bdr w:val="nil"/>
        </w:rPr>
      </w:pPr>
      <w:r>
        <w:rPr>
          <w:noProof/>
        </w:rPr>
        <w:t>Artikel 4a införs för att introducera de statistiska rutnät som kommissionen (Eurostat) kommer att offentliggöra och hålla uppdaterade, som utgångspunkt för beräkningen av de territoriella typindelningarna för regionerna och områdena.</w:t>
      </w:r>
    </w:p>
    <w:p>
      <w:pPr>
        <w:rPr>
          <w:noProof/>
          <w:u w:color="000000"/>
          <w:bdr w:val="nil"/>
        </w:rPr>
      </w:pPr>
      <w:r>
        <w:rPr>
          <w:noProof/>
        </w:rPr>
        <w:t>- Artikel 4b</w:t>
      </w:r>
    </w:p>
    <w:p>
      <w:pPr>
        <w:rPr>
          <w:noProof/>
          <w:u w:color="000000"/>
          <w:bdr w:val="nil"/>
        </w:rPr>
      </w:pPr>
      <w:r>
        <w:rPr>
          <w:noProof/>
        </w:rPr>
        <w:t>Genom den nya artikel 4b införs själva typindelningarna, och kommissionen ges genomförandebefogenheter att inrätta enhetliga villkor så att de kan tillämpas på ett harmoniserat sätt.</w:t>
      </w:r>
    </w:p>
    <w:p>
      <w:pPr>
        <w:rPr>
          <w:noProof/>
          <w:u w:color="000000"/>
          <w:bdr w:val="nil"/>
        </w:rPr>
      </w:pPr>
      <w:r>
        <w:rPr>
          <w:noProof/>
        </w:rPr>
        <w:t>- Artikel 5</w:t>
      </w:r>
    </w:p>
    <w:p>
      <w:pPr>
        <w:rPr>
          <w:noProof/>
          <w:u w:color="000000"/>
          <w:bdr w:val="nil"/>
        </w:rPr>
      </w:pPr>
      <w:r>
        <w:rPr>
          <w:noProof/>
        </w:rPr>
        <w:t>I den nya artikel 5 har ordalydelsen förenklats och gjorts tydligare. Kommissionen ges befogenhet att anta delegerade akter för att anpassa Nuts-nomenklaturen i Nuts-förordningens bilaga I.</w:t>
      </w:r>
    </w:p>
    <w:p>
      <w:pPr>
        <w:rPr>
          <w:noProof/>
          <w:u w:color="000000"/>
          <w:bdr w:val="nil"/>
        </w:rPr>
      </w:pPr>
      <w:r>
        <w:rPr>
          <w:noProof/>
        </w:rPr>
        <w:t>- Artiklarna 7 och 7a</w:t>
      </w:r>
    </w:p>
    <w:p>
      <w:pPr>
        <w:rPr>
          <w:noProof/>
          <w:u w:color="000000"/>
          <w:bdr w:val="nil"/>
        </w:rPr>
      </w:pPr>
      <w:r>
        <w:rPr>
          <w:noProof/>
        </w:rPr>
        <w:t>Artikel 7 uppdateras med en hänvisning till den behöriga kommitté som bistår kommissionen när den antar genomförandeakter, medan den nya artikel 7a gäller utövandet av delegering i enlighet med det interinstitutionella avtalet om bättre lagstiftning.</w:t>
      </w:r>
    </w:p>
    <w:p>
      <w:pPr>
        <w:rPr>
          <w:noProof/>
          <w:u w:color="000000"/>
          <w:bdr w:val="nil"/>
        </w:rPr>
      </w:pPr>
      <w:r>
        <w:rPr>
          <w:noProof/>
        </w:rPr>
        <w:t>- Artikel 8</w:t>
      </w:r>
    </w:p>
    <w:p>
      <w:pPr>
        <w:rPr>
          <w:noProof/>
          <w:u w:color="000000"/>
          <w:bdr w:val="nil"/>
        </w:rPr>
      </w:pPr>
      <w:r>
        <w:rPr>
          <w:noProof/>
        </w:rPr>
        <w:t>Artikel 8 utgår. I artikeln föreskrevs att en rapport om tillämpningen skulle läggas fram 2006, tre år efter att den ursprungliga Nuts-förordningen trädde i kraft 2003. Den är därför inte aktuell längre.</w:t>
      </w:r>
    </w:p>
    <w:p>
      <w:pPr>
        <w:rPr>
          <w:noProof/>
          <w:u w:color="000000"/>
          <w:bdr w:val="nil"/>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t>2016/0393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ändring av förordning (EG) nr 1059/2003 vad gäller de territoriella typindelningarna (Tercet)</w:t>
      </w:r>
    </w:p>
    <w:p>
      <w:pPr>
        <w:pStyle w:val="IntrtEEE"/>
        <w:rPr>
          <w:noProof/>
        </w:rPr>
      </w:pPr>
      <w:r>
        <w:rPr>
          <w:noProof/>
        </w:rPr>
        <w:t>(Text av betydelse för EES)</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artikel 338.1,</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7"/>
      </w:r>
      <w:r>
        <w:rPr>
          <w:noProof/>
        </w:rPr>
        <w:t>,</w:t>
      </w:r>
    </w:p>
    <w:p>
      <w:pPr>
        <w:rPr>
          <w:noProof/>
        </w:rPr>
      </w:pPr>
      <w:r>
        <w:rPr>
          <w:noProof/>
        </w:rPr>
        <w:t>med beaktande av Regionkommitténs yttrande</w:t>
      </w:r>
      <w:r>
        <w:rPr>
          <w:rStyle w:val="FootnoteReference"/>
          <w:noProof/>
        </w:rPr>
        <w:footnoteReference w:id="8"/>
      </w:r>
      <w:r>
        <w:rPr>
          <w:noProof/>
        </w:rPr>
        <w:t>,</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Genom Europaparlamentets och rådets förordning (EG) nr 1059/2003</w:t>
      </w:r>
      <w:r>
        <w:rPr>
          <w:rStyle w:val="FootnoteReference"/>
          <w:noProof/>
        </w:rPr>
        <w:footnoteReference w:id="9"/>
      </w:r>
      <w:r>
        <w:rPr>
          <w:noProof/>
        </w:rPr>
        <w:t xml:space="preserve"> av den 26 maj 2003 inrättas en gemensam nomenklatur för statistiska territoriella enheter (Nuts – </w:t>
      </w:r>
      <w:r>
        <w:rPr>
          <w:i/>
          <w:noProof/>
        </w:rPr>
        <w:t>Nomenclature of territorial units for statistics</w:t>
      </w:r>
      <w:r>
        <w:rPr>
          <w:noProof/>
        </w:rPr>
        <w:t>), för att möjliggöra insamling, sammanställning och spridning av harmoniserad regional statistik inom EU.</w:t>
      </w:r>
    </w:p>
    <w:p>
      <w:pPr>
        <w:pStyle w:val="ManualConsidrant"/>
        <w:rPr>
          <w:noProof/>
        </w:rPr>
      </w:pPr>
      <w:r>
        <w:t>(2)</w:t>
      </w:r>
      <w:r>
        <w:tab/>
      </w:r>
      <w:r>
        <w:rPr>
          <w:noProof/>
        </w:rPr>
        <w:t>För en mer målinriktad politik har kommissionen i samarbete med OECD utformat ett antal territoriella typindelningar för att klassificera de statistiska enheter som fastställts genom Nuts-förordningen.</w:t>
      </w:r>
    </w:p>
    <w:p>
      <w:pPr>
        <w:pStyle w:val="ManualConsidrant"/>
        <w:rPr>
          <w:noProof/>
        </w:rPr>
      </w:pPr>
      <w:r>
        <w:t>(3)</w:t>
      </w:r>
      <w:r>
        <w:tab/>
      </w:r>
      <w:r>
        <w:rPr>
          <w:noProof/>
        </w:rPr>
        <w:t>Det europeiska statistiksystemet (ESS) använder redan dessa typindelningar, särskilt urbaniseringsgraden, inklusive definitionen av städer för att exempelvis fastställa berättigande till stöd från Europeiska regionala utvecklingsfonden till att genomföra innovativa åtgärder i städer och förorter</w:t>
      </w:r>
      <w:r>
        <w:rPr>
          <w:rStyle w:val="FootnoteReference"/>
          <w:noProof/>
        </w:rPr>
        <w:footnoteReference w:id="10"/>
      </w:r>
      <w:r>
        <w:rPr>
          <w:noProof/>
        </w:rPr>
        <w:t>.</w:t>
      </w:r>
    </w:p>
    <w:p>
      <w:pPr>
        <w:pStyle w:val="ManualConsidrant"/>
        <w:rPr>
          <w:noProof/>
        </w:rPr>
      </w:pPr>
      <w:r>
        <w:t>(4)</w:t>
      </w:r>
      <w:r>
        <w:tab/>
      </w:r>
      <w:r>
        <w:rPr>
          <w:noProof/>
        </w:rPr>
        <w:t>Det är nödvändigt att kodifiera typindelningarna för att fastställa entydiga definitioner av och villkor för olika typer av territorier, så att tillämpningen blir harmoniserad och öppen och typindelningarna stabila. Detta bör underlätta sammanställningen och spridningen av den europeiska statistiken.</w:t>
      </w:r>
    </w:p>
    <w:p>
      <w:pPr>
        <w:pStyle w:val="ManualConsidrant"/>
        <w:rPr>
          <w:noProof/>
        </w:rPr>
      </w:pPr>
      <w:r>
        <w:t>(5)</w:t>
      </w:r>
      <w:r>
        <w:tab/>
      </w:r>
      <w:r>
        <w:rPr>
          <w:noProof/>
        </w:rPr>
        <w:t>Ett statistiskt rutnätssystem bör användas för att beräkna de territoriella typerna och göra själva indelningen av regionerna och områdena i fråga, eftersom denna bygger på befolkningsfördelningen och befolkningstätheten i rutor på en kvadratkilometer.</w:t>
      </w:r>
    </w:p>
    <w:p>
      <w:pPr>
        <w:pStyle w:val="ManualConsidrant"/>
        <w:rPr>
          <w:noProof/>
        </w:rPr>
      </w:pPr>
      <w:r>
        <w:t>(6)</w:t>
      </w:r>
      <w:r>
        <w:tab/>
      </w:r>
      <w:r>
        <w:rPr>
          <w:noProof/>
        </w:rPr>
        <w:t>Ett antal smärre aspekter av de lokala administrativa enheterna (LAU) bör också klargöras med avseende på att förenkla terminologin och mekanismen för medlemsstaternas översändning av förteckningarna över LAU till kommissionen (Eurostat).</w:t>
      </w:r>
    </w:p>
    <w:p>
      <w:pPr>
        <w:pStyle w:val="ManualConsidrant"/>
        <w:rPr>
          <w:noProof/>
        </w:rPr>
      </w:pPr>
      <w:r>
        <w:t>(7)</w:t>
      </w:r>
      <w:r>
        <w:tab/>
      </w:r>
      <w:r>
        <w:rPr>
          <w:noProof/>
        </w:rPr>
        <w:t>I syfte att följa utvecklingen på området i medlemsstaterna bör befogenheten att anta akter i enlighet med artikel 290 i fördraget delegeras till kommissionen med avseende på ändring av Nuts-nomenklaturen i bilaga I, förteckningen över befintliga administrativa enheter i bilaga II samt förteckningen över lokala administrativa enheter i bilaga III till förordning (EG) nr 1059/2003. Det är av särskild betydelse att kommissionen genomför lämpliga samråd under sitt förberedande arbete, inklusive på expertnivå, och att dessa samråd genomförs i enlighet med principerna i det interinstitutionella avtalet om bättre lagstiftning av den 13 april 2016</w:t>
      </w:r>
      <w:r>
        <w:rPr>
          <w:rStyle w:val="FootnoteReference"/>
          <w:noProof/>
        </w:rPr>
        <w:footnoteReference w:id="11"/>
      </w:r>
      <w:r>
        <w:rPr>
          <w:noProof/>
        </w:rPr>
        <w:t>. För att säkerställa lika stor delaktighet i utarbetandet av delegerade akter erhåller Europaparlamentet och rådet alla handlingar samtidigt som medlemsstaternas experter, och deras experter ges systematiskt tillträde till möten i kommissionens expertgrupper som arbetar med att utarbeta delegerade akter.</w:t>
      </w:r>
    </w:p>
    <w:p>
      <w:pPr>
        <w:pStyle w:val="ManualConsidrant"/>
        <w:rPr>
          <w:noProof/>
        </w:rPr>
      </w:pPr>
      <w:r>
        <w:t>(8)</w:t>
      </w:r>
      <w:r>
        <w:tab/>
      </w:r>
      <w:r>
        <w:rPr>
          <w:noProof/>
        </w:rPr>
        <w:t>För att säkerställa enhetliga villkor för genomförandet av denna förordning bör kommissionen tilldelas genomförandebefogenheter med avseende på tillämpningen av territoriella typindelningar och de tidsserier som medlemsstaterna ska lämna in till kommissionen vid ändringar av Nuts-nomenklaturen. Dessa befogenheter bör utövas i enlighet med Europaparlamentets och rådets förordning (EU) nr 182/2011</w:t>
      </w:r>
      <w:r>
        <w:rPr>
          <w:rStyle w:val="FootnoteReference"/>
          <w:noProof/>
        </w:rPr>
        <w:footnoteReference w:id="12"/>
      </w:r>
      <w:r>
        <w:rPr>
          <w:noProof/>
        </w:rPr>
        <w:t>.</w:t>
      </w:r>
    </w:p>
    <w:p>
      <w:pPr>
        <w:pStyle w:val="ManualConsidrant"/>
        <w:rPr>
          <w:noProof/>
        </w:rPr>
      </w:pPr>
      <w:r>
        <w:t>(9)</w:t>
      </w:r>
      <w:r>
        <w:tab/>
      </w:r>
      <w:r>
        <w:rPr>
          <w:noProof/>
        </w:rPr>
        <w:t>Förordning (EG) nr 1059/2003 bör därför ändras i enlighet med detta.</w:t>
      </w:r>
    </w:p>
    <w:p>
      <w:pPr>
        <w:pStyle w:val="Formuledadoption"/>
        <w:rPr>
          <w:noProof/>
        </w:rPr>
      </w:pPr>
      <w:r>
        <w:rPr>
          <w:noProof/>
        </w:rPr>
        <w:t>HÄRIGENOM FÖRESKRIVS FÖLJANDE.</w:t>
      </w:r>
    </w:p>
    <w:p>
      <w:pPr>
        <w:pStyle w:val="Titrearticle"/>
        <w:rPr>
          <w:noProof/>
        </w:rPr>
      </w:pPr>
      <w:r>
        <w:rPr>
          <w:noProof/>
        </w:rPr>
        <w:t>Artikel 1</w:t>
      </w:r>
    </w:p>
    <w:p>
      <w:pPr>
        <w:rPr>
          <w:noProof/>
        </w:rPr>
      </w:pPr>
      <w:r>
        <w:rPr>
          <w:noProof/>
        </w:rPr>
        <w:t>Förordning (EG) nr 1059/2003 ska ändras på följande sätt:</w:t>
      </w:r>
    </w:p>
    <w:p>
      <w:pPr>
        <w:pStyle w:val="Point0number"/>
        <w:numPr>
          <w:ilvl w:val="0"/>
          <w:numId w:val="6"/>
        </w:numPr>
        <w:rPr>
          <w:noProof/>
        </w:rPr>
      </w:pPr>
      <w:r>
        <w:rPr>
          <w:noProof/>
        </w:rPr>
        <w:t>Artikel 1 ska ersättas med följande:</w:t>
      </w:r>
    </w:p>
    <w:p>
      <w:pPr>
        <w:pStyle w:val="Text1"/>
        <w:rPr>
          <w:noProof/>
        </w:rPr>
      </w:pPr>
      <w:r>
        <w:rPr>
          <w:noProof/>
        </w:rPr>
        <w:t>”</w:t>
      </w:r>
      <w:r>
        <w:rPr>
          <w:i/>
          <w:noProof/>
        </w:rPr>
        <w:t>Artikel 1</w:t>
      </w:r>
    </w:p>
    <w:p>
      <w:pPr>
        <w:pStyle w:val="Text1"/>
        <w:rPr>
          <w:b/>
          <w:noProof/>
        </w:rPr>
      </w:pPr>
      <w:r>
        <w:rPr>
          <w:b/>
          <w:noProof/>
        </w:rPr>
        <w:t>Syfte</w:t>
      </w:r>
    </w:p>
    <w:p>
      <w:pPr>
        <w:pStyle w:val="Text1"/>
        <w:rPr>
          <w:noProof/>
        </w:rPr>
      </w:pPr>
      <w:r>
        <w:rPr>
          <w:noProof/>
        </w:rPr>
        <w:t>1. Genom denna förordning inrättas en gemensam statistisk nomenklatur för territoriella enheter (Nuts) för att möjliggöra insamling, sammanställning och spridning av harmoniserad statistik på olika territoriella nivåer i EU.</w:t>
      </w:r>
    </w:p>
    <w:p>
      <w:pPr>
        <w:pStyle w:val="Text1"/>
        <w:rPr>
          <w:noProof/>
        </w:rPr>
      </w:pPr>
      <w:r>
        <w:rPr>
          <w:noProof/>
        </w:rPr>
        <w:t>2. Nuts-nomenklaturen fastställs i bilaga I.</w:t>
      </w:r>
    </w:p>
    <w:p>
      <w:pPr>
        <w:pStyle w:val="Text1"/>
        <w:rPr>
          <w:noProof/>
        </w:rPr>
      </w:pPr>
      <w:r>
        <w:rPr>
          <w:noProof/>
        </w:rPr>
        <w:t>3. De lokala administrativa enheter (LAU) som avses i artikel 4 ska komplettera Nuts-nomenklaturen.</w:t>
      </w:r>
    </w:p>
    <w:p>
      <w:pPr>
        <w:pStyle w:val="Text1"/>
        <w:rPr>
          <w:noProof/>
        </w:rPr>
      </w:pPr>
      <w:r>
        <w:rPr>
          <w:noProof/>
        </w:rPr>
        <w:t>4. De statistiska rutnät som avses i artikel 4a ska komplettera Nuts-nomenklaturen. De ska användas för att beräkna befolkningsbaserade territoriella typindelningar.</w:t>
      </w:r>
    </w:p>
    <w:p>
      <w:pPr>
        <w:pStyle w:val="Text1"/>
        <w:rPr>
          <w:noProof/>
        </w:rPr>
      </w:pPr>
      <w:r>
        <w:rPr>
          <w:noProof/>
        </w:rPr>
        <w:t>5. De territoriella typindelningar på unionsnivå som avses i artikel 4b ska komplettera Nuts-nomenklaturen genom att de territoriella enheterna delas in i olika typer.”.</w:t>
      </w:r>
    </w:p>
    <w:p>
      <w:pPr>
        <w:pStyle w:val="Point0number"/>
        <w:rPr>
          <w:noProof/>
        </w:rPr>
      </w:pPr>
      <w:r>
        <w:rPr>
          <w:noProof/>
        </w:rPr>
        <w:t>I artikel 2 ska punkt 5 utgå.</w:t>
      </w:r>
    </w:p>
    <w:p>
      <w:pPr>
        <w:pStyle w:val="Point0number"/>
        <w:rPr>
          <w:noProof/>
        </w:rPr>
      </w:pPr>
      <w:r>
        <w:rPr>
          <w:noProof/>
        </w:rPr>
        <w:t>Artikel 3 ska ändras på följande sätt:</w:t>
      </w:r>
    </w:p>
    <w:p>
      <w:pPr>
        <w:pStyle w:val="Point1letter"/>
        <w:rPr>
          <w:noProof/>
        </w:rPr>
      </w:pPr>
      <w:r>
        <w:rPr>
          <w:noProof/>
        </w:rPr>
        <w:t>Punkt 4 ska ersättas med följande:</w:t>
      </w:r>
    </w:p>
    <w:p>
      <w:pPr>
        <w:pStyle w:val="Text1"/>
        <w:rPr>
          <w:noProof/>
        </w:rPr>
      </w:pPr>
      <w:r>
        <w:rPr>
          <w:noProof/>
        </w:rPr>
        <w:t>”4. De befintliga administrativa enheter som används i Nuts-nomenklaturen förtecknas i bilaga II. Kommissionen ska ges befogenhet att anta delegerade akter enligt artikel 7a för att anpassa bilaga II till utvecklingen i medlemsstaterna.”.</w:t>
      </w:r>
    </w:p>
    <w:p>
      <w:pPr>
        <w:pStyle w:val="Text1"/>
        <w:rPr>
          <w:noProof/>
        </w:rPr>
      </w:pPr>
      <w:r>
        <w:rPr>
          <w:noProof/>
        </w:rPr>
        <w:t>b)</w:t>
      </w:r>
      <w:r>
        <w:rPr>
          <w:noProof/>
        </w:rPr>
        <w:tab/>
        <w:t>I punkt 5 ska tredje stycket ersättas med följande:</w:t>
      </w:r>
    </w:p>
    <w:p>
      <w:pPr>
        <w:pStyle w:val="Text1"/>
        <w:rPr>
          <w:noProof/>
        </w:rPr>
      </w:pPr>
      <w:r>
        <w:rPr>
          <w:noProof/>
        </w:rPr>
        <w:t>”Enskilda icke-administrativa enheter får dock avvika från dessa gränser under särskilda geografiska, socioekonomiska, historiska, kulturella eller miljömässiga omständigheter, särskilt på öarna och i de yttersta randområdena.”.</w:t>
      </w:r>
    </w:p>
    <w:p>
      <w:pPr>
        <w:pStyle w:val="Point0number"/>
        <w:rPr>
          <w:noProof/>
        </w:rPr>
      </w:pPr>
      <w:r>
        <w:rPr>
          <w:noProof/>
        </w:rPr>
        <w:t>Artikel 4 ska ersättas med följande:</w:t>
      </w:r>
    </w:p>
    <w:p>
      <w:pPr>
        <w:pStyle w:val="Text1"/>
        <w:rPr>
          <w:i/>
          <w:noProof/>
        </w:rPr>
      </w:pPr>
      <w:r>
        <w:rPr>
          <w:noProof/>
        </w:rPr>
        <w:t>”</w:t>
      </w:r>
      <w:r>
        <w:rPr>
          <w:i/>
          <w:noProof/>
        </w:rPr>
        <w:t>Artikel 4</w:t>
      </w:r>
    </w:p>
    <w:p>
      <w:pPr>
        <w:pStyle w:val="Text1"/>
        <w:rPr>
          <w:noProof/>
        </w:rPr>
      </w:pPr>
      <w:r>
        <w:rPr>
          <w:b/>
          <w:noProof/>
        </w:rPr>
        <w:t>Lokala administrativa enheter</w:t>
      </w:r>
    </w:p>
    <w:p>
      <w:pPr>
        <w:pStyle w:val="Text1"/>
        <w:rPr>
          <w:noProof/>
        </w:rPr>
      </w:pPr>
      <w:r>
        <w:rPr>
          <w:noProof/>
        </w:rPr>
        <w:t>1. I varje medlemsstat ska Nuts 3-nivån delas in i ytterligare en eller två nivåer av territoriella enheter, så kallade lokala administrativa enheter (LAU). Minst en av LAU-nivåerna ska vara en sådan administrativ enhet som avses i artikel 3.1 och som förtecknas i bilaga III. Kommissionen ska ges befogenhet att anta delegerade akter enligt artikel 7a för att anpassa förteckningen över lokala administrativa enheter i bilaga III till utvecklingen i medlemsstaterna.</w:t>
      </w:r>
    </w:p>
    <w:p>
      <w:pPr>
        <w:pStyle w:val="Text1"/>
        <w:rPr>
          <w:noProof/>
        </w:rPr>
      </w:pPr>
      <w:r>
        <w:rPr>
          <w:noProof/>
        </w:rPr>
        <w:t>2. Under första halvåret varje år ska medlemsstaterna till kommissionen (Eurostat) översända förteckningen över lokala administrativa enheter per den 31 december föregående år och ange eventuella förändringar samt vilken Nuts 3-region dessa tillhör. De data som översänds ska följa det elektroniska dataformat som kommissionen (Eurostat) begärt.</w:t>
      </w:r>
    </w:p>
    <w:p>
      <w:pPr>
        <w:pStyle w:val="Text1"/>
        <w:rPr>
          <w:noProof/>
        </w:rPr>
      </w:pPr>
      <w:r>
        <w:rPr>
          <w:noProof/>
        </w:rPr>
        <w:t>3. Kommissionen (Eurostat) ska senast den 31 december varje år offentliggöra förteckningen över lokala administrativa enheter på den del av sin webbplats som är avsedd för detta.”</w:t>
      </w:r>
    </w:p>
    <w:p>
      <w:pPr>
        <w:pStyle w:val="Point0number"/>
        <w:rPr>
          <w:noProof/>
        </w:rPr>
      </w:pPr>
      <w:r>
        <w:rPr>
          <w:noProof/>
        </w:rPr>
        <w:t>Följande artiklar ska införas som artiklarna 4a och 4b:</w:t>
      </w:r>
    </w:p>
    <w:p>
      <w:pPr>
        <w:pStyle w:val="Text1"/>
        <w:rPr>
          <w:i/>
          <w:noProof/>
        </w:rPr>
      </w:pPr>
      <w:r>
        <w:rPr>
          <w:noProof/>
        </w:rPr>
        <w:t>”</w:t>
      </w:r>
      <w:r>
        <w:rPr>
          <w:i/>
          <w:noProof/>
        </w:rPr>
        <w:t>Artikel 4a</w:t>
      </w:r>
    </w:p>
    <w:p>
      <w:pPr>
        <w:pStyle w:val="Text1"/>
        <w:rPr>
          <w:b/>
          <w:noProof/>
        </w:rPr>
      </w:pPr>
      <w:r>
        <w:rPr>
          <w:b/>
          <w:noProof/>
        </w:rPr>
        <w:t>Statistiska rutnät</w:t>
      </w:r>
    </w:p>
    <w:p>
      <w:pPr>
        <w:pStyle w:val="Text1"/>
        <w:rPr>
          <w:noProof/>
        </w:rPr>
      </w:pPr>
      <w:r>
        <w:rPr>
          <w:noProof/>
        </w:rPr>
        <w:t>Kommissionen (Eurostat) ska på den del av sin webbplats som är avsedd för detta offentliggöra ett system av statistiska rutnät på unionsnivå samt hålla det uppdaterat. De statistiska rutnäten ska uppfylla specifikationerna i kommissionens förordning (EU) nr 1089/2010</w:t>
      </w:r>
      <w:r>
        <w:rPr>
          <w:rStyle w:val="FootnoteReference"/>
          <w:noProof/>
        </w:rPr>
        <w:footnoteReference w:id="13"/>
      </w:r>
      <w:r>
        <w:rPr>
          <w:noProof/>
        </w:rPr>
        <w:t>.</w:t>
      </w:r>
    </w:p>
    <w:p>
      <w:pPr>
        <w:pStyle w:val="Text1"/>
        <w:rPr>
          <w:i/>
          <w:noProof/>
        </w:rPr>
      </w:pPr>
      <w:r>
        <w:rPr>
          <w:i/>
          <w:noProof/>
        </w:rPr>
        <w:t>Artikel 4b</w:t>
      </w:r>
    </w:p>
    <w:p>
      <w:pPr>
        <w:pStyle w:val="Text1"/>
        <w:rPr>
          <w:b/>
          <w:noProof/>
        </w:rPr>
      </w:pPr>
      <w:r>
        <w:rPr>
          <w:b/>
          <w:noProof/>
        </w:rPr>
        <w:t>Territoriella typindelningar på unionsnivå</w:t>
      </w:r>
    </w:p>
    <w:p>
      <w:pPr>
        <w:pStyle w:val="Text1"/>
        <w:rPr>
          <w:noProof/>
        </w:rPr>
      </w:pPr>
      <w:r>
        <w:rPr>
          <w:noProof/>
        </w:rPr>
        <w:t>1. Kommissionen (Eurostat) ska på den del av sin webbplats som är avsedd för detta offentliggöra och uppdatera typindelningar på unionsnivå bestående av territoriella enheter på Nuts-nivå, LAU-nivå och rutnätsnivå.</w:t>
      </w:r>
    </w:p>
    <w:p>
      <w:pPr>
        <w:pStyle w:val="Text1"/>
        <w:rPr>
          <w:noProof/>
        </w:rPr>
      </w:pPr>
      <w:r>
        <w:rPr>
          <w:noProof/>
        </w:rPr>
        <w:t>2. Den rutnätsbaserade typindelningen ska bestå av rutnät med upplösningen 1 km</w:t>
      </w:r>
      <w:r>
        <w:rPr>
          <w:noProof/>
          <w:vertAlign w:val="superscript"/>
        </w:rPr>
        <w:t>2</w:t>
      </w:r>
      <w:r>
        <w:rPr>
          <w:noProof/>
        </w:rPr>
        <w:t xml:space="preserve"> enligt följande:</w:t>
      </w:r>
    </w:p>
    <w:p>
      <w:pPr>
        <w:pStyle w:val="Tiret2"/>
        <w:numPr>
          <w:ilvl w:val="0"/>
          <w:numId w:val="7"/>
        </w:numPr>
        <w:rPr>
          <w:noProof/>
        </w:rPr>
      </w:pPr>
      <w:r>
        <w:rPr>
          <w:noProof/>
        </w:rPr>
        <w:t>”Tätbefolkade centrum”.</w:t>
      </w:r>
    </w:p>
    <w:p>
      <w:pPr>
        <w:pStyle w:val="Tiret2"/>
        <w:rPr>
          <w:noProof/>
        </w:rPr>
      </w:pPr>
      <w:r>
        <w:rPr>
          <w:noProof/>
        </w:rPr>
        <w:t>”Tätbefolkade kluster”.</w:t>
      </w:r>
    </w:p>
    <w:p>
      <w:pPr>
        <w:pStyle w:val="Tiret2"/>
        <w:rPr>
          <w:noProof/>
        </w:rPr>
      </w:pPr>
      <w:r>
        <w:rPr>
          <w:noProof/>
        </w:rPr>
        <w:t>”Glesbefolkade rutor”.</w:t>
      </w:r>
    </w:p>
    <w:p>
      <w:pPr>
        <w:pStyle w:val="Text1"/>
        <w:rPr>
          <w:noProof/>
        </w:rPr>
      </w:pPr>
      <w:r>
        <w:rPr>
          <w:noProof/>
        </w:rPr>
        <w:t>3. LAU-nivån ska ha följande typindelningar:</w:t>
      </w:r>
    </w:p>
    <w:p>
      <w:pPr>
        <w:pStyle w:val="Text1"/>
        <w:rPr>
          <w:noProof/>
        </w:rPr>
      </w:pPr>
      <w:r>
        <w:rPr>
          <w:noProof/>
        </w:rPr>
        <w:t>a) Urbaniseringsgrad (DEGURBA):</w:t>
      </w:r>
    </w:p>
    <w:p>
      <w:pPr>
        <w:pStyle w:val="Tiret2"/>
        <w:rPr>
          <w:noProof/>
        </w:rPr>
      </w:pPr>
      <w:r>
        <w:rPr>
          <w:noProof/>
        </w:rPr>
        <w:t>”Tätbefolkade områden”:</w:t>
      </w:r>
    </w:p>
    <w:p>
      <w:pPr>
        <w:pStyle w:val="Tiret3"/>
        <w:numPr>
          <w:ilvl w:val="0"/>
          <w:numId w:val="12"/>
        </w:numPr>
        <w:rPr>
          <w:noProof/>
        </w:rPr>
      </w:pPr>
      <w:r>
        <w:rPr>
          <w:noProof/>
        </w:rPr>
        <w:t>”Storstadskommuner”.</w:t>
      </w:r>
    </w:p>
    <w:p>
      <w:pPr>
        <w:pStyle w:val="Tiret3"/>
        <w:rPr>
          <w:noProof/>
        </w:rPr>
      </w:pPr>
      <w:r>
        <w:rPr>
          <w:noProof/>
        </w:rPr>
        <w:t>”Mindre stads- eller förortskommuner”.</w:t>
      </w:r>
    </w:p>
    <w:p>
      <w:pPr>
        <w:pStyle w:val="Tiret2"/>
        <w:rPr>
          <w:noProof/>
        </w:rPr>
      </w:pPr>
      <w:r>
        <w:rPr>
          <w:noProof/>
        </w:rPr>
        <w:t>”Glesbefolkade områden”.</w:t>
      </w:r>
    </w:p>
    <w:p>
      <w:pPr>
        <w:pStyle w:val="Text1"/>
        <w:rPr>
          <w:noProof/>
        </w:rPr>
      </w:pPr>
      <w:r>
        <w:rPr>
          <w:noProof/>
        </w:rPr>
        <w:t>b) Funktionella stadsområden:</w:t>
      </w:r>
    </w:p>
    <w:p>
      <w:pPr>
        <w:pStyle w:val="Tiret2"/>
        <w:rPr>
          <w:noProof/>
        </w:rPr>
      </w:pPr>
      <w:r>
        <w:rPr>
          <w:noProof/>
        </w:rPr>
        <w:t xml:space="preserve"> ”Städer” och deras ”pendlingsområde”.</w:t>
      </w:r>
    </w:p>
    <w:p>
      <w:pPr>
        <w:pStyle w:val="Text1"/>
        <w:rPr>
          <w:noProof/>
        </w:rPr>
      </w:pPr>
      <w:r>
        <w:rPr>
          <w:noProof/>
        </w:rPr>
        <w:t>c) Kustområden:</w:t>
      </w:r>
    </w:p>
    <w:p>
      <w:pPr>
        <w:pStyle w:val="Tiret2"/>
        <w:rPr>
          <w:noProof/>
        </w:rPr>
      </w:pPr>
      <w:r>
        <w:rPr>
          <w:noProof/>
        </w:rPr>
        <w:t>”Kustområden”,</w:t>
      </w:r>
    </w:p>
    <w:p>
      <w:pPr>
        <w:pStyle w:val="Tiret2"/>
        <w:rPr>
          <w:noProof/>
        </w:rPr>
      </w:pPr>
      <w:r>
        <w:rPr>
          <w:noProof/>
        </w:rPr>
        <w:t>”Icke-kustområden”.</w:t>
      </w:r>
    </w:p>
    <w:p>
      <w:pPr>
        <w:pStyle w:val="Text1"/>
        <w:rPr>
          <w:noProof/>
        </w:rPr>
      </w:pPr>
      <w:r>
        <w:rPr>
          <w:noProof/>
        </w:rPr>
        <w:t>Om det finns mer än en administrativ LAU-nivå i en medlemsstat ska kommissionen (Eurostat) rådgöra med den medlemsstaten för att fastställa den administrativa LAU-nivå som ska användas för typindelningen.</w:t>
      </w:r>
    </w:p>
    <w:p>
      <w:pPr>
        <w:pStyle w:val="Text1"/>
        <w:rPr>
          <w:noProof/>
        </w:rPr>
      </w:pPr>
      <w:r>
        <w:rPr>
          <w:noProof/>
        </w:rPr>
        <w:t>4. Nuts 3-nivån ska ha följande typindelningar och beteckningar:</w:t>
      </w:r>
    </w:p>
    <w:p>
      <w:pPr>
        <w:pStyle w:val="Text1"/>
        <w:rPr>
          <w:noProof/>
        </w:rPr>
      </w:pPr>
      <w:r>
        <w:rPr>
          <w:noProof/>
        </w:rPr>
        <w:t>a) Typindelningen stad–land:</w:t>
      </w:r>
    </w:p>
    <w:p>
      <w:pPr>
        <w:pStyle w:val="Tiret2"/>
        <w:rPr>
          <w:noProof/>
        </w:rPr>
      </w:pPr>
      <w:r>
        <w:rPr>
          <w:noProof/>
        </w:rPr>
        <w:t>”Huvudsakligen tätbefolkade regioner”.</w:t>
      </w:r>
    </w:p>
    <w:p>
      <w:pPr>
        <w:pStyle w:val="Tiret2"/>
        <w:rPr>
          <w:noProof/>
        </w:rPr>
      </w:pPr>
      <w:r>
        <w:rPr>
          <w:noProof/>
        </w:rPr>
        <w:t>”Medeltätbefolkade regioner”.</w:t>
      </w:r>
    </w:p>
    <w:p>
      <w:pPr>
        <w:pStyle w:val="Tiret2"/>
        <w:rPr>
          <w:noProof/>
        </w:rPr>
      </w:pPr>
      <w:r>
        <w:rPr>
          <w:noProof/>
        </w:rPr>
        <w:t>”Huvudsakligen glesbefolkade regioner”.</w:t>
      </w:r>
    </w:p>
    <w:p>
      <w:pPr>
        <w:pStyle w:val="Text1"/>
        <w:rPr>
          <w:noProof/>
        </w:rPr>
      </w:pPr>
      <w:r>
        <w:rPr>
          <w:noProof/>
        </w:rPr>
        <w:t>b) Typindelningen storstad–icke-storstad:</w:t>
      </w:r>
    </w:p>
    <w:p>
      <w:pPr>
        <w:pStyle w:val="Tiret2"/>
        <w:rPr>
          <w:noProof/>
        </w:rPr>
      </w:pPr>
      <w:r>
        <w:rPr>
          <w:noProof/>
        </w:rPr>
        <w:t>”Storstadsregioner”.</w:t>
      </w:r>
    </w:p>
    <w:p>
      <w:pPr>
        <w:pStyle w:val="Tiret2"/>
        <w:rPr>
          <w:noProof/>
        </w:rPr>
      </w:pPr>
      <w:r>
        <w:rPr>
          <w:noProof/>
        </w:rPr>
        <w:t>”Icke-storstadsregioner”.</w:t>
      </w:r>
    </w:p>
    <w:p>
      <w:pPr>
        <w:pStyle w:val="Text1"/>
        <w:rPr>
          <w:noProof/>
        </w:rPr>
      </w:pPr>
      <w:r>
        <w:rPr>
          <w:noProof/>
        </w:rPr>
        <w:t>c) Typindelningen kust–inland:</w:t>
      </w:r>
    </w:p>
    <w:p>
      <w:pPr>
        <w:pStyle w:val="Tiret2"/>
        <w:rPr>
          <w:noProof/>
        </w:rPr>
      </w:pPr>
      <w:r>
        <w:rPr>
          <w:noProof/>
        </w:rPr>
        <w:t>”Kustregioner”</w:t>
      </w:r>
    </w:p>
    <w:p>
      <w:pPr>
        <w:pStyle w:val="Tiret2"/>
        <w:rPr>
          <w:noProof/>
        </w:rPr>
      </w:pPr>
      <w:r>
        <w:rPr>
          <w:noProof/>
        </w:rPr>
        <w:t>”Icke-kustregioner”.</w:t>
      </w:r>
    </w:p>
    <w:p>
      <w:pPr>
        <w:pStyle w:val="Text1"/>
        <w:rPr>
          <w:noProof/>
        </w:rPr>
      </w:pPr>
      <w:r>
        <w:rPr>
          <w:noProof/>
        </w:rPr>
        <w:t>5. Kommissionen ska genom genomförandeakter fastställa enhetliga villkor för en harmoniserad tillämpning av typindelningarna i medlemsstaterna och på unionsnivå. Dessa genomförandeakter ska antas i enlighet med det granskningsförfarande som avses i artikel 7.”.</w:t>
      </w:r>
    </w:p>
    <w:p>
      <w:pPr>
        <w:pStyle w:val="Point0number"/>
        <w:rPr>
          <w:noProof/>
        </w:rPr>
      </w:pPr>
      <w:r>
        <w:rPr>
          <w:noProof/>
        </w:rPr>
        <w:t>Artikel 5 ska ändras på följande sätt:</w:t>
      </w:r>
    </w:p>
    <w:p>
      <w:pPr>
        <w:pStyle w:val="Point1letter"/>
        <w:rPr>
          <w:noProof/>
        </w:rPr>
      </w:pPr>
      <w:r>
        <w:rPr>
          <w:noProof/>
        </w:rPr>
        <w:t>Punkt 4 ska ersättas med följande:</w:t>
      </w:r>
    </w:p>
    <w:p>
      <w:pPr>
        <w:pStyle w:val="Text1"/>
        <w:rPr>
          <w:noProof/>
        </w:rPr>
      </w:pPr>
      <w:r>
        <w:rPr>
          <w:noProof/>
        </w:rPr>
        <w:t>”4. Ändringar i Nuts-nomenklaturen ska antas under kalenderårets andra hälft enligt kriterierna i artikel 3, dock högst vart tredje år. Om det sker en genomgripande omorganisation av en medlemsstats berörda administrativa struktur får ändringar av Nuts-nomenklaturen dock antas med kortare intervall.</w:t>
      </w:r>
    </w:p>
    <w:p>
      <w:pPr>
        <w:pStyle w:val="Text1"/>
        <w:rPr>
          <w:noProof/>
        </w:rPr>
      </w:pPr>
      <w:r>
        <w:rPr>
          <w:noProof/>
        </w:rPr>
        <w:t>Kommissionen ska ges befogenhet att anta delegerade akter enligt artikel 7a för att anpassa Nuts-nomenklaturen i bilaga I till utvecklingen i medlemsstaterna. De regionala uppgifter som medlemsstaterna översänder till kommissionen (Eurostat) ska baseras på den ändrade Nuts-nomenklaturen fr.o.m. den 1 januari det andra året efter det att den delegerade akt som avses i första stycket har antagits.”.</w:t>
      </w:r>
    </w:p>
    <w:p>
      <w:pPr>
        <w:pStyle w:val="Point1letter"/>
        <w:rPr>
          <w:noProof/>
        </w:rPr>
      </w:pPr>
      <w:r>
        <w:rPr>
          <w:noProof/>
        </w:rPr>
        <w:t>Punkt 5 ska ersättas med följande:</w:t>
      </w:r>
    </w:p>
    <w:p>
      <w:pPr>
        <w:pStyle w:val="Text1"/>
        <w:rPr>
          <w:noProof/>
        </w:rPr>
      </w:pPr>
      <w:r>
        <w:rPr>
          <w:noProof/>
        </w:rPr>
        <w:t>”5. När en ändring görs i Nuts-nomenklaturen ska den berörda medlemsstaten till kommissionen (Eurostat) skicka tidsserierna för den nya regionala uppdelningen för att därigenom ersätta uppgifter som redan skickats.</w:t>
      </w:r>
    </w:p>
    <w:p>
      <w:pPr>
        <w:pStyle w:val="Text1"/>
        <w:rPr>
          <w:noProof/>
        </w:rPr>
      </w:pPr>
      <w:r>
        <w:rPr>
          <w:noProof/>
        </w:rPr>
        <w:t>Kommissionen ska genom genomförandeakter fastställa enhetliga villkor för tidsserierna och deras längd, med beaktande av huruvida det är möjligt att tillhandahålla dem. Dessa genomförandeakter ska antas i enlighet med det granskningsförfarande som avses i artikel 7.</w:t>
      </w:r>
    </w:p>
    <w:p>
      <w:pPr>
        <w:pStyle w:val="Text1"/>
        <w:rPr>
          <w:noProof/>
        </w:rPr>
      </w:pPr>
      <w:r>
        <w:rPr>
          <w:noProof/>
        </w:rPr>
        <w:t>Tidsserierna ska lämnas in fram till den 1 januari det fjärde året efter det att den delegerade akt som avses i punkt 4 har antagits.”.</w:t>
      </w:r>
    </w:p>
    <w:p>
      <w:pPr>
        <w:pStyle w:val="Point0number"/>
        <w:rPr>
          <w:noProof/>
        </w:rPr>
      </w:pPr>
      <w:r>
        <w:rPr>
          <w:noProof/>
        </w:rPr>
        <w:t>Artikel 7 ska ersättas med följande:</w:t>
      </w:r>
    </w:p>
    <w:p>
      <w:pPr>
        <w:pStyle w:val="Text1"/>
        <w:rPr>
          <w:i/>
          <w:noProof/>
        </w:rPr>
      </w:pPr>
      <w:r>
        <w:rPr>
          <w:noProof/>
        </w:rPr>
        <w:t>”</w:t>
      </w:r>
      <w:r>
        <w:rPr>
          <w:i/>
          <w:noProof/>
        </w:rPr>
        <w:t>Artikel 7</w:t>
      </w:r>
    </w:p>
    <w:p>
      <w:pPr>
        <w:pStyle w:val="Text1"/>
        <w:rPr>
          <w:b/>
          <w:noProof/>
        </w:rPr>
      </w:pPr>
      <w:r>
        <w:rPr>
          <w:b/>
          <w:noProof/>
        </w:rPr>
        <w:t>Kommittéförfarande</w:t>
      </w:r>
    </w:p>
    <w:p>
      <w:pPr>
        <w:pStyle w:val="Text1"/>
        <w:rPr>
          <w:noProof/>
        </w:rPr>
      </w:pPr>
      <w:r>
        <w:rPr>
          <w:noProof/>
        </w:rPr>
        <w:t>1. Kommissionen ska biträdas av kommittén för det europeiska statistiksystemet. Denna kommitté ska vara en kommitté i den mening som avses i förordning (EU) nr 182/2011.</w:t>
      </w:r>
    </w:p>
    <w:p>
      <w:pPr>
        <w:pStyle w:val="Text1"/>
        <w:rPr>
          <w:noProof/>
        </w:rPr>
      </w:pPr>
      <w:r>
        <w:rPr>
          <w:noProof/>
        </w:rPr>
        <w:t>2. När det hänvisas till denna punkt ska artikel 5 i förordning (EU) nr 182/2011 tillämpas.”.</w:t>
      </w:r>
    </w:p>
    <w:p>
      <w:pPr>
        <w:pStyle w:val="Point0number"/>
        <w:rPr>
          <w:noProof/>
        </w:rPr>
      </w:pPr>
      <w:r>
        <w:rPr>
          <w:noProof/>
        </w:rPr>
        <w:t>Följande artikel ska införas som artikel 7a:</w:t>
      </w:r>
    </w:p>
    <w:p>
      <w:pPr>
        <w:pStyle w:val="Text1"/>
        <w:rPr>
          <w:noProof/>
        </w:rPr>
      </w:pPr>
      <w:r>
        <w:rPr>
          <w:noProof/>
        </w:rPr>
        <w:t>”</w:t>
      </w:r>
      <w:r>
        <w:rPr>
          <w:i/>
          <w:noProof/>
        </w:rPr>
        <w:t>Artikel 7a</w:t>
      </w:r>
    </w:p>
    <w:p>
      <w:pPr>
        <w:pStyle w:val="Text1"/>
        <w:rPr>
          <w:b/>
          <w:noProof/>
        </w:rPr>
      </w:pPr>
      <w:r>
        <w:rPr>
          <w:b/>
          <w:noProof/>
        </w:rPr>
        <w:t>Utövande av delegering</w:t>
      </w:r>
    </w:p>
    <w:p>
      <w:pPr>
        <w:pStyle w:val="Text1"/>
        <w:rPr>
          <w:noProof/>
        </w:rPr>
      </w:pPr>
      <w:r>
        <w:rPr>
          <w:noProof/>
        </w:rPr>
        <w:t>1. Befogenheten att anta delegerade akter ges till kommissionen med förbehåll för de villkor som anges i denna artikel.</w:t>
      </w:r>
    </w:p>
    <w:p>
      <w:pPr>
        <w:pStyle w:val="Text1"/>
        <w:rPr>
          <w:noProof/>
        </w:rPr>
      </w:pPr>
      <w:r>
        <w:rPr>
          <w:noProof/>
        </w:rPr>
        <w:t>2. Den befogenhet att anta delegerade akter som avses i artiklarna 3.4, 4.1 och 5.4 ska ges till kommissionen tills vidare från och med den [</w:t>
      </w:r>
      <w:r>
        <w:rPr>
          <w:i/>
          <w:noProof/>
        </w:rPr>
        <w:t>Publikationsbyrån: för in det datum då denna förordning träder i kraft</w:t>
      </w:r>
      <w:r>
        <w:rPr>
          <w:noProof/>
        </w:rPr>
        <w:t>].</w:t>
      </w:r>
    </w:p>
    <w:p>
      <w:pPr>
        <w:pStyle w:val="Text1"/>
        <w:rPr>
          <w:noProof/>
        </w:rPr>
      </w:pPr>
      <w:r>
        <w:rPr>
          <w:noProof/>
        </w:rPr>
        <w:t xml:space="preserve">3. Den delegering av befogenhet som avses i artiklarna 3.4, 4.1 och 5.4 får när som helst återkallas av Europaparlamentet eller rådet. Ett beslut om återkallelse innebär att delegeringen av den befogenhet som anges i beslutet upphör att gälla. Beslutet får verkan dagen efter det att det offentliggörs i </w:t>
      </w:r>
      <w:r>
        <w:rPr>
          <w:i/>
          <w:noProof/>
        </w:rPr>
        <w:t>Europeiska unionens officiella tidning</w:t>
      </w:r>
      <w:r>
        <w:rPr>
          <w:noProof/>
        </w:rPr>
        <w:t>, eller vid ett senare i beslutet angivet datum. Det påverkar inte giltigheten av delegerade akter som redan har trätt i kraft.</w:t>
      </w:r>
    </w:p>
    <w:p>
      <w:pPr>
        <w:pStyle w:val="Text1"/>
        <w:rPr>
          <w:noProof/>
        </w:rPr>
      </w:pPr>
      <w:r>
        <w:rPr>
          <w:noProof/>
        </w:rPr>
        <w:t>4. Innan kommissionen antar en delegerad akt ska den samråda med experter som utsetts av varje medlemsstat i enlighet med principerna i det interinstitutionella avtalet om bättre lagstiftning av den 13 april 2016.</w:t>
      </w:r>
    </w:p>
    <w:p>
      <w:pPr>
        <w:pStyle w:val="Text1"/>
        <w:rPr>
          <w:noProof/>
        </w:rPr>
      </w:pPr>
      <w:r>
        <w:rPr>
          <w:noProof/>
        </w:rPr>
        <w:t>5. Så snart kommissionen antar en delegerad akt ska den samtidigt delge Europaparlamentet och rådet denna.</w:t>
      </w:r>
    </w:p>
    <w:p>
      <w:pPr>
        <w:pStyle w:val="Text1"/>
        <w:rPr>
          <w:noProof/>
        </w:rPr>
      </w:pPr>
      <w:r>
        <w:rPr>
          <w:noProof/>
        </w:rPr>
        <w:t>6. En delegerad akt som antas enligt artiklarna 3.4, 4.1 och 5.4 ska träda i kraft endast om varken Europaparlamentet eller rådet har gjort invändningar mot den delegerade akten inom en period av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p>
      <w:pPr>
        <w:pStyle w:val="Point0number"/>
        <w:rPr>
          <w:noProof/>
        </w:rPr>
      </w:pPr>
      <w:r>
        <w:rPr>
          <w:noProof/>
        </w:rPr>
        <w:t>Artikel 8 ska utgå.</w:t>
      </w:r>
    </w:p>
    <w:p>
      <w:pPr>
        <w:pStyle w:val="Titrearticle"/>
        <w:rPr>
          <w:noProof/>
        </w:rPr>
      </w:pPr>
      <w:r>
        <w:rPr>
          <w:noProof/>
        </w:rPr>
        <w:t>Artikel 2</w:t>
      </w:r>
    </w:p>
    <w:p>
      <w:pPr>
        <w:rPr>
          <w:noProof/>
        </w:rPr>
      </w:pPr>
      <w:r>
        <w:rPr>
          <w:noProof/>
        </w:rPr>
        <w:t xml:space="preserve">Denna förordning träder i kraft den tjugonde dagen efter det att den har offentliggjorts i </w:t>
      </w:r>
      <w:r>
        <w:rPr>
          <w:i/>
          <w:noProof/>
        </w:rPr>
        <w:t>Europeiska unionens officiella tidning</w:t>
      </w:r>
      <w:r>
        <w:rPr>
          <w:noProof/>
        </w:rPr>
        <w:t>.</w:t>
      </w:r>
    </w:p>
    <w:p>
      <w:pPr>
        <w:pStyle w:val="Applicationdirecte"/>
        <w:rPr>
          <w:noProof/>
        </w:rPr>
      </w:pPr>
      <w:r>
        <w:rPr>
          <w:noProof/>
        </w:rPr>
        <w:t>Denna förordning är till alla delar bindande och direkt tillämplig i alla medlemsstater.</w:t>
      </w:r>
    </w:p>
    <w:p>
      <w:pPr>
        <w:pStyle w:val="Fait"/>
        <w:rPr>
          <w:noProof/>
        </w:rPr>
      </w:pPr>
      <w:r>
        <w:rPr>
          <w:noProof/>
        </w:rPr>
        <w:t>Utfärdad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Europaparlamentets och rådets förordning (EG) nr 1059/2003 av den 26 maj 2003 om inrättande av en gemensam nomenklatur för statistiska territoriella enheter (Nuts) (EUT L 154, 21.6.2003, s. 1).</w:t>
      </w:r>
    </w:p>
  </w:footnote>
  <w:footnote w:id="3">
    <w:p>
      <w:pPr>
        <w:pStyle w:val="FootnoteText"/>
      </w:pPr>
      <w:r>
        <w:rPr>
          <w:rStyle w:val="FootnoteReference"/>
        </w:rPr>
        <w:footnoteRef/>
      </w:r>
      <w:r>
        <w:tab/>
        <w:t>http://ec.europa.eu/europe2020/index_sv.htm.</w:t>
      </w:r>
    </w:p>
  </w:footnote>
  <w:footnote w:id="4">
    <w:p>
      <w:pPr>
        <w:pStyle w:val="FootnoteText"/>
      </w:pPr>
      <w:r>
        <w:rPr>
          <w:rStyle w:val="FootnoteReference"/>
        </w:rPr>
        <w:footnoteRef/>
      </w:r>
      <w:r>
        <w:tab/>
        <w:t>http://ec.europa.eu/regional_policy/sv/information/publications/reports/2014/6th-report-on-economic-social-and-territorial-cohesion.</w:t>
      </w:r>
    </w:p>
  </w:footnote>
  <w:footnote w:id="5">
    <w:p>
      <w:pPr>
        <w:pStyle w:val="FootnoteText"/>
        <w:rPr>
          <w:lang w:val="fr-FR"/>
        </w:rPr>
      </w:pPr>
      <w:r>
        <w:rPr>
          <w:rStyle w:val="FootnoteReference"/>
        </w:rPr>
        <w:footnoteRef/>
      </w:r>
      <w:r>
        <w:rPr>
          <w:lang w:val="fr-FR"/>
        </w:rPr>
        <w:tab/>
        <w:t>EUT L 347, 20.12.2013, s. 320.</w:t>
      </w:r>
    </w:p>
  </w:footnote>
  <w:footnote w:id="6">
    <w:p>
      <w:pPr>
        <w:pStyle w:val="FootnoteText"/>
        <w:rPr>
          <w:lang w:val="fr-FR"/>
        </w:rPr>
      </w:pPr>
      <w:r>
        <w:rPr>
          <w:rStyle w:val="FootnoteReference"/>
        </w:rPr>
        <w:footnoteRef/>
      </w:r>
      <w:r>
        <w:rPr>
          <w:lang w:val="fr-FR"/>
        </w:rPr>
        <w:tab/>
        <w:t>EUT L 148, 20.5.2014, s. 1.</w:t>
      </w:r>
    </w:p>
  </w:footnote>
  <w:footnote w:id="7">
    <w:p>
      <w:pPr>
        <w:pStyle w:val="FootnoteText"/>
        <w:rPr>
          <w:lang w:val="fr-FR"/>
        </w:rPr>
      </w:pPr>
      <w:r>
        <w:rPr>
          <w:rStyle w:val="FootnoteReference"/>
        </w:rPr>
        <w:footnoteRef/>
      </w:r>
      <w:r>
        <w:rPr>
          <w:lang w:val="fr-FR"/>
        </w:rPr>
        <w:tab/>
        <w:t>EUT C , , s. .</w:t>
      </w:r>
    </w:p>
  </w:footnote>
  <w:footnote w:id="8">
    <w:p>
      <w:pPr>
        <w:pStyle w:val="FootnoteText"/>
        <w:rPr>
          <w:lang w:val="fr-FR"/>
        </w:rPr>
      </w:pPr>
      <w:r>
        <w:rPr>
          <w:rStyle w:val="FootnoteReference"/>
        </w:rPr>
        <w:footnoteRef/>
      </w:r>
      <w:r>
        <w:rPr>
          <w:lang w:val="fr-FR"/>
        </w:rPr>
        <w:tab/>
        <w:t>EUT C , , s. .</w:t>
      </w:r>
    </w:p>
  </w:footnote>
  <w:footnote w:id="9">
    <w:p>
      <w:pPr>
        <w:pStyle w:val="FootnoteText"/>
      </w:pPr>
      <w:r>
        <w:rPr>
          <w:rStyle w:val="FootnoteReference"/>
        </w:rPr>
        <w:footnoteRef/>
      </w:r>
      <w:r>
        <w:tab/>
        <w:t>Europaparlamentets och rådets förordning (EG) nr 1059/2003 av den 26 maj 2003 om inrättande av en gemensam nomenklatur för statistiska territoriella enheter (Nuts) (EUT L 154, 21.6.2003, s. 1).</w:t>
      </w:r>
    </w:p>
  </w:footnote>
  <w:footnote w:id="10">
    <w:p>
      <w:pPr>
        <w:pStyle w:val="FootnoteText"/>
        <w:rPr>
          <w:lang w:val="fr-FR"/>
        </w:rPr>
      </w:pPr>
      <w:r>
        <w:rPr>
          <w:rStyle w:val="FootnoteReference"/>
        </w:rPr>
        <w:footnoteRef/>
      </w:r>
      <w:r>
        <w:rPr>
          <w:lang w:val="fr-FR"/>
        </w:rPr>
        <w:tab/>
        <w:t>EUT L 148, 20.5.2014, s. 1.</w:t>
      </w:r>
    </w:p>
  </w:footnote>
  <w:footnote w:id="11">
    <w:p>
      <w:pPr>
        <w:pStyle w:val="FootnoteText"/>
        <w:rPr>
          <w:lang w:val="fr-FR"/>
        </w:rPr>
      </w:pPr>
      <w:r>
        <w:rPr>
          <w:rStyle w:val="FootnoteReference"/>
        </w:rPr>
        <w:footnoteRef/>
      </w:r>
      <w:r>
        <w:rPr>
          <w:lang w:val="fr-FR"/>
        </w:rPr>
        <w:tab/>
        <w:t>EUT L 123, 12.5.2016, s. 1.</w:t>
      </w:r>
    </w:p>
  </w:footnote>
  <w:footnote w:id="12">
    <w:p>
      <w:pPr>
        <w:pStyle w:val="FootnoteText"/>
      </w:pPr>
      <w:r>
        <w:rPr>
          <w:rStyle w:val="FootnoteReference"/>
        </w:rPr>
        <w:footnoteRef/>
      </w:r>
      <w:r>
        <w:tab/>
        <w:t>Europaparlamentets och rådets förordning (EU) nr 182/2011 av den 16 februari 2011 om fastställande av allmänna regler och principer för medlemsstaternas kontroll av kommissionens utövande av sina genomförandebefogenheter (EUT L 55, 28.2.2011, s. 13).</w:t>
      </w:r>
    </w:p>
  </w:footnote>
  <w:footnote w:id="13">
    <w:p>
      <w:pPr>
        <w:pStyle w:val="FootnoteText"/>
      </w:pPr>
      <w:r>
        <w:rPr>
          <w:rStyle w:val="FootnoteReference"/>
        </w:rPr>
        <w:footnoteRef/>
      </w:r>
      <w:r>
        <w:tab/>
        <w:t>Kommissionens förordning (EU) nr 1089/2010 av den 23 november 2010 om genomförande av Europaparlamentets och rådets direktiv 2007/2/EG vad gäller interoperabilitet för rumsliga datamängder och datatjänster (EUT L 323, 8.12.2010, s.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ACA23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8D80D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6A96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6A4A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BAAD1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720BA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FAC910E"/>
    <w:lvl w:ilvl="0">
      <w:start w:val="1"/>
      <w:numFmt w:val="decimal"/>
      <w:pStyle w:val="ListNumber"/>
      <w:lvlText w:val="%1."/>
      <w:lvlJc w:val="left"/>
      <w:pPr>
        <w:tabs>
          <w:tab w:val="num" w:pos="360"/>
        </w:tabs>
        <w:ind w:left="360" w:hanging="360"/>
      </w:pPr>
    </w:lvl>
  </w:abstractNum>
  <w:abstractNum w:abstractNumId="7">
    <w:nsid w:val="FFFFFF89"/>
    <w:multiLevelType w:val="singleLevel"/>
    <w:tmpl w:val="87924D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num>
  <w:num w:numId="8">
    <w:abstractNumId w:val="6"/>
  </w:num>
  <w:num w:numId="9">
    <w:abstractNumId w:val="2"/>
  </w:num>
  <w:num w:numId="10">
    <w:abstractNumId w:val="1"/>
  </w:num>
  <w:num w:numId="11">
    <w:abstractNumId w:val="0"/>
  </w:num>
  <w:num w:numId="12">
    <w:abstractNumId w:val="1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6 11:46:4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EECDD8B823A46E794851809EE96C229"/>
    <w:docVar w:name="LW_CROSSREFERENCE" w:val="&lt;UNUSED&gt;"/>
    <w:docVar w:name="LW_DocType" w:val="COM"/>
    <w:docVar w:name="LW_EMISSION" w:val="13.12.2016"/>
    <w:docVar w:name="LW_EMISSION_ISODATE" w:val="2016-12-13"/>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STATUT" w:val="SJ-023"/>
    <w:docVar w:name="LW_INTERETEEE.CP" w:val="(Text av betydelse för EES)"/>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393"/>
    <w:docVar w:name="LW_REF.II.NEW.CP_YEAR" w:val="2016"/>
    <w:docVar w:name="LW_REF.INST.NEW" w:val="COM"/>
    <w:docVar w:name="LW_REF.INST.NEW_ADOPTED" w:val="final"/>
    <w:docVar w:name="LW_REF.INST.NEW_TEXT" w:val="(2016) 788"/>
    <w:docVar w:name="LW_REF.INTERNE" w:val="&lt;UNUSED&gt;"/>
    <w:docVar w:name="LW_SOUS.TITRE.OBJ.CP" w:val="&lt;UNUSED&gt;"/>
    <w:docVar w:name="LW_STATUT.CP" w:val="Förslag till"/>
    <w:docVar w:name="LW_SUPERTITRE" w:val="&lt;UNUSED&gt;"/>
    <w:docVar w:name="LW_TITRE.OBJ.CP" w:val="om ändring av förordning (EG) nr 1059/2003 vad gäller de territoriella typindelningarna (Tercet)"/>
    <w:docVar w:name="LW_TYPE.DOC.CP" w:val="EUROPAPARLAMENTETS OCH RÅDETS FÖRORDNING"/>
    <w:docVar w:name="Stamp" w:val="\\dossiers.dgt.cec.eu.int\dossiers\ESTAT\ESTAT-2016-10201\ESTAT-2016-10201-00-00-EN-REV-00.201608261205498688822.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6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L:2003:154:0001:0041:SV: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OJ:L:2003:154:0001:0041:SV: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legal-content/SV/TXT/PDF/?uri=CELEX:32014R0522&amp;from=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03:154:0001:0041:SV:PDF" TargetMode="External"/><Relationship Id="rId5" Type="http://schemas.openxmlformats.org/officeDocument/2006/relationships/settings" Target="settings.xml"/><Relationship Id="rId15" Type="http://schemas.openxmlformats.org/officeDocument/2006/relationships/hyperlink" Target="http://eur-lex.europa.eu/LexUriServ/LexUriServ.do?uri=OJ:L:2013:347:0320:0469:SV:PDF"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net1.cec.eu.int\Homes\048\BRANDTH\My%20Documents\ec.europa.eu\regional_policy\sources\...\reports\cohesion6\6cr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6670-947B-4F71-8ECF-51B6647A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3723</Words>
  <Characters>24020</Characters>
  <Application>Microsoft Office Word</Application>
  <DocSecurity>0</DocSecurity>
  <Lines>436</Lines>
  <Paragraphs>218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2016-09-27T08:56:00Z</cp:lastPrinted>
  <dcterms:created xsi:type="dcterms:W3CDTF">2016-11-13T18:22:00Z</dcterms:created>
  <dcterms:modified xsi:type="dcterms:W3CDTF">2016-12-06T10:46:00Z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