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FC1375B209C40C0A5AE783007D5C82F" style="width:450.8pt;height:422.6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bookmarkStart w:id="1" w:name="_Toc456620177"/>
      <w:r>
        <w:rPr>
          <w:noProof/>
        </w:rPr>
        <w:t>1.</w:t>
      </w:r>
      <w:r>
        <w:rPr>
          <w:noProof/>
        </w:rPr>
        <w:tab/>
        <w:t>EHDOTUKSEN TAUSTA</w:t>
      </w:r>
      <w:bookmarkEnd w:id="1"/>
    </w:p>
    <w:p>
      <w:pPr>
        <w:pStyle w:val="ManualHeading2"/>
        <w:rPr>
          <w:rFonts w:eastAsia="Arial Unicode MS"/>
          <w:noProof/>
        </w:rPr>
      </w:pPr>
      <w:bookmarkStart w:id="2" w:name="_Toc456620178"/>
      <w:r>
        <w:rPr>
          <w:noProof/>
          <w:color w:val="000000"/>
          <w:u w:color="000000"/>
          <w:bdr w:val="nil"/>
        </w:rPr>
        <w:t>•</w:t>
      </w:r>
      <w:r>
        <w:rPr>
          <w:noProof/>
        </w:rPr>
        <w:tab/>
        <w:t>Ehdotuksen perustelut ja tavoitteet</w:t>
      </w:r>
      <w:bookmarkEnd w:id="2"/>
    </w:p>
    <w:p>
      <w:pPr>
        <w:pBdr>
          <w:top w:val="nil"/>
          <w:left w:val="nil"/>
          <w:bottom w:val="nil"/>
          <w:right w:val="nil"/>
          <w:between w:val="nil"/>
          <w:bar w:val="nil"/>
        </w:pBdr>
        <w:rPr>
          <w:rFonts w:eastAsia="Arial Unicode MS"/>
          <w:noProof/>
        </w:rPr>
      </w:pPr>
      <w:r>
        <w:rPr>
          <w:noProof/>
        </w:rPr>
        <w:t xml:space="preserve">Poliittiset päättäjät tarvitsevat lisää maataloutta koskevia tilastotietoja voidakseen suunnitella, seurata ja arvioida nykyisen politiikan ja sen mahdollisten muutosten vaikutuksia ja toimivuutta. Tällaiset muutokset liittyvät esimerkiksi maatalouden ympäristövaikutukseen ja kestäviin viljelykäytäntöihin. Euroopan maataloustilastojärjestelmän (EASS) arvioinnissa tultiin siihen tulokseen, että maataloustilastojen keskeiset käyttäjät ovat melko tyytyväisiä näiden tilastojen yksityiskohtaisuuteen ja laatuun, mutta tyytymättömyyttä herättää tietojen puute tietyistä seikoista (hankintataseet, maan hinnat ja vuokrat, ravinnevirrat, ympäristöön liittyvät tiedot ja muut). Arvostelua herätti myös järjestelmän liiallinen jäykkyys, joka ei mahdollista uusien tiedonkeruiden nopeaa toteuttamista. </w:t>
      </w:r>
    </w:p>
    <w:p>
      <w:pPr>
        <w:pBdr>
          <w:top w:val="nil"/>
          <w:left w:val="nil"/>
          <w:bottom w:val="nil"/>
          <w:right w:val="nil"/>
          <w:between w:val="nil"/>
          <w:bar w:val="nil"/>
        </w:pBdr>
        <w:rPr>
          <w:rFonts w:eastAsia="Arial Unicode MS"/>
          <w:noProof/>
        </w:rPr>
      </w:pPr>
      <w:r>
        <w:rPr>
          <w:noProof/>
        </w:rPr>
        <w:t>Unionin tasolla käytettävät maataloustilastot ovat peräisin monista eri lähteistä: tilastollisista kyselytutkimuksista, hallinnollisista tiedoista, maatiloilta ja muilta yrityksiltä saaduista tiedoista sekä tilatason tiedoista maatilojen laskennan ja otosten muodossa. Nyt käsillä oleva ehdotus liittyy viimeksi mainittuun maataloustilastojen lähteeseen.</w:t>
      </w:r>
    </w:p>
    <w:p>
      <w:pPr>
        <w:pBdr>
          <w:top w:val="nil"/>
          <w:left w:val="nil"/>
          <w:bottom w:val="nil"/>
          <w:right w:val="nil"/>
          <w:between w:val="nil"/>
          <w:bar w:val="nil"/>
        </w:pBdr>
        <w:rPr>
          <w:rFonts w:eastAsia="Arial Unicode MS"/>
          <w:noProof/>
        </w:rPr>
      </w:pPr>
      <w:r>
        <w:rPr>
          <w:noProof/>
        </w:rPr>
        <w:t>Euroopan nykyinen tilastojärjestelmä, jolla tuotetaan tilastoja maatilojen ja viljelijäkotitalouksien tasolla, perustuu Euroopan parlamentin ja neuvoston asetukseen (EY) N:o 1166/2008</w:t>
      </w:r>
      <w:r>
        <w:rPr>
          <w:rStyle w:val="FootnoteReference"/>
          <w:noProof/>
        </w:rPr>
        <w:footnoteReference w:id="2"/>
      </w:r>
      <w:r>
        <w:rPr>
          <w:noProof/>
        </w:rPr>
        <w:t>. Tiedot kerätään otoksista ja kymmenen vuoden välein tehtävästä laskennasta. Asetuksen puitteissa toteutettu viimeisin kyselytutkimus on vuonna 2016 tehty maatilojen rakennetutkimus.</w:t>
      </w:r>
    </w:p>
    <w:p>
      <w:pPr>
        <w:pBdr>
          <w:top w:val="nil"/>
          <w:left w:val="nil"/>
          <w:bottom w:val="nil"/>
          <w:right w:val="nil"/>
          <w:between w:val="nil"/>
          <w:bar w:val="nil"/>
        </w:pBdr>
        <w:rPr>
          <w:rFonts w:eastAsia="Arial Unicode MS"/>
          <w:noProof/>
        </w:rPr>
      </w:pPr>
      <w:r>
        <w:rPr>
          <w:noProof/>
        </w:rPr>
        <w:t xml:space="preserve">Tämä aloite on osa sääntelyn toimivuutta ja tuloksellisuutta koskevaa ohjelmaa (REFIT) ja ensimmäinen vaihe vuodesta 2020 eteenpäin toteutettavassa maataloustilastostrategiassa, jolla pyritään järkeistämään maataloustilastojärjestelmää kokonaisuudessaan ja lisäämään tiedonkeruuprosessin tehokkuutta ja merkityksellisyyttä. Strategian puitteissa ehdotettavilla kahdella asetuksella, joista ensimmäinen esitetään tässä asiakirjassa, olisi taattava maataloustietojen vertailukelpoisuus ja yhdenmukaisuus pitkällä aikavälillä. Euroopan maataloustilastojärjestelmän olisi oltava riittävän vankka ja tehokas, ja samalla olisi varmistettava, että tilastojen korkea laatu voidaan säilyttää, mikä voi olla haasteellista alan jatkuvan muutoksen vuoksi. Tällä ensimmäisellä asetuksella olisi varmistettava Euroopan maatilojen rakennetutkimusten sarjojen jatkuminen ja näin johdonmukaiset aikasarjat ja vastattava samalla tilatason tietoja koskeviin uusiin tarpeisiin. </w:t>
      </w:r>
    </w:p>
    <w:p>
      <w:pPr>
        <w:pBdr>
          <w:top w:val="nil"/>
          <w:left w:val="nil"/>
          <w:bottom w:val="nil"/>
          <w:right w:val="nil"/>
          <w:between w:val="nil"/>
          <w:bar w:val="nil"/>
        </w:pBdr>
        <w:rPr>
          <w:rFonts w:eastAsia="Arial Unicode MS"/>
          <w:noProof/>
        </w:rPr>
      </w:pPr>
    </w:p>
    <w:p>
      <w:pPr>
        <w:pStyle w:val="ManualHeading2"/>
        <w:rPr>
          <w:rFonts w:eastAsia="Arial Unicode MS"/>
          <w:noProof/>
          <w:color w:val="000000"/>
          <w:u w:color="000000"/>
          <w:bdr w:val="nil"/>
        </w:rPr>
      </w:pPr>
      <w:bookmarkStart w:id="3" w:name="_Toc456620179"/>
      <w:r>
        <w:rPr>
          <w:noProof/>
          <w:color w:val="000000"/>
          <w:u w:color="000000"/>
          <w:bdr w:val="nil"/>
        </w:rPr>
        <w:t>•</w:t>
      </w:r>
      <w:r>
        <w:rPr>
          <w:noProof/>
        </w:rPr>
        <w:tab/>
        <w:t>Yhdenmukaisuus muiden alaa koskevien politiikkojen säännösten kanssa</w:t>
      </w:r>
      <w:bookmarkEnd w:id="3"/>
    </w:p>
    <w:p>
      <w:pPr>
        <w:rPr>
          <w:noProof/>
        </w:rPr>
      </w:pPr>
      <w:r>
        <w:rPr>
          <w:noProof/>
        </w:rPr>
        <w:t>Tilastojen on oltava luotettavia ja korkealaatuisia, jotta poliittiset päättäjät, yritykset ja kansalaiset voivat tehdä näyttöön perustuvia asianmukaisia päätöksiä. Korkealaatuisten tilastojen tuottaminen Euroopan tilastojärjestelmässä on kuitenkin haasteellista; tietojen kysynnän jatkuva kasvu ja tilastollisten kyselytutkimusten vastaajien vaatimukset vastausrasituksen pienentämisestä aiheuttavat paineita tilastojen tuotannolle. Viimeaikaisissa tilastoalan aloitteissa onkin tämän vuoksi pyritty Euroopan tilastojärjestelmän yksinkertaistamiseen ja sen sisäisen koordinoinnin ja yhteistyön lisäämiseen, jotta Euroopan tilastojen tuotantoa voitaisiin tehostaa ja samalla pienentää vastaajille aiheutuvaa rasitetta. Esimerkki tästä on Euroopan tilastoista annettu asetus (EY) N:o 223/2009</w:t>
      </w:r>
      <w:r>
        <w:rPr>
          <w:rStyle w:val="FootnoteReference"/>
          <w:noProof/>
        </w:rPr>
        <w:footnoteReference w:id="3"/>
      </w:r>
      <w:r>
        <w:rPr>
          <w:noProof/>
        </w:rPr>
        <w:t>, jota muutettiin vuonna 2015, jotta voitiin selkeyttää Euroopan tilastojärjestelmän hallinnointia ja vahvistaa koordinointi- ja yhteistyökeinoja sekä unionin että jäsenvaltioiden tasolla. Komission REFIT-aloitteeseen sisältyy muitakin tämän ehdotuksen kaltaisia modernisointialoitteita, joilla pyritään yksinkertaistamaan ja virtaviivaistamaan Euroopan tilastojen tuotantoa valituilla kohdealoilla.</w:t>
      </w:r>
    </w:p>
    <w:p>
      <w:pPr>
        <w:tabs>
          <w:tab w:val="left" w:pos="720"/>
        </w:tabs>
        <w:spacing w:after="0"/>
        <w:rPr>
          <w:noProof/>
        </w:rPr>
      </w:pPr>
      <w:r>
        <w:rPr>
          <w:noProof/>
        </w:rPr>
        <w:t>Eurostatin laatimalla maataloustilastostrategialla, joka on hyväksytty Euroopan tilastojärjestelmää käsittelevässä komiteassa, on seuraavat erityistavoitteet:</w:t>
      </w:r>
    </w:p>
    <w:p>
      <w:pPr>
        <w:pStyle w:val="Bullet0"/>
        <w:numPr>
          <w:ilvl w:val="0"/>
          <w:numId w:val="2"/>
        </w:numPr>
        <w:rPr>
          <w:noProof/>
        </w:rPr>
      </w:pPr>
      <w:r>
        <w:rPr>
          <w:noProof/>
        </w:rPr>
        <w:t>tuotetaan korkealaatuisia tilastoja, jotka täyttävät käyttäjien tarpeet tehokkaasti ja vaikuttavasti;</w:t>
      </w:r>
    </w:p>
    <w:p>
      <w:pPr>
        <w:pStyle w:val="Bullet0"/>
        <w:rPr>
          <w:noProof/>
        </w:rPr>
      </w:pPr>
      <w:r>
        <w:rPr>
          <w:noProof/>
        </w:rPr>
        <w:t xml:space="preserve">lisätään maataloustilastojärjestelmän joustavuutta ja reagointinopeutta; </w:t>
      </w:r>
    </w:p>
    <w:p>
      <w:pPr>
        <w:pStyle w:val="Bullet0"/>
        <w:rPr>
          <w:noProof/>
        </w:rPr>
      </w:pPr>
      <w:r>
        <w:rPr>
          <w:noProof/>
        </w:rPr>
        <w:t xml:space="preserve">integroidaan maatalous-, metsätalous-, maankäyttö- ja ympäristötilastot toisiinsa paremmin; </w:t>
      </w:r>
    </w:p>
    <w:p>
      <w:pPr>
        <w:pStyle w:val="Bullet0"/>
        <w:rPr>
          <w:noProof/>
        </w:rPr>
      </w:pPr>
      <w:r>
        <w:rPr>
          <w:noProof/>
        </w:rPr>
        <w:t>kehitetään reagoiva ja vastuullinen hallintorakenne maataloustilastoja varten;</w:t>
      </w:r>
    </w:p>
    <w:p>
      <w:pPr>
        <w:pStyle w:val="Bullet0"/>
        <w:rPr>
          <w:noProof/>
        </w:rPr>
      </w:pPr>
      <w:r>
        <w:rPr>
          <w:noProof/>
        </w:rPr>
        <w:t>lisätään Euroopan maataloustilastojen yhdenmukaistamista ja johdonmukaisuutta;</w:t>
      </w:r>
    </w:p>
    <w:p>
      <w:pPr>
        <w:pStyle w:val="Bullet0"/>
        <w:rPr>
          <w:noProof/>
        </w:rPr>
      </w:pPr>
      <w:r>
        <w:rPr>
          <w:noProof/>
        </w:rPr>
        <w:t>tuotetaan enemmän tilastoja mutta pienennetään vastaajien rasitetta etsimällä vaihtoehtoisia tietolähteitä ja mahdollisuuksia tehokkuuden parannuksiin.</w:t>
      </w:r>
    </w:p>
    <w:p>
      <w:pPr>
        <w:autoSpaceDE w:val="0"/>
        <w:autoSpaceDN w:val="0"/>
        <w:adjustRightInd w:val="0"/>
        <w:spacing w:after="0"/>
        <w:rPr>
          <w:noProof/>
          <w:szCs w:val="24"/>
        </w:rPr>
      </w:pPr>
    </w:p>
    <w:p>
      <w:pPr>
        <w:pStyle w:val="ManualHeading2"/>
        <w:rPr>
          <w:rFonts w:eastAsia="Arial Unicode MS"/>
          <w:noProof/>
        </w:rPr>
      </w:pPr>
      <w:bookmarkStart w:id="4" w:name="_Toc456620180"/>
      <w:r>
        <w:rPr>
          <w:noProof/>
          <w:color w:val="000000"/>
          <w:u w:color="000000"/>
          <w:bdr w:val="nil"/>
        </w:rPr>
        <w:t>•</w:t>
      </w:r>
      <w:r>
        <w:rPr>
          <w:noProof/>
        </w:rPr>
        <w:tab/>
        <w:t>Yhdenmukaisuus unionin muiden politiikkojen kanssa</w:t>
      </w:r>
      <w:bookmarkEnd w:id="4"/>
    </w:p>
    <w:p>
      <w:pPr>
        <w:autoSpaceDE w:val="0"/>
        <w:autoSpaceDN w:val="0"/>
        <w:adjustRightInd w:val="0"/>
        <w:spacing w:after="0"/>
        <w:rPr>
          <w:noProof/>
          <w:szCs w:val="24"/>
        </w:rPr>
      </w:pPr>
      <w:r>
        <w:rPr>
          <w:noProof/>
        </w:rPr>
        <w:t>Korkealaatuisten tilastojen tuottaminen eurooppalaisen politiikan tueksi on Euroopan tilasto-ohjelman 2013–2017 keskeinen tavoite. Ympäristö- ja maataloustilastot ovat yksi ohjelman mukaisen tilastotuotannon kolmesta pilarista. Ohjelman tavoitteena on muun muassa tarkastella maataloutta koskevien tietojen keruuta ja yksinkertaistaa sitä vuoden 2013 jälkeistä yhteistä maatalouspolitiikkaa koskevan tarkastelun mukaisesti sekä uudistaa maataloutta koskevien tietojen keruun prosesseja tavoitteena erityisesti parantaa tuotettujen tietojen laatua ja oikea-aikaisuutta. Tällä aloitteella pannaan kyseinen tavoite täytäntöön.</w:t>
      </w:r>
    </w:p>
    <w:p>
      <w:pPr>
        <w:autoSpaceDE w:val="0"/>
        <w:autoSpaceDN w:val="0"/>
        <w:adjustRightInd w:val="0"/>
        <w:spacing w:after="0"/>
        <w:rPr>
          <w:noProof/>
          <w:szCs w:val="24"/>
        </w:rPr>
      </w:pPr>
      <w:r>
        <w:rPr>
          <w:noProof/>
        </w:rPr>
        <w:t xml:space="preserve">Euroopan tulevalla maataloustilastojärjestelmällä edistetään myös ainakin seuraavia neljää komission kymmenestä prioriteetista: </w:t>
      </w:r>
    </w:p>
    <w:p>
      <w:pPr>
        <w:pStyle w:val="Bullet1"/>
        <w:numPr>
          <w:ilvl w:val="0"/>
          <w:numId w:val="22"/>
        </w:numPr>
        <w:rPr>
          <w:noProof/>
        </w:rPr>
      </w:pPr>
      <w:r>
        <w:rPr>
          <w:noProof/>
        </w:rPr>
        <w:t xml:space="preserve">1. Uutta pontta työllisyyteen, kasvuun ja investointeihin </w:t>
      </w:r>
    </w:p>
    <w:p>
      <w:pPr>
        <w:pStyle w:val="Bullet1"/>
        <w:rPr>
          <w:noProof/>
        </w:rPr>
      </w:pPr>
      <w:r>
        <w:rPr>
          <w:noProof/>
        </w:rPr>
        <w:t>3. Joustava energiaunioni ja tulevaisuuteen suuntautuva ilmastonmuutospolitiikka</w:t>
      </w:r>
    </w:p>
    <w:p>
      <w:pPr>
        <w:pStyle w:val="Bullet1"/>
        <w:rPr>
          <w:noProof/>
        </w:rPr>
      </w:pPr>
      <w:r>
        <w:rPr>
          <w:noProof/>
        </w:rPr>
        <w:t>4. Syvemmät ja oikeudenmukaisemmat sisämarkkinat ja lujempi teollisuuspohja sekä</w:t>
      </w:r>
    </w:p>
    <w:p>
      <w:pPr>
        <w:pStyle w:val="Bullet1"/>
        <w:rPr>
          <w:noProof/>
        </w:rPr>
      </w:pPr>
      <w:r>
        <w:rPr>
          <w:noProof/>
        </w:rPr>
        <w:t xml:space="preserve">9. Vahvempi maailmanlaajuinen toimija. </w:t>
      </w:r>
    </w:p>
    <w:p>
      <w:pPr>
        <w:autoSpaceDE w:val="0"/>
        <w:autoSpaceDN w:val="0"/>
        <w:adjustRightInd w:val="0"/>
        <w:spacing w:after="0"/>
        <w:rPr>
          <w:noProof/>
          <w:szCs w:val="24"/>
        </w:rPr>
      </w:pPr>
      <w:r>
        <w:rPr>
          <w:noProof/>
        </w:rPr>
        <w:t xml:space="preserve">Tähän päästään tarjoamalla parempia tietoja työllisyys-, kasvu-, investointi-, ehkäisy- ja lieventämispolitiikkaa varten maatalouteen, ilmastonmuutokseen, bioenergiaan ja ympäristöön liittyvissä toimissa ja parantamalla tietämystä elintarvikkeisiin liittyvistä globaaleista virroista, kehityssuunnista ja riskeistä. Maataloustilastot voivat olla hyödyllisiä myös muiden sellaisten unionin tai jäsenvaltioiden prioriteettien kannalta, jotka vaikuttavat maatalouteen ja maaseudun kehitykseen tai joihin maatalous ja maaseudun kehitys vaikuttavat. </w:t>
      </w:r>
    </w:p>
    <w:p>
      <w:pPr>
        <w:autoSpaceDE w:val="0"/>
        <w:autoSpaceDN w:val="0"/>
        <w:adjustRightInd w:val="0"/>
        <w:spacing w:after="0"/>
        <w:rPr>
          <w:noProof/>
          <w:szCs w:val="24"/>
        </w:rPr>
      </w:pPr>
      <w:r>
        <w:rPr>
          <w:noProof/>
        </w:rPr>
        <w:t>Maataloustilastoista saadaan korkealaatuista tilastonäyttöä yhteisen maatalouspolitiikan (2014–2020) täytäntöönpanoa ja seurantaa varten. Yhteinen maatalouspolitiikka on merkittävä tekijä unionin työllisyyden sekä älykkään, kestävän ja osallistavan kasvun kannalta. Maaseudun kehittämispolitiikka on olennainen osa yhteistä maatalouspolitiikkaa, ja sosiaalisten tavoitteiden lisäksi sillä pyritään parantamaan maataloustuotannon kilpailukykyä ja kestävyyttä. Yhteisen maatalouspolitiikan osuus unionin koko budjetista monivuotisen rahoituskehyksen (2014–2020) puitteissa on yli 37 prosenttia.</w:t>
      </w:r>
    </w:p>
    <w:p>
      <w:pPr>
        <w:autoSpaceDE w:val="0"/>
        <w:autoSpaceDN w:val="0"/>
        <w:adjustRightInd w:val="0"/>
        <w:spacing w:after="0"/>
        <w:rPr>
          <w:noProof/>
          <w:szCs w:val="24"/>
        </w:rPr>
      </w:pPr>
      <w:r>
        <w:rPr>
          <w:noProof/>
        </w:rPr>
        <w:t xml:space="preserve">Maataloustilastoille on yhä enemmän tarvetta myös muussa unionin keskeisessä politiikassa, kuten sosiaali-, ympäristö-, ilmastonmuutos-, kauppa- ja aluepolitiikassa. </w:t>
      </w:r>
    </w:p>
    <w:p>
      <w:pPr>
        <w:pStyle w:val="ManualHeading1"/>
        <w:rPr>
          <w:noProof/>
        </w:rPr>
      </w:pPr>
      <w:bookmarkStart w:id="5" w:name="_Toc456620181"/>
      <w:r>
        <w:rPr>
          <w:noProof/>
        </w:rPr>
        <w:t>2.</w:t>
      </w:r>
      <w:r>
        <w:rPr>
          <w:noProof/>
        </w:rPr>
        <w:tab/>
        <w:t>OIKEUSPERUSTA, TOISSIJAISUUSPERIAATE JA SUHTEELLISUUSPERIAATE</w:t>
      </w:r>
      <w:bookmarkEnd w:id="5"/>
    </w:p>
    <w:p>
      <w:pPr>
        <w:pStyle w:val="ManualHeading2"/>
        <w:rPr>
          <w:rFonts w:eastAsia="Arial Unicode MS"/>
          <w:noProof/>
          <w:u w:color="000000"/>
          <w:bdr w:val="nil"/>
        </w:rPr>
      </w:pPr>
      <w:bookmarkStart w:id="6" w:name="_Toc456620182"/>
      <w:r>
        <w:rPr>
          <w:noProof/>
        </w:rPr>
        <w:t>•</w:t>
      </w:r>
      <w:r>
        <w:rPr>
          <w:noProof/>
        </w:rPr>
        <w:tab/>
        <w:t>Oikeusperusta</w:t>
      </w:r>
      <w:bookmarkEnd w:id="6"/>
    </w:p>
    <w:p>
      <w:pPr>
        <w:autoSpaceDE w:val="0"/>
        <w:autoSpaceDN w:val="0"/>
        <w:adjustRightInd w:val="0"/>
        <w:spacing w:after="0"/>
        <w:rPr>
          <w:noProof/>
          <w:szCs w:val="24"/>
        </w:rPr>
      </w:pPr>
      <w:r>
        <w:rPr>
          <w:noProof/>
        </w:rPr>
        <w:t>Euroopan tilastojen oikeusperustana on Euroopan unionin toiminnasta tehdyn sopimuksen 338 artikla. Euroopan parlamentti ja neuvosto päättävät tavallista lainsäätämisjärjestystä noudattaen unionin toiminnan kannalta tarpeellisten tilastojen tuottamiseen liittyvistä toimenpiteistä. Kyseisessä 338 artiklassa asetetaan Euroopan tilastojen tuottamiseen liittyvät vaatimukset ja todetaan, että tilastojen laatimisessa on noudatettava puolueettomuutta, luotettavuutta, objektiivisuutta, tieteellistä riippumattomuutta, kustannustehokkuutta ja tilastosalaisuutta.</w:t>
      </w:r>
    </w:p>
    <w:p>
      <w:pPr>
        <w:pStyle w:val="ManualHeading2"/>
        <w:rPr>
          <w:rFonts w:eastAsia="Arial Unicode MS"/>
          <w:noProof/>
          <w:u w:color="000000"/>
          <w:bdr w:val="nil"/>
        </w:rPr>
      </w:pPr>
      <w:bookmarkStart w:id="7" w:name="_Toc456620183"/>
      <w:r>
        <w:rPr>
          <w:noProof/>
        </w:rPr>
        <w:t>•</w:t>
      </w:r>
      <w:r>
        <w:rPr>
          <w:noProof/>
        </w:rPr>
        <w:tab/>
        <w:t>Toissijaisuusperiaate (jaetun toimivallan osalta)</w:t>
      </w:r>
      <w:bookmarkEnd w:id="7"/>
      <w:r>
        <w:rPr>
          <w:noProof/>
        </w:rPr>
        <w:t xml:space="preserve"> </w:t>
      </w:r>
    </w:p>
    <w:p>
      <w:pPr>
        <w:autoSpaceDE w:val="0"/>
        <w:autoSpaceDN w:val="0"/>
        <w:adjustRightInd w:val="0"/>
        <w:spacing w:after="0"/>
        <w:rPr>
          <w:noProof/>
        </w:rPr>
      </w:pPr>
      <w:r>
        <w:rPr>
          <w:noProof/>
        </w:rPr>
        <w:t>Toissijaisuusperiaatetta sovelletaan, koska asia, jota ehdotus koskee, ei kuulu unionin yksinomaiseen toimivaltaan. Euroopan tilastojärjestelmä tarjoaa infrastruktuurin tilastotiedolle. Järjestelmä on suunniteltu täyttämään monien käyttäjien tarpeet ja käytettäväksi demokraattisten yhteiskuntien päätöksenteossa. Tämä asetusehdotus on laadittu, jotta voidaan suojella Euroopan tilastojärjestelmän kumppanien ydintoimintoja ja samalla parantaa tehokkuutta ja varmistaa, että vältetään tarpeettomat muutokset ja päällekkäinen työ mahdollisimman suuressa määrin.</w:t>
      </w:r>
    </w:p>
    <w:p>
      <w:pPr>
        <w:rPr>
          <w:noProof/>
          <w:szCs w:val="24"/>
        </w:rPr>
      </w:pPr>
      <w:r>
        <w:rPr>
          <w:noProof/>
        </w:rPr>
        <w:t xml:space="preserve">Ehdotuksen piiriin kuuluvien tilastojen keruu tapahtuu nykyisin unionin tasolla erilaisten sääntöjen mukaisesti. Ehdotuksella pyritään järkeistämään ja modernisoimaan tilojen tasolla tapahtuvaa tilastojen keruuta niin, että se tapahtuisi yhden säädöksen nojalla, ja kaikki muut maataloustilastot sisällytettäisiin toiseen puiteasetukseen. Unionin tasoisten vertailukelpoisten tilastojen tuottaminen politiikan tarpeisiin on mahdollista vain unionin tasoisilla toimilla. </w:t>
      </w:r>
    </w:p>
    <w:p>
      <w:pPr>
        <w:rPr>
          <w:noProof/>
          <w:szCs w:val="24"/>
        </w:rPr>
      </w:pPr>
      <w:r>
        <w:rPr>
          <w:noProof/>
        </w:rPr>
        <w:t xml:space="preserve">Yksi keskeisistä vaatimuksista, jotka tilastotietojen on täytettävä, koskee niiden johdonmukaisuutta ja vertailukelpoisuutta. Jäsenvaltiot eivät voi saavuttaa tarvittavaa johdonmukaisuutta ja vertailukelpoisuutta ilman selkeitä Euroopan tasoisia puitteita eli unionin lainsäädäntöä, jossa vahvistetaan yhteiset tilastokäsitteet, raportointimuodot ja laatuvaatimukset. </w:t>
      </w:r>
    </w:p>
    <w:p>
      <w:pPr>
        <w:autoSpaceDE w:val="0"/>
        <w:autoSpaceDN w:val="0"/>
        <w:adjustRightInd w:val="0"/>
        <w:spacing w:after="0"/>
        <w:rPr>
          <w:noProof/>
          <w:szCs w:val="24"/>
        </w:rPr>
      </w:pPr>
      <w:r>
        <w:rPr>
          <w:noProof/>
        </w:rPr>
        <w:t xml:space="preserve">Ehdotetun toiminnan tavoitetta eli Euroopan maataloustilastojen järkeistämistä ei voida saavuttaa tyydyttävällä tavalla jäsenvaltioiden erillisin toimin. Toimet voidaan toteuttaa tehokkaammin unionin tasolla unionin säädöksen pohjalta, jolla varmistetaan tilastotietojen unionin tasoinen vertailukelpoisuus ehdotetun säädöksen piiriin kuuluvilla tilastoaloilla. Varsinaisen tiedonkeruun toteuttavat jäsenvaltiot. </w:t>
      </w:r>
    </w:p>
    <w:p>
      <w:pPr>
        <w:autoSpaceDE w:val="0"/>
        <w:autoSpaceDN w:val="0"/>
        <w:adjustRightInd w:val="0"/>
        <w:spacing w:after="0"/>
        <w:rPr>
          <w:noProof/>
          <w:szCs w:val="24"/>
        </w:rPr>
      </w:pPr>
      <w:r>
        <w:rPr>
          <w:noProof/>
        </w:rPr>
        <w:t>Tämän vuoksi unioni voi toteuttaa toimenpiteitä tällä alalla Euroopan unionista tehdyn sopimuksen 5 artiklassa esitetyn toissijaisuusperiaatteen mukaisesti.</w:t>
      </w:r>
    </w:p>
    <w:p>
      <w:pPr>
        <w:pStyle w:val="ManualHeading2"/>
        <w:rPr>
          <w:rFonts w:eastAsia="Arial Unicode MS"/>
          <w:noProof/>
          <w:u w:color="000000"/>
          <w:bdr w:val="nil"/>
        </w:rPr>
      </w:pPr>
      <w:bookmarkStart w:id="8" w:name="_Toc456620184"/>
      <w:r>
        <w:rPr>
          <w:noProof/>
        </w:rPr>
        <w:t>•</w:t>
      </w:r>
      <w:r>
        <w:rPr>
          <w:noProof/>
        </w:rPr>
        <w:tab/>
        <w:t>Suhteellisuusperiaate</w:t>
      </w:r>
      <w:bookmarkEnd w:id="8"/>
    </w:p>
    <w:p>
      <w:pPr>
        <w:rPr>
          <w:noProof/>
          <w:szCs w:val="24"/>
        </w:rPr>
      </w:pPr>
      <w:r>
        <w:rPr>
          <w:noProof/>
        </w:rPr>
        <w:t>Ehdotus on suhteellisuusperiaatteen mukainen seuraavista syistä:</w:t>
      </w:r>
    </w:p>
    <w:p>
      <w:pPr>
        <w:rPr>
          <w:rFonts w:eastAsia="Arial Unicode MS"/>
          <w:noProof/>
        </w:rPr>
      </w:pPr>
      <w:r>
        <w:rPr>
          <w:noProof/>
        </w:rPr>
        <w:t xml:space="preserve">Sillä varmistetaan otannoilla kerättävien Euroopan maataloustilastojen laatu ja vertailukelpoisuus, kun kaikissa jäsenvaltioissa sovelletaan samoja periaatteita. Sillä myös varmistetaan, että Euroopan maataloustilastot ovat edelleen relevantteja ja että ne sopeutetaan käyttäjien tarpeita vastaaviksi. Asetuksella lisätään tilastojen tuotannon kustannustehokkuutta ja otetaan samalla huomioon jäsenvaltioiden järjestelmien erityispiirteet. </w:t>
      </w:r>
    </w:p>
    <w:p>
      <w:pPr>
        <w:autoSpaceDE w:val="0"/>
        <w:autoSpaceDN w:val="0"/>
        <w:adjustRightInd w:val="0"/>
        <w:spacing w:after="0"/>
        <w:rPr>
          <w:noProof/>
          <w:szCs w:val="24"/>
        </w:rPr>
      </w:pPr>
      <w:r>
        <w:rPr>
          <w:noProof/>
        </w:rPr>
        <w:t>Maataloustilastoja koskevaa unionin lainsäädäntöä on laadittu 1950-luvulta lähtien. Euroopan maataloustilastojärjestelmän arvioinnissa on tullut esiin, että maatalousalan tilastotietojen keruuseen, käsittelyyn ja levittämiseen sovellettavat yhteiset puitteet tekisivät tästä prosessista tehokkaamman (kustannus/hyöty) ja vaikuttavamman ja vähentäisivät todettuja laatuongelmia.</w:t>
      </w:r>
    </w:p>
    <w:p>
      <w:pPr>
        <w:rPr>
          <w:noProof/>
        </w:rPr>
      </w:pPr>
      <w:r>
        <w:rPr>
          <w:noProof/>
        </w:rPr>
        <w:t>Asetuksen odotetaan pienentävän vastaajille, kansallisille, alueellisille ja paikallisviranomaisille sekä yrityksille ja kansalaisille koituvaa taloudellista ja hallinnollista rasitetta. Tähän päästään erityisesti standardoimalla käsitteitä ja menetelmiä, poistamalla päällekkäisyyksiä, harventamalla tietojen toimitustiheyttä joillakin aloilla ja käyttämällä nykyistä enemmän lähteiden yhdistelmää kyselytutkimusten lisäksi.</w:t>
      </w:r>
    </w:p>
    <w:p>
      <w:pPr>
        <w:rPr>
          <w:strike/>
          <w:noProof/>
          <w:szCs w:val="24"/>
        </w:rPr>
      </w:pPr>
      <w:r>
        <w:rPr>
          <w:noProof/>
        </w:rPr>
        <w:t xml:space="preserve">Ehdotetussa asetuksessa säädetään suhteellisuusperiaatteen mukaisesti vain asetuksen tavoitteen saavuttamisen edellyttämistä vähimmäisvaatimuksista, eikä siinä mennä pidemmälle kuin on tämän vuoksi tarpeen. </w:t>
      </w:r>
    </w:p>
    <w:p>
      <w:pPr>
        <w:pStyle w:val="ManualHeading2"/>
        <w:rPr>
          <w:rFonts w:eastAsia="Arial Unicode MS"/>
          <w:noProof/>
          <w:u w:color="000000"/>
          <w:bdr w:val="nil"/>
        </w:rPr>
      </w:pPr>
      <w:bookmarkStart w:id="9" w:name="_Toc456620185"/>
      <w:r>
        <w:rPr>
          <w:noProof/>
        </w:rPr>
        <w:t>•</w:t>
      </w:r>
      <w:r>
        <w:rPr>
          <w:noProof/>
        </w:rPr>
        <w:tab/>
        <w:t>Sääntelytavan valinta</w:t>
      </w:r>
      <w:bookmarkEnd w:id="9"/>
    </w:p>
    <w:p>
      <w:pPr>
        <w:autoSpaceDE w:val="0"/>
        <w:autoSpaceDN w:val="0"/>
        <w:adjustRightInd w:val="0"/>
        <w:spacing w:after="0"/>
        <w:rPr>
          <w:noProof/>
          <w:szCs w:val="24"/>
        </w:rPr>
      </w:pPr>
      <w:r>
        <w:rPr>
          <w:noProof/>
        </w:rPr>
        <w:t>Ehdotettu sääntelytapa: asetus.</w:t>
      </w:r>
    </w:p>
    <w:p>
      <w:pPr>
        <w:rPr>
          <w:noProof/>
          <w:szCs w:val="24"/>
        </w:rPr>
      </w:pPr>
      <w:r>
        <w:rPr>
          <w:noProof/>
        </w:rPr>
        <w:t>Kun otetaan huomioon ehdotuksen tavoite ja sisältö, sopivin sääntelytapa on asetus. Merkittävän yhteisen EU-politiikan, kuten yhteisen maatalouspolitiikan, kannalta on olennaisen tärkeää saada vertailukelpoisia, yhdenmukaistettuja ja korkealaatuisia maataloustilastoja Euroopan tasolla. Tämä voidaan parhaiten varmistaa asetuksilla, joita sovelletaan sellaisenaan jäsenvaltioissa ja joita ei tarvitse ensin saattaa osaksi kansallista lainsäädäntöä. Ne tarjoavat mahdollisuuden kerätä yhtä yksityiskohtaisia tietoja kaikissa jäsenvaltioissa ja niiden perusteella sovelletaan yhteisiä standardeja, määritelmiä ja menetelmiä.</w:t>
      </w:r>
      <w:r>
        <w:rPr>
          <w:noProof/>
          <w:color w:val="000000"/>
        </w:rPr>
        <w:t xml:space="preserve"> Näin varmistetaan korkealaatuisten vertailukelpoisten tilastojen tuottaminen EU-politiikkaa varten tehokkaasti ja ajantasaisesti. Direktiiveillä ei pystyttäisi varmistamaan halutun yhdenmukaistamisen samaa tasoa, koska tietojen laatu riippuisi 28:n eri lainsäätäjän päätöksistä.</w:t>
      </w:r>
    </w:p>
    <w:p>
      <w:pPr>
        <w:autoSpaceDE w:val="0"/>
        <w:autoSpaceDN w:val="0"/>
        <w:adjustRightInd w:val="0"/>
        <w:spacing w:after="0"/>
        <w:rPr>
          <w:noProof/>
          <w:szCs w:val="24"/>
        </w:rPr>
      </w:pPr>
    </w:p>
    <w:p>
      <w:pPr>
        <w:pStyle w:val="ManualHeading1"/>
        <w:rPr>
          <w:noProof/>
        </w:rPr>
      </w:pPr>
      <w:bookmarkStart w:id="10" w:name="_Toc456620186"/>
      <w:r>
        <w:rPr>
          <w:noProof/>
        </w:rPr>
        <w:t>3.</w:t>
      </w:r>
      <w:r>
        <w:rPr>
          <w:noProof/>
        </w:rPr>
        <w:tab/>
        <w:t>JÄLKIARVIOINTIEN, SIDOSRYHMIEN KUULEMISTEN JA VAIKUTUSTENARVIOINTIEN TULOKSET</w:t>
      </w:r>
      <w:bookmarkEnd w:id="10"/>
    </w:p>
    <w:p>
      <w:pPr>
        <w:pStyle w:val="ManualHeading2"/>
        <w:rPr>
          <w:rFonts w:eastAsia="Arial Unicode MS"/>
          <w:noProof/>
          <w:u w:color="000000"/>
          <w:bdr w:val="nil"/>
        </w:rPr>
      </w:pPr>
      <w:bookmarkStart w:id="11" w:name="_Toc456620187"/>
      <w:r>
        <w:rPr>
          <w:noProof/>
        </w:rPr>
        <w:t>•</w:t>
      </w:r>
      <w:r>
        <w:rPr>
          <w:noProof/>
        </w:rPr>
        <w:tab/>
        <w:t>Jälkiarvioinnit/toimivuustarkastukset</w:t>
      </w:r>
      <w:bookmarkEnd w:id="11"/>
    </w:p>
    <w:p>
      <w:pPr>
        <w:pBdr>
          <w:top w:val="nil"/>
          <w:left w:val="nil"/>
          <w:bottom w:val="nil"/>
          <w:right w:val="nil"/>
          <w:between w:val="nil"/>
          <w:bar w:val="nil"/>
        </w:pBdr>
        <w:rPr>
          <w:rFonts w:eastAsia="Arial Unicode MS"/>
          <w:noProof/>
        </w:rPr>
      </w:pPr>
      <w:r>
        <w:rPr>
          <w:noProof/>
        </w:rPr>
        <w:t>Vaikka tämä aloite pantiin vireille ennen uusien paremman sääntelyn suuntaviivojen (COM(2015) 215) antamista, nykytilannetta koskeva arviointi kuitenkin tehtiin jo saatavilla olevien tietojen ja asiakirjojen perusteella. Lisäksi voimassa olevan lainsäädännön arviointiin sovellettava Eurostatin tavanomainen järjestelmä</w:t>
      </w:r>
      <w:r>
        <w:rPr>
          <w:rStyle w:val="FootnoteReference"/>
          <w:noProof/>
        </w:rPr>
        <w:footnoteReference w:id="4"/>
      </w:r>
      <w:r>
        <w:rPr>
          <w:noProof/>
        </w:rPr>
        <w:t xml:space="preserve"> oli keskeinen osa koko prosessia.</w:t>
      </w:r>
    </w:p>
    <w:p>
      <w:pPr>
        <w:pStyle w:val="ManualHeading2"/>
        <w:rPr>
          <w:rFonts w:eastAsia="Arial Unicode MS"/>
          <w:noProof/>
          <w:u w:color="000000"/>
          <w:bdr w:val="nil"/>
        </w:rPr>
      </w:pPr>
      <w:bookmarkStart w:id="12" w:name="_Toc456620188"/>
      <w:r>
        <w:rPr>
          <w:noProof/>
        </w:rPr>
        <w:t>•</w:t>
      </w:r>
      <w:r>
        <w:rPr>
          <w:noProof/>
        </w:rPr>
        <w:tab/>
        <w:t>Sidosryhmien kuuleminen</w:t>
      </w:r>
      <w:bookmarkEnd w:id="12"/>
    </w:p>
    <w:p>
      <w:pPr>
        <w:pBdr>
          <w:top w:val="nil"/>
          <w:left w:val="nil"/>
          <w:bottom w:val="nil"/>
          <w:right w:val="nil"/>
          <w:between w:val="nil"/>
          <w:bar w:val="nil"/>
        </w:pBdr>
        <w:rPr>
          <w:rFonts w:eastAsia="Arial Unicode MS"/>
          <w:noProof/>
        </w:rPr>
      </w:pPr>
      <w:r>
        <w:rPr>
          <w:noProof/>
        </w:rPr>
        <w:t>Eurostat kehittää, tuottaa ja jakelee Euroopan maataloustilastoja tekemällä tiivistä ja säännöllistä yhteistyötä Euroopan tilastojärjestelmässä, joka perustuu Eurostatin ja kansallisten tilastolaitosten ja muiden asiaan liittyvien viranomaisten pitkään kumppanuuteen.</w:t>
      </w:r>
    </w:p>
    <w:p>
      <w:pPr>
        <w:rPr>
          <w:rFonts w:eastAsia="Arial Unicode MS"/>
          <w:noProof/>
        </w:rPr>
      </w:pPr>
      <w:r>
        <w:rPr>
          <w:noProof/>
        </w:rPr>
        <w:t xml:space="preserve">Euroopan maataloustilastojen sidosryhmien tärkeimmät ryhmät ovat tiedontuottajat (kansalliset tilastolaitokset ja muut kansalliset viranomaiset sekä Eurostat), vastaajat (maataloustuottajat sekä niiden järjestöt ja yritykset) ja käyttäjät (julkiset ja yksityiset päättäjät, etenkin komission muissa pääosastoissa, tutkijat ja journalistit). Sidosryhmiä on kuultu kattavasti ongelmista ja toivotuista muutoksista nykytilanteeseen, tietotarpeista ja -prioriteeteista, mahdollisista toimintavaihtoehdoista ongelmien ratkaisemiseksi, ehdotettujen toimien vaikutuksista sekä erityisesti strategian muotoilusta, kuten jäljempänä olevasta taulukosta ilmenee. Kuulemiset on järjestetty ensisijaisesti pysyvän maataloustilastokomitean ja sen seuraajan, maataloustilastojen johtajien ryhmän, kokouksissa ja seminaareissa (kansallisten tilastolaitosten maataloustilastojen johtajat, kansainväliset organisaatiot, maataloustuottajien organisaatiot, vastaajat, tietojen käyttäjät ja muut), Euroopan tilastojärjestelmää käsittelevän komitean kokouksissa (kansallisten tilastolaitosten pääjohtajat) sekä säännöllisissä kuulemistilaisuuksissa (komission pääosastot). </w:t>
      </w:r>
    </w:p>
    <w:p>
      <w:pPr>
        <w:rPr>
          <w:b/>
          <w:noProof/>
          <w:sz w:val="22"/>
          <w:szCs w:val="24"/>
        </w:rPr>
      </w:pPr>
      <w:r>
        <w:rPr>
          <w:b/>
          <w:noProof/>
          <w:sz w:val="22"/>
        </w:rPr>
        <w:t>Sidosryhmien kuuleminen maataloustilastostrategiasta 2020</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88"/>
        <w:gridCol w:w="2292"/>
        <w:gridCol w:w="2606"/>
      </w:tblGrid>
      <w:tr>
        <w:trPr>
          <w:trHeight w:val="640"/>
        </w:trPr>
        <w:tc>
          <w:tcPr>
            <w:tcW w:w="1548" w:type="dxa"/>
            <w:shd w:val="clear" w:color="auto" w:fill="auto"/>
            <w:vAlign w:val="center"/>
          </w:tcPr>
          <w:p>
            <w:pPr>
              <w:contextualSpacing/>
              <w:rPr>
                <w:b/>
                <w:i/>
                <w:noProof/>
                <w:color w:val="000000"/>
                <w:sz w:val="22"/>
                <w:szCs w:val="24"/>
              </w:rPr>
            </w:pPr>
          </w:p>
        </w:tc>
        <w:tc>
          <w:tcPr>
            <w:tcW w:w="2388"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Kuuleminen ongelmista ja muutoksista</w:t>
            </w:r>
          </w:p>
        </w:tc>
        <w:tc>
          <w:tcPr>
            <w:tcW w:w="2292"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Kuuleminen tarpeista ja prioriteeteista</w:t>
            </w:r>
          </w:p>
        </w:tc>
        <w:tc>
          <w:tcPr>
            <w:tcW w:w="2606" w:type="dxa"/>
            <w:shd w:val="clear" w:color="auto" w:fill="auto"/>
            <w:vAlign w:val="center"/>
          </w:tcPr>
          <w:p>
            <w:pPr>
              <w:contextualSpacing/>
              <w:jc w:val="center"/>
              <w:rPr>
                <w:b/>
                <w:noProof/>
                <w:color w:val="000000"/>
                <w:sz w:val="22"/>
                <w:szCs w:val="24"/>
              </w:rPr>
            </w:pPr>
            <w:r>
              <w:rPr>
                <w:b/>
                <w:noProof/>
                <w:color w:val="000000"/>
                <w:sz w:val="22"/>
              </w:rPr>
              <w:t>Kuuleminen vaihtoehdoista ja vaikutuksista</w:t>
            </w:r>
          </w:p>
        </w:tc>
      </w:tr>
      <w:tr>
        <w:trPr>
          <w:trHeight w:val="962"/>
        </w:trPr>
        <w:tc>
          <w:tcPr>
            <w:tcW w:w="1548" w:type="dxa"/>
            <w:shd w:val="clear" w:color="auto" w:fill="auto"/>
            <w:vAlign w:val="center"/>
          </w:tcPr>
          <w:p>
            <w:pPr>
              <w:rPr>
                <w:b/>
                <w:noProof/>
                <w:sz w:val="22"/>
                <w:szCs w:val="24"/>
              </w:rPr>
            </w:pPr>
            <w:r>
              <w:rPr>
                <w:b/>
                <w:noProof/>
                <w:sz w:val="22"/>
              </w:rPr>
              <w:t>Tuottajat</w:t>
            </w:r>
          </w:p>
        </w:tc>
        <w:tc>
          <w:tcPr>
            <w:tcW w:w="2388" w:type="dxa"/>
            <w:shd w:val="clear" w:color="auto" w:fill="auto"/>
          </w:tcPr>
          <w:p>
            <w:pPr>
              <w:contextualSpacing/>
              <w:rPr>
                <w:noProof/>
                <w:color w:val="000000"/>
                <w:sz w:val="22"/>
                <w:szCs w:val="24"/>
              </w:rPr>
            </w:pPr>
            <w:r>
              <w:rPr>
                <w:noProof/>
                <w:color w:val="000000"/>
                <w:sz w:val="22"/>
              </w:rPr>
              <w:t>Euroopan tilastojärjestelmää käsittelevän komitean kokous, toukokuu 2014</w:t>
            </w:r>
          </w:p>
        </w:tc>
        <w:tc>
          <w:tcPr>
            <w:tcW w:w="2292" w:type="dxa"/>
            <w:shd w:val="clear" w:color="auto" w:fill="auto"/>
          </w:tcPr>
          <w:p>
            <w:pPr>
              <w:contextualSpacing/>
              <w:rPr>
                <w:noProof/>
                <w:color w:val="000000"/>
                <w:sz w:val="22"/>
                <w:szCs w:val="24"/>
              </w:rPr>
            </w:pPr>
            <w:r>
              <w:rPr>
                <w:noProof/>
                <w:color w:val="000000"/>
                <w:sz w:val="22"/>
              </w:rPr>
              <w:t>Pysyvän maataloustilasto</w:t>
            </w:r>
            <w:r>
              <w:rPr>
                <w:noProof/>
                <w:color w:val="000000"/>
                <w:sz w:val="22"/>
              </w:rPr>
              <w:softHyphen/>
              <w:t>komitean kokoukset ja seminaarit, vuodesta 2009</w:t>
            </w:r>
          </w:p>
        </w:tc>
        <w:tc>
          <w:tcPr>
            <w:tcW w:w="2606" w:type="dxa"/>
            <w:shd w:val="clear" w:color="auto" w:fill="auto"/>
          </w:tcPr>
          <w:p>
            <w:pPr>
              <w:contextualSpacing/>
              <w:rPr>
                <w:noProof/>
                <w:color w:val="000000"/>
                <w:sz w:val="22"/>
                <w:szCs w:val="24"/>
              </w:rPr>
            </w:pPr>
            <w:r>
              <w:rPr>
                <w:noProof/>
                <w:color w:val="000000"/>
                <w:sz w:val="22"/>
              </w:rPr>
              <w:t>Maataloustilastojen johtajien ryhmän kokous, heinäkuu 2015, Euroopan tilastojärjestelmää käsittelevän komitean kokous, marraskuu 2015</w:t>
            </w:r>
          </w:p>
        </w:tc>
      </w:tr>
      <w:tr>
        <w:trPr>
          <w:trHeight w:val="710"/>
        </w:trPr>
        <w:tc>
          <w:tcPr>
            <w:tcW w:w="1548" w:type="dxa"/>
            <w:shd w:val="clear" w:color="auto" w:fill="auto"/>
            <w:vAlign w:val="center"/>
          </w:tcPr>
          <w:p>
            <w:pPr>
              <w:rPr>
                <w:b/>
                <w:noProof/>
                <w:sz w:val="22"/>
                <w:szCs w:val="24"/>
              </w:rPr>
            </w:pPr>
            <w:r>
              <w:rPr>
                <w:b/>
                <w:noProof/>
                <w:sz w:val="22"/>
              </w:rPr>
              <w:t xml:space="preserve">Vastaajat </w:t>
            </w:r>
          </w:p>
        </w:tc>
        <w:tc>
          <w:tcPr>
            <w:tcW w:w="4680" w:type="dxa"/>
            <w:gridSpan w:val="2"/>
            <w:shd w:val="clear" w:color="auto" w:fill="auto"/>
          </w:tcPr>
          <w:p>
            <w:pPr>
              <w:contextualSpacing/>
              <w:rPr>
                <w:noProof/>
                <w:color w:val="000000"/>
                <w:sz w:val="22"/>
                <w:szCs w:val="24"/>
              </w:rPr>
            </w:pPr>
            <w:r>
              <w:rPr>
                <w:noProof/>
                <w:color w:val="000000"/>
                <w:sz w:val="22"/>
              </w:rPr>
              <w:t>Pysyvän maataloustilastokomitean seminaarit, vuodesta 2009</w:t>
            </w:r>
          </w:p>
        </w:tc>
        <w:tc>
          <w:tcPr>
            <w:tcW w:w="2606" w:type="dxa"/>
            <w:shd w:val="clear" w:color="auto" w:fill="auto"/>
          </w:tcPr>
          <w:p>
            <w:pPr>
              <w:contextualSpacing/>
              <w:jc w:val="left"/>
              <w:rPr>
                <w:noProof/>
                <w:color w:val="000000"/>
                <w:sz w:val="22"/>
                <w:szCs w:val="24"/>
              </w:rPr>
            </w:pPr>
            <w:r>
              <w:rPr>
                <w:noProof/>
                <w:color w:val="000000"/>
                <w:sz w:val="22"/>
              </w:rPr>
              <w:t>Avoin julkinen kuuleminen, elokuu–marraskuu 2015</w:t>
            </w:r>
          </w:p>
        </w:tc>
      </w:tr>
      <w:tr>
        <w:trPr>
          <w:trHeight w:val="733"/>
        </w:trPr>
        <w:tc>
          <w:tcPr>
            <w:tcW w:w="1548" w:type="dxa"/>
            <w:shd w:val="clear" w:color="auto" w:fill="auto"/>
            <w:vAlign w:val="center"/>
          </w:tcPr>
          <w:p>
            <w:pPr>
              <w:rPr>
                <w:b/>
                <w:noProof/>
                <w:sz w:val="22"/>
                <w:szCs w:val="24"/>
              </w:rPr>
            </w:pPr>
            <w:r>
              <w:rPr>
                <w:b/>
                <w:noProof/>
                <w:sz w:val="22"/>
              </w:rPr>
              <w:t>Käyttäjät</w:t>
            </w:r>
          </w:p>
        </w:tc>
        <w:tc>
          <w:tcPr>
            <w:tcW w:w="7286" w:type="dxa"/>
            <w:gridSpan w:val="3"/>
            <w:shd w:val="clear" w:color="auto" w:fill="auto"/>
          </w:tcPr>
          <w:p>
            <w:pPr>
              <w:contextualSpacing/>
              <w:rPr>
                <w:noProof/>
                <w:color w:val="000000"/>
                <w:sz w:val="22"/>
                <w:szCs w:val="24"/>
              </w:rPr>
            </w:pPr>
            <w:r>
              <w:rPr>
                <w:noProof/>
                <w:color w:val="000000"/>
                <w:sz w:val="22"/>
              </w:rPr>
              <w:t>Avoin julkinen kuuleminen, elokuu–marraskuu 2015</w:t>
            </w:r>
            <w:r>
              <w:rPr>
                <w:noProof/>
              </w:rPr>
              <w:tab/>
            </w:r>
            <w:r>
              <w:rPr>
                <w:noProof/>
                <w:color w:val="000000"/>
                <w:sz w:val="22"/>
                <w:szCs w:val="24"/>
              </w:rPr>
              <w:br/>
            </w:r>
            <w:r>
              <w:rPr>
                <w:noProof/>
                <w:color w:val="000000"/>
                <w:sz w:val="22"/>
              </w:rPr>
              <w:t>Kirjalliset kuulemiset, vuodesta 2014</w:t>
            </w:r>
          </w:p>
        </w:tc>
      </w:tr>
    </w:tbl>
    <w:p>
      <w:pPr>
        <w:rPr>
          <w:noProof/>
        </w:rPr>
      </w:pPr>
      <w:r>
        <w:rPr>
          <w:noProof/>
        </w:rPr>
        <w:t>Avoin julkinen kuuleminen järjestettiin elokuun ja marraskuun 2015 välillä, ja sen yksityiskohtaiset tulokset esitetään erityisraportissa</w:t>
      </w:r>
      <w:r>
        <w:rPr>
          <w:rStyle w:val="FootnoteReference"/>
          <w:noProof/>
        </w:rPr>
        <w:footnoteReference w:id="5"/>
      </w:r>
      <w:r>
        <w:rPr>
          <w:noProof/>
        </w:rPr>
        <w:t>.</w:t>
      </w:r>
    </w:p>
    <w:p>
      <w:pPr>
        <w:pStyle w:val="Text1"/>
        <w:ind w:left="0"/>
        <w:rPr>
          <w:noProof/>
          <w:szCs w:val="24"/>
        </w:rPr>
      </w:pPr>
      <w:r>
        <w:rPr>
          <w:noProof/>
        </w:rPr>
        <w:t>Edellä mainituista kuulemisista saatiin kolme keskeistä tulosta, jotka muodostavat maataloustilastostrategian 2020 – ja näin ollen tämän asetuksen – ytimen:</w:t>
      </w:r>
    </w:p>
    <w:p>
      <w:pPr>
        <w:pStyle w:val="Bullet1"/>
        <w:rPr>
          <w:noProof/>
        </w:rPr>
      </w:pPr>
      <w:r>
        <w:rPr>
          <w:b/>
          <w:noProof/>
        </w:rPr>
        <w:t>Unionin tämänhetkinen maataloustilastolainsäädäntö ei palvele riittävällä tavalla uusia ja tulevia tietotarpeita</w:t>
      </w:r>
      <w:r>
        <w:rPr>
          <w:noProof/>
        </w:rPr>
        <w:t>, koska ne eivät sisälly säädöksiin eivätkä säädökset ole riittävän joustavia ja integroituja, jotta niillä pystyttäisiin vastaamaan uusiin tarpeisiin nopeasti. Lisäksi asetuksen (EY) N:o 1166/2008, joka on keskeinen osa Euroopan unionin tämänhetkistä maataloustilastojärjestelmää, perusteella ei saada enää tilastotietoja vuodesta 2018 lähtien.</w:t>
      </w:r>
    </w:p>
    <w:p>
      <w:pPr>
        <w:pStyle w:val="Text2"/>
        <w:rPr>
          <w:noProof/>
        </w:rPr>
      </w:pPr>
      <w:r>
        <w:rPr>
          <w:i/>
          <w:noProof/>
        </w:rPr>
        <w:t>Uudet tietotarpeet</w:t>
      </w:r>
      <w:r>
        <w:rPr>
          <w:noProof/>
        </w:rPr>
        <w:t xml:space="preserve"> johtuvat pääasiassa maataloudessa tapahtuneesta kehityksestä, tarkistetusta lainsäädännöstä ja muuttuvista poliittisista prioriteeteista, etenkin hiljattain uudistetusta yhteisestä maatalouspolitiikasta.</w:t>
      </w:r>
    </w:p>
    <w:p>
      <w:pPr>
        <w:pStyle w:val="Bullet1"/>
        <w:rPr>
          <w:noProof/>
        </w:rPr>
      </w:pPr>
      <w:r>
        <w:rPr>
          <w:b/>
          <w:noProof/>
        </w:rPr>
        <w:t>Tiedonkeruut eivät ole yhdenmukaistettuja eivätkä johdonmukaisia</w:t>
      </w:r>
      <w:r>
        <w:rPr>
          <w:noProof/>
        </w:rPr>
        <w:t xml:space="preserve">, koska uusia tietotarpeita on syntymässä, lainsäädäntöä on kehitetty erillisesti useiden vuosien aikana ja maataloustilastojen eri aloilla käytetään osittain erilaisia määritelmiä ja käsitteitä. </w:t>
      </w:r>
    </w:p>
    <w:p>
      <w:pPr>
        <w:pStyle w:val="Bullet1"/>
        <w:rPr>
          <w:noProof/>
        </w:rPr>
      </w:pPr>
      <w:r>
        <w:rPr>
          <w:b/>
          <w:noProof/>
        </w:rPr>
        <w:t>Tietojen toimittamisesta aiheutuvaa rasitetta pidetään liian suurena</w:t>
      </w:r>
      <w:r>
        <w:rPr>
          <w:noProof/>
        </w:rPr>
        <w:t xml:space="preserve">, koska tietotarpeet ovat kasvamassa, tiedonkeruuta ei ole yhdenmukaistettu ja resurssit vähenevät edelleen sekä unionin että jäsenvaltioiden tasolla. Rasitteen vahvistettiin olevan vaaraksi tiedonkeruulle ja tietojen laadulle. </w:t>
      </w:r>
    </w:p>
    <w:p>
      <w:pPr>
        <w:pStyle w:val="ManualHeading2"/>
        <w:rPr>
          <w:rFonts w:eastAsia="Arial Unicode MS"/>
          <w:noProof/>
          <w:u w:color="000000"/>
          <w:bdr w:val="nil"/>
        </w:rPr>
      </w:pPr>
      <w:bookmarkStart w:id="13" w:name="_Toc456620189"/>
      <w:r>
        <w:rPr>
          <w:noProof/>
        </w:rPr>
        <w:t>•</w:t>
      </w:r>
      <w:r>
        <w:rPr>
          <w:noProof/>
        </w:rPr>
        <w:tab/>
        <w:t>Asiantuntijatiedon keruu ja käyttö</w:t>
      </w:r>
      <w:bookmarkEnd w:id="13"/>
    </w:p>
    <w:p>
      <w:pPr>
        <w:pBdr>
          <w:top w:val="nil"/>
          <w:left w:val="nil"/>
          <w:bottom w:val="nil"/>
          <w:right w:val="nil"/>
          <w:between w:val="nil"/>
          <w:bar w:val="nil"/>
        </w:pBdr>
        <w:rPr>
          <w:rFonts w:eastAsia="Arial Unicode MS"/>
          <w:noProof/>
        </w:rPr>
      </w:pPr>
      <w:r>
        <w:rPr>
          <w:noProof/>
        </w:rPr>
        <w:t xml:space="preserve">Eurostat on käynyt ehdotuksesta laajoja keskusteluja kansallisten tilastolaitosten kanssa. Se on perustanut työryhmiä, erityisryhmiä ja johtajien ryhmiä, jotka ovat kokoontuneet säännöllisesti käsittelemään ehdotusta. Ehdotus on myös esitelty asetuksella (EY) N:o 223/2009 perustetulle Euroopan tilastojärjestelmää käsittelevälle komitealle. </w:t>
      </w:r>
    </w:p>
    <w:p>
      <w:pPr>
        <w:pStyle w:val="ManualHeading2"/>
        <w:rPr>
          <w:rFonts w:eastAsia="Arial Unicode MS"/>
          <w:noProof/>
          <w:u w:color="000000"/>
          <w:bdr w:val="nil"/>
        </w:rPr>
      </w:pPr>
      <w:bookmarkStart w:id="14" w:name="_Toc456620190"/>
      <w:r>
        <w:rPr>
          <w:noProof/>
        </w:rPr>
        <w:t>•</w:t>
      </w:r>
      <w:r>
        <w:rPr>
          <w:noProof/>
        </w:rPr>
        <w:tab/>
        <w:t>Vaikutusten arviointi</w:t>
      </w:r>
      <w:bookmarkEnd w:id="14"/>
    </w:p>
    <w:p>
      <w:pPr>
        <w:pBdr>
          <w:top w:val="nil"/>
          <w:left w:val="nil"/>
          <w:bottom w:val="nil"/>
          <w:right w:val="nil"/>
          <w:between w:val="nil"/>
          <w:bar w:val="nil"/>
        </w:pBdr>
        <w:rPr>
          <w:noProof/>
        </w:rPr>
      </w:pPr>
      <w:r>
        <w:rPr>
          <w:noProof/>
        </w:rPr>
        <w:t>Tähän ehdotukseen liittyy vaikutustenarviointi. Siinä yksilöidään nykyiset ongelmat, esitellään toimintavaihtoehtoja, joilla näihin ongelmiin voitaisiin vastata, ja arvioidaan kunkin vaihtoehdon sosiaalisia ja taloudellisia vaikutuksia.</w:t>
      </w:r>
    </w:p>
    <w:p>
      <w:pPr>
        <w:pBdr>
          <w:top w:val="nil"/>
          <w:left w:val="nil"/>
          <w:bottom w:val="nil"/>
          <w:right w:val="nil"/>
          <w:between w:val="nil"/>
          <w:bar w:val="nil"/>
        </w:pBdr>
        <w:rPr>
          <w:noProof/>
        </w:rPr>
      </w:pPr>
      <w:r>
        <w:rPr>
          <w:noProof/>
        </w:rPr>
        <w:t>Sääntelyntarkastelulautakunta antoi maaliskuussa 2016 myönteisen lausunnon vaikutustenarvioinnista.</w:t>
      </w:r>
    </w:p>
    <w:p>
      <w:pPr>
        <w:pBdr>
          <w:top w:val="nil"/>
          <w:left w:val="nil"/>
          <w:bottom w:val="nil"/>
          <w:right w:val="nil"/>
          <w:between w:val="nil"/>
          <w:bar w:val="nil"/>
        </w:pBdr>
        <w:spacing w:after="0"/>
        <w:rPr>
          <w:noProof/>
        </w:rPr>
      </w:pPr>
      <w:r>
        <w:rPr>
          <w:noProof/>
        </w:rPr>
        <w:t>Vaikutustenarvioinnissa yksilöitiin kolme keskeistä taustatekijää Euroopan maataloustilastojärjestelmän alalla esiintyviin ongelmiin:</w:t>
      </w:r>
    </w:p>
    <w:p>
      <w:pPr>
        <w:pStyle w:val="Point0number"/>
        <w:numPr>
          <w:ilvl w:val="0"/>
          <w:numId w:val="1"/>
        </w:numPr>
        <w:rPr>
          <w:noProof/>
        </w:rPr>
      </w:pPr>
      <w:r>
        <w:rPr>
          <w:noProof/>
        </w:rPr>
        <w:t xml:space="preserve">uusia ja tulevia tietotarpeita ei palvella riittävällä tavalla; </w:t>
      </w:r>
    </w:p>
    <w:p>
      <w:pPr>
        <w:pStyle w:val="Point0number"/>
        <w:numPr>
          <w:ilvl w:val="0"/>
          <w:numId w:val="1"/>
        </w:numPr>
        <w:rPr>
          <w:noProof/>
        </w:rPr>
      </w:pPr>
      <w:r>
        <w:rPr>
          <w:noProof/>
        </w:rPr>
        <w:t>tiedonkeruut eivät ole riittävän yhdenmukaistettuja eivätkä johdonmukaisia;</w:t>
      </w:r>
    </w:p>
    <w:p>
      <w:pPr>
        <w:pStyle w:val="Point0number"/>
        <w:numPr>
          <w:ilvl w:val="0"/>
          <w:numId w:val="1"/>
        </w:numPr>
        <w:rPr>
          <w:noProof/>
        </w:rPr>
      </w:pPr>
      <w:r>
        <w:rPr>
          <w:noProof/>
        </w:rPr>
        <w:t>tietojen toimittamisesta aiheutuvaa rasitetta pidetään liian suurena.</w:t>
      </w:r>
    </w:p>
    <w:p>
      <w:pPr>
        <w:pBdr>
          <w:top w:val="nil"/>
          <w:left w:val="nil"/>
          <w:bottom w:val="nil"/>
          <w:right w:val="nil"/>
          <w:between w:val="nil"/>
          <w:bar w:val="nil"/>
        </w:pBdr>
        <w:rPr>
          <w:rFonts w:eastAsia="Arial Unicode MS"/>
          <w:noProof/>
          <w:szCs w:val="24"/>
        </w:rPr>
      </w:pPr>
    </w:p>
    <w:p>
      <w:pPr>
        <w:keepNext/>
        <w:pBdr>
          <w:top w:val="nil"/>
          <w:left w:val="nil"/>
          <w:bottom w:val="nil"/>
          <w:right w:val="nil"/>
          <w:between w:val="nil"/>
          <w:bar w:val="nil"/>
        </w:pBdr>
        <w:rPr>
          <w:rFonts w:eastAsia="Arial Unicode MS"/>
          <w:noProof/>
          <w:szCs w:val="24"/>
        </w:rPr>
      </w:pPr>
      <w:r>
        <w:rPr>
          <w:noProof/>
        </w:rPr>
        <w:t xml:space="preserve">Seuraavia vaihtoehtoja arvioitiin keinoina, joilla yksilöityihin ongelmiin voidaan puuttua. </w:t>
      </w:r>
    </w:p>
    <w:tbl>
      <w:tblPr>
        <w:tblStyle w:val="TableGrid1"/>
        <w:tblW w:w="0" w:type="auto"/>
        <w:tblLook w:val="04A0" w:firstRow="1" w:lastRow="0" w:firstColumn="1" w:lastColumn="0" w:noHBand="0" w:noVBand="1"/>
      </w:tblPr>
      <w:tblGrid>
        <w:gridCol w:w="3510"/>
        <w:gridCol w:w="5238"/>
      </w:tblGrid>
      <w:tr>
        <w:tc>
          <w:tcPr>
            <w:tcW w:w="3510" w:type="dxa"/>
          </w:tcPr>
          <w:p>
            <w:pPr>
              <w:keepNext/>
              <w:rPr>
                <w:noProof/>
                <w:szCs w:val="24"/>
              </w:rPr>
            </w:pPr>
            <w:r>
              <w:rPr>
                <w:noProof/>
              </w:rPr>
              <w:t>Vaihtoehto</w:t>
            </w:r>
          </w:p>
        </w:tc>
        <w:tc>
          <w:tcPr>
            <w:tcW w:w="5238" w:type="dxa"/>
          </w:tcPr>
          <w:p>
            <w:pPr>
              <w:rPr>
                <w:noProof/>
                <w:szCs w:val="24"/>
              </w:rPr>
            </w:pPr>
            <w:r>
              <w:rPr>
                <w:noProof/>
              </w:rPr>
              <w:t>Kuvaus</w:t>
            </w:r>
          </w:p>
        </w:tc>
      </w:tr>
      <w:tr>
        <w:tc>
          <w:tcPr>
            <w:tcW w:w="3510" w:type="dxa"/>
          </w:tcPr>
          <w:p>
            <w:pPr>
              <w:rPr>
                <w:noProof/>
                <w:szCs w:val="24"/>
              </w:rPr>
            </w:pPr>
            <w:r>
              <w:rPr>
                <w:noProof/>
              </w:rPr>
              <w:t>1.</w:t>
            </w:r>
            <w:r>
              <w:rPr>
                <w:noProof/>
              </w:rPr>
              <w:tab/>
              <w:t>Perusskenaario – ei unionin toimia maataloutta koskevien rakennetietojen alalla</w:t>
            </w:r>
          </w:p>
        </w:tc>
        <w:tc>
          <w:tcPr>
            <w:tcW w:w="5238" w:type="dxa"/>
          </w:tcPr>
          <w:p>
            <w:pPr>
              <w:rPr>
                <w:noProof/>
                <w:szCs w:val="24"/>
              </w:rPr>
            </w:pPr>
            <w:r>
              <w:rPr>
                <w:noProof/>
              </w:rPr>
              <w:t>Jos unionin toimia ei toteuteta, asetuksen (EY) N:o 1166/2008 voimassaolo päättyy ja maataloutta koskevien rakennetietojen keruu jää jäsenvaltioiden harkintavaltaan. Muu maataloustilastolainsäädäntö jäisi samanlaiseksi kuin nyt, mutta laadunvarmistus olisi heikompi, koska maatilojen laskentaa käytetään usein päivittämään maatilarekistereitä, joita käytetään otantatutkimuksen osittamiseen.</w:t>
            </w:r>
          </w:p>
        </w:tc>
      </w:tr>
      <w:tr>
        <w:tc>
          <w:tcPr>
            <w:tcW w:w="3510" w:type="dxa"/>
          </w:tcPr>
          <w:p>
            <w:pPr>
              <w:rPr>
                <w:noProof/>
                <w:szCs w:val="24"/>
              </w:rPr>
            </w:pPr>
            <w:r>
              <w:rPr>
                <w:noProof/>
              </w:rPr>
              <w:t>2.</w:t>
            </w:r>
            <w:r>
              <w:rPr>
                <w:noProof/>
              </w:rPr>
              <w:tab/>
              <w:t>Asetuksen (EY) N:o 1166/2008 voimassaolon jatkaminen</w:t>
            </w:r>
          </w:p>
        </w:tc>
        <w:tc>
          <w:tcPr>
            <w:tcW w:w="5238" w:type="dxa"/>
          </w:tcPr>
          <w:p>
            <w:pPr>
              <w:rPr>
                <w:noProof/>
                <w:szCs w:val="24"/>
              </w:rPr>
            </w:pPr>
            <w:r>
              <w:rPr>
                <w:noProof/>
              </w:rPr>
              <w:t>Uusitaan asetus (EY) N:o 1166/2008, jonka voimassaolo päättyy vuonna 2018. Tämä tarkoittaisi sitä, että nykyinen järjestelmä, joka on ollut voimassa vuodesta 1966, jatkuisi ilman muutoksia. Muu maataloustilastolainsäädäntö jäisi samanlaiseksi ja nykytilanne jatkuisi.</w:t>
            </w:r>
          </w:p>
        </w:tc>
      </w:tr>
      <w:tr>
        <w:tc>
          <w:tcPr>
            <w:tcW w:w="3510" w:type="dxa"/>
          </w:tcPr>
          <w:p>
            <w:pPr>
              <w:rPr>
                <w:noProof/>
                <w:szCs w:val="24"/>
              </w:rPr>
            </w:pPr>
            <w:r>
              <w:rPr>
                <w:noProof/>
              </w:rPr>
              <w:t>3.</w:t>
            </w:r>
            <w:r>
              <w:rPr>
                <w:noProof/>
              </w:rPr>
              <w:tab/>
              <w:t>Kaikkia maataloustilastoja koskevat yhdet oikeudelliset puitteet</w:t>
            </w:r>
          </w:p>
        </w:tc>
        <w:tc>
          <w:tcPr>
            <w:tcW w:w="5238" w:type="dxa"/>
          </w:tcPr>
          <w:p>
            <w:pPr>
              <w:rPr>
                <w:noProof/>
                <w:szCs w:val="24"/>
              </w:rPr>
            </w:pPr>
            <w:r>
              <w:rPr>
                <w:noProof/>
              </w:rPr>
              <w:t xml:space="preserve">Luodaan täysin uudet oikeudelliset puitteet kaikille unionin maataloustilastoille. Kaikki maataloustilastoihin liittyvä lainsäädäntö integroitaisiin yhteen puiteasetukseen. </w:t>
            </w:r>
          </w:p>
        </w:tc>
      </w:tr>
      <w:tr>
        <w:tc>
          <w:tcPr>
            <w:tcW w:w="3510" w:type="dxa"/>
          </w:tcPr>
          <w:p>
            <w:pPr>
              <w:rPr>
                <w:noProof/>
                <w:szCs w:val="24"/>
              </w:rPr>
            </w:pPr>
            <w:r>
              <w:rPr>
                <w:noProof/>
              </w:rPr>
              <w:t>4.</w:t>
            </w:r>
            <w:r>
              <w:rPr>
                <w:noProof/>
              </w:rPr>
              <w:tab/>
              <w:t>Integroidaan maataloustilastot kahdessa vaiheessa</w:t>
            </w:r>
          </w:p>
        </w:tc>
        <w:tc>
          <w:tcPr>
            <w:tcW w:w="5238" w:type="dxa"/>
          </w:tcPr>
          <w:p>
            <w:pPr>
              <w:rPr>
                <w:noProof/>
                <w:szCs w:val="24"/>
              </w:rPr>
            </w:pPr>
            <w:r>
              <w:rPr>
                <w:noProof/>
              </w:rPr>
              <w:t>Maataloustilastojen kaksivaiheiselle integroimisella taattaisiin maatalouden rakennetilastojen jatkuvuus ja nykyaikaistaminen. Käyttöön otettaisiin kaksi uutta puiteasetusta: integroituja maatilatilastoja koskeva asetus sekä maatalouden panos- ja tuotostilastoja koskeva puiteasetus.</w:t>
            </w:r>
          </w:p>
        </w:tc>
      </w:tr>
    </w:tbl>
    <w:p>
      <w:pPr>
        <w:rPr>
          <w:noProof/>
          <w:szCs w:val="24"/>
        </w:rPr>
      </w:pPr>
    </w:p>
    <w:p>
      <w:pPr>
        <w:rPr>
          <w:noProof/>
          <w:szCs w:val="24"/>
        </w:rPr>
      </w:pPr>
      <w:r>
        <w:rPr>
          <w:noProof/>
        </w:rPr>
        <w:t>Eri vaihtoehtojen vaikutusten yksityiskohtaisen arvioinnin jälkeen päädyttiin seuraaviin tuloksiin:</w:t>
      </w:r>
    </w:p>
    <w:p>
      <w:pPr>
        <w:rPr>
          <w:noProof/>
          <w:szCs w:val="24"/>
        </w:rPr>
      </w:pPr>
      <w:r>
        <w:rPr>
          <w:b/>
          <w:noProof/>
        </w:rPr>
        <w:t>Vaihtoehto 1 (perusskenaario)</w:t>
      </w:r>
      <w:r>
        <w:rPr>
          <w:noProof/>
        </w:rPr>
        <w:t xml:space="preserve"> tarjoaa heikoimmat tulokset lähes kaikilta kannoilta, etenkin pitkällä aikavälillä, koska tietotarpeista ja resurssien rajoituksista tulee entistä kiireellisempiä. </w:t>
      </w:r>
      <w:r>
        <w:rPr>
          <w:b/>
          <w:noProof/>
        </w:rPr>
        <w:t>Vaihtoehto 2 (voimassaolon jatkaminen)</w:t>
      </w:r>
      <w:r>
        <w:rPr>
          <w:noProof/>
        </w:rPr>
        <w:t xml:space="preserve"> tuottaa vain vähän arvoa lyhyellä aikavälillä ja vahingoittaa vakavasti Euroopan maataloustilastojärjestelmän toimintaa pitkällä aikavälillä, koska siitä tulee vanhentunut ja vaikeakäyttöinen. </w:t>
      </w:r>
      <w:r>
        <w:rPr>
          <w:b/>
          <w:noProof/>
        </w:rPr>
        <w:t>Vaihtoehdot 3 (yksi puiteasetus)</w:t>
      </w:r>
      <w:r>
        <w:rPr>
          <w:noProof/>
        </w:rPr>
        <w:t xml:space="preserve"> ja </w:t>
      </w:r>
      <w:r>
        <w:rPr>
          <w:b/>
          <w:noProof/>
        </w:rPr>
        <w:t>4 (kaksivaiheinen integrointi)</w:t>
      </w:r>
      <w:r>
        <w:rPr>
          <w:noProof/>
        </w:rPr>
        <w:t xml:space="preserve"> – alkuvaiheen investoinneista ja uusista EU-asetuksista huolimatta – tarjoavat parhaat mahdollisuudet saavuttaa aiemmin muotoillut tavoitteet kustannustehokkaasti, niissä on suhteellisesti vähiten riskejä, niillä on eniten positiivisia epäsuoria vaikutuksia ja ne tyydyttävät parhaiten sidosryhmien vaatimukset. Ne täyttävät myös REFIT-aloitteen tavoitteet unionin lainsäädännön päivittämisestä niin, että parannetaan sen kustannushyötysuhdetta ja kevennetään pieniin ja keskisuuriin yrityksiin (pk-yrityksiin) kohdistuvaa rasitetta. Vaihtoehdon 4 lisähyötynä on myös se, että ajoituksen kannalta se aiheuttaa vähemmän riskejä lainsäädäntöprosessissa (neuvoston ja parlamentin on hyväksyttävä uusi maatilojen laskentaa koskeva asetus viimeistään vuoden 2018 loppuun mennessä) ja se on hieman joustavampi keveämmän lainsäädäntörakenteen ansiosta. Sen vuoksi Eurostat pitää vaihtoehtoa 4 parempana kuin vaihtoehtoa 3.</w:t>
      </w:r>
    </w:p>
    <w:p>
      <w:pPr>
        <w:pBdr>
          <w:top w:val="nil"/>
          <w:left w:val="nil"/>
          <w:bottom w:val="nil"/>
          <w:right w:val="nil"/>
          <w:between w:val="nil"/>
          <w:bar w:val="nil"/>
        </w:pBdr>
        <w:rPr>
          <w:rFonts w:eastAsia="Arial Unicode MS"/>
          <w:noProof/>
          <w:szCs w:val="24"/>
        </w:rPr>
      </w:pPr>
      <w:r>
        <w:rPr>
          <w:noProof/>
        </w:rPr>
        <w:t>Myös Euroopan maataloustilastojärjestelmän keskeiset sidosryhmät – eli komissio tietojen käyttäjänä, kansalliset tilastolaitokset ja muut kansalliset viranomaiset tietojen tuottajina sekä maataloustuottajat vastaajina – pitävät vaihtoehtoa 4 parhaana.</w:t>
      </w:r>
    </w:p>
    <w:p>
      <w:pPr>
        <w:pStyle w:val="ManualHeading2"/>
        <w:rPr>
          <w:rFonts w:eastAsia="Arial Unicode MS"/>
          <w:noProof/>
          <w:u w:color="000000"/>
          <w:bdr w:val="nil"/>
        </w:rPr>
      </w:pPr>
      <w:bookmarkStart w:id="15" w:name="_Toc456620191"/>
      <w:r>
        <w:rPr>
          <w:noProof/>
        </w:rPr>
        <w:t>•</w:t>
      </w:r>
      <w:r>
        <w:rPr>
          <w:noProof/>
        </w:rPr>
        <w:tab/>
        <w:t>Sääntelyn toimivuus ja yksinkertaistaminen</w:t>
      </w:r>
      <w:bookmarkEnd w:id="15"/>
    </w:p>
    <w:p>
      <w:pPr>
        <w:pBdr>
          <w:top w:val="nil"/>
          <w:left w:val="nil"/>
          <w:bottom w:val="nil"/>
          <w:right w:val="nil"/>
          <w:between w:val="nil"/>
          <w:bar w:val="nil"/>
        </w:pBdr>
        <w:rPr>
          <w:noProof/>
        </w:rPr>
      </w:pPr>
      <w:r>
        <w:rPr>
          <w:noProof/>
        </w:rPr>
        <w:t>Ehdotuksen tavoitteena REFIT-ohjelman kannalta on hyödyntää toimitettuja tietoja mahdollisimman hyvin Euroopan maataloustilastojen laatimisen nykyisiä ja tulevia tarpeita varten ja rajoittaa samalla vastaajiin kohdistuvaa rasitetta. Nämä tavoitteet saavutetaan yhdistämällä samojen puitteiden alle erilaisia Euroopan tilastojen tiedonkeruita, jotka nyt ovat eri asetusten piirissä.</w:t>
      </w:r>
    </w:p>
    <w:p>
      <w:pPr>
        <w:pBdr>
          <w:top w:val="nil"/>
          <w:left w:val="nil"/>
          <w:bottom w:val="nil"/>
          <w:right w:val="nil"/>
          <w:between w:val="nil"/>
          <w:bar w:val="nil"/>
        </w:pBdr>
        <w:rPr>
          <w:noProof/>
        </w:rPr>
      </w:pPr>
      <w:r>
        <w:rPr>
          <w:noProof/>
        </w:rPr>
        <w:t xml:space="preserve">Malliskenaarioiden pohjalta lasketut yksityiskohtaiset tiedot kustannusten pienentymisestä tiedontuottajien ja </w:t>
      </w:r>
      <w:r>
        <w:rPr>
          <w:noProof/>
        </w:rPr>
        <w:noBreakHyphen/>
        <w:t xml:space="preserve">toimittajien osalta ovat saatavilla vaikutustenarvioinnissa (kohta 5 ”Impact Analysis” ja liite 4 ”Impact analysis methodology”). </w:t>
      </w:r>
    </w:p>
    <w:p>
      <w:pPr>
        <w:pBdr>
          <w:top w:val="nil"/>
          <w:left w:val="nil"/>
          <w:bottom w:val="nil"/>
          <w:right w:val="nil"/>
          <w:between w:val="nil"/>
          <w:bar w:val="nil"/>
        </w:pBdr>
        <w:rPr>
          <w:noProof/>
        </w:rPr>
      </w:pPr>
      <w:r>
        <w:rPr>
          <w:noProof/>
        </w:rPr>
        <w:t xml:space="preserve">Ehdotuksella pyritään keventämään mikroyrityksiin ja pk-yrityksiin kohdistuvaa rasitetta nostamalla kyselytutkimusten kynnysarvoja. </w:t>
      </w:r>
    </w:p>
    <w:p>
      <w:pPr>
        <w:pBdr>
          <w:top w:val="nil"/>
          <w:left w:val="nil"/>
          <w:bottom w:val="nil"/>
          <w:right w:val="nil"/>
          <w:between w:val="nil"/>
          <w:bar w:val="nil"/>
        </w:pBdr>
        <w:rPr>
          <w:noProof/>
        </w:rPr>
      </w:pPr>
      <w:r>
        <w:rPr>
          <w:noProof/>
        </w:rPr>
        <w:t>Ehdotuksella edistetään tukena olevan tieto- ja viestintätekniikan yhteentoimivuutta ja uudelleenkäytettävyyttä seuraavilla tavoilla:</w:t>
      </w:r>
    </w:p>
    <w:p>
      <w:pPr>
        <w:pStyle w:val="Bullet0"/>
        <w:rPr>
          <w:noProof/>
        </w:rPr>
      </w:pPr>
      <w:r>
        <w:rPr>
          <w:noProof/>
        </w:rPr>
        <w:t>Tietokokonaisuuksiin sovellettavat samat tekniset eritelmät. Eritelmät sisältävät muuttujien määrän ja kuvauksen, tilastoluokitukset, tilastollisen perusjoukon ominaisuustiedot, havaintoyksiköt ja vastaajat, viitekaudet ja viitepäivät sekä vaatimukset, jotka koskevat maantieteellistä kattavuutta, otannan ominaisuuksia, kenttätyön teknisiä seikkoja, tietojen toimitustyötä ja puuttuvien tietojen korvaamista, painotusta, estimointia ja varianssin estimointia.</w:t>
      </w:r>
    </w:p>
    <w:p>
      <w:pPr>
        <w:pStyle w:val="Bullet0"/>
        <w:rPr>
          <w:noProof/>
        </w:rPr>
      </w:pPr>
      <w:r>
        <w:rPr>
          <w:noProof/>
        </w:rPr>
        <w:t>Samat Eurostatin ja jäsenvaltioiden välisen tietojen toimittamisen, vaihdon ja jakamisen standardit. Nämä standardit kattavat käsitteet, prosessit ja tuotteet, myös tiedot ja metatiedot.</w:t>
      </w:r>
    </w:p>
    <w:p>
      <w:pPr>
        <w:pBdr>
          <w:top w:val="nil"/>
          <w:left w:val="nil"/>
          <w:bottom w:val="nil"/>
          <w:right w:val="nil"/>
          <w:between w:val="nil"/>
          <w:bar w:val="nil"/>
        </w:pBdr>
        <w:rPr>
          <w:rFonts w:eastAsia="Arial Unicode MS"/>
          <w:noProof/>
        </w:rPr>
      </w:pPr>
      <w:r>
        <w:rPr>
          <w:noProof/>
        </w:rPr>
        <w:t>Kun tietojen laatu täyttää asetuksen (EY) N:o 223/2009 12 artiklan 1 kohdassa esitetyt laatukriteerit, jäsenvaltioiden olisi voitava toimittaa useista lähteistä peräisin olevia tietoja, mukaan luettuina innovatiiviset menetelmät tai toimintatavat, kunhan ne varmistavat, että tuotettavat tiedot ovat vertailukelpoisia ja täyttävät asetuksessa vahvistetut erityisvaatimukset.</w:t>
      </w:r>
    </w:p>
    <w:p>
      <w:pPr>
        <w:pStyle w:val="ManualHeading2"/>
        <w:rPr>
          <w:rFonts w:eastAsia="Arial Unicode MS"/>
          <w:noProof/>
          <w:u w:color="000000"/>
          <w:bdr w:val="nil"/>
        </w:rPr>
      </w:pPr>
      <w:bookmarkStart w:id="16" w:name="_Toc456620192"/>
      <w:r>
        <w:rPr>
          <w:noProof/>
        </w:rPr>
        <w:t>•</w:t>
      </w:r>
      <w:r>
        <w:rPr>
          <w:noProof/>
        </w:rPr>
        <w:tab/>
        <w:t>Perusoikeudet</w:t>
      </w:r>
      <w:bookmarkEnd w:id="16"/>
    </w:p>
    <w:p>
      <w:pPr>
        <w:pBdr>
          <w:top w:val="nil"/>
          <w:left w:val="nil"/>
          <w:bottom w:val="nil"/>
          <w:right w:val="nil"/>
          <w:between w:val="nil"/>
          <w:bar w:val="nil"/>
        </w:pBdr>
        <w:rPr>
          <w:rFonts w:eastAsia="Arial Unicode MS"/>
          <w:noProof/>
        </w:rPr>
      </w:pPr>
      <w:r>
        <w:rPr>
          <w:noProof/>
        </w:rPr>
        <w:t>Ehdotuksella ei ole vaikutuksia perusoikeuksien suojeluun. Tämän ehdotuksen tärkeimmät näkökohdat ovat sen mahdolliset vaikutukset tietosuojaan (jota koskevista oikeuksista säädetään Euroopan unionin perusoikeuskirjan 8 artiklassa, Euroopan unionin toiminnasta tehdyn sopimuksen 16 artiklassa ja johdetussa oikeudessa</w:t>
      </w:r>
      <w:r>
        <w:rPr>
          <w:rStyle w:val="FootnoteReference"/>
          <w:noProof/>
        </w:rPr>
        <w:footnoteReference w:id="6"/>
      </w:r>
      <w:r>
        <w:rPr>
          <w:noProof/>
        </w:rPr>
        <w:t>). Valituissa toimintavaihtoehdoissa ei kuitenkaan esitetä tietosuojasäännösten muuttamista. Tilastoja koskevassa kansallisessa ja unionin lainsäädännössä säädetään, että kansalliset tilastolaitokset takaavat tietosuojan. Käytössä on järeät toimintalinjat, joilla esimerkiksi turvataan vastaajien luottamuksellisuus, poistetaan tietojen tunnistettavuus ja suojataan kyselyvastaukset.</w:t>
      </w:r>
    </w:p>
    <w:p>
      <w:pPr>
        <w:pStyle w:val="ManualHeading1"/>
        <w:rPr>
          <w:noProof/>
        </w:rPr>
      </w:pPr>
      <w:bookmarkStart w:id="17" w:name="_Toc456620193"/>
      <w:r>
        <w:rPr>
          <w:noProof/>
        </w:rPr>
        <w:t>4.</w:t>
      </w:r>
      <w:r>
        <w:rPr>
          <w:noProof/>
        </w:rPr>
        <w:tab/>
        <w:t>TALOUSARVIOVAIKUTUKSET</w:t>
      </w:r>
      <w:bookmarkEnd w:id="17"/>
    </w:p>
    <w:p>
      <w:pPr>
        <w:pBdr>
          <w:top w:val="nil"/>
          <w:left w:val="nil"/>
          <w:bottom w:val="nil"/>
          <w:right w:val="nil"/>
          <w:between w:val="nil"/>
          <w:bar w:val="nil"/>
        </w:pBdr>
        <w:rPr>
          <w:noProof/>
        </w:rPr>
      </w:pPr>
      <w:r>
        <w:rPr>
          <w:noProof/>
        </w:rPr>
        <w:t>Ehdotuksella on rahoitusvaikutuksia vuosina 2019 ja 2020 (mahdolliset rahoitusvaikutukset ulottuvat vuoteen 2028 seuraavasta monivuotisesta rahoituskehyksestä riippuen).</w:t>
      </w:r>
    </w:p>
    <w:p>
      <w:pPr>
        <w:pBdr>
          <w:top w:val="nil"/>
          <w:left w:val="nil"/>
          <w:bottom w:val="nil"/>
          <w:right w:val="nil"/>
          <w:between w:val="nil"/>
          <w:bar w:val="nil"/>
        </w:pBdr>
        <w:rPr>
          <w:rFonts w:eastAsia="Arial Unicode MS"/>
          <w:noProof/>
        </w:rPr>
      </w:pPr>
      <w:r>
        <w:rPr>
          <w:noProof/>
        </w:rPr>
        <w:t>Nykyisen monivuotisen rahoituskehyksen aikana määrärahojen kokonaismääräksi arvioidaan 40 miljoonaa euroa. Yksityiskohtaiset talousarviovaikutukset esitetään säädökseen liittyvässä rahoitusselvityksessä.</w:t>
      </w:r>
    </w:p>
    <w:p>
      <w:pPr>
        <w:pStyle w:val="ManualHeading1"/>
        <w:rPr>
          <w:noProof/>
        </w:rPr>
      </w:pPr>
      <w:bookmarkStart w:id="18" w:name="_Toc456620194"/>
      <w:r>
        <w:rPr>
          <w:noProof/>
        </w:rPr>
        <w:t>5.</w:t>
      </w:r>
      <w:r>
        <w:rPr>
          <w:noProof/>
        </w:rPr>
        <w:tab/>
        <w:t>LISÄTIEDOT</w:t>
      </w:r>
      <w:bookmarkEnd w:id="18"/>
    </w:p>
    <w:p>
      <w:pPr>
        <w:pStyle w:val="ManualHeading2"/>
        <w:rPr>
          <w:rFonts w:eastAsia="Arial Unicode MS"/>
          <w:noProof/>
          <w:u w:color="000000"/>
          <w:bdr w:val="nil"/>
        </w:rPr>
      </w:pPr>
      <w:bookmarkStart w:id="19" w:name="_Toc456620195"/>
      <w:r>
        <w:rPr>
          <w:noProof/>
        </w:rPr>
        <w:t>•</w:t>
      </w:r>
      <w:r>
        <w:rPr>
          <w:noProof/>
        </w:rPr>
        <w:tab/>
        <w:t>Toteuttamissuunnitelmat, seuranta, arviointi ja raportointijärjestelyt</w:t>
      </w:r>
      <w:bookmarkEnd w:id="19"/>
    </w:p>
    <w:p>
      <w:pPr>
        <w:pBdr>
          <w:top w:val="nil"/>
          <w:left w:val="nil"/>
          <w:bottom w:val="nil"/>
          <w:right w:val="nil"/>
          <w:between w:val="nil"/>
          <w:bar w:val="nil"/>
        </w:pBdr>
        <w:rPr>
          <w:noProof/>
        </w:rPr>
      </w:pPr>
      <w:r>
        <w:rPr>
          <w:noProof/>
        </w:rPr>
        <w:t>Euroopan parlamentin ja neuvoston odotetaan hyväksyvän asetusehdotuksen vuonna 2017, ja pian tämän jälkeen komissio voisi antaa täytäntöönpanotoimenpiteet.</w:t>
      </w:r>
    </w:p>
    <w:p>
      <w:pPr>
        <w:pBdr>
          <w:top w:val="nil"/>
          <w:left w:val="nil"/>
          <w:bottom w:val="nil"/>
          <w:right w:val="nil"/>
          <w:between w:val="nil"/>
          <w:bar w:val="nil"/>
        </w:pBdr>
        <w:rPr>
          <w:noProof/>
        </w:rPr>
      </w:pPr>
      <w:r>
        <w:rPr>
          <w:noProof/>
        </w:rPr>
        <w:t xml:space="preserve">Jäsenvaltioiden odotetaan käynnistävän uuden asetuksen mukaiset tietojen toimitukset komissiolle vuonna 2022. </w:t>
      </w:r>
    </w:p>
    <w:p>
      <w:pPr>
        <w:pBdr>
          <w:top w:val="nil"/>
          <w:left w:val="nil"/>
          <w:bottom w:val="nil"/>
          <w:right w:val="nil"/>
          <w:between w:val="nil"/>
          <w:bar w:val="nil"/>
        </w:pBdr>
        <w:rPr>
          <w:rFonts w:eastAsia="Arial Unicode MS"/>
          <w:noProof/>
        </w:rPr>
      </w:pPr>
      <w:r>
        <w:rPr>
          <w:noProof/>
        </w:rPr>
        <w:t>Ehdotettu säädös on osa Euroopan maataloustilastojärjestelmää, ja siitä tehdään täydellinen arviointi muun muassa sen selvittämiseksi, kuinka toimiva ja tehokas se on ollut tavoitteiden saavuttamisessa ja tarvitaanko uusia toimenpiteitä tai muutoksia.</w:t>
      </w:r>
    </w:p>
    <w:p>
      <w:pPr>
        <w:pStyle w:val="ListBullet1"/>
        <w:rPr>
          <w:rFonts w:eastAsia="Arial Unicode MS"/>
          <w:b/>
          <w:noProof/>
          <w:u w:color="000000"/>
          <w:bdr w:val="nil"/>
        </w:rPr>
      </w:pPr>
      <w:r>
        <w:rPr>
          <w:b/>
          <w:noProof/>
          <w:u w:color="000000"/>
          <w:bdr w:val="nil"/>
        </w:rPr>
        <w:t>Säännösten noudattamista koskeva vuotuinen seuranta tuotettujen tilastojen osalta</w:t>
      </w:r>
    </w:p>
    <w:p>
      <w:pPr>
        <w:autoSpaceDE w:val="0"/>
        <w:autoSpaceDN w:val="0"/>
        <w:adjustRightInd w:val="0"/>
        <w:spacing w:after="0"/>
        <w:rPr>
          <w:noProof/>
          <w:szCs w:val="24"/>
        </w:rPr>
      </w:pPr>
      <w:r>
        <w:rPr>
          <w:noProof/>
        </w:rPr>
        <w:t xml:space="preserve">Eurostat arvioi säännösten noudattamista vuosittain. Arvioinneissa tarkastellaan tietojen saatavuutta, laatua ja oikea-aikaisuutta sekä seurantatoimia säännöstenvastaisuuksien tapauksessa. </w:t>
      </w:r>
    </w:p>
    <w:p>
      <w:pPr>
        <w:autoSpaceDE w:val="0"/>
        <w:autoSpaceDN w:val="0"/>
        <w:adjustRightInd w:val="0"/>
        <w:spacing w:after="0"/>
        <w:rPr>
          <w:noProof/>
          <w:szCs w:val="24"/>
        </w:rPr>
      </w:pPr>
      <w:r>
        <w:rPr>
          <w:noProof/>
        </w:rPr>
        <w:t xml:space="preserve">Unionin lainsäädännön vaatimusten mukaisesti jäsenvaltioiden edellytetään toimittavan komissiolle maataloustilastoja koskevat asiaankuuluvat luvut. Näihin lukuihin sovelletaan tiukkoja toimitusmääräaikoja, joita on noudatettava unionin tilastojen hyvän hallinnan, jakelun ja hyödyllisyyden vuoksi, koska jos tietoja ei ole tai ne ovat puutteellisia, tietojen saatavuus kärsii (eli ei ole mahdollista laskea unionin aggregaatteja ja julkaista tietoja suunniteltujen aikataulujen mukaisesti). </w:t>
      </w:r>
    </w:p>
    <w:p>
      <w:pPr>
        <w:autoSpaceDE w:val="0"/>
        <w:autoSpaceDN w:val="0"/>
        <w:adjustRightInd w:val="0"/>
        <w:spacing w:after="0"/>
        <w:rPr>
          <w:i/>
          <w:noProof/>
          <w:szCs w:val="24"/>
        </w:rPr>
      </w:pPr>
      <w:r>
        <w:rPr>
          <w:noProof/>
        </w:rPr>
        <w:t xml:space="preserve">Asetusta (EY) N:o 223/2009, joka on Euroopan tilastojärjestelmän toiminnan ja Euroopan tilastojen tuottamista koskevien kaikkien alakohtaisten säädösten oikeudellinen peruskehys, muutettiin 29. huhtikuuta 2015. </w:t>
      </w:r>
    </w:p>
    <w:p>
      <w:pPr>
        <w:spacing w:after="160"/>
        <w:rPr>
          <w:noProof/>
          <w:szCs w:val="24"/>
        </w:rPr>
      </w:pPr>
      <w:r>
        <w:rPr>
          <w:noProof/>
        </w:rPr>
        <w:t xml:space="preserve">Tietojen </w:t>
      </w:r>
      <w:r>
        <w:rPr>
          <w:i/>
          <w:noProof/>
        </w:rPr>
        <w:t>ajantasaisuus</w:t>
      </w:r>
      <w:r>
        <w:rPr>
          <w:noProof/>
        </w:rPr>
        <w:t xml:space="preserve">, </w:t>
      </w:r>
      <w:r>
        <w:rPr>
          <w:i/>
          <w:noProof/>
        </w:rPr>
        <w:t>oikea-aikaisuus</w:t>
      </w:r>
      <w:r>
        <w:rPr>
          <w:noProof/>
        </w:rPr>
        <w:t xml:space="preserve"> ja </w:t>
      </w:r>
      <w:r>
        <w:rPr>
          <w:i/>
          <w:noProof/>
        </w:rPr>
        <w:t>täydellisyys</w:t>
      </w:r>
      <w:r>
        <w:rPr>
          <w:noProof/>
        </w:rPr>
        <w:t xml:space="preserve"> ovat jo tärkeitä tekijöitä vuotuisissa säännönmukaisuuden arvioinneissa, jotta varmistetaan maataloustilastojen jakelu ajallaan, mutta niihin ja muihin laatutekijöihin on kiinnitettävä lisähuomiota luottamuksen lisäämiseksi Euroopan tilastojärjestelmän tuottamiin tilastoihin.</w:t>
      </w:r>
    </w:p>
    <w:p>
      <w:pPr>
        <w:pStyle w:val="Bullet0"/>
        <w:rPr>
          <w:b/>
          <w:noProof/>
        </w:rPr>
      </w:pPr>
      <w:r>
        <w:rPr>
          <w:b/>
          <w:noProof/>
        </w:rPr>
        <w:t>Euroopan maataloustilastojärjestelmän jatkuva parantaminen: uusien tietotarpeiden ja -lähteiden yksilöinti, johdonmukaisuuden lisääminen ja rasitteen keventäminen</w:t>
      </w:r>
    </w:p>
    <w:p>
      <w:pPr>
        <w:autoSpaceDE w:val="0"/>
        <w:autoSpaceDN w:val="0"/>
        <w:adjustRightInd w:val="0"/>
        <w:spacing w:after="0"/>
        <w:rPr>
          <w:noProof/>
          <w:szCs w:val="24"/>
        </w:rPr>
      </w:pPr>
      <w:r>
        <w:rPr>
          <w:noProof/>
        </w:rPr>
        <w:t>Eurostat on käymässä vuotuisia kuulemisia komission muiden yksikköjen kanssa. Tärkeä osa näissä kuulemisissa on tietojenvaihto eri työohjelmista. Ne tarjoavat virallisen foorumin, jolla voidaan tuoda esiin uusia tilastoja koskevia uusia tarpeita ja tarkastella käytettävissä olevien tilastojen hyödyllisyyttä.</w:t>
      </w:r>
    </w:p>
    <w:p>
      <w:pPr>
        <w:autoSpaceDE w:val="0"/>
        <w:autoSpaceDN w:val="0"/>
        <w:adjustRightInd w:val="0"/>
        <w:spacing w:after="0"/>
        <w:rPr>
          <w:noProof/>
          <w:szCs w:val="24"/>
        </w:rPr>
      </w:pPr>
      <w:r>
        <w:rPr>
          <w:noProof/>
        </w:rPr>
        <w:t>Muuta yhteistyötä komission muiden yksikköjen, kansallisten tilastolaitosten ja muiden kansallisten viranomaisten kanssa tehdään hierarkian eri tasoilla säännöllisissä työryhmäkokouksissa ja seminaareissa, johtajien ryhmän kokouksissa, Euroopan tilastojärjestelmää käsittelevän komitean kokouksissa ja säännöllisen kahdenvälisen tiedonvaihdon kautta. Erityishuomiota kiinnitetään hallinnollisten tietojen ja muiden unionin lainsäädännön nojalla ylläpidettyjen tietolähteiden kartoittamiseen ja sen arviointiin, soveltuvatko ne tilastojen tuottamiseen. Tämän perusteella voidaan laatia sopimuksia niiden vakaudesta, saatavuudesta ja mahdollisesta mukauttamisesta, jotta ne sopisivat paremmin tilastovaatimuksiin. Lisäksi tehdään säännöllisiä kyselytutkimuksia ja analyysejä, joilla kartoitetaan mahdollisuuksia Euroopan maataloustilastojen parannuksiin ja rasitteen keventämiseen esimerkiksi poistamalla muuttujia, joiden kustannushyötysuhde on heikko. Uudet joustavammat oikeudelliset puitteet mahdollistavat mukautukset.</w:t>
      </w:r>
    </w:p>
    <w:p>
      <w:pPr>
        <w:spacing w:after="160"/>
        <w:rPr>
          <w:noProof/>
          <w:szCs w:val="24"/>
        </w:rPr>
      </w:pPr>
      <w:r>
        <w:rPr>
          <w:noProof/>
        </w:rPr>
        <w:t xml:space="preserve">Näitä mukautuksia ja oikeudellisen puitteiden yleistä toimivuutta seurataan ja arvioidaan erityisesti aiemmin lueteltuihin strategisiin tavoitteisiin nähden. </w:t>
      </w:r>
    </w:p>
    <w:p>
      <w:pPr>
        <w:pStyle w:val="Bullet2"/>
        <w:numPr>
          <w:ilvl w:val="0"/>
          <w:numId w:val="38"/>
        </w:numPr>
        <w:rPr>
          <w:noProof/>
        </w:rPr>
      </w:pPr>
      <w:r>
        <w:rPr>
          <w:noProof/>
        </w:rPr>
        <w:t>Joka kolmas vuosi laadittavat seurantaraportit</w:t>
      </w:r>
    </w:p>
    <w:p>
      <w:pPr>
        <w:rPr>
          <w:noProof/>
          <w:szCs w:val="24"/>
        </w:rPr>
      </w:pPr>
      <w:r>
        <w:rPr>
          <w:noProof/>
        </w:rPr>
        <w:t xml:space="preserve">Jotta voidaan seurata Euroopan uudistetun maataloustilastojärjestelmän toimivuutta ja varmistaa yksinkertaistamiseen ja rasitteen keventämiseen liittyvien REFIT-tavoitteiden täyttyminen, järjestelmän toimivuudesta raportoidaan säännöllisesti kolmen vuoden välein. </w:t>
      </w:r>
    </w:p>
    <w:p>
      <w:pPr>
        <w:pStyle w:val="Bullet2"/>
        <w:rPr>
          <w:noProof/>
        </w:rPr>
      </w:pPr>
      <w:r>
        <w:rPr>
          <w:noProof/>
        </w:rPr>
        <w:t>Arviointi</w:t>
      </w:r>
    </w:p>
    <w:p>
      <w:pPr>
        <w:pBdr>
          <w:top w:val="nil"/>
          <w:left w:val="nil"/>
          <w:bottom w:val="nil"/>
          <w:right w:val="nil"/>
          <w:between w:val="nil"/>
          <w:bar w:val="nil"/>
        </w:pBdr>
        <w:rPr>
          <w:rFonts w:eastAsia="Arial Unicode MS"/>
          <w:noProof/>
        </w:rPr>
      </w:pPr>
      <w:r>
        <w:rPr>
          <w:noProof/>
        </w:rPr>
        <w:t>Toisen kolmen vuoden välein laadittavan seurantaraportin korvaa uudistetun maataloustilastojärjestelmän takautuva arviointi, joka tehdään komission arviointisuuntaviivojen mukaisesti. Myös se voi toimia tarvittaessa perustana lainsäädännön lisätarkistuksille.</w:t>
      </w:r>
    </w:p>
    <w:p>
      <w:pPr>
        <w:pStyle w:val="ManualHeading2"/>
        <w:rPr>
          <w:rFonts w:eastAsia="Arial Unicode MS"/>
          <w:noProof/>
          <w:u w:color="000000"/>
          <w:bdr w:val="nil"/>
        </w:rPr>
      </w:pPr>
      <w:bookmarkStart w:id="20" w:name="_Toc456620196"/>
      <w:r>
        <w:rPr>
          <w:noProof/>
        </w:rPr>
        <w:t>•</w:t>
      </w:r>
      <w:r>
        <w:rPr>
          <w:noProof/>
        </w:rPr>
        <w:tab/>
        <w:t>Ehdotukseen sisältyvien säännösten yksityiskohtaiset selitykset</w:t>
      </w:r>
      <w:bookmarkEnd w:id="20"/>
    </w:p>
    <w:p>
      <w:pPr>
        <w:pBdr>
          <w:top w:val="nil"/>
          <w:left w:val="nil"/>
          <w:bottom w:val="nil"/>
          <w:right w:val="nil"/>
          <w:between w:val="nil"/>
          <w:bar w:val="nil"/>
        </w:pBdr>
        <w:rPr>
          <w:noProof/>
        </w:rPr>
      </w:pPr>
      <w:r>
        <w:rPr>
          <w:noProof/>
        </w:rPr>
        <w:t>Ehdotettu asetus koostuu 19 artiklasta ja viidestä liitteestä.</w:t>
      </w:r>
    </w:p>
    <w:p>
      <w:pPr>
        <w:rPr>
          <w:noProof/>
        </w:rPr>
      </w:pPr>
      <w:r>
        <w:rPr>
          <w:noProof/>
        </w:rPr>
        <w:t>Kuten 1 artiklassa todetaan, asetuksen tarkoituksena on laatia puitteet Euroopan maataloustilastoille tilatasolla ja säätää rakenteellisten tietojen integroinnista muihin tietoihin, kuten tuotantomenetelmiä, maaseudun kehittämistoimia ja maatalouden ympäristönäkökohtia koskeviin tietoihin. Keskeiset määritelmät annetaan 2 artiklassa. Soveltamisala ja kattavuus esitetään 3 artiklassa. Ehdotuksella mahdollistetaan uusien tiedonkeruumuotojen ja vaihtoehtoisten tietolähteiden käyttö ja edistetään sitä, mukaan luettuna hallinnollinen tieto sekä muista lähteistä saatu tieto (4 artikla).</w:t>
      </w:r>
    </w:p>
    <w:p>
      <w:pPr>
        <w:rPr>
          <w:noProof/>
        </w:rPr>
      </w:pPr>
      <w:r>
        <w:rPr>
          <w:noProof/>
        </w:rPr>
        <w:t xml:space="preserve">Asetuksen piiriin kuuluvia tilastoja käsitellään 5, 6 ja 7 artiklassa erityisten viitevuosien ja -kausien osalta (10 artikla). Ehdotetaan, että komissiolle siirretään valta antaa delegoituja säädöksiä liitteessä III lueteltujen keskeisten ominaisuustietojen muuttamiseksi (5 artikla) – tämä koskee vain niiden linjaamista hallinnollisten rekistereiden mukaisiksi – ja liitteessä IV lueteltujen moduulien yksityiskohtaisten aiheiden muuttamiseksi (8 artikla), jotta voidaan mukauttaa kerättyjä tietoja tulevien käyttäjien tarpeisiin ja vastata käyttäjien erityisvaatimuksiin kertaluonteisissa kyselytutkimuksissa (9 artikla). </w:t>
      </w:r>
    </w:p>
    <w:p>
      <w:pPr>
        <w:rPr>
          <w:noProof/>
        </w:rPr>
      </w:pPr>
      <w:r>
        <w:rPr>
          <w:noProof/>
        </w:rPr>
        <w:t xml:space="preserve">Komissiolle olisi myös siirrettävä valta antaa täytäntöönpanotoimenpiteitä, jotka koskevat tietokokonaisuuksia varten vaadittuja teknisiä eritelmiä (8 artikla) ja laaturaportointia (11 artikla). Laaturaportointiin liittyvät vaatimukset ovat asetuksen (EY) N:o 223/2009 mukaisia. Siinä säädetään viitekehyksestä ja edellytetään, että jäsenvaltiot noudattavat kyseisen asetuksen tilastoperiaatteita ja laatukriteerejä. </w:t>
      </w:r>
    </w:p>
    <w:p>
      <w:pPr>
        <w:rPr>
          <w:noProof/>
        </w:rPr>
      </w:pPr>
      <w:r>
        <w:rPr>
          <w:noProof/>
        </w:rPr>
        <w:t xml:space="preserve">Tiedot on toimitettava ennalta määritellyissä määräajoissa (12 artikla). </w:t>
      </w:r>
    </w:p>
    <w:p>
      <w:pPr>
        <w:rPr>
          <w:noProof/>
        </w:rPr>
      </w:pPr>
      <w:r>
        <w:rPr>
          <w:noProof/>
        </w:rPr>
        <w:t xml:space="preserve">Asetusluonnokseen sisältyy säännöksiä jäsenvaltioille annettavasta rahoitustuesta (13 ja 14 artikla) seuraavia varten: </w:t>
      </w:r>
    </w:p>
    <w:p>
      <w:pPr>
        <w:pStyle w:val="Bullet2"/>
        <w:rPr>
          <w:noProof/>
        </w:rPr>
      </w:pPr>
      <w:r>
        <w:rPr>
          <w:noProof/>
        </w:rPr>
        <w:t>tietovaatimusten noudattaminen ja sellaisten menetelmien kehittäminen, joilla pyritään korkeampaan laatuun tai alempiin kustannuksiin tai molempiin, sekä integroitujen maatilatilastojen keräämiseen ja tuottamiseen liittyvä hallinnollinen rasite;</w:t>
      </w:r>
    </w:p>
    <w:p>
      <w:pPr>
        <w:pStyle w:val="Bullet2"/>
        <w:rPr>
          <w:noProof/>
        </w:rPr>
      </w:pPr>
      <w:r>
        <w:rPr>
          <w:noProof/>
        </w:rPr>
        <w:t>tiedonkeruiden kustannukset;</w:t>
      </w:r>
    </w:p>
    <w:p>
      <w:pPr>
        <w:pStyle w:val="Bullet2"/>
        <w:rPr>
          <w:noProof/>
        </w:rPr>
      </w:pPr>
      <w:r>
        <w:rPr>
          <w:noProof/>
        </w:rPr>
        <w:t>kertaluonteisten tietojen keruu.</w:t>
      </w:r>
    </w:p>
    <w:p>
      <w:pPr>
        <w:rPr>
          <w:noProof/>
        </w:rPr>
      </w:pPr>
      <w:r>
        <w:rPr>
          <w:noProof/>
        </w:rPr>
        <w:t>Lisäksi asetukseen sisältyvät unionin taloudellisten etujen suojaamista (15 artikla) ja siirretyn säädösvallan käyttöä (16 artikla) koskevat vaaditut säännökset.</w:t>
      </w:r>
    </w:p>
    <w:p>
      <w:pPr>
        <w:rPr>
          <w:noProof/>
        </w:rPr>
      </w:pPr>
      <w:r>
        <w:rPr>
          <w:noProof/>
        </w:rPr>
        <w:t>Loppuartikloissa viitataan komiteamenettelyyn (17 artikla) ja kumotaan kaksi voimassa olevaa asetusta, jotka korvataan kokonaisuudessaan tällä asetuksella (18 artikla).</w:t>
      </w:r>
    </w:p>
    <w:p>
      <w:pPr>
        <w:rPr>
          <w:noProof/>
          <w:szCs w:val="24"/>
        </w:rPr>
      </w:pPr>
      <w:r>
        <w:rPr>
          <w:noProof/>
        </w:rPr>
        <w:t>Viidessä liitteessä esitetään yksityiskohtaiset tiedot kotieläinyksikkökertoimista, aineellisten kynnysarvojen luettelo, olennaisia rakennetietoja koskevien ominaisuustietojen luettelo, moduuleissa katettavat ominaisuustiedot sekä tarkkuuteen liittyvät vaatimukset.</w:t>
      </w:r>
    </w:p>
    <w:p>
      <w:pPr>
        <w:rPr>
          <w:noProof/>
        </w:rPr>
      </w:pPr>
    </w:p>
    <w:p>
      <w:pPr>
        <w:jc w:val="center"/>
        <w:rPr>
          <w:noProof/>
          <w:color w:val="FF0000"/>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2016/0389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integroiduista maatilatilastoista</w:t>
      </w:r>
    </w:p>
    <w:p>
      <w:pPr>
        <w:pStyle w:val="Sous-titreobjet"/>
        <w:rPr>
          <w:noProof/>
        </w:rPr>
      </w:pPr>
      <w:r>
        <w:rPr>
          <w:noProof/>
        </w:rPr>
        <w:t>sekä asetusten (EY) N:o 1166/2008 ja (EU) N:o 1337/2011 kumoamisesta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338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asetuksessa (EY) N:o 1166/2008</w:t>
      </w:r>
      <w:r>
        <w:rPr>
          <w:rStyle w:val="FootnoteReference"/>
          <w:noProof/>
        </w:rPr>
        <w:footnoteReference w:id="7"/>
      </w:r>
      <w:r>
        <w:rPr>
          <w:noProof/>
        </w:rPr>
        <w:t xml:space="preserve"> vahvistetaan puitteet maatilojen rakennetta koskeville Euroopan tilastoille vuoteen 2016 asti. Asetus (EY) N:o 1166/2008 olisi näin ollen kumottava.</w:t>
      </w:r>
    </w:p>
    <w:p>
      <w:pPr>
        <w:pStyle w:val="ManualConsidrant"/>
        <w:rPr>
          <w:noProof/>
        </w:rPr>
      </w:pPr>
      <w:r>
        <w:t>(2)</w:t>
      </w:r>
      <w:r>
        <w:tab/>
      </w:r>
      <w:r>
        <w:rPr>
          <w:noProof/>
        </w:rPr>
        <w:t xml:space="preserve">Maatilojen rakennetta koskevien kyselytutkimusten ohjelmaa, jota on toteutettu unionissa vuodesta 1966 lähtien, olisi jatkettava, jotta voidaan tarkastella maatilojen rakenteen muutossuuntauksia unionin tasolla ja tarjota tilastollinen tietopohja, jota tarvitaan alaan liittyvän politiikan, kuten yhteisen maatalouspolitiikan, ympäristöpolitiikan sekä ilmastonmuutokseen sopeutumiseen ja sen hillitsemiseen liittyvän politiikan, suunnittelua, täytäntöönpanoa, seurantaa ja arviointia varten. </w:t>
      </w:r>
    </w:p>
    <w:p>
      <w:pPr>
        <w:pStyle w:val="ManualConsidrant"/>
        <w:rPr>
          <w:noProof/>
          <w:color w:val="000000" w:themeColor="text1"/>
        </w:rPr>
      </w:pPr>
      <w:r>
        <w:t>(3)</w:t>
      </w:r>
      <w:r>
        <w:tab/>
      </w:r>
      <w:r>
        <w:rPr>
          <w:noProof/>
        </w:rPr>
        <w:t>Maataloustilastojen kansainvälisen arvioinnin tuloksena perustettiin YK:n elintarvike- ja maatalousjärjestön FAOn maatalous- ja maaseututilastojen parantamiseen tähtäävä globaali strategia, jonka YK:n tilastotoimikunta vahvisti vuonna 2010.</w:t>
      </w:r>
      <w:r>
        <w:rPr>
          <w:noProof/>
          <w:color w:val="000000" w:themeColor="text1"/>
        </w:rPr>
        <w:t xml:space="preserve"> Euroopan maataloustilasoissa olisi tapauksen mukaan noudatettava tämän globaalin strategian samoin kuin maatalouslaskentaa koskevaa FAOn ohjelman (FAO World Programme for the Census of Agriculture 2020) suosituksia. </w:t>
      </w:r>
    </w:p>
    <w:p>
      <w:pPr>
        <w:pStyle w:val="ManualConsidrant"/>
        <w:rPr>
          <w:noProof/>
        </w:rPr>
      </w:pPr>
      <w:r>
        <w:t>(4)</w:t>
      </w:r>
      <w:r>
        <w:tab/>
      </w:r>
      <w:r>
        <w:rPr>
          <w:noProof/>
        </w:rPr>
        <w:t>Seuraavaa vuosikymmentä varten olisi perustettava maatiloja koskeva moneen tarkoitukseen soveltuva kyselytutkimusohjelma, jotta saadaan puitteet yhdenmukaistettuja, vertailukelpoisia ja johdonmukaisia tilastoja varten.</w:t>
      </w:r>
    </w:p>
    <w:p>
      <w:pPr>
        <w:pStyle w:val="ManualConsidrant"/>
        <w:rPr>
          <w:noProof/>
        </w:rPr>
      </w:pPr>
      <w:r>
        <w:t>(5)</w:t>
      </w:r>
      <w:r>
        <w:tab/>
      </w:r>
      <w:r>
        <w:rPr>
          <w:noProof/>
        </w:rPr>
        <w:t>Euroopan tilastojärjestelmää käsittelevän komitean marraskuussa 2015 vahvistamassa maataloustilastostrategiassa vuodesta 2020 eteenpäin esitetään, että annetaan kaksi puiteasetusta, joissa katetaan kaikki maataloustilastojen näkökohdat, maatalouden tilinpitoa lukuun ottamatta. Tämä integroituja maatilatilastoja käsittelevä asetus on toinen näistä puiteasetuksista.</w:t>
      </w:r>
    </w:p>
    <w:p>
      <w:pPr>
        <w:pStyle w:val="ManualConsidrant"/>
        <w:rPr>
          <w:noProof/>
        </w:rPr>
      </w:pPr>
      <w:r>
        <w:t>(6)</w:t>
      </w:r>
      <w:r>
        <w:tab/>
      </w:r>
      <w:r>
        <w:rPr>
          <w:noProof/>
        </w:rPr>
        <w:t>Maatilojen rakennetta koskevien tietojen yhdenmukaistamisen ja vertailukelpoisuuden vuoksi ja yhteisen markkinajärjestelyn tämänhetkisten tarpeiden täyttämiseksi, etenkin hedelmä- ja viinialalla, Euroopan parlamentin ja neuvoston asetus (EU) N:o 1337/2011</w:t>
      </w:r>
      <w:r>
        <w:rPr>
          <w:rStyle w:val="FootnoteReference"/>
          <w:noProof/>
        </w:rPr>
        <w:footnoteReference w:id="8"/>
      </w:r>
      <w:r>
        <w:rPr>
          <w:noProof/>
        </w:rPr>
        <w:t xml:space="preserve"> olisi integroitava maatilatason rakenteellisiin tietoihin vuodesta 2023 eteenpäin. Asetus (EU) N:o 1337/2011 olisi näin ollen kumottava.</w:t>
      </w:r>
    </w:p>
    <w:p>
      <w:pPr>
        <w:pStyle w:val="ManualConsidrant"/>
        <w:rPr>
          <w:noProof/>
        </w:rPr>
      </w:pPr>
      <w:r>
        <w:t>(7)</w:t>
      </w:r>
      <w:r>
        <w:tab/>
      </w:r>
      <w:r>
        <w:rPr>
          <w:noProof/>
        </w:rPr>
        <w:t>On tärkeää, että määritettäessä yhteisen maatalouspolitiikan kehittämistä kaikista jäsenvaltioista saadaan vertailukelpoisia maatilojen rakennetilastoja. Sen vuoksi kyselytutkimuksen ominaisuustietojen osalta olisi käytettävä mahdollisimman pitkälti standardiluokituksia ja yhteisiä määritelmiä.</w:t>
      </w:r>
    </w:p>
    <w:p>
      <w:pPr>
        <w:pStyle w:val="ManualConsidrant"/>
        <w:rPr>
          <w:noProof/>
        </w:rPr>
      </w:pPr>
      <w:r>
        <w:t>(8)</w:t>
      </w:r>
      <w:r>
        <w:tab/>
      </w:r>
      <w:r>
        <w:rPr>
          <w:noProof/>
        </w:rPr>
        <w:t>Maatilojen perusrekisterien ja otantatutkimuksen osittamiseen vaadittavien muiden tietojen saattamiseksi ajan tasalle unionissa olevat maatilat olisi laskettava vähintään joka kymmenes vuosi. Tuorein laskenta toteutettiin vuosina 2009/2010.</w:t>
      </w:r>
    </w:p>
    <w:p>
      <w:pPr>
        <w:pStyle w:val="ManualConsidrant"/>
        <w:rPr>
          <w:noProof/>
        </w:rPr>
      </w:pPr>
      <w:r>
        <w:t>(9)</w:t>
      </w:r>
      <w:r>
        <w:tab/>
      </w:r>
      <w:r>
        <w:rPr>
          <w:noProof/>
        </w:rPr>
        <w:t xml:space="preserve">Maatiloille ja hallinnolle aiheutuvan tarpeettoman rasitteen välttämiseksi olisi vahvistettava tietyt kynnysarvot siten, että muut kuin merkitykselliset yksiköt jätetään niiden perusyksikköjen ulkopuolelle, joiden osalta tilastoja kootaan. </w:t>
      </w:r>
    </w:p>
    <w:p>
      <w:pPr>
        <w:pStyle w:val="ManualConsidrant"/>
        <w:rPr>
          <w:noProof/>
          <w:color w:val="000000" w:themeColor="text1"/>
        </w:rPr>
      </w:pPr>
      <w:r>
        <w:t>(10)</w:t>
      </w:r>
      <w:r>
        <w:tab/>
      </w:r>
      <w:r>
        <w:rPr>
          <w:noProof/>
        </w:rPr>
        <w:t xml:space="preserve">Maataloustilastojen olisi katettava maataloustuotantoon käytetyt kaikki alueet, mukaan luettuna useiden maatilojen käyttämä maa, johon sovelletaan yhteisoikeutta. </w:t>
      </w:r>
    </w:p>
    <w:p>
      <w:pPr>
        <w:pStyle w:val="ManualConsidrant"/>
        <w:rPr>
          <w:noProof/>
        </w:rPr>
      </w:pPr>
      <w:r>
        <w:t>(11)</w:t>
      </w:r>
      <w:r>
        <w:tab/>
      </w:r>
      <w:r>
        <w:rPr>
          <w:noProof/>
        </w:rPr>
        <w:t>Vastaajiin kohdistuvan rasitteen keventämiseksi kansallisten tilastolaitosten ja muiden kansallisten viranomaisten olisi päästävä käyttämään hallinnollisia tietoja sikäli kuin kyseiset tiedot ovat tarpeellisia Euroopan tilastojen kehittämisen, tuottamisen ja jakelun kannalta.</w:t>
      </w:r>
    </w:p>
    <w:p>
      <w:pPr>
        <w:pStyle w:val="ManualConsidrant"/>
        <w:rPr>
          <w:noProof/>
        </w:rPr>
      </w:pPr>
      <w:r>
        <w:t>(12)</w:t>
      </w:r>
      <w:r>
        <w:tab/>
      </w:r>
      <w:r>
        <w:rPr>
          <w:noProof/>
        </w:rPr>
        <w:t xml:space="preserve">Euroopan maataloustilastojärjestelmän joustavuuden ja maataloustilastojen yksinkertaistamisen ja nykyaikaistamisen vuoksi kerätyt muuttujat olisi jaettava eri keruuryhmiin (olennaiset tiedot ja moduulit), joiden tiheys tai edustavuus tai molemmat vaihtelevat. </w:t>
      </w:r>
    </w:p>
    <w:p>
      <w:pPr>
        <w:pStyle w:val="ManualConsidrant"/>
        <w:rPr>
          <w:noProof/>
        </w:rPr>
      </w:pPr>
      <w:r>
        <w:t>(13)</w:t>
      </w:r>
      <w:r>
        <w:tab/>
      </w:r>
      <w:r>
        <w:rPr>
          <w:noProof/>
        </w:rPr>
        <w:t>Tietojenkeruuta maatilojen ravinteiden ja veden käytöstä sekä tuotantomenetelmistä olisi parannettava, jotta voidaan tuottaa enemmän tilastotietoja maatalouden ympäristöpolitiikan kehittämistä varten ja parantaa maatalouden ympäristöindikaattorien laatua.</w:t>
      </w:r>
    </w:p>
    <w:p>
      <w:pPr>
        <w:pStyle w:val="ManualConsidrant"/>
        <w:rPr>
          <w:noProof/>
        </w:rPr>
      </w:pPr>
      <w:r>
        <w:t>(14)</w:t>
      </w:r>
      <w:r>
        <w:tab/>
      </w:r>
      <w:r>
        <w:rPr>
          <w:noProof/>
        </w:rPr>
        <w:t>Maatilojen maantieteellisiä viitetietoja varten yhteisenä viitekehyksenä olisi käytettävä Euroopan parlamentin ja neuvoston direktiivin 2007/2/EY</w:t>
      </w:r>
      <w:r>
        <w:rPr>
          <w:rStyle w:val="FootnoteReference"/>
          <w:noProof/>
        </w:rPr>
        <w:footnoteReference w:id="9"/>
      </w:r>
      <w:r>
        <w:rPr>
          <w:noProof/>
        </w:rPr>
        <w:t xml:space="preserve"> liitteen I mukaista standardoitua eurooppalaista paikannusruudustoa. </w:t>
      </w:r>
    </w:p>
    <w:p>
      <w:pPr>
        <w:pStyle w:val="ManualConsidrant"/>
        <w:rPr>
          <w:noProof/>
        </w:rPr>
      </w:pPr>
      <w:r>
        <w:t>(15)</w:t>
      </w:r>
      <w:r>
        <w:tab/>
      </w:r>
      <w:r>
        <w:rPr>
          <w:noProof/>
        </w:rPr>
        <w:t>Komissio noudattaa toimitettujen tietojen luottamuksellisuutta Euroopan parlamentin ja neuvoston asetuksen (EY) N:o 223/2009</w:t>
      </w:r>
      <w:r>
        <w:rPr>
          <w:rStyle w:val="FootnoteReference"/>
          <w:noProof/>
        </w:rPr>
        <w:footnoteReference w:id="10"/>
      </w:r>
      <w:r>
        <w:rPr>
          <w:noProof/>
        </w:rPr>
        <w:t xml:space="preserve"> mukaisesti. Tarvittava tietojen luottamuksellisuuden suoja olisi varmistettava muun muassa rajoittamalla sijaintia koskevien muuttujien käyttö tietojen paikka-analyysiin ja käyttämällä asianmukaista aggregointia tilastoja julkaistaessa. </w:t>
      </w:r>
      <w:r>
        <w:rPr>
          <w:noProof/>
          <w:color w:val="000000" w:themeColor="text1"/>
        </w:rPr>
        <w:t>Sen vuoksi luottamuksellisuuden suojaa ja tietojen levittämisen laatunäkökohtia varten olisi laadittava yhdenmukainen lähestymistapa.</w:t>
      </w:r>
    </w:p>
    <w:p>
      <w:pPr>
        <w:pStyle w:val="ManualConsidrant"/>
        <w:rPr>
          <w:noProof/>
        </w:rPr>
      </w:pPr>
      <w:r>
        <w:t>(16)</w:t>
      </w:r>
      <w:r>
        <w:tab/>
      </w:r>
      <w:r>
        <w:rPr>
          <w:noProof/>
        </w:rPr>
        <w:t>Tämän asetuksen mukaiseen henkilötietojen käsittelyyn sovelletaan direktiiviä 95/46/EY ja sen kansallisia täytäntöönpanosäännöksiä ja/tai tapauksen mukaan asetusta (EY) N:o 45/2001.</w:t>
      </w:r>
    </w:p>
    <w:p>
      <w:pPr>
        <w:pStyle w:val="ManualConsidrant"/>
        <w:rPr>
          <w:noProof/>
        </w:rPr>
      </w:pPr>
      <w:r>
        <w:t>(17)</w:t>
      </w:r>
      <w:r>
        <w:tab/>
      </w:r>
      <w:r>
        <w:rPr>
          <w:noProof/>
        </w:rPr>
        <w:t>Euroopan parlamentin ja neuvoston asetuksessa (EY) N:o 1893/2006</w:t>
      </w:r>
      <w:r>
        <w:rPr>
          <w:rStyle w:val="FootnoteReference"/>
          <w:noProof/>
          <w:color w:val="000000" w:themeColor="text1"/>
        </w:rPr>
        <w:footnoteReference w:id="11"/>
      </w:r>
      <w:r>
        <w:rPr>
          <w:noProof/>
        </w:rPr>
        <w:t xml:space="preserve"> vahvistetaan tässä asetuksessa tarkoitettu Euroopan unionin tilastollinen toimialaluokitus maatilojen merkityksellisen perusjoukon määrittelemistä varten.</w:t>
      </w:r>
    </w:p>
    <w:p>
      <w:pPr>
        <w:pStyle w:val="ManualConsidrant"/>
        <w:rPr>
          <w:noProof/>
          <w:color w:val="000000" w:themeColor="text1"/>
        </w:rPr>
      </w:pPr>
      <w:r>
        <w:t>(18)</w:t>
      </w:r>
      <w:r>
        <w:tab/>
      </w:r>
      <w:r>
        <w:rPr>
          <w:noProof/>
        </w:rPr>
        <w:t>Euroopan parlamentin ja neuvoston asetuksen (EY) N:o 1059/2003</w:t>
      </w:r>
      <w:r>
        <w:rPr>
          <w:rStyle w:val="FootnoteReference"/>
          <w:noProof/>
        </w:rPr>
        <w:footnoteReference w:id="12"/>
      </w:r>
      <w:r>
        <w:rPr>
          <w:noProof/>
        </w:rPr>
        <w:t xml:space="preserve"> mukaisesti alueyksiköt olisi määritettävä tilastollisten alueyksiköiden nimikkeistön (NUTS) mukaisesti.</w:t>
      </w:r>
    </w:p>
    <w:p>
      <w:pPr>
        <w:pStyle w:val="ManualConsidrant"/>
        <w:rPr>
          <w:noProof/>
        </w:rPr>
      </w:pPr>
      <w:r>
        <w:t>(19)</w:t>
      </w:r>
      <w:r>
        <w:tab/>
      </w:r>
      <w:r>
        <w:rPr>
          <w:noProof/>
        </w:rPr>
        <w:t>Kyselytutkimuksen tekemistä varten sekä jäsenvaltioilta että unionilta olisi edellytettävä rahoitusta tiettyjen vuosien ajan. Sen vuoksi olisi säädettävä unionin avustuksesta, jolla tuetaan kyselytutkimusohjelmaa Euroopan maatalouden tukirahastosta Euroopan parlamentin ja neuvoston asetuksen (EY) N:o 1306/2013</w:t>
      </w:r>
      <w:r>
        <w:rPr>
          <w:rStyle w:val="FootnoteReference"/>
          <w:noProof/>
        </w:rPr>
        <w:footnoteReference w:id="13"/>
      </w:r>
      <w:r>
        <w:rPr>
          <w:noProof/>
        </w:rPr>
        <w:t xml:space="preserve"> nojalla.</w:t>
      </w:r>
    </w:p>
    <w:p>
      <w:pPr>
        <w:pStyle w:val="ManualConsidrant"/>
        <w:rPr>
          <w:noProof/>
          <w:color w:val="000000" w:themeColor="text1"/>
        </w:rPr>
      </w:pPr>
      <w:r>
        <w:t>(20)</w:t>
      </w:r>
      <w:r>
        <w:tab/>
      </w:r>
      <w:r>
        <w:rPr>
          <w:noProof/>
        </w:rPr>
        <w:t>Tässä asetuksessa vahvistetaan määrärahat monivuotisen rahoituskehyksen kestoajaksi; monivuotinen rahoituskehys muodostaa pääasiallisen viitteen budjettivallan käyttäjälle vuotuisessa talousarviomenettelyssä talousarviota koskevasta kurinalaisuudesta, talousarvioyhteistyöstä ja moitteettomasta varainhoidosta 2 päivänä joulukuuta 2013 tehdyn Euroopan parlamentin, neuvoston ja komission välisen toimielinten sopimuksen</w:t>
      </w:r>
      <w:r>
        <w:rPr>
          <w:rStyle w:val="FootnoteReference"/>
          <w:noProof/>
        </w:rPr>
        <w:footnoteReference w:id="14"/>
      </w:r>
      <w:r>
        <w:rPr>
          <w:noProof/>
        </w:rPr>
        <w:t xml:space="preserve"> 17 kohdan mukaisesti.</w:t>
      </w:r>
      <w:r>
        <w:rPr>
          <w:noProof/>
          <w:color w:val="000000" w:themeColor="text1"/>
        </w:rPr>
        <w:t xml:space="preserve"> Asetuksessa varaudutaan vahvistamaan talousarvio myöhemmän rahoituskehyksen puitteissa uusia kyselytutkimuksia varten. </w:t>
      </w:r>
    </w:p>
    <w:p>
      <w:pPr>
        <w:pStyle w:val="ManualConsidrant"/>
        <w:rPr>
          <w:noProof/>
        </w:rPr>
      </w:pPr>
      <w:r>
        <w:t>(21)</w:t>
      </w:r>
      <w:r>
        <w:tab/>
      </w:r>
      <w:r>
        <w:rPr>
          <w:noProof/>
        </w:rPr>
        <w:t>Jäsenvaltiot eivät voi riittävällä tavalla saavuttaa tämän asetuksen tavoitetta, joka on eurooppalaisten tilastojen järjestelmällinen tuottaminen unionin maatiloista, vaan se voidaan johdonmukaisuuteen ja vertailukelpoisuuteen liittyvien syiden vuoksi saavuttaa paremmin unionin tasolla, minkä vuoksi unionin olisi toteutettava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noProof/>
          <w:color w:val="000000" w:themeColor="text1"/>
        </w:rPr>
      </w:pPr>
      <w:r>
        <w:t>(22)</w:t>
      </w:r>
      <w:r>
        <w:tab/>
      </w:r>
      <w:r>
        <w:rPr>
          <w:noProof/>
        </w:rPr>
        <w:t>Asetus (EY) N:o 223/2009 tarjoaa puitteet Euroopan tilastoille ja siinä edellytetään, että jäsenvaltiot noudattavat asetuksessa vahvistettuja tilastoperiaatteita ja laatukriteerejä. Laaturaportit ovat olennaisen tärkeitä, kun arvioidaan ja parannetaan Euroopan tilastojen laatua ja tiedotetaan siitä. Euroopan tilastojärjestelmää käsittelevä komitea on vahvistanut Euroopan tilastojärjestelmän laaturaporttien rakennestandardin asetuksen (EY) N:o 223/2009 12 artiklan mukaisesti. Kyseisen Euroopan tilastojärjestelmän standardin pitäisi edistää asetuksen mukaisen laaturaportoinnin yhdenmukaistamista.</w:t>
      </w:r>
    </w:p>
    <w:p>
      <w:pPr>
        <w:pStyle w:val="ManualConsidrant"/>
        <w:rPr>
          <w:noProof/>
        </w:rPr>
      </w:pPr>
      <w:r>
        <w:t>(23)</w:t>
      </w:r>
      <w:r>
        <w:tab/>
      </w:r>
      <w:r>
        <w:rPr>
          <w:noProof/>
        </w:rPr>
        <w:t xml:space="preserve">Moitteettoman varainhoidon periaatteen mukaisesti on suoritettu vaikutustenarviointi sen varmistamiseksi, että tällä asetuksella perustettavassa kyselytutkimusohjelmassa keskitytään saavuttamaan tavoitteet tehokkaasti ja että ohjelmaan sisällytetään talousarvioon liittyvät rajoitukset jo sen suunnitteluvaiheessa. </w:t>
      </w:r>
    </w:p>
    <w:p>
      <w:pPr>
        <w:pStyle w:val="ManualConsidrant"/>
        <w:rPr>
          <w:noProof/>
        </w:rPr>
      </w:pPr>
      <w:r>
        <w:t>(24)</w:t>
      </w:r>
      <w:r>
        <w:tab/>
      </w:r>
      <w:r>
        <w:rPr>
          <w:noProof/>
        </w:rPr>
        <w:t>Jotta varmistettaisiin tämän asetuksen yhdenmukaiset täytäntöönpanoedellytykset, komissiolle olisi siirrettävä täytäntöönpanovalta siltä osin kuin kyseessä on liitteessä III lueteltujen ominaisuustietojen kuvausten ja toimitettavien tietojen teknisten osatekijöiden eritteleminen, kertaluonteisesti toimitettavien tietojen määrittäminen sekä laaturaporttien yksityiskohtaisten sääntöjen ja sisällön vahvistaminen. Tätä valtaa olisi käytettävä 16 päivänä helmikuuta 2011 annetun Euroopan parlamentin ja neuvoston asetuksen (EU) N:o 182/2011</w:t>
      </w:r>
      <w:r>
        <w:rPr>
          <w:rStyle w:val="FootnoteReference"/>
          <w:noProof/>
        </w:rPr>
        <w:footnoteReference w:id="15"/>
      </w:r>
      <w:r>
        <w:rPr>
          <w:noProof/>
        </w:rPr>
        <w:t xml:space="preserve"> mukaisesti. </w:t>
      </w:r>
    </w:p>
    <w:p>
      <w:pPr>
        <w:pStyle w:val="ManualConsidrant"/>
        <w:rPr>
          <w:noProof/>
          <w:color w:val="000000" w:themeColor="text1"/>
        </w:rPr>
      </w:pPr>
      <w:r>
        <w:t>(25)</w:t>
      </w:r>
      <w:r>
        <w:tab/>
      </w:r>
      <w:r>
        <w:rPr>
          <w:noProof/>
        </w:rPr>
        <w:t>Jotta voidaan ottaa huomioon pääasiassa maataloudessa tapahtuneesta kehityksestä, tarkistetusta lainsäädännöstä ja muuttuvista poliittisista prioriteeteista johtuvat uudet tietotarpeet, komissiolle olisi siirrettävä valta hyväksyä Euroopan unionin toiminnasta tehdyn 290 artiklan mukaisesti säädöksiä liitteessä IV lueteltujen aiheiden muuttamisesta. Jotta voidaan säätää yhteensopivuudesta ja helpottaa muiden tietolähteiden käyttöä, komissiolle olisi siirrettävä valta hyväksyä Euroopan unionin toiminnasta tehdyn 290 artiklan mukaisesti säädöksiä liitteessä III lueteltujen ominaisuustietojen muuttamisesta. On erityisen tärkeää, että komissio asiaa valmistellessaan toteuttaa asianmukaiset kuulemiset, myös asiantuntijatasolla, ja että kyseiset kuulemiset toteutetaan niiden periaatteiden mukaan, jotka on vahvistettu 13 päivänä huhtikuuta 2016 tehdyssä parempaa lainsäädäntöä koskevassa toimielinten sopimuksessa</w:t>
      </w:r>
      <w:r>
        <w:rPr>
          <w:rStyle w:val="FootnoteReference"/>
          <w:noProof/>
        </w:rPr>
        <w:footnoteReference w:id="16"/>
      </w:r>
      <w:r>
        <w:rPr>
          <w:noProof/>
        </w:rPr>
        <w:t>.</w:t>
      </w:r>
      <w:r>
        <w:rPr>
          <w:noProof/>
          <w:color w:val="000000" w:themeColor="text1"/>
        </w:rPr>
        <w:t xml:space="preserve"> Jotta voitaisiin varmistaa tasavertainen osallistuminen delegoitujen säädösten valmisteluun, on erityisen tärkeää, että Euroopan parlamentille ja neuvostolle toimitetaan kaikki asiakirjat samaan aikaan kuin jäsenvaltioiden asiantuntijoille ja että Euroopan parlamentin ja neuvoston asiantuntijoilla on järjestelmällisesti oikeus osallistua komission asiantuntijaryhmien kokouksiin, joissa valmistellaan delegoituja säädöksiä. </w:t>
      </w:r>
    </w:p>
    <w:p>
      <w:pPr>
        <w:pStyle w:val="ManualConsidrant"/>
        <w:rPr>
          <w:noProof/>
        </w:rPr>
      </w:pPr>
      <w:r>
        <w:t>(26)</w:t>
      </w:r>
      <w:r>
        <w:tab/>
      </w:r>
      <w:r>
        <w:rPr>
          <w:noProof/>
        </w:rPr>
        <w:t>Euroopan tietosuojavaltuutettua on kuultu.</w:t>
      </w:r>
    </w:p>
    <w:p>
      <w:pPr>
        <w:pStyle w:val="ManualConsidrant"/>
        <w:rPr>
          <w:noProof/>
        </w:rPr>
      </w:pPr>
      <w:r>
        <w:t>(27)</w:t>
      </w:r>
      <w:r>
        <w:tab/>
      </w:r>
      <w:r>
        <w:rPr>
          <w:noProof/>
        </w:rPr>
        <w:t>Euroopan tilastojärjestelmää käsittelevää komiteaa on kuultu,</w:t>
      </w:r>
    </w:p>
    <w:p>
      <w:pPr>
        <w:pStyle w:val="Formuledadoption"/>
        <w:rPr>
          <w:noProof/>
        </w:rPr>
      </w:pPr>
      <w:r>
        <w:rPr>
          <w:noProof/>
        </w:rPr>
        <w:t>OVAT HYVÄKSYNEET TÄMÄN ASETUKSEN:</w:t>
      </w:r>
    </w:p>
    <w:p>
      <w:pPr>
        <w:pStyle w:val="Titrearticle"/>
        <w:rPr>
          <w:noProof/>
        </w:rPr>
      </w:pPr>
      <w:r>
        <w:rPr>
          <w:noProof/>
        </w:rPr>
        <w:t>1 artikla</w:t>
      </w:r>
    </w:p>
    <w:p>
      <w:pPr>
        <w:pStyle w:val="ART"/>
        <w:rPr>
          <w:noProof/>
        </w:rPr>
      </w:pPr>
      <w:r>
        <w:rPr>
          <w:noProof/>
        </w:rPr>
        <w:t xml:space="preserve">Kohde </w:t>
      </w:r>
    </w:p>
    <w:p>
      <w:pPr>
        <w:rPr>
          <w:noProof/>
        </w:rPr>
      </w:pPr>
      <w:r>
        <w:rPr>
          <w:noProof/>
        </w:rPr>
        <w:t xml:space="preserve">Tässä asetuksessa vahvistetaan puitteet Euroopan tilastoille maatilatasolla ja säädetään rakenteellisten tietojen integroinnista tuotantomenetelmiä, maaseudun kehittämistoimia ja maatalouden ympäristönäkökohtia koskeviin tietoihin ja muihin asiaan liittyviin tietoihin. </w:t>
      </w:r>
    </w:p>
    <w:p>
      <w:pPr>
        <w:rPr>
          <w:noProof/>
        </w:rPr>
      </w:pPr>
    </w:p>
    <w:p>
      <w:pPr>
        <w:pStyle w:val="Titrearticle"/>
        <w:rPr>
          <w:noProof/>
        </w:rPr>
      </w:pPr>
      <w:r>
        <w:rPr>
          <w:noProof/>
        </w:rPr>
        <w:t>2 artikla</w:t>
      </w:r>
    </w:p>
    <w:p>
      <w:pPr>
        <w:spacing w:before="75" w:after="75"/>
        <w:jc w:val="center"/>
        <w:rPr>
          <w:b/>
          <w:noProof/>
        </w:rPr>
      </w:pPr>
      <w:r>
        <w:rPr>
          <w:b/>
          <w:noProof/>
        </w:rPr>
        <w:t>Määritelmät</w:t>
      </w:r>
    </w:p>
    <w:p>
      <w:pPr>
        <w:spacing w:before="75" w:after="75"/>
        <w:rPr>
          <w:noProof/>
        </w:rPr>
      </w:pPr>
      <w:r>
        <w:rPr>
          <w:noProof/>
        </w:rPr>
        <w:t>Tässä asetuksessa tarkoitetaan</w:t>
      </w:r>
    </w:p>
    <w:p>
      <w:pPr>
        <w:pStyle w:val="ManualHeading4"/>
        <w:keepNext w:val="0"/>
        <w:ind w:left="851" w:hanging="851"/>
        <w:rPr>
          <w:noProof/>
        </w:rPr>
      </w:pPr>
      <w:bookmarkStart w:id="21" w:name="_Toc456620199"/>
      <w:r>
        <w:rPr>
          <w:noProof/>
        </w:rPr>
        <w:t>a)</w:t>
      </w:r>
      <w:r>
        <w:rPr>
          <w:noProof/>
        </w:rPr>
        <w:tab/>
        <w:t>’maatilalla’ tai ’tilalla’ yhtä teknistä ja taloudellista yksikköä, jolla on yksi hallinto ja joka harjoittaa taloudellista toimintaa maataloudessa joko ensisijaisena tai toissijaisena toimenaan unionin talousalueella asetuksen (EY) N:o 1893/2006 mukaisesti ja kuuluu ryhmiin A.01.1, A.01.2, A.01.3, A.01.4, A.01.5 tai ryhmän A.01.6 kohtaan ”maan säilyttäminen maatalouden ja ympäristön kannalta hyvässä kunnossa”. Luokan A.01.49 toiminnoista huomioon otetaan vain ”Puoliksi kesytettyjen tai muiden elävien eläinten kasvattaminen ja jalostus” (hyönteisten kasvatusta lukuun ottamatta) ja ”Mehiläishoito sekä hunajan ja mehiläisvahan tuotanto”;</w:t>
      </w:r>
    </w:p>
    <w:p>
      <w:pPr>
        <w:pStyle w:val="ManualHeading4"/>
        <w:keepNext w:val="0"/>
        <w:ind w:left="851" w:hanging="851"/>
        <w:rPr>
          <w:noProof/>
        </w:rPr>
      </w:pPr>
      <w:r>
        <w:rPr>
          <w:noProof/>
        </w:rPr>
        <w:t xml:space="preserve"> </w:t>
      </w:r>
      <w:bookmarkStart w:id="22" w:name="_Toc456620200"/>
      <w:bookmarkEnd w:id="21"/>
      <w:r>
        <w:rPr>
          <w:noProof/>
        </w:rPr>
        <w:t>b)</w:t>
      </w:r>
      <w:r>
        <w:rPr>
          <w:noProof/>
        </w:rPr>
        <w:tab/>
        <w:t>’yhteismaan maatalousyksiköllä’ maayksikköä, johon sovelletaan yhteisoikeutta ja jota useat maatilat käyttävät maataloustuotantoon mutta jota ei ole jaettu niiden kesken;</w:t>
      </w:r>
      <w:bookmarkEnd w:id="22"/>
    </w:p>
    <w:p>
      <w:pPr>
        <w:pStyle w:val="Text1"/>
        <w:ind w:left="851" w:hanging="851"/>
        <w:rPr>
          <w:noProof/>
        </w:rPr>
      </w:pPr>
      <w:r>
        <w:rPr>
          <w:noProof/>
        </w:rPr>
        <w:t xml:space="preserve">c) </w:t>
      </w:r>
      <w:r>
        <w:rPr>
          <w:noProof/>
        </w:rPr>
        <w:tab/>
        <w:t>’alueella’ tilastollisten alueyksiköiden nimikkeistön (NUTS) alueellista yksikköä, joka on määritetty asetuksen (EY) N:o 1059/2003 mukaisesti;</w:t>
      </w:r>
    </w:p>
    <w:p>
      <w:pPr>
        <w:pStyle w:val="Text1"/>
        <w:ind w:left="851" w:hanging="851"/>
        <w:rPr>
          <w:noProof/>
        </w:rPr>
      </w:pPr>
      <w:r>
        <w:rPr>
          <w:noProof/>
        </w:rPr>
        <w:t>d)</w:t>
      </w:r>
      <w:r>
        <w:rPr>
          <w:noProof/>
        </w:rPr>
        <w:tab/>
        <w:t>’kotieläinyksiköllä’ vakioitua mittayksikköä, jonka avulla voidaan aggregoida erilaisia kotieläinluokkia niiden vertailua varten; kertoimet, joilla määritetään kotieläinyksiköt eri kotieläinluokkien osalta, luetellaan liitteessä I;</w:t>
      </w:r>
    </w:p>
    <w:p>
      <w:pPr>
        <w:pStyle w:val="Text1"/>
        <w:ind w:left="851" w:hanging="851"/>
        <w:rPr>
          <w:noProof/>
        </w:rPr>
      </w:pPr>
      <w:r>
        <w:rPr>
          <w:noProof/>
        </w:rPr>
        <w:t>e)</w:t>
      </w:r>
      <w:r>
        <w:rPr>
          <w:noProof/>
        </w:rPr>
        <w:tab/>
        <w:t>’tutkimuksen viitevuodella’ kalenterivuotta, johon viitekaudet viittaavat;</w:t>
      </w:r>
    </w:p>
    <w:p>
      <w:pPr>
        <w:pStyle w:val="Text1"/>
        <w:ind w:left="851" w:hanging="851"/>
        <w:rPr>
          <w:noProof/>
        </w:rPr>
      </w:pPr>
      <w:r>
        <w:rPr>
          <w:noProof/>
        </w:rPr>
        <w:t xml:space="preserve">f) </w:t>
      </w:r>
      <w:r>
        <w:rPr>
          <w:noProof/>
        </w:rPr>
        <w:tab/>
        <w:t>’kotipuutarhalla’ alueita, joita käytetään omaan kulutukseen tarkoitettujen elintarvikkeiden tuottamiseen.</w:t>
      </w:r>
    </w:p>
    <w:p>
      <w:pPr>
        <w:pStyle w:val="Titrearticle"/>
        <w:rPr>
          <w:noProof/>
        </w:rPr>
      </w:pPr>
      <w:r>
        <w:rPr>
          <w:noProof/>
        </w:rPr>
        <w:t xml:space="preserve">3 artikla </w:t>
      </w:r>
    </w:p>
    <w:p>
      <w:pPr>
        <w:jc w:val="center"/>
        <w:rPr>
          <w:noProof/>
        </w:rPr>
      </w:pPr>
      <w:r>
        <w:rPr>
          <w:b/>
          <w:noProof/>
        </w:rPr>
        <w:t>Kattavuus</w:t>
      </w:r>
    </w:p>
    <w:p>
      <w:pPr>
        <w:pStyle w:val="ManualNumPar1"/>
        <w:rPr>
          <w:noProof/>
        </w:rPr>
      </w:pPr>
      <w:r>
        <w:t>1.</w:t>
      </w:r>
      <w:r>
        <w:tab/>
      </w:r>
      <w:r>
        <w:rPr>
          <w:noProof/>
        </w:rPr>
        <w:t>Tämän asetuksen mukaisesti vaadittujen tietojen on katettava 98 prosenttia jäsenvaltion koko käytössä olevasta maatalousmaasta (kotipuutarhat pois lukien) ja 98 prosenttia kotieläinyksiköistä.</w:t>
      </w:r>
    </w:p>
    <w:p>
      <w:pPr>
        <w:pStyle w:val="ManualNumPar1"/>
        <w:rPr>
          <w:noProof/>
        </w:rPr>
      </w:pPr>
      <w:r>
        <w:t>2.</w:t>
      </w:r>
      <w:r>
        <w:tab/>
      </w:r>
      <w:r>
        <w:rPr>
          <w:noProof/>
        </w:rPr>
        <w:t xml:space="preserve">Näiden vaatimusten täyttämiseksi jäsenvaltioiden on toimitettava edustavat tiedot maatiloista ja yhteismaan maatalousyksiköistä, jotka täyttävät vähintään yhden liitteessä II luetelluista aineellisista kynnysarvoista maatalousmaan koon tai eläinten lukumäärän osalta. </w:t>
      </w:r>
    </w:p>
    <w:p>
      <w:pPr>
        <w:pStyle w:val="ManualNumPar1"/>
        <w:rPr>
          <w:noProof/>
          <w:szCs w:val="24"/>
        </w:rPr>
      </w:pPr>
      <w:r>
        <w:t>3.</w:t>
      </w:r>
      <w:r>
        <w:tab/>
      </w:r>
      <w:r>
        <w:rPr>
          <w:noProof/>
        </w:rPr>
        <w:t>Jos 2 kohdassa täsmennetty pääasiallinen tutkimuskehikko edustaa yli 98:aa prosenttia kansallisesta maataloustuotannosta, joka on mitattu komission delegoidun asetuksen (EU) N:o 1198/2014</w:t>
      </w:r>
      <w:r>
        <w:rPr>
          <w:rStyle w:val="FootnoteReference"/>
          <w:noProof/>
        </w:rPr>
        <w:footnoteReference w:id="17"/>
      </w:r>
      <w:r>
        <w:rPr>
          <w:noProof/>
        </w:rPr>
        <w:t xml:space="preserve"> mukaisena standardituotoksena, jäsenvaltiot voivat poikkeuksellisesti ja edellyttäen, että komissio (Eurostat) antaa tähän ennakkohyväksynnän, vahvistaa korkeamman aineellisen tai vastaavan taloudellisen kynnysarvon tutkimuskehikon pienentämiseksi, kunhan saavutetaan 98 prosentin kattavuus koko käytössä olevasta maatalousmaasta (kotipuutarhat pois lukien) ja 98 prosentin kattavuus kotieläinyksiköistä jäsenvaltioissa.</w:t>
      </w:r>
    </w:p>
    <w:p>
      <w:pPr>
        <w:pStyle w:val="ManualNumPar1"/>
        <w:rPr>
          <w:noProof/>
        </w:rPr>
      </w:pPr>
      <w:r>
        <w:t>4.</w:t>
      </w:r>
      <w:r>
        <w:tab/>
      </w:r>
      <w:r>
        <w:rPr>
          <w:noProof/>
        </w:rPr>
        <w:t>Jos 2 kohdassa täsmennetty pääasiallinen tutkimuskehikko ei edusta 98:aa prosenttia käytössä olevasta maatalousmaasta eikä 98:aa prosenttia kotieläinyksiköistä, jäsenvaltioiden on laajennettava kehikkoa vahvistamalla 2 kohdassa tarkoitettuja kynnysarvoja alemmat kynnysarvot tai vahvistamalla uusia kynnysarvoja tai vahvistamalla nämä molemmat.</w:t>
      </w:r>
    </w:p>
    <w:p>
      <w:pPr>
        <w:pStyle w:val="Titrearticle"/>
        <w:rPr>
          <w:noProof/>
        </w:rPr>
      </w:pPr>
      <w:r>
        <w:rPr>
          <w:noProof/>
        </w:rPr>
        <w:t>4 artikla</w:t>
      </w:r>
    </w:p>
    <w:p>
      <w:pPr>
        <w:spacing w:before="75" w:after="75"/>
        <w:jc w:val="center"/>
        <w:rPr>
          <w:b/>
          <w:noProof/>
        </w:rPr>
      </w:pPr>
      <w:r>
        <w:rPr>
          <w:b/>
          <w:noProof/>
        </w:rPr>
        <w:t>Tietolähteet</w:t>
      </w:r>
    </w:p>
    <w:p>
      <w:pPr>
        <w:pStyle w:val="ManualNumPar1"/>
        <w:rPr>
          <w:noProof/>
        </w:rPr>
      </w:pPr>
      <w:r>
        <w:t>1.</w:t>
      </w:r>
      <w:r>
        <w:tab/>
      </w:r>
      <w:r>
        <w:rPr>
          <w:noProof/>
        </w:rPr>
        <w:t xml:space="preserve">Tässä asetuksessa tarkoitettujen tietojen hankkimiseksi jäsenvaltioiden on toteutettava tilastollisia kyselytutkimuksia. </w:t>
      </w:r>
    </w:p>
    <w:p>
      <w:pPr>
        <w:pStyle w:val="ManualNumPar1"/>
        <w:rPr>
          <w:noProof/>
        </w:rPr>
      </w:pPr>
      <w:r>
        <w:t>2.</w:t>
      </w:r>
      <w:r>
        <w:tab/>
      </w:r>
      <w:r>
        <w:rPr>
          <w:noProof/>
        </w:rPr>
        <w:t>Jäsenvaltiot voivat käyttää tietoja, jotka on saatu Euroopan parlamentin ja neuvoston asetuksella (EU) N:o 1307/2013</w:t>
      </w:r>
      <w:r>
        <w:rPr>
          <w:rStyle w:val="FootnoteReference"/>
          <w:noProof/>
        </w:rPr>
        <w:footnoteReference w:id="18"/>
      </w:r>
      <w:r>
        <w:rPr>
          <w:noProof/>
        </w:rPr>
        <w:t xml:space="preserve"> perustetusta yhdennetystä hallinto- ja valvontajärjestelmästä (IACS), Euroopan parlamentin ja neuvoston asetuksella (EY) N:o 1760/2000</w:t>
      </w:r>
      <w:r>
        <w:rPr>
          <w:rStyle w:val="FootnoteReference"/>
          <w:noProof/>
        </w:rPr>
        <w:footnoteReference w:id="19"/>
      </w:r>
      <w:r>
        <w:rPr>
          <w:noProof/>
        </w:rPr>
        <w:t xml:space="preserve"> perustetusta nautaeläinten tunnistus- ja rekisteröintijärjestelmästä ja neuvoston asetuksella (EY) N:o 21/2004</w:t>
      </w:r>
      <w:r>
        <w:rPr>
          <w:rStyle w:val="FootnoteReference"/>
          <w:noProof/>
        </w:rPr>
        <w:footnoteReference w:id="20"/>
      </w:r>
      <w:r>
        <w:rPr>
          <w:noProof/>
        </w:rPr>
        <w:t xml:space="preserve"> perustetusta lammas- ja vuohieläinten tunnistus- ja rekisteröintijärjestelmästä, Euroopan parlamentin ja neuvoston asetuksen (EY) N:o 1308/2013</w:t>
      </w:r>
      <w:r>
        <w:rPr>
          <w:rStyle w:val="FootnoteReference"/>
          <w:noProof/>
        </w:rPr>
        <w:footnoteReference w:id="21"/>
      </w:r>
      <w:r>
        <w:rPr>
          <w:noProof/>
        </w:rPr>
        <w:t xml:space="preserve"> 145 artiklan mukaisesti täytäntöön pannusta viinitilarekisteristä sekä neuvoston asetuksen (EY) N:o 834/2007</w:t>
      </w:r>
      <w:r>
        <w:rPr>
          <w:rStyle w:val="FootnoteReference"/>
          <w:noProof/>
        </w:rPr>
        <w:footnoteReference w:id="22"/>
      </w:r>
      <w:r>
        <w:rPr>
          <w:noProof/>
        </w:rPr>
        <w:t xml:space="preserve"> nojalla perustetuista luonnonmukaisen maatalouden rekistereistä, edellyttäen että näiden tietojen laatu on vähintään yhtä hyvä kuin tilastollisista kyselytutkimuksista saatujen tietojen. Jäsenvaltiot voivat myös käyttää hallinnollisia tietolähteitä, jotka liittyvät tiettyihin maaseudun kehittämistoimiin.</w:t>
      </w:r>
    </w:p>
    <w:p>
      <w:pPr>
        <w:pStyle w:val="ManualNumPar1"/>
        <w:rPr>
          <w:noProof/>
        </w:rPr>
      </w:pPr>
      <w:r>
        <w:t>3.</w:t>
      </w:r>
      <w:r>
        <w:tab/>
      </w:r>
      <w:r>
        <w:rPr>
          <w:noProof/>
        </w:rPr>
        <w:t>Jäsenvaltioilla on oltava oikeus käyttää muitakin kuin 2 kohdassa mainittuja tietolähteitä, kunhan niistä saadut tiedot ovat vähintään saman laatuisia kuin tilastollisista kyselytutkimuksista saadut. Jos jäsenvaltiot päättävät käyttää muita tietolähteitä, niiden on ilmoitettava tästä komissiolle (Eurostatille) tutkimuksen viitevuotta edeltävän vuoden aikana ja toimitettava yksityiskohtaiset tiedot kyseisestä lähteestä saatujen tietojen laadusta ja käytettävistä tiedonkeruumenetelmistä.</w:t>
      </w:r>
    </w:p>
    <w:p>
      <w:pPr>
        <w:pStyle w:val="ManualNumPar1"/>
        <w:rPr>
          <w:noProof/>
        </w:rPr>
      </w:pPr>
      <w:r>
        <w:t>4.</w:t>
      </w:r>
      <w:r>
        <w:tab/>
      </w:r>
      <w:r>
        <w:rPr>
          <w:noProof/>
        </w:rPr>
        <w:t>Tämän asetuksen vaatimusten täyttämisestä vastaavilla kansallisilla viranomaisilla on oltava oikeus saada ja käyttää viipymättä ja maksutta tietoja, mukaan luettuna maatiloja koskevat yksittäiset tiedot ja tilojen haltijoiden henkilötiedot, jotka sisältyvät niiden kansallisella alueella laadittuihin hallinnollisiin rekistereihin asetuksen (EY) N:o 223/2009 17 a artiklan nojalla. Kansallisten viranomaisten ja hallinnollisten rekisterien haltijoiden on vahvistettava tarvittavat yhteistyömekanismit.</w:t>
      </w:r>
    </w:p>
    <w:p>
      <w:pPr>
        <w:pStyle w:val="Titrearticle"/>
        <w:rPr>
          <w:noProof/>
        </w:rPr>
      </w:pPr>
      <w:r>
        <w:rPr>
          <w:noProof/>
        </w:rPr>
        <w:t>5 artikla</w:t>
      </w:r>
    </w:p>
    <w:p>
      <w:pPr>
        <w:keepNext/>
        <w:spacing w:before="75" w:after="75"/>
        <w:jc w:val="center"/>
        <w:rPr>
          <w:b/>
          <w:noProof/>
        </w:rPr>
      </w:pPr>
      <w:r>
        <w:rPr>
          <w:b/>
          <w:noProof/>
        </w:rPr>
        <w:t>Olennaiset rakennetiedot</w:t>
      </w:r>
    </w:p>
    <w:p>
      <w:pPr>
        <w:pStyle w:val="ManualNumPar1"/>
        <w:rPr>
          <w:noProof/>
        </w:rPr>
      </w:pPr>
      <w:r>
        <w:t>1.</w:t>
      </w:r>
      <w:r>
        <w:tab/>
      </w:r>
      <w:r>
        <w:rPr>
          <w:noProof/>
        </w:rPr>
        <w:t xml:space="preserve">Jäsenvaltioiden on kerättävä ja toimitettava liitteessä III luetellut olennaiset rakennetiedot, jäljempänä ’olennaiset tiedot’, jotka liittyvät 3 artiklan 2 ja 3 kohdassa tarkoitettuihin maatiloihin, tutkimuksen viitevuosilta 2020, 2023 ja 2026. Olennaisten tietojen keruu viitevuodelta 2020 on toteutettava laskentana. </w:t>
      </w:r>
    </w:p>
    <w:p>
      <w:pPr>
        <w:pStyle w:val="ManualNumPar1"/>
        <w:rPr>
          <w:noProof/>
          <w:color w:val="000000" w:themeColor="text1"/>
        </w:rPr>
      </w:pPr>
      <w:r>
        <w:t>2.</w:t>
      </w:r>
      <w:r>
        <w:tab/>
      </w:r>
      <w:r>
        <w:rPr>
          <w:noProof/>
        </w:rPr>
        <w:t>Olennaisten tietojen keruut viitevuosilta 2023 ja 2026 voidaan toteuttaa otantatutkimuksina. Tällöin jäsenvaltioiden on varmistettava, että painotetut tutkimustulokset ovat maatiloja kullakin alueella tilastollisesti edustavia ja että ne on suunniteltu täyttämään liitteessä V vahvistetut tarkkuusvaatimukset.</w:t>
      </w:r>
    </w:p>
    <w:p>
      <w:pPr>
        <w:pStyle w:val="ManualNumPar1"/>
        <w:rPr>
          <w:noProof/>
        </w:rPr>
      </w:pPr>
      <w:r>
        <w:t>3.</w:t>
      </w:r>
      <w:r>
        <w:tab/>
      </w:r>
      <w:r>
        <w:rPr>
          <w:noProof/>
        </w:rPr>
        <w:t>Jos jonkin liitteessä III luetellun ominaisuustiedon esiintyvyys jäsenvaltiossa on alhainen tai nolla, se voidaan jättää pois tiedonkeruusta, edellyttäen että asianomainen jäsenvaltio toimittaa komissiolle (Eurostatille) tutkimuksen viitevuotta edeltävän kalenterivuoden aikana asianmukaisesti perustellut tiedot sen poisjättämisestä.</w:t>
      </w:r>
    </w:p>
    <w:p>
      <w:pPr>
        <w:pStyle w:val="ManualNumPar1"/>
        <w:rPr>
          <w:noProof/>
        </w:rPr>
      </w:pPr>
      <w:r>
        <w:t>4.</w:t>
      </w:r>
      <w:r>
        <w:tab/>
      </w:r>
      <w:r>
        <w:rPr>
          <w:noProof/>
        </w:rPr>
        <w:t xml:space="preserve">Siirretään komissiolle valta antaa täytäntöönpanosäädöksiä liitteessä III lueteltujen ominaisuustietojen kuvausten täsmentämiseksi. </w:t>
      </w:r>
    </w:p>
    <w:p>
      <w:pPr>
        <w:pStyle w:val="ManualNumPar1"/>
        <w:rPr>
          <w:noProof/>
        </w:rPr>
      </w:pPr>
      <w:r>
        <w:t>5.</w:t>
      </w:r>
      <w:r>
        <w:tab/>
      </w:r>
      <w:r>
        <w:rPr>
          <w:noProof/>
        </w:rPr>
        <w:t>Nämä täytäntöönpanosäädökset annetaan 17 artiklan 2 kohdassa tarkoitettua tarkastelumenettelyä noudattaen viimeistään [Publications Office, please insert the exact date: entry into force of this Regulation+6 months, or 31 December 2018, whichever is the latest] tutkimuksen viitevuoden 2020 osalta, viimeistään 31 päivänä joulukuuta 2021 tutkimuksen viitevuoden 2023 osalta ja viimeistään 31 päivänä joulukuuta 2024 tutkimuksen viitevuoden 2026 osalta.</w:t>
      </w:r>
    </w:p>
    <w:p>
      <w:pPr>
        <w:pStyle w:val="ManualNumPar1"/>
        <w:rPr>
          <w:noProof/>
        </w:rPr>
      </w:pPr>
      <w:r>
        <w:t>6.</w:t>
      </w:r>
      <w:r>
        <w:tab/>
      </w:r>
      <w:r>
        <w:rPr>
          <w:noProof/>
        </w:rPr>
        <w:t xml:space="preserve">Siirretään komissiolle valta antaa delegoituja säädöksiä 16 artiklan mukaisesti liitteessä III lueteltujen tietojen muuttamiseksi, jos se on tarpeen 4 artiklan 2 kohdassa täsmennettyjen tietolähteiden yhdenmukaistamista varten vuosiksi 2023 ja 2026. Harjoittaessaan tätä valtaa komissio varmistaa, että tällaisilla delegoiduilla säädöksillä korvataan liitteessä III olevat vain sellaiset ominaisuustiedot, joita ei enää voida johtaa suoraan tietyistä tietolähteistä. Lisäksi se varmistaa, että tällaisilla delegoiduilla säädöksillä ei aiheuteta merkittävää lisärasitetta tai -kustannuksia jäsenvaltioille tai vastaajille ja että enintään 10 prosenttia – pyöristettynä lähimpään kokonaislukuun – liitteessä III luetteluista ominaisuustiedoista muutetaan. </w:t>
      </w:r>
    </w:p>
    <w:p>
      <w:pPr>
        <w:pStyle w:val="ManualNumPar1"/>
        <w:rPr>
          <w:noProof/>
        </w:rPr>
      </w:pPr>
      <w:r>
        <w:t>7.</w:t>
      </w:r>
      <w:r>
        <w:tab/>
      </w:r>
      <w:r>
        <w:rPr>
          <w:noProof/>
        </w:rPr>
        <w:t xml:space="preserve">Nämä delegoidut säädökset on annettava 30 päivään syyskuuta 2021 mennessä tutkimusviitevuoden 2023 osalta ja 30 päivään syyskuuta 2024 mennessä tutkimusviitevuoden 2026 osalta. </w:t>
      </w:r>
    </w:p>
    <w:p>
      <w:pPr>
        <w:pStyle w:val="Titrearticle"/>
        <w:rPr>
          <w:noProof/>
        </w:rPr>
      </w:pPr>
      <w:r>
        <w:rPr>
          <w:noProof/>
        </w:rPr>
        <w:t>6 artikla</w:t>
      </w:r>
    </w:p>
    <w:p>
      <w:pPr>
        <w:keepNext/>
        <w:spacing w:before="75" w:after="75"/>
        <w:jc w:val="center"/>
        <w:rPr>
          <w:b/>
          <w:noProof/>
        </w:rPr>
      </w:pPr>
      <w:r>
        <w:rPr>
          <w:b/>
          <w:noProof/>
        </w:rPr>
        <w:t>Kehikon laajentaminen</w:t>
      </w:r>
    </w:p>
    <w:p>
      <w:pPr>
        <w:pStyle w:val="ManualNumPar1"/>
        <w:rPr>
          <w:noProof/>
        </w:rPr>
      </w:pPr>
      <w:r>
        <w:t>1.</w:t>
      </w:r>
      <w:r>
        <w:tab/>
      </w:r>
      <w:r>
        <w:rPr>
          <w:noProof/>
        </w:rPr>
        <w:t xml:space="preserve">Jäsenvaltioiden, jotka laajentavat tutkimuskehikkoa 3 artiklan 4 kohdan mukaisesti, on toimitettava kyseiseen tutkimusviitevuotta 2020 koskevaan kehikon laajentamiseen sisältyvistä maatiloista olennaiset tiedot, jotka sisältävät liitteessä III täsmennetyt tiedot. </w:t>
      </w:r>
    </w:p>
    <w:p>
      <w:pPr>
        <w:pStyle w:val="ManualNumPar1"/>
        <w:rPr>
          <w:noProof/>
          <w:color w:val="000000" w:themeColor="text1"/>
        </w:rPr>
      </w:pPr>
      <w:r>
        <w:t>2.</w:t>
      </w:r>
      <w:r>
        <w:tab/>
      </w:r>
      <w:r>
        <w:rPr>
          <w:noProof/>
        </w:rPr>
        <w:t>Tiedot kehikon laajentamisen piiriin kuuluvista tiloista voidaan kerätä otantatutkimuksilla. Tällöin jäsenvaltioiden on varmistettava, että painotetut tutkimustulokset ovat maatiloja kullakin alueella tilastollisesti edustavia ja että ne on suunniteltu täyttämään liitteessä V vahvistetut tarkkuusvaatimukset.</w:t>
      </w:r>
    </w:p>
    <w:p>
      <w:pPr>
        <w:pStyle w:val="Titrearticle"/>
        <w:rPr>
          <w:noProof/>
        </w:rPr>
      </w:pPr>
      <w:r>
        <w:rPr>
          <w:noProof/>
        </w:rPr>
        <w:t>7 artikla</w:t>
      </w:r>
    </w:p>
    <w:p>
      <w:pPr>
        <w:keepNext/>
        <w:spacing w:before="75" w:after="75"/>
        <w:jc w:val="center"/>
        <w:rPr>
          <w:b/>
          <w:noProof/>
        </w:rPr>
      </w:pPr>
      <w:r>
        <w:rPr>
          <w:b/>
          <w:noProof/>
        </w:rPr>
        <w:t xml:space="preserve">Moduulitiedot </w:t>
      </w:r>
    </w:p>
    <w:p>
      <w:pPr>
        <w:pStyle w:val="ManualNumPar1"/>
        <w:rPr>
          <w:noProof/>
        </w:rPr>
      </w:pPr>
      <w:r>
        <w:t>1.</w:t>
      </w:r>
      <w:r>
        <w:tab/>
      </w:r>
      <w:r>
        <w:rPr>
          <w:noProof/>
        </w:rPr>
        <w:t xml:space="preserve">Jäsenvaltioiden on kerättävä ja toimitettava moduulitiedot, jäljempänä ’moduulit’, liitteessä luetteluista aiheista ja yksityiskohtaisista aiheista seuraavilta tutkimusviitevuosilta: </w:t>
      </w:r>
    </w:p>
    <w:p>
      <w:pPr>
        <w:pStyle w:val="Text1"/>
        <w:rPr>
          <w:noProof/>
          <w:color w:val="000000" w:themeColor="text1"/>
        </w:rPr>
      </w:pPr>
      <w:r>
        <w:rPr>
          <w:noProof/>
        </w:rPr>
        <w:t>a) ”Työvoima ja muu ansiotoiminta” -moduuli vuosilta 2020, 2023 ja 2026;</w:t>
      </w:r>
      <w:r>
        <w:rPr>
          <w:noProof/>
          <w:color w:val="000000" w:themeColor="text1"/>
        </w:rPr>
        <w:t xml:space="preserve"> </w:t>
      </w:r>
    </w:p>
    <w:p>
      <w:pPr>
        <w:pStyle w:val="Text1"/>
        <w:ind w:left="414" w:firstLine="436"/>
        <w:rPr>
          <w:noProof/>
          <w:color w:val="000000" w:themeColor="text1"/>
        </w:rPr>
      </w:pPr>
      <w:r>
        <w:rPr>
          <w:noProof/>
          <w:color w:val="000000" w:themeColor="text1"/>
        </w:rPr>
        <w:t>b) ”Maaseudun kehittäminen” -moduuli vuosilta 2020, 2023 ja 2026;</w:t>
      </w:r>
    </w:p>
    <w:p>
      <w:pPr>
        <w:pStyle w:val="Text1"/>
        <w:ind w:left="414" w:firstLine="436"/>
        <w:rPr>
          <w:noProof/>
          <w:color w:val="000000" w:themeColor="text1"/>
        </w:rPr>
      </w:pPr>
      <w:r>
        <w:rPr>
          <w:noProof/>
          <w:color w:val="000000" w:themeColor="text1"/>
        </w:rPr>
        <w:t>c) ”Eläinsuojat ja lannankäsittely” -moduuli vuosilta 2020 ja 2026;</w:t>
      </w:r>
    </w:p>
    <w:p>
      <w:pPr>
        <w:pStyle w:val="Text1"/>
        <w:ind w:left="414" w:firstLine="436"/>
        <w:rPr>
          <w:noProof/>
          <w:color w:val="000000" w:themeColor="text1"/>
        </w:rPr>
      </w:pPr>
      <w:r>
        <w:rPr>
          <w:noProof/>
          <w:color w:val="000000" w:themeColor="text1"/>
        </w:rPr>
        <w:t>d) ”Kastelu”-moduuli vuodelta 2023;</w:t>
      </w:r>
    </w:p>
    <w:p>
      <w:pPr>
        <w:pStyle w:val="Text1"/>
        <w:ind w:left="414" w:firstLine="436"/>
        <w:rPr>
          <w:noProof/>
          <w:color w:val="000000" w:themeColor="text1"/>
        </w:rPr>
      </w:pPr>
      <w:r>
        <w:rPr>
          <w:noProof/>
          <w:color w:val="000000" w:themeColor="text1"/>
        </w:rPr>
        <w:t xml:space="preserve">e) ”Maanhoitokäytännöt”-moduuli vuodelta 2023; </w:t>
      </w:r>
    </w:p>
    <w:p>
      <w:pPr>
        <w:pStyle w:val="Text1"/>
        <w:ind w:left="414" w:firstLine="436"/>
        <w:rPr>
          <w:noProof/>
          <w:color w:val="000000" w:themeColor="text1"/>
        </w:rPr>
      </w:pPr>
      <w:r>
        <w:rPr>
          <w:noProof/>
          <w:color w:val="000000" w:themeColor="text1"/>
        </w:rPr>
        <w:t>f) ”Koneet ja laitteet”-moduuli vuodelta 2023;</w:t>
      </w:r>
    </w:p>
    <w:p>
      <w:pPr>
        <w:pStyle w:val="Text1"/>
        <w:ind w:left="414" w:firstLine="436"/>
        <w:rPr>
          <w:noProof/>
          <w:color w:val="000000" w:themeColor="text1"/>
        </w:rPr>
      </w:pPr>
      <w:r>
        <w:rPr>
          <w:noProof/>
          <w:color w:val="000000" w:themeColor="text1"/>
        </w:rPr>
        <w:t>g) ”Hedelmätarhat”-moduuli vuodelta 2023;</w:t>
      </w:r>
    </w:p>
    <w:p>
      <w:pPr>
        <w:pStyle w:val="Text1"/>
        <w:ind w:left="414" w:firstLine="436"/>
        <w:rPr>
          <w:noProof/>
          <w:color w:val="000000" w:themeColor="text1"/>
        </w:rPr>
      </w:pPr>
      <w:r>
        <w:rPr>
          <w:noProof/>
          <w:color w:val="000000" w:themeColor="text1"/>
        </w:rPr>
        <w:t xml:space="preserve">h) ”Viinitarhat”-moduuli vuodelta 2026. </w:t>
      </w:r>
    </w:p>
    <w:p>
      <w:pPr>
        <w:pStyle w:val="ManualNumPar1"/>
        <w:rPr>
          <w:noProof/>
          <w:color w:val="000000" w:themeColor="text1"/>
        </w:rPr>
      </w:pPr>
      <w:r>
        <w:t>2.</w:t>
      </w:r>
      <w:r>
        <w:tab/>
      </w:r>
      <w:r>
        <w:rPr>
          <w:noProof/>
        </w:rPr>
        <w:t>Näiden tiedonkeruiden piiriin kuuluvat 3 artiklan 2 ja 3 kohdassa tarkoitetut maatilat.</w:t>
      </w:r>
    </w:p>
    <w:p>
      <w:pPr>
        <w:pStyle w:val="ManualNumPar1"/>
        <w:rPr>
          <w:noProof/>
          <w:color w:val="000000" w:themeColor="text1"/>
        </w:rPr>
      </w:pPr>
      <w:r>
        <w:t>3.</w:t>
      </w:r>
      <w:r>
        <w:tab/>
      </w:r>
      <w:r>
        <w:rPr>
          <w:noProof/>
        </w:rPr>
        <w:t>Moduulit voidaan kerätä otantatutkimuksilla. Tällöin jäsenvaltioiden on varmistettava, että painotetut tutkimustulokset ovat maatiloja kullakin alueella tilastollisesti edustavia ja että ne on suunniteltu täyttämään liitteessä V vahvistetut tarkkuusvaatimukset.</w:t>
      </w:r>
    </w:p>
    <w:p>
      <w:pPr>
        <w:pStyle w:val="ManualNumPar1"/>
        <w:rPr>
          <w:noProof/>
          <w:color w:val="000000" w:themeColor="text1"/>
        </w:rPr>
      </w:pPr>
      <w:r>
        <w:t>4.</w:t>
      </w:r>
      <w:r>
        <w:tab/>
      </w:r>
      <w:r>
        <w:rPr>
          <w:noProof/>
        </w:rPr>
        <w:t>Moduulit on kerättävä niiden maatilojen päällekkäisotoksista, joilta on kerätty olennaiset tiedot samalta viitevuodelta.</w:t>
      </w:r>
      <w:r>
        <w:rPr>
          <w:noProof/>
          <w:color w:val="000000" w:themeColor="text1"/>
        </w:rPr>
        <w:t xml:space="preserve"> Kunkin moduuleista tietoa antavan tietueen mukana on joka tapauksessa oltava liitteessä III luetellut olennaiset tiedot.</w:t>
      </w:r>
    </w:p>
    <w:p>
      <w:pPr>
        <w:pStyle w:val="ManualNumPar1"/>
        <w:rPr>
          <w:noProof/>
          <w:color w:val="000000" w:themeColor="text1"/>
        </w:rPr>
      </w:pPr>
      <w:r>
        <w:t>5.</w:t>
      </w:r>
      <w:r>
        <w:tab/>
      </w:r>
      <w:r>
        <w:rPr>
          <w:noProof/>
        </w:rPr>
        <w:t>Jäsenvaltiot, joissa on alle 1 000 hehtaaria jotakin yksittäistä viljelykasvia, jota tarkoitetaan liitteessä IV olevassa ”Hedelmätarhat”-moduulin yksityiskohtaisissa aiheissa ja jota tuotetaan yksinomaan tai pääasiassa markkinoita varten, vapautetaan ”Hedelmätarhat”-moduulin toteuttamisesta kyseisen viljelykasvin osalta.</w:t>
      </w:r>
    </w:p>
    <w:p>
      <w:pPr>
        <w:pStyle w:val="ManualNumPar1"/>
        <w:rPr>
          <w:noProof/>
          <w:color w:val="000000" w:themeColor="text1"/>
        </w:rPr>
      </w:pPr>
      <w:r>
        <w:t>6.</w:t>
      </w:r>
      <w:r>
        <w:tab/>
      </w:r>
      <w:r>
        <w:rPr>
          <w:noProof/>
        </w:rPr>
        <w:t>Jäsenvaltiot, joissa on alle 1 000 hehtaaria viinitarhoja, joihin on istutettu viinin valmistukseen tarkoitettuja viinirypäleitä tuottavia viiniköynnöksiä ja jotka tuottavat yksinomaan tai pääasiassa markkinoita varten, vapautetaan ”Viinitarhat”-moduulin toteuttamisesta.</w:t>
      </w:r>
    </w:p>
    <w:p>
      <w:pPr>
        <w:pStyle w:val="ManualNumPar1"/>
        <w:rPr>
          <w:noProof/>
          <w:color w:val="000000" w:themeColor="text1"/>
        </w:rPr>
      </w:pPr>
      <w:r>
        <w:t>7.</w:t>
      </w:r>
      <w:r>
        <w:tab/>
      </w:r>
      <w:r>
        <w:rPr>
          <w:noProof/>
        </w:rPr>
        <w:t>Jäsenvaltiot, joissa käytössä olevasta maatalousmaasta alle 2 prosenttia on kasteltua aluetta ja joissa ei ole NUTS 2 -tason alueita, joilla käytössä olevasta maatalousmaasta vähintään 5 prosenttia on kasteltua aluetta, vapautetaan ”Kastelu”-moduulin toteuttamisesta.</w:t>
      </w:r>
    </w:p>
    <w:p>
      <w:pPr>
        <w:pStyle w:val="ManualNumPar1"/>
        <w:rPr>
          <w:noProof/>
        </w:rPr>
      </w:pPr>
      <w:r>
        <w:t>8.</w:t>
      </w:r>
      <w:r>
        <w:tab/>
      </w:r>
      <w:r>
        <w:rPr>
          <w:noProof/>
        </w:rPr>
        <w:t>Jäsenvaltioiden on ilmoitettava komissiolle (Eurostatille) 5, 6 ja 7 kohdassa tarkoitetuista tapauksista tutkimuksen viitevuotta edeltävän vuoden kesäkuun loppuun mennessä.</w:t>
      </w:r>
    </w:p>
    <w:p>
      <w:pPr>
        <w:pStyle w:val="ManualNumPar1"/>
        <w:rPr>
          <w:noProof/>
        </w:rPr>
      </w:pPr>
      <w:r>
        <w:t>9.</w:t>
      </w:r>
      <w:r>
        <w:tab/>
      </w:r>
      <w:r>
        <w:rPr>
          <w:noProof/>
        </w:rPr>
        <w:t>Jos ominaisuustiedon esiintyvyys jäsenvaltiossa on alhainen tai nolla, se voidaan jättää pois tiedonkeruusta, edellyttäen että komissiolle (Eurostatille) toimitetaan tutkimuksen viitevuotta edeltävän kalenterivuoden aikana asianmukaisesti perustellut tiedot sen poisjättämisestä.</w:t>
      </w:r>
    </w:p>
    <w:p>
      <w:pPr>
        <w:pStyle w:val="Titrearticle"/>
        <w:rPr>
          <w:noProof/>
        </w:rPr>
      </w:pPr>
      <w:r>
        <w:rPr>
          <w:noProof/>
        </w:rPr>
        <w:t>8 artikla</w:t>
      </w:r>
    </w:p>
    <w:p>
      <w:pPr>
        <w:keepNext/>
        <w:spacing w:before="75" w:after="75"/>
        <w:jc w:val="center"/>
        <w:outlineLvl w:val="0"/>
        <w:rPr>
          <w:b/>
          <w:noProof/>
        </w:rPr>
      </w:pPr>
      <w:r>
        <w:rPr>
          <w:b/>
          <w:noProof/>
        </w:rPr>
        <w:t>Moduulitietoja koskevat tekniset eritelmät</w:t>
      </w:r>
    </w:p>
    <w:p>
      <w:pPr>
        <w:pStyle w:val="ManualNumPar1"/>
        <w:rPr>
          <w:noProof/>
          <w:szCs w:val="24"/>
        </w:rPr>
      </w:pPr>
      <w:r>
        <w:t>1.</w:t>
      </w:r>
      <w:r>
        <w:tab/>
      </w:r>
      <w:r>
        <w:rPr>
          <w:noProof/>
        </w:rPr>
        <w:t>Siirretään komissiolle valta antaa täytäntöönpanosäädöksiä, joissa täsmennetään kustakin moduulista toimitettavien tietojen seuraavat tekniset osatekijät ja liitteessä IV luetellut vastaavat aiheet ja yksityiskohtaiset aiheet:</w:t>
      </w:r>
    </w:p>
    <w:p>
      <w:pPr>
        <w:pStyle w:val="Text1"/>
        <w:rPr>
          <w:noProof/>
        </w:rPr>
      </w:pPr>
      <w:r>
        <w:rPr>
          <w:noProof/>
        </w:rPr>
        <w:t>a) luettelo ominaisuustiedoista ja vastaavista mittayksiköistä;</w:t>
      </w:r>
    </w:p>
    <w:p>
      <w:pPr>
        <w:pStyle w:val="Text1"/>
        <w:rPr>
          <w:noProof/>
        </w:rPr>
      </w:pPr>
      <w:r>
        <w:rPr>
          <w:noProof/>
        </w:rPr>
        <w:t>b) ominaisuustietojen kuvaukset.</w:t>
      </w:r>
    </w:p>
    <w:p>
      <w:pPr>
        <w:pStyle w:val="ManualNumPar1"/>
        <w:rPr>
          <w:noProof/>
        </w:rPr>
      </w:pPr>
      <w:r>
        <w:t>2.</w:t>
      </w:r>
      <w:r>
        <w:tab/>
      </w:r>
      <w:r>
        <w:rPr>
          <w:noProof/>
        </w:rPr>
        <w:t>Nämä täytäntöönpanosäädökset annetaan 17 artiklan 2 kohdassa tarkoitettua tarkastelumenettelyä noudattaen viimeistään [Publications Office, please insert the exact date: entry into force of this Regulation+6 months, or 31 December 2018, whichever is the latest] tutkimuksen viitevuoden 2020 osalta, viimeistään 31 päivänä joulukuuta 2021 tutkimuksen viitevuoden 2023 osalta ja viimeistään 31 päivänä joulukuuta 2024 tutkimuksen viitevuoden 2026 osalta.</w:t>
      </w:r>
    </w:p>
    <w:p>
      <w:pPr>
        <w:pStyle w:val="ManualNumPar1"/>
        <w:rPr>
          <w:noProof/>
        </w:rPr>
      </w:pPr>
      <w:r>
        <w:t>3.</w:t>
      </w:r>
      <w:r>
        <w:tab/>
      </w:r>
      <w:r>
        <w:rPr>
          <w:noProof/>
        </w:rPr>
        <w:t>Siirretään komissiolle valta antaa delegoituja säädöksiä 16 artiklan mukaisesti liitteessä IV lueteltujen yksityiskohtaisten aiheiden muutoksista vuosina 2023 ja 2026. Harjoittaessaan tätä valtaa komission on varmistettava, että tällaisilla delegoiduilla säädöksillä ei aiheuteta merkittävää lisärasitetta tai -kustannuksia jäsenvaltioille tai vastaajille ja että enintään 25 prosenttia – pyöristettynä lähimpään kokonaislukuun – liitteessä IV luetteluista yksityiskohtaisista aiheista kunkin moduulin osalta muutetaan delegoiduilla säädöksillä.</w:t>
      </w:r>
    </w:p>
    <w:p>
      <w:pPr>
        <w:pStyle w:val="ManualNumPar1"/>
        <w:rPr>
          <w:noProof/>
        </w:rPr>
      </w:pPr>
      <w:r>
        <w:t>4.</w:t>
      </w:r>
      <w:r>
        <w:tab/>
      </w:r>
      <w:r>
        <w:rPr>
          <w:noProof/>
        </w:rPr>
        <w:t>Nämä delegoidut säädökset on annettava 30 päivään syyskuuta 2021 mennessä tutkimusviitevuoden 2023 osalta ja 30 päivään syyskuuta 2024 mennessä tutkimusviitevuoden 2026 osalta.</w:t>
      </w:r>
    </w:p>
    <w:p>
      <w:pPr>
        <w:pStyle w:val="Titrearticle"/>
        <w:rPr>
          <w:noProof/>
        </w:rPr>
      </w:pPr>
      <w:r>
        <w:rPr>
          <w:noProof/>
        </w:rPr>
        <w:t>9 artikla</w:t>
      </w:r>
    </w:p>
    <w:p>
      <w:pPr>
        <w:spacing w:before="75" w:after="75"/>
        <w:jc w:val="center"/>
        <w:outlineLvl w:val="0"/>
        <w:rPr>
          <w:b/>
          <w:noProof/>
        </w:rPr>
      </w:pPr>
      <w:r>
        <w:rPr>
          <w:b/>
          <w:noProof/>
        </w:rPr>
        <w:t xml:space="preserve">Kertaluonteiset tiedot </w:t>
      </w:r>
    </w:p>
    <w:p>
      <w:pPr>
        <w:pStyle w:val="ManualNumPar1"/>
        <w:rPr>
          <w:noProof/>
        </w:rPr>
      </w:pPr>
      <w:r>
        <w:t>1.</w:t>
      </w:r>
      <w:r>
        <w:tab/>
      </w:r>
      <w:r>
        <w:rPr>
          <w:noProof/>
        </w:rPr>
        <w:t>Siirretään komissiolle valta antaa täytäntöönpanosäädöksiä toimitettavien kertaluonteisten tietojen täsmentämiseksi säätämällä seuraavista:</w:t>
      </w:r>
    </w:p>
    <w:p>
      <w:pPr>
        <w:pStyle w:val="Text1"/>
        <w:rPr>
          <w:noProof/>
        </w:rPr>
      </w:pPr>
      <w:r>
        <w:rPr>
          <w:noProof/>
        </w:rPr>
        <w:t>a) luettelo komissiolle (Eurostatille) toimitettavista ominaisuustiedoista, joissa on enintään 40 muuttujaa, ja vastaavista mittayksiköistä;</w:t>
      </w:r>
    </w:p>
    <w:p>
      <w:pPr>
        <w:pStyle w:val="Text1"/>
        <w:rPr>
          <w:noProof/>
        </w:rPr>
      </w:pPr>
      <w:r>
        <w:rPr>
          <w:noProof/>
        </w:rPr>
        <w:t>b) ominaisuustietojen kuvaukset;</w:t>
      </w:r>
    </w:p>
    <w:p>
      <w:pPr>
        <w:pStyle w:val="Text1"/>
        <w:rPr>
          <w:noProof/>
        </w:rPr>
      </w:pPr>
      <w:r>
        <w:rPr>
          <w:noProof/>
        </w:rPr>
        <w:t>c) tarkkuusvaatimukset;</w:t>
      </w:r>
    </w:p>
    <w:p>
      <w:pPr>
        <w:pStyle w:val="Text1"/>
        <w:tabs>
          <w:tab w:val="center" w:pos="4961"/>
        </w:tabs>
        <w:rPr>
          <w:noProof/>
        </w:rPr>
      </w:pPr>
      <w:r>
        <w:rPr>
          <w:noProof/>
        </w:rPr>
        <w:t xml:space="preserve">d) tutkimuksen viitevuosi; </w:t>
      </w:r>
    </w:p>
    <w:p>
      <w:pPr>
        <w:pStyle w:val="Text1"/>
        <w:tabs>
          <w:tab w:val="center" w:pos="4961"/>
        </w:tabs>
        <w:rPr>
          <w:noProof/>
        </w:rPr>
      </w:pPr>
      <w:r>
        <w:rPr>
          <w:noProof/>
        </w:rPr>
        <w:t xml:space="preserve">e) viitejaksot; </w:t>
      </w:r>
    </w:p>
    <w:p>
      <w:pPr>
        <w:pStyle w:val="Text1"/>
        <w:rPr>
          <w:noProof/>
        </w:rPr>
      </w:pPr>
      <w:r>
        <w:rPr>
          <w:noProof/>
        </w:rPr>
        <w:t>f) mahdolliset tietolähteet ja muut menetelmään liittyvät näkökohdat;</w:t>
      </w:r>
    </w:p>
    <w:p>
      <w:pPr>
        <w:pStyle w:val="Text1"/>
        <w:rPr>
          <w:noProof/>
        </w:rPr>
      </w:pPr>
      <w:r>
        <w:rPr>
          <w:noProof/>
        </w:rPr>
        <w:t>g) toimituspäivät.</w:t>
      </w:r>
    </w:p>
    <w:p>
      <w:pPr>
        <w:pStyle w:val="ManualNumPar1"/>
        <w:rPr>
          <w:noProof/>
        </w:rPr>
      </w:pPr>
      <w:r>
        <w:t>2.</w:t>
      </w:r>
      <w:r>
        <w:tab/>
      </w:r>
      <w:r>
        <w:rPr>
          <w:noProof/>
        </w:rPr>
        <w:t>Nämä täytäntöönpanosäädökset annetaan 17 artiklan 2 kohdassa tarkoitettua tarkastelumenettelyä noudattaen viimeistään 12 kuukautta ennen tutkimuksen viitevuoden alkua.</w:t>
      </w:r>
    </w:p>
    <w:p>
      <w:pPr>
        <w:pStyle w:val="Titrearticle"/>
        <w:rPr>
          <w:noProof/>
        </w:rPr>
      </w:pPr>
      <w:r>
        <w:rPr>
          <w:noProof/>
        </w:rPr>
        <w:t>10 artikla</w:t>
      </w:r>
    </w:p>
    <w:p>
      <w:pPr>
        <w:spacing w:before="75" w:after="75"/>
        <w:jc w:val="center"/>
        <w:outlineLvl w:val="0"/>
        <w:rPr>
          <w:b/>
          <w:noProof/>
        </w:rPr>
      </w:pPr>
      <w:r>
        <w:rPr>
          <w:b/>
          <w:noProof/>
        </w:rPr>
        <w:t>Viitejaksot</w:t>
      </w:r>
    </w:p>
    <w:p>
      <w:pPr>
        <w:spacing w:before="75" w:after="75"/>
        <w:ind w:left="720"/>
        <w:outlineLvl w:val="0"/>
        <w:rPr>
          <w:noProof/>
        </w:rPr>
      </w:pPr>
      <w:r>
        <w:rPr>
          <w:noProof/>
        </w:rPr>
        <w:t xml:space="preserve">Tiedot on kerättävä yhdeltä viitevuodelta, joka on yhteinen kaikille jäsenvaltioille, ja niissä on viitattava tilanteeseen tietyn ajanjakson aikana seuraavasti: </w:t>
      </w:r>
    </w:p>
    <w:p>
      <w:pPr>
        <w:spacing w:before="75" w:after="75"/>
        <w:ind w:left="709"/>
        <w:outlineLvl w:val="0"/>
        <w:rPr>
          <w:noProof/>
        </w:rPr>
      </w:pPr>
      <w:r>
        <w:rPr>
          <w:noProof/>
        </w:rPr>
        <w:t xml:space="preserve">a) Maatalousmaata koskevien ominaisuustietojen osalta: i) maan pääasiallisen käytön on viitattava tutkimuksen viitevuoteen; ii) kunkin jäsenvaltion on vahvistettava tutkimuksen viitevuoteen kuuluva viitepäivä viljelylohkojen tunnistamista varten. </w:t>
      </w:r>
    </w:p>
    <w:p>
      <w:pPr>
        <w:spacing w:before="75" w:after="75"/>
        <w:ind w:left="709"/>
        <w:outlineLvl w:val="0"/>
        <w:rPr>
          <w:noProof/>
        </w:rPr>
      </w:pPr>
      <w:r>
        <w:rPr>
          <w:noProof/>
        </w:rPr>
        <w:t xml:space="preserve">b) Kastelu- ja maanhoitokäytäntöjä koskevien ominaisuustietojen osalta viitejakso on 12 kuukauden jakso, joka päättyy tutkimuksen viitevuoden aikana ja jonka kukin jäsenvaltio vahvistaa tuotantosyklien kattamiseksi. </w:t>
      </w:r>
    </w:p>
    <w:p>
      <w:pPr>
        <w:spacing w:before="75" w:after="75"/>
        <w:ind w:left="709"/>
        <w:outlineLvl w:val="0"/>
        <w:rPr>
          <w:noProof/>
        </w:rPr>
      </w:pPr>
      <w:r>
        <w:rPr>
          <w:noProof/>
        </w:rPr>
        <w:t xml:space="preserve">c) Kotieläimiä, eläinsuojia ja lannankäsittelyä koskevien ominaisuustietojen osalta kunkin jäsenvaltion on vahvistettava tutkimuksen viitevuoteen kuuluva yhteinen viitepäivä. Lannankäsittelyä koskevat ominaisuustiedot viittaavat kyseisenä päivänä päättyvään 12 kuukauden jaksoon. </w:t>
      </w:r>
    </w:p>
    <w:p>
      <w:pPr>
        <w:spacing w:before="75" w:after="75"/>
        <w:ind w:left="709"/>
        <w:outlineLvl w:val="0"/>
        <w:rPr>
          <w:noProof/>
        </w:rPr>
      </w:pPr>
      <w:r>
        <w:rPr>
          <w:noProof/>
        </w:rPr>
        <w:t>d) Työvoimaa koskevien ominaisuustietojen osalta kunkin jäsenvaltion on vahvistettava 12 kuukauden viitejakso, joka päättyy tutkimuksen viitevuoteen kuuluvaan yhteiseen viitepäivään.</w:t>
      </w:r>
    </w:p>
    <w:p>
      <w:pPr>
        <w:spacing w:before="75" w:after="75"/>
        <w:ind w:left="709"/>
        <w:outlineLvl w:val="0"/>
        <w:rPr>
          <w:noProof/>
        </w:rPr>
      </w:pPr>
      <w:r>
        <w:rPr>
          <w:noProof/>
        </w:rPr>
        <w:t>e) Yksittäisillä maatiloilla toteutettuja maaseudun kehittämistoimia koskevien ominaisuustoimien osalta viitejakso on kolmen vuoden jakso, joka päättyy 31 päivänä joulukuuta tutkimuksen viitevuotena.</w:t>
      </w:r>
    </w:p>
    <w:p>
      <w:pPr>
        <w:pStyle w:val="ManualHeading4"/>
        <w:keepNext w:val="0"/>
        <w:tabs>
          <w:tab w:val="clear" w:pos="850"/>
          <w:tab w:val="left" w:pos="0"/>
        </w:tabs>
        <w:ind w:left="709" w:firstLine="0"/>
        <w:rPr>
          <w:noProof/>
        </w:rPr>
      </w:pPr>
      <w:bookmarkStart w:id="23" w:name="_Toc456620201"/>
      <w:r>
        <w:rPr>
          <w:noProof/>
        </w:rPr>
        <w:t>f) Kaikkien muiden ominaisuustietojen osalta kunkin jäsenvaltion on vahvistettava tutkimuksen viitevuoteen kuuluva yhteinen viitepäivä.</w:t>
      </w:r>
      <w:bookmarkEnd w:id="23"/>
    </w:p>
    <w:p>
      <w:pPr>
        <w:pStyle w:val="Titrearticle"/>
        <w:rPr>
          <w:noProof/>
        </w:rPr>
      </w:pPr>
      <w:r>
        <w:rPr>
          <w:noProof/>
        </w:rPr>
        <w:t>11 artikla</w:t>
      </w:r>
    </w:p>
    <w:p>
      <w:pPr>
        <w:spacing w:before="75" w:after="75"/>
        <w:jc w:val="center"/>
        <w:outlineLvl w:val="0"/>
        <w:rPr>
          <w:b/>
          <w:noProof/>
        </w:rPr>
      </w:pPr>
      <w:r>
        <w:rPr>
          <w:b/>
          <w:noProof/>
        </w:rPr>
        <w:t>Laatu</w:t>
      </w:r>
    </w:p>
    <w:p>
      <w:pPr>
        <w:pStyle w:val="ManualNumPar1"/>
        <w:rPr>
          <w:noProof/>
        </w:rPr>
      </w:pPr>
      <w:r>
        <w:t>1.</w:t>
      </w:r>
      <w:r>
        <w:tab/>
      </w:r>
      <w:r>
        <w:rPr>
          <w:noProof/>
        </w:rPr>
        <w:t>Jäsenvaltioiden on toteutettava tarvittavat toimenpiteet toimitettujen tietojen ja metatietojen laadun varmistamiseksi.</w:t>
      </w:r>
    </w:p>
    <w:p>
      <w:pPr>
        <w:pStyle w:val="ManualNumPar1"/>
        <w:rPr>
          <w:noProof/>
        </w:rPr>
      </w:pPr>
      <w:r>
        <w:t>2.</w:t>
      </w:r>
      <w:r>
        <w:tab/>
      </w:r>
      <w:r>
        <w:rPr>
          <w:noProof/>
        </w:rPr>
        <w:t>Tässä asetuksessa sovelletaan asetuksen (EY) N:o 223/2009 12 artiklan 1 kohdassa määriteltyjä laatukriteereitä.</w:t>
      </w:r>
    </w:p>
    <w:p>
      <w:pPr>
        <w:pStyle w:val="ManualNumPar1"/>
        <w:rPr>
          <w:noProof/>
        </w:rPr>
      </w:pPr>
      <w:r>
        <w:t>3.</w:t>
      </w:r>
      <w:r>
        <w:tab/>
      </w:r>
      <w:r>
        <w:rPr>
          <w:noProof/>
        </w:rPr>
        <w:t>Komissio (Eurostat) arvioi toimitettujen tietojen ja metatietojen laadun.</w:t>
      </w:r>
    </w:p>
    <w:p>
      <w:pPr>
        <w:pStyle w:val="ManualNumPar1"/>
        <w:rPr>
          <w:noProof/>
          <w:color w:val="000000" w:themeColor="text1"/>
        </w:rPr>
      </w:pPr>
      <w:r>
        <w:t>4.</w:t>
      </w:r>
      <w:r>
        <w:tab/>
      </w:r>
      <w:r>
        <w:rPr>
          <w:noProof/>
        </w:rPr>
        <w:t>Tätä varten jäsenvaltioiden on toimitettava kultakin tämän asetuksen piiriin kuuluvalta tutkimuksen viitevuodelta laaturaportti, jossa kuvataan tilastoprosessi ja erityisesti seuraavat:</w:t>
      </w:r>
    </w:p>
    <w:p>
      <w:pPr>
        <w:pStyle w:val="Text1"/>
        <w:rPr>
          <w:noProof/>
        </w:rPr>
      </w:pPr>
      <w:r>
        <w:rPr>
          <w:noProof/>
        </w:rPr>
        <w:t>a) 2 kohdassa tarkoitetut laatuperusteet;</w:t>
      </w:r>
    </w:p>
    <w:p>
      <w:pPr>
        <w:pStyle w:val="Text1"/>
        <w:rPr>
          <w:noProof/>
        </w:rPr>
      </w:pPr>
      <w:r>
        <w:rPr>
          <w:noProof/>
        </w:rPr>
        <w:t>b) tässä asetuksessa täsmennettyjen kattavuusvaatimusten täyttämiseksi sovelletut sisällyttämis- ja poissulkemisperusteet;</w:t>
      </w:r>
    </w:p>
    <w:p>
      <w:pPr>
        <w:pStyle w:val="Text1"/>
        <w:rPr>
          <w:noProof/>
        </w:rPr>
      </w:pPr>
      <w:r>
        <w:rPr>
          <w:noProof/>
        </w:rPr>
        <w:t>c) sovellettu organisointi ja sovelletut menetelmät;</w:t>
      </w:r>
    </w:p>
    <w:p>
      <w:pPr>
        <w:pStyle w:val="Text1"/>
        <w:rPr>
          <w:noProof/>
        </w:rPr>
      </w:pPr>
      <w:r>
        <w:rPr>
          <w:noProof/>
        </w:rPr>
        <w:t>d) tutkimusten otantakehikko;</w:t>
      </w:r>
    </w:p>
    <w:p>
      <w:pPr>
        <w:pStyle w:val="Text1"/>
        <w:rPr>
          <w:noProof/>
        </w:rPr>
      </w:pPr>
      <w:r>
        <w:rPr>
          <w:noProof/>
        </w:rPr>
        <w:t>e) otantatutkimusten osalta saavutettu tarkkuustaso;</w:t>
      </w:r>
    </w:p>
    <w:p>
      <w:pPr>
        <w:pStyle w:val="Text1"/>
        <w:rPr>
          <w:noProof/>
        </w:rPr>
      </w:pPr>
      <w:r>
        <w:rPr>
          <w:noProof/>
        </w:rPr>
        <w:t>f) viitejaksot 10 artiklan mukaisesti;</w:t>
      </w:r>
      <w:r>
        <w:rPr>
          <w:noProof/>
        </w:rPr>
        <w:tab/>
      </w:r>
    </w:p>
    <w:p>
      <w:pPr>
        <w:pStyle w:val="Text1"/>
        <w:rPr>
          <w:noProof/>
        </w:rPr>
      </w:pPr>
      <w:r>
        <w:rPr>
          <w:noProof/>
        </w:rPr>
        <w:t>g) tietolähteiden laatua koskevat tiedot, muut kuin käytetyt tilastotutkimukset;</w:t>
      </w:r>
    </w:p>
    <w:p>
      <w:pPr>
        <w:pStyle w:val="Text1"/>
        <w:jc w:val="left"/>
        <w:rPr>
          <w:noProof/>
        </w:rPr>
      </w:pPr>
      <w:r>
        <w:rPr>
          <w:noProof/>
        </w:rPr>
        <w:t xml:space="preserve">h) tiedot jäsenvaltioiden toteuttamasta tietojen validoinnista ennen tietojoukon toimittamista komissiolle (Eurostatille). </w:t>
      </w:r>
    </w:p>
    <w:p>
      <w:pPr>
        <w:pStyle w:val="Text1"/>
        <w:rPr>
          <w:noProof/>
        </w:rPr>
      </w:pPr>
      <w:r>
        <w:rPr>
          <w:noProof/>
        </w:rPr>
        <w:t xml:space="preserve">Komissiolle siirretään valta antaa täytäntöönpanosäädöksiä, joissa täsmennetään laaturaportteja koskevat yksityiskohtaiset säännöt ja niiden sisältö. Kyseiset täytäntöönpanosäädökset hyväksytään 17 artiklan 2 kohdassa tarkoitettua tarkastelumenettelyä noudattaen. </w:t>
      </w:r>
    </w:p>
    <w:p>
      <w:pPr>
        <w:pStyle w:val="ManualNumPar1"/>
        <w:rPr>
          <w:noProof/>
        </w:rPr>
      </w:pPr>
      <w:r>
        <w:t>5.</w:t>
      </w:r>
      <w:r>
        <w:tab/>
      </w:r>
      <w:r>
        <w:rPr>
          <w:noProof/>
        </w:rPr>
        <w:t xml:space="preserve">Jäsenvaltioiden on ilmoitettava komissiolle (Eurostatille) mahdollisimman pian kaikki tämän asetuksen täytäntöönpanon kannalta merkitykselliset tiedot ja muutokset, jotka voivat vaikuttaa toimitettavien tietojen laatuun. </w:t>
      </w:r>
    </w:p>
    <w:p>
      <w:pPr>
        <w:pStyle w:val="ManualNumPar1"/>
        <w:rPr>
          <w:noProof/>
        </w:rPr>
      </w:pPr>
      <w:r>
        <w:t>6.</w:t>
      </w:r>
      <w:r>
        <w:tab/>
      </w:r>
      <w:r>
        <w:rPr>
          <w:noProof/>
        </w:rPr>
        <w:t>Jäsenvaltioiden on komission (Eurostat) pyynnöstä toimitettava sille kaikki tilastotietojen laadun arviointia varten tarvittavat tiedot.</w:t>
      </w:r>
    </w:p>
    <w:p>
      <w:pPr>
        <w:pStyle w:val="Titrearticle"/>
        <w:rPr>
          <w:noProof/>
        </w:rPr>
      </w:pPr>
      <w:r>
        <w:rPr>
          <w:noProof/>
        </w:rPr>
        <w:t>12 artikla</w:t>
      </w:r>
    </w:p>
    <w:p>
      <w:pPr>
        <w:spacing w:before="75" w:after="75"/>
        <w:jc w:val="center"/>
        <w:outlineLvl w:val="0"/>
        <w:rPr>
          <w:b/>
          <w:noProof/>
          <w:color w:val="000000" w:themeColor="text1"/>
        </w:rPr>
      </w:pPr>
      <w:r>
        <w:rPr>
          <w:b/>
          <w:noProof/>
          <w:color w:val="000000" w:themeColor="text1"/>
        </w:rPr>
        <w:t xml:space="preserve">Tietojen ja metatietojen toimittaminen </w:t>
      </w:r>
    </w:p>
    <w:p>
      <w:pPr>
        <w:pStyle w:val="ManualNumPar1"/>
        <w:rPr>
          <w:noProof/>
        </w:rPr>
      </w:pPr>
      <w:r>
        <w:t>1.</w:t>
      </w:r>
      <w:r>
        <w:tab/>
      </w:r>
      <w:r>
        <w:rPr>
          <w:noProof/>
        </w:rPr>
        <w:t xml:space="preserve">Jäsenvaltioiden on toimitettava tutkimuksen viitevuoden 2020 osalta validoidut olennaiset ja moduulitiedot ja laaturaportti komissiolle (Eurostatille) 15 kuukauden kuluessa tutkimuksen viitevuoden päättymisestä. </w:t>
      </w:r>
    </w:p>
    <w:p>
      <w:pPr>
        <w:pStyle w:val="ManualNumPar1"/>
        <w:rPr>
          <w:noProof/>
          <w:color w:val="000000" w:themeColor="text1"/>
        </w:rPr>
      </w:pPr>
      <w:r>
        <w:t>2.</w:t>
      </w:r>
      <w:r>
        <w:tab/>
      </w:r>
      <w:r>
        <w:rPr>
          <w:noProof/>
        </w:rPr>
        <w:t>Jäsenvaltioiden on toimitettava tutkimuksen viitevuosien 2023 ja 2026 osalta validoidut olennaiset tiedot, työvoimaa ja muuta ansiotoimintaa koskevat moduulitiedot ja laaturaportti komissiolle (Eurostatille) 9 kuukauden kuluessa tutkimuksen viitevuoden päättymisestä.</w:t>
      </w:r>
      <w:r>
        <w:rPr>
          <w:noProof/>
          <w:color w:val="000000" w:themeColor="text1"/>
        </w:rPr>
        <w:t xml:space="preserve"> Muita moduuleja koskevat tiedot ja niihin liittyvät metatiedot on toimitettava 12 kuukauden kuluessa tutkimuksen viitevuoden päättymisestä.</w:t>
      </w:r>
    </w:p>
    <w:p>
      <w:pPr>
        <w:pStyle w:val="ManualNumPar1"/>
        <w:rPr>
          <w:noProof/>
          <w:color w:val="000000" w:themeColor="text1"/>
        </w:rPr>
      </w:pPr>
      <w:r>
        <w:t>3.</w:t>
      </w:r>
      <w:r>
        <w:tab/>
      </w:r>
      <w:r>
        <w:rPr>
          <w:noProof/>
          <w:color w:val="000000" w:themeColor="text1"/>
        </w:rPr>
        <w:t xml:space="preserve">Komissiolle (Eurostatille) toimitettavien tietojen on oltava yksittäisten maatilojen tasolla. </w:t>
      </w:r>
      <w:r>
        <w:rPr>
          <w:noProof/>
        </w:rPr>
        <w:t>Moduuli- ja kertaluonteiset tiedot on liitettävä liitteessä III lueteltuihin olennaisiin tietoihin yksittäisten maatilojen tasolla samalta viitevuodelta.</w:t>
      </w:r>
      <w:r>
        <w:rPr>
          <w:noProof/>
          <w:color w:val="000000" w:themeColor="text1"/>
        </w:rPr>
        <w:t xml:space="preserve"> Toimitettuihin tietueisiin on sisällyttävä ekstrapolointikertoimet.</w:t>
      </w:r>
    </w:p>
    <w:p>
      <w:pPr>
        <w:pStyle w:val="ManualNumPar1"/>
        <w:rPr>
          <w:noProof/>
        </w:rPr>
      </w:pPr>
      <w:r>
        <w:t>4.</w:t>
      </w:r>
      <w:r>
        <w:tab/>
      </w:r>
      <w:r>
        <w:rPr>
          <w:noProof/>
        </w:rPr>
        <w:t xml:space="preserve">Jäsenvaltioiden on toimitettava tiedot ja metatiedot komission (Eurostatin) täsmentämässä teknisessä muodossa. Tiedot ja metatiedot on toimitettava komissiolle (Eurostatille) keskitetyn vastaanottopisteen kautta. </w:t>
      </w:r>
    </w:p>
    <w:p>
      <w:pPr>
        <w:pStyle w:val="Titrearticle"/>
        <w:rPr>
          <w:noProof/>
        </w:rPr>
      </w:pPr>
      <w:r>
        <w:rPr>
          <w:noProof/>
        </w:rPr>
        <w:t>13 artikla</w:t>
      </w:r>
    </w:p>
    <w:p>
      <w:pPr>
        <w:spacing w:before="75" w:after="75"/>
        <w:jc w:val="center"/>
        <w:rPr>
          <w:b/>
          <w:noProof/>
          <w:color w:val="000000" w:themeColor="text1"/>
        </w:rPr>
      </w:pPr>
      <w:r>
        <w:rPr>
          <w:b/>
          <w:noProof/>
          <w:color w:val="000000" w:themeColor="text1"/>
        </w:rPr>
        <w:t>Unionin rahoitusosuus</w:t>
      </w:r>
    </w:p>
    <w:p>
      <w:pPr>
        <w:pStyle w:val="ManualNumPar1"/>
        <w:rPr>
          <w:noProof/>
        </w:rPr>
      </w:pPr>
      <w:r>
        <w:t>1.</w:t>
      </w:r>
      <w:r>
        <w:tab/>
      </w:r>
      <w:r>
        <w:rPr>
          <w:noProof/>
        </w:rPr>
        <w:t>Unioni voi myöntää tämän asetuksen täytäntöönpanoa varten avustuksia kansallisille tilastolaitoksille tai muille asetuksen (EY) N:o 223/2009 5 artiklan 2 kohdassa tarkoitetuille kansallisille viranomaisille seuraaviin tarkoituksiin:</w:t>
      </w:r>
    </w:p>
    <w:p>
      <w:pPr>
        <w:pStyle w:val="Text1"/>
        <w:rPr>
          <w:noProof/>
        </w:rPr>
      </w:pPr>
      <w:r>
        <w:rPr>
          <w:noProof/>
        </w:rPr>
        <w:t>a)</w:t>
      </w:r>
      <w:r>
        <w:rPr>
          <w:noProof/>
        </w:rPr>
        <w:tab/>
        <w:t xml:space="preserve">tietovaatimusten kehittäminen tai täytäntöönpano tai molemmat; </w:t>
      </w:r>
    </w:p>
    <w:p>
      <w:pPr>
        <w:pStyle w:val="Text1"/>
        <w:rPr>
          <w:noProof/>
        </w:rPr>
      </w:pPr>
      <w:r>
        <w:rPr>
          <w:noProof/>
        </w:rPr>
        <w:t>b)</w:t>
      </w:r>
      <w:r>
        <w:rPr>
          <w:noProof/>
        </w:rPr>
        <w:tab/>
        <w:t>sellaisten menetelmien kehittäminen, joilla pyritään parantamaan laatua tai alentamaan kustannuksia ja hallinnollista rasitetta integroitujen maatilatilastojen keräämiseen ja tuottamiseen liittyen tai molempia.</w:t>
      </w:r>
    </w:p>
    <w:p>
      <w:pPr>
        <w:pStyle w:val="ManualNumPar1"/>
        <w:rPr>
          <w:noProof/>
        </w:rPr>
      </w:pPr>
      <w:r>
        <w:t>2.</w:t>
      </w:r>
      <w:r>
        <w:tab/>
      </w:r>
      <w:r>
        <w:rPr>
          <w:noProof/>
        </w:rPr>
        <w:t>Jäsenvaltiot voivat saada unionilta avustuksia kattaakseen 5, 6 ja 7 artiklassa täsmennetyistä tiedonkeruista aiheutuvat kustannukset 14 artiklassa täsmennettyjen määrärahojen puitteissa.</w:t>
      </w:r>
    </w:p>
    <w:p>
      <w:pPr>
        <w:pStyle w:val="ManualNumPar1"/>
        <w:rPr>
          <w:noProof/>
          <w:color w:val="000000" w:themeColor="text1"/>
        </w:rPr>
      </w:pPr>
      <w:r>
        <w:t>3.</w:t>
      </w:r>
      <w:r>
        <w:tab/>
      </w:r>
      <w:r>
        <w:rPr>
          <w:noProof/>
        </w:rPr>
        <w:t>Unionin rahoitusosuus on enintään 75 prosenttia tukikelpoisista kustannuksista ottaen huomioon 4 ja 5 kohdassa täsmennetyt enimmäismäärät.</w:t>
      </w:r>
    </w:p>
    <w:p>
      <w:pPr>
        <w:pStyle w:val="ManualNumPar1"/>
        <w:rPr>
          <w:noProof/>
        </w:rPr>
      </w:pPr>
      <w:r>
        <w:t>4.</w:t>
      </w:r>
      <w:r>
        <w:tab/>
      </w:r>
      <w:r>
        <w:rPr>
          <w:noProof/>
        </w:rPr>
        <w:t>Vuoden 2020 olennaisten ja moduulitietojen keruiden yhdistettyjen kustannusten osalta unionin rahoitusosuus rajoitetaan jäljempänä esitettyihin enimmäismääriin:</w:t>
      </w:r>
    </w:p>
    <w:p>
      <w:pPr>
        <w:pStyle w:val="Text1"/>
        <w:rPr>
          <w:noProof/>
        </w:rPr>
      </w:pPr>
      <w:r>
        <w:rPr>
          <w:noProof/>
        </w:rPr>
        <w:t>a) 50 000 euroa Luxemburgille ja Maltalle kummallekin;</w:t>
      </w:r>
    </w:p>
    <w:p>
      <w:pPr>
        <w:pStyle w:val="Text1"/>
        <w:rPr>
          <w:noProof/>
        </w:rPr>
      </w:pPr>
      <w:r>
        <w:rPr>
          <w:noProof/>
        </w:rPr>
        <w:t>b) 1 000 000 euroa Irlannille, Itävallalle, Kroatialle ja Liettualle kullekin;</w:t>
      </w:r>
    </w:p>
    <w:p>
      <w:pPr>
        <w:pStyle w:val="Text1"/>
        <w:rPr>
          <w:noProof/>
        </w:rPr>
      </w:pPr>
      <w:r>
        <w:rPr>
          <w:noProof/>
        </w:rPr>
        <w:t>c) 2 000 000 euroa Bulgarialle, Portugalille, Saksalle, Unkarille ja Yhdistyneelle kuningaskunnalle kullekin;</w:t>
      </w:r>
    </w:p>
    <w:p>
      <w:pPr>
        <w:pStyle w:val="Text1"/>
        <w:rPr>
          <w:noProof/>
        </w:rPr>
      </w:pPr>
      <w:r>
        <w:rPr>
          <w:noProof/>
        </w:rPr>
        <w:t>d) 3 000 000 euroa Espanjalle, Kreikalle ja Ranskalle kullekin</w:t>
      </w:r>
    </w:p>
    <w:p>
      <w:pPr>
        <w:pStyle w:val="Text1"/>
        <w:rPr>
          <w:noProof/>
        </w:rPr>
      </w:pPr>
      <w:r>
        <w:rPr>
          <w:noProof/>
        </w:rPr>
        <w:t xml:space="preserve">e) 4 000 000 euroa Italialle, Puolalle ja Romanialle kullekin; </w:t>
      </w:r>
    </w:p>
    <w:p>
      <w:pPr>
        <w:pStyle w:val="Text1"/>
        <w:rPr>
          <w:noProof/>
        </w:rPr>
      </w:pPr>
      <w:r>
        <w:rPr>
          <w:noProof/>
        </w:rPr>
        <w:t>f) 300 000 euroa kaikille muille jäsenvaltioille kullekin.</w:t>
      </w:r>
    </w:p>
    <w:p>
      <w:pPr>
        <w:pStyle w:val="ManualNumPar1"/>
        <w:rPr>
          <w:noProof/>
          <w:color w:val="000000" w:themeColor="text1"/>
        </w:rPr>
      </w:pPr>
      <w:r>
        <w:t>5.</w:t>
      </w:r>
      <w:r>
        <w:tab/>
      </w:r>
      <w:r>
        <w:rPr>
          <w:noProof/>
        </w:rPr>
        <w:t>Vuosien 2023 ja 2026 olennaisten ja moduulitietojen keruiden osalta 4 kohdassa täsmennettyjä enimmäismääriä alennetaan 50 prosenttia, jollei vuoden 2020 jälkeisen monivuotisen rahoituskehyksen säännöksistä muuta johdu.</w:t>
      </w:r>
    </w:p>
    <w:p>
      <w:pPr>
        <w:pStyle w:val="ManualNumPar1"/>
        <w:rPr>
          <w:noProof/>
        </w:rPr>
      </w:pPr>
      <w:r>
        <w:t>6.</w:t>
      </w:r>
      <w:r>
        <w:tab/>
      </w:r>
      <w:r>
        <w:rPr>
          <w:noProof/>
        </w:rPr>
        <w:t>Unioni voi antaa 9 artiklassa tarkoitettujen kertaluonteisten tietojen keruuta varten avustuksia asetuksen (EY) N:o 223/2009 5 artiklan 2 kohdassa tarkoitetuille kansallisille tilastolaitoksille ja muille kansallisille viranomaisille kertaluonteisten tietojen keruusta aiheutuvien kustannusten kattamiseksi. Tällaisen unionin rahoitusosuuden määrä saa olla enintään 90 prosenttia tukikelpoisista kustannuksista.</w:t>
      </w:r>
    </w:p>
    <w:p>
      <w:pPr>
        <w:autoSpaceDE w:val="0"/>
        <w:autoSpaceDN w:val="0"/>
        <w:adjustRightInd w:val="0"/>
        <w:spacing w:before="0" w:after="0"/>
        <w:ind w:left="720" w:hanging="720"/>
        <w:jc w:val="left"/>
        <w:rPr>
          <w:noProof/>
          <w:color w:val="000000" w:themeColor="text1"/>
        </w:rPr>
      </w:pPr>
      <w:r>
        <w:rPr>
          <w:noProof/>
        </w:rPr>
        <w:t xml:space="preserve">7. </w:t>
      </w:r>
      <w:r>
        <w:rPr>
          <w:noProof/>
        </w:rPr>
        <w:tab/>
      </w:r>
      <w:r>
        <w:rPr>
          <w:noProof/>
          <w:color w:val="000000" w:themeColor="text1"/>
        </w:rPr>
        <w:t xml:space="preserve">Unionin rahoitustuki myönnetään Euroopan maatalouden tukirahastosta asetuksen (EY) N:o 1306/2013 4 artiklan 2 kohdan d alakohdan nojalla. </w:t>
      </w:r>
    </w:p>
    <w:p>
      <w:pPr>
        <w:pStyle w:val="Titrearticle"/>
        <w:rPr>
          <w:noProof/>
        </w:rPr>
      </w:pPr>
      <w:r>
        <w:rPr>
          <w:noProof/>
        </w:rPr>
        <w:t>14 artikla</w:t>
      </w:r>
    </w:p>
    <w:p>
      <w:pPr>
        <w:keepNext/>
        <w:spacing w:before="75" w:after="75"/>
        <w:jc w:val="center"/>
        <w:rPr>
          <w:b/>
          <w:noProof/>
          <w:color w:val="000000" w:themeColor="text1"/>
        </w:rPr>
      </w:pPr>
      <w:r>
        <w:rPr>
          <w:b/>
          <w:noProof/>
          <w:color w:val="000000" w:themeColor="text1"/>
        </w:rPr>
        <w:t xml:space="preserve">Määrärahat </w:t>
      </w:r>
    </w:p>
    <w:p>
      <w:pPr>
        <w:pStyle w:val="ManualNumPar1"/>
        <w:rPr>
          <w:noProof/>
        </w:rPr>
      </w:pPr>
      <w:r>
        <w:t>1.</w:t>
      </w:r>
      <w:r>
        <w:tab/>
      </w:r>
      <w:r>
        <w:rPr>
          <w:noProof/>
        </w:rPr>
        <w:t xml:space="preserve">Euroopan unionin määrärahat tutkimuksen viitevuotta 2020 koskevan tiedonkeruuohjelman täytäntöönpanoa varten, mukaan luettuna jäsenvaltioiden tämän asetuksen mukaisesti toimittamien tietojen käsittelyyn komissiossa käytettävien tietokantajärjestelmien hallintoon, ylläpitoon ja kehittämiseen tarvittavat määrärahat, ovat 40 000 000 euroa vuosiksi 2018–2020, ja ne katetaan monivuotisesta rahoituskehyksestä vuosiksi 2014–2020. </w:t>
      </w:r>
    </w:p>
    <w:p>
      <w:pPr>
        <w:pStyle w:val="ManualNumPar1"/>
        <w:rPr>
          <w:noProof/>
        </w:rPr>
      </w:pPr>
      <w:r>
        <w:t>2.</w:t>
      </w:r>
      <w:r>
        <w:tab/>
      </w:r>
      <w:r>
        <w:rPr>
          <w:noProof/>
        </w:rPr>
        <w:t>Sen jälkeen, kun vuoden 2020 jälkeinen monivuotinen rahoituskehys tulee voimaan, budjetti- ja lainsäädäntövallan käyttäjä vahvistaa vuoden 2020 jälkeistä kautta koskevan määrän komission ehdotuksesta.</w:t>
      </w:r>
    </w:p>
    <w:p>
      <w:pPr>
        <w:pStyle w:val="Titrearticle"/>
        <w:rPr>
          <w:noProof/>
        </w:rPr>
      </w:pPr>
      <w:r>
        <w:rPr>
          <w:noProof/>
        </w:rPr>
        <w:t>15 artikla</w:t>
      </w:r>
    </w:p>
    <w:p>
      <w:pPr>
        <w:keepNext/>
        <w:spacing w:before="75" w:after="75"/>
        <w:jc w:val="center"/>
        <w:rPr>
          <w:b/>
          <w:noProof/>
          <w:color w:val="000000" w:themeColor="text1"/>
        </w:rPr>
      </w:pPr>
      <w:r>
        <w:rPr>
          <w:b/>
          <w:noProof/>
          <w:color w:val="000000" w:themeColor="text1"/>
        </w:rPr>
        <w:t>Unionin taloudellisten etujen suojaaminen</w:t>
      </w:r>
    </w:p>
    <w:p>
      <w:pPr>
        <w:pStyle w:val="ManualNumPar1"/>
        <w:rPr>
          <w:noProof/>
        </w:rPr>
      </w:pPr>
      <w:r>
        <w:t>1.</w:t>
      </w:r>
      <w:r>
        <w:tab/>
      </w:r>
      <w:r>
        <w:rPr>
          <w:noProof/>
        </w:rPr>
        <w:t>Komissio varmistaa asianmukaisin toimenpitein, että tämän asetuksen mukaisesti rahoitettavia toimia toteutettaessa unionin taloudellisia etuja suojataan petoksia, lahjontaa ja muuta laitonta toimintaa ehkäisevillä toimenpiteillä, johdonmukaisilla ja tehokkailla tarkastuksilla ja, jos sääntöjenvastaisuuksia havaitaan, perimällä aiheettomasti maksetut määrät takaisin sekä soveltuvin osin käyttämällä tehokkaita, oikeasuhteisia ja varoittavia hallinnollisia ja taloudellisia seuraamuksia.</w:t>
      </w:r>
    </w:p>
    <w:p>
      <w:pPr>
        <w:pStyle w:val="ManualNumPar1"/>
        <w:rPr>
          <w:noProof/>
        </w:rPr>
      </w:pPr>
      <w:r>
        <w:t>2.</w:t>
      </w:r>
      <w:r>
        <w:tab/>
      </w:r>
      <w:r>
        <w:rPr>
          <w:noProof/>
        </w:rPr>
        <w:t>Komissiolla ja sen edustajilla sekä tilintarkastustuomioistuimella on valtuudet tehdä kaikkien unionilta tämän ohjelman mukaisesti rahoitusta suoraan tai välillisesti saaneiden avustuksensaajien, toimeksisaajien ja alihankkijoiden sekä kolmansien osapuolten osalta asiakirjoihin perustuvia ja paikalla suoritettavia tarkastuksia.</w:t>
      </w:r>
    </w:p>
    <w:p>
      <w:pPr>
        <w:pStyle w:val="ManualNumPar1"/>
        <w:rPr>
          <w:noProof/>
        </w:rPr>
      </w:pPr>
      <w:r>
        <w:t>3.</w:t>
      </w:r>
      <w:r>
        <w:tab/>
      </w:r>
      <w:r>
        <w:rPr>
          <w:noProof/>
        </w:rPr>
        <w:t>Euroopan petostentorjuntavirasto OLAF voi suorittaa tutkimuksia, mukaan luettuna paikan päällä tehtävät tarkastukset ja todentamiset, talouden toimijoista, joita tällainen rahoitus koskee suoraan tai välillisesti, Euroopan parlamentin ja neuvoston asetuksen (EY) N:o 883/2013</w:t>
      </w:r>
      <w:r>
        <w:rPr>
          <w:rStyle w:val="FootnoteReference"/>
          <w:noProof/>
        </w:rPr>
        <w:footnoteReference w:id="23"/>
      </w:r>
      <w:r>
        <w:rPr>
          <w:noProof/>
        </w:rPr>
        <w:t xml:space="preserve"> sekä neuvoston asetuksen (Euratom, EY) N:o 2185/96</w:t>
      </w:r>
      <w:r>
        <w:rPr>
          <w:rStyle w:val="FootnoteReference"/>
          <w:noProof/>
        </w:rPr>
        <w:footnoteReference w:id="24"/>
      </w:r>
      <w:r>
        <w:rPr>
          <w:noProof/>
        </w:rPr>
        <w:t xml:space="preserve"> menettelyjen mukaisesti selvittääkseen, onko avustussopimukseen tai -päätökseen taikka sopimukseen, johon on tämän asetuksen yhteydessä saatu rahoitusta suoraan tai välillisesti, liittynyt unionin taloudellisia etuja vahingoittavia petoksia, lahjontaa tai muuta laitonta toimintaa.</w:t>
      </w:r>
    </w:p>
    <w:p>
      <w:pPr>
        <w:pStyle w:val="ManualNumPar1"/>
        <w:rPr>
          <w:noProof/>
        </w:rPr>
      </w:pPr>
      <w:r>
        <w:t>4.</w:t>
      </w:r>
      <w:r>
        <w:tab/>
      </w:r>
      <w:r>
        <w:rPr>
          <w:noProof/>
        </w:rPr>
        <w:t>Kolmansien maiden ja kansainvälisten järjestöjen kanssa tehdyissä yhteistyösopimuksissa ja tämän asetuksen täytäntöönpanosta seuraavissa avustussopimuksissa ja avustuspäätöksissä on nimenomaisesti annettava komissiolle, tilintarkastustuomioistuimelle ja OLAFille valtuudet tehdä tällaisia tarkastuksia sekä paikalla suoritettavia todentamisia ja tarkastuksia.</w:t>
      </w:r>
    </w:p>
    <w:p>
      <w:pPr>
        <w:pStyle w:val="ManualNumPar1"/>
        <w:rPr>
          <w:noProof/>
        </w:rPr>
      </w:pPr>
      <w:r>
        <w:t>5.</w:t>
      </w:r>
      <w:r>
        <w:tab/>
      </w:r>
      <w:r>
        <w:rPr>
          <w:noProof/>
        </w:rPr>
        <w:t>Jos toimen toteuttaminen on ulkoistettu tai edelleenvaltuutettu kokonaan tai osittain, tai jos toimi edellyttää hankintasopimuksen tai taloudellisen tuen myöntämistä kolmannelle osapuolelle, sopimuksessa, avustussopimuksessa tai avustuspäätöksessä on määrättävä, että toimeksiantajan tai tuensaajan on velvoitettava kolmas osapuoli nimenomaisesti hyväksymään kyseinen komission, tilintarkastustuomioistuimen ja OLAFin toimivalta.</w:t>
      </w:r>
    </w:p>
    <w:p>
      <w:pPr>
        <w:pStyle w:val="ManualNumPar1"/>
        <w:rPr>
          <w:noProof/>
        </w:rPr>
      </w:pPr>
      <w:r>
        <w:t>6.</w:t>
      </w:r>
      <w:r>
        <w:tab/>
      </w:r>
      <w:r>
        <w:rPr>
          <w:noProof/>
        </w:rPr>
        <w:t>Edellä olevaa 4 ja 5 kohtaa sovelletaan rajoittamatta 1, 2 ja 3 kohdan soveltamista.</w:t>
      </w:r>
    </w:p>
    <w:p>
      <w:pPr>
        <w:pStyle w:val="Titrearticle"/>
        <w:rPr>
          <w:noProof/>
        </w:rPr>
      </w:pPr>
      <w:r>
        <w:rPr>
          <w:noProof/>
        </w:rPr>
        <w:t>16 artikla</w:t>
      </w:r>
    </w:p>
    <w:p>
      <w:pPr>
        <w:keepNext/>
        <w:spacing w:before="75" w:after="75"/>
        <w:jc w:val="center"/>
        <w:rPr>
          <w:b/>
          <w:noProof/>
          <w:color w:val="000000" w:themeColor="text1"/>
        </w:rPr>
      </w:pPr>
      <w:r>
        <w:rPr>
          <w:b/>
          <w:noProof/>
          <w:color w:val="000000" w:themeColor="text1"/>
        </w:rPr>
        <w:t>Siirretyn säädösvallan käyttäminen</w:t>
      </w:r>
    </w:p>
    <w:p>
      <w:pPr>
        <w:pStyle w:val="ManualNumPar1"/>
        <w:rPr>
          <w:noProof/>
        </w:rPr>
      </w:pPr>
      <w:r>
        <w:t>1.</w:t>
      </w:r>
      <w:r>
        <w:tab/>
      </w:r>
      <w:r>
        <w:rPr>
          <w:noProof/>
        </w:rPr>
        <w:t xml:space="preserve">Siirretään komissiolle valta antaa delegoituja säädöksiä tässä artiklassa säädetyin edellytyksin. </w:t>
      </w:r>
    </w:p>
    <w:p>
      <w:pPr>
        <w:pStyle w:val="ManualNumPar1"/>
        <w:rPr>
          <w:noProof/>
          <w:lang w:val="en-US"/>
        </w:rPr>
      </w:pPr>
      <w:r>
        <w:t>2.</w:t>
      </w:r>
      <w:r>
        <w:tab/>
      </w:r>
      <w:r>
        <w:rPr>
          <w:noProof/>
        </w:rPr>
        <w:t xml:space="preserve">Siirretään 5 artiklan 6 kohdassa ja 8 artiklan 3 kohdassa tarkoitettu valta antaa delegoituja säädöksiä komissiolle määräämättömäksi ajaksi […] päivästä […][…] </w:t>
      </w:r>
      <w:r>
        <w:rPr>
          <w:noProof/>
          <w:lang w:val="en-US"/>
        </w:rPr>
        <w:t xml:space="preserve">[Publications Office, please insert the exact date of entry into force]. </w:t>
      </w:r>
    </w:p>
    <w:p>
      <w:pPr>
        <w:pStyle w:val="ManualNumPar1"/>
        <w:rPr>
          <w:noProof/>
          <w:szCs w:val="24"/>
        </w:rPr>
      </w:pPr>
      <w:r>
        <w:t>3.</w:t>
      </w:r>
      <w:r>
        <w:tab/>
      </w:r>
      <w:r>
        <w:rPr>
          <w:noProof/>
        </w:rPr>
        <w:t xml:space="preserve">Euroopan parlamentti tai neuvosto voi milloin tahansa peruuttaa 5 artiklan 6 kohdassa ja 8 artiklan 3 kohdassa tarkoitetun säädösvallan siirron. Peruuttamispäätöksellä lopetetaan tuossa päätöksessä mainittu säädösvallan siirto. Päätös tulee voimaan sitä päivää seuraavana päivänä, jona se julkaistaan </w:t>
      </w:r>
      <w:r>
        <w:rPr>
          <w:i/>
          <w:noProof/>
        </w:rPr>
        <w:t>Euroopan unionin virallisessa lehdessä</w:t>
      </w:r>
      <w:r>
        <w:rPr>
          <w:noProof/>
        </w:rPr>
        <w:t xml:space="preserve">, tai jonakin myöhempänä, päätöksessä mainittuna päivänä. Peruuttamispäätös ei vaikuta jo voimassa olevien delegoitujen säädösten pätevyyteen. </w:t>
      </w:r>
    </w:p>
    <w:p>
      <w:pPr>
        <w:pStyle w:val="ManualNumPar1"/>
        <w:rPr>
          <w:noProof/>
          <w:szCs w:val="24"/>
        </w:rPr>
      </w:pPr>
      <w:r>
        <w:t>4.</w:t>
      </w:r>
      <w:r>
        <w:tab/>
      </w:r>
      <w:r>
        <w:rPr>
          <w:noProof/>
        </w:rPr>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szCs w:val="24"/>
        </w:rPr>
      </w:pPr>
      <w:r>
        <w:t>5.</w:t>
      </w:r>
      <w:r>
        <w:tab/>
      </w:r>
      <w:r>
        <w:rPr>
          <w:noProof/>
        </w:rPr>
        <w:t xml:space="preserve">Heti kun komissio on antanut delegoidun säädöksen, komissio antaa sen tiedoksi yhtäaikaisesti Euroopan parlamentille ja neuvostolle. </w:t>
      </w:r>
    </w:p>
    <w:p>
      <w:pPr>
        <w:pStyle w:val="ManualNumPar1"/>
        <w:rPr>
          <w:noProof/>
          <w:szCs w:val="24"/>
        </w:rPr>
      </w:pPr>
      <w:r>
        <w:t>6.</w:t>
      </w:r>
      <w:r>
        <w:tab/>
      </w:r>
      <w:r>
        <w:rPr>
          <w:noProof/>
        </w:rPr>
        <w:t>Edellä olevien 5 artiklan 6 kohdan tai 8 artiklan 3 kohdan nojalla annetut delegoidut säädökset tulevat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noProof/>
        </w:rPr>
      </w:pPr>
      <w:r>
        <w:rPr>
          <w:noProof/>
        </w:rPr>
        <w:t>17 artikla</w:t>
      </w:r>
    </w:p>
    <w:p>
      <w:pPr>
        <w:spacing w:before="75" w:after="75"/>
        <w:jc w:val="center"/>
        <w:rPr>
          <w:b/>
          <w:noProof/>
          <w:color w:val="000000" w:themeColor="text1"/>
        </w:rPr>
      </w:pPr>
      <w:r>
        <w:rPr>
          <w:b/>
          <w:noProof/>
          <w:color w:val="000000" w:themeColor="text1"/>
        </w:rPr>
        <w:t>Komiteamenettely</w:t>
      </w:r>
    </w:p>
    <w:p>
      <w:pPr>
        <w:pStyle w:val="ManualNumPar1"/>
        <w:rPr>
          <w:noProof/>
        </w:rPr>
      </w:pPr>
      <w:r>
        <w:t>1.</w:t>
      </w:r>
      <w:r>
        <w:tab/>
      </w:r>
      <w:r>
        <w:rPr>
          <w:noProof/>
        </w:rPr>
        <w:t xml:space="preserve">Komissiota avustaa asetuksella (EY) N:o 223/2009 perustettu Euroopan tilastojärjestelmää käsittelevä komitea. Tämä komitea on asetuksessa (EU) N:o 182/2011 tarkoitettu komitea. </w:t>
      </w:r>
    </w:p>
    <w:p>
      <w:pPr>
        <w:pStyle w:val="ManualNumPar1"/>
        <w:rPr>
          <w:noProof/>
        </w:rPr>
      </w:pPr>
      <w:r>
        <w:t>2.</w:t>
      </w:r>
      <w:r>
        <w:tab/>
      </w:r>
      <w:r>
        <w:rPr>
          <w:noProof/>
        </w:rPr>
        <w:t>Kun viitataan tähän kohtaan, sovelletaan asetuksen (EU) N:o 182/2011 5 artiklaa.</w:t>
      </w:r>
    </w:p>
    <w:p>
      <w:pPr>
        <w:pStyle w:val="Titrearticle"/>
        <w:rPr>
          <w:noProof/>
        </w:rPr>
      </w:pPr>
      <w:r>
        <w:rPr>
          <w:noProof/>
        </w:rPr>
        <w:t>18 artikla</w:t>
      </w:r>
    </w:p>
    <w:p>
      <w:pPr>
        <w:spacing w:before="75" w:after="75"/>
        <w:jc w:val="center"/>
        <w:rPr>
          <w:b/>
          <w:noProof/>
          <w:color w:val="000000" w:themeColor="text1"/>
        </w:rPr>
      </w:pPr>
      <w:r>
        <w:rPr>
          <w:b/>
          <w:noProof/>
          <w:color w:val="000000" w:themeColor="text1"/>
        </w:rPr>
        <w:t>Kumoaminen</w:t>
      </w:r>
    </w:p>
    <w:p>
      <w:pPr>
        <w:pStyle w:val="ManualNumPar1"/>
        <w:rPr>
          <w:noProof/>
        </w:rPr>
      </w:pPr>
      <w:r>
        <w:t>1.</w:t>
      </w:r>
      <w:r>
        <w:tab/>
      </w:r>
      <w:r>
        <w:rPr>
          <w:noProof/>
        </w:rPr>
        <w:t xml:space="preserve">Kumotaan asetus (EU) N:o 1337/2011 1 päivästä tammikuuta 2022. </w:t>
      </w:r>
    </w:p>
    <w:p>
      <w:pPr>
        <w:pStyle w:val="ManualNumPar1"/>
        <w:rPr>
          <w:noProof/>
        </w:rPr>
      </w:pPr>
      <w:r>
        <w:t>2.</w:t>
      </w:r>
      <w:r>
        <w:tab/>
      </w:r>
      <w:r>
        <w:rPr>
          <w:noProof/>
        </w:rPr>
        <w:t>Kumotaan asetus (EY) N:o 1166/2008 1 päivästä tammikuuta 2019.</w:t>
      </w:r>
    </w:p>
    <w:p>
      <w:pPr>
        <w:pStyle w:val="ManualNumPar1"/>
        <w:rPr>
          <w:noProof/>
        </w:rPr>
      </w:pPr>
      <w:r>
        <w:t>3.</w:t>
      </w:r>
      <w:r>
        <w:tab/>
      </w:r>
      <w:r>
        <w:rPr>
          <w:noProof/>
        </w:rPr>
        <w:t>Viittauksia kumottuihin asetuksiin pidetään viittauksina tähän asetukseen.</w:t>
      </w:r>
    </w:p>
    <w:p>
      <w:pPr>
        <w:pStyle w:val="Titrearticle"/>
        <w:rPr>
          <w:noProof/>
        </w:rPr>
      </w:pPr>
      <w:r>
        <w:rPr>
          <w:noProof/>
        </w:rPr>
        <w:t>19 artikla</w:t>
      </w:r>
    </w:p>
    <w:p>
      <w:pPr>
        <w:keepNext/>
        <w:spacing w:before="75" w:after="75"/>
        <w:jc w:val="center"/>
        <w:rPr>
          <w:b/>
          <w:noProof/>
          <w:color w:val="000000" w:themeColor="text1"/>
        </w:rPr>
      </w:pPr>
      <w:r>
        <w:rPr>
          <w:b/>
          <w:noProof/>
          <w:color w:val="000000" w:themeColor="text1"/>
        </w:rPr>
        <w:t>Voimaantulo</w:t>
      </w:r>
    </w:p>
    <w:p>
      <w:pPr>
        <w:ind w:left="720"/>
        <w:rPr>
          <w:noProof/>
          <w:color w:val="000000" w:themeColor="text1"/>
        </w:rPr>
      </w:pPr>
      <w:r>
        <w:rPr>
          <w:noProof/>
          <w:color w:val="000000" w:themeColor="text1"/>
        </w:rPr>
        <w:t xml:space="preserve">Tämä asetus tulee voimaan kahdentenakymmenentenä päivänä sen jälkeen, kun se on julkaistu </w:t>
      </w:r>
      <w:r>
        <w:rPr>
          <w:i/>
          <w:noProof/>
          <w:color w:val="000000" w:themeColor="text1"/>
        </w:rPr>
        <w:t>Euroopan unionin virallisessa lehdessä</w:t>
      </w:r>
      <w:r>
        <w:rPr>
          <w:noProof/>
          <w:color w:val="000000" w:themeColor="text1"/>
        </w:rPr>
        <w:t>.</w:t>
      </w:r>
    </w:p>
    <w:p>
      <w:pPr>
        <w:pStyle w:val="Applicationdirecte"/>
        <w:ind w:left="720"/>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bookmarkStart w:id="24" w:name="_Toc456620203"/>
      <w:r>
        <w:rPr>
          <w:noProof/>
        </w:rPr>
        <w:t>1.</w:t>
      </w:r>
      <w:r>
        <w:rPr>
          <w:noProof/>
        </w:rPr>
        <w:tab/>
        <w:t>PERUSTIEDOT EHDOTUKSESTA/ALOITTEESTA</w:t>
      </w:r>
      <w:bookmarkEnd w:id="24"/>
      <w:r>
        <w:rPr>
          <w:noProof/>
        </w:rPr>
        <w:t xml:space="preserve"> </w:t>
      </w:r>
    </w:p>
    <w:p>
      <w:pPr>
        <w:pStyle w:val="ManualHeading2"/>
        <w:rPr>
          <w:b w:val="0"/>
          <w:noProof/>
        </w:rPr>
      </w:pPr>
      <w:r>
        <w:rPr>
          <w:noProof/>
        </w:rPr>
        <w:tab/>
      </w:r>
      <w:bookmarkStart w:id="25" w:name="_Toc456620204"/>
      <w:r>
        <w:rPr>
          <w:b w:val="0"/>
          <w:noProof/>
        </w:rPr>
        <w:t>1.1.</w:t>
      </w:r>
      <w:r>
        <w:rPr>
          <w:noProof/>
        </w:rPr>
        <w:tab/>
      </w:r>
      <w:r>
        <w:rPr>
          <w:b w:val="0"/>
          <w:noProof/>
        </w:rPr>
        <w:t>Ehdotuksen/aloitteen nimi</w:t>
      </w:r>
      <w:bookmarkEnd w:id="25"/>
      <w:r>
        <w:rPr>
          <w:b w:val="0"/>
          <w:noProof/>
        </w:rPr>
        <w:t xml:space="preserve"> </w:t>
      </w:r>
    </w:p>
    <w:p>
      <w:pPr>
        <w:pStyle w:val="ManualHeading2"/>
        <w:rPr>
          <w:b w:val="0"/>
          <w:noProof/>
        </w:rPr>
      </w:pPr>
      <w:r>
        <w:rPr>
          <w:noProof/>
        </w:rPr>
        <w:tab/>
      </w:r>
      <w:bookmarkStart w:id="26" w:name="_Toc456620205"/>
      <w:r>
        <w:rPr>
          <w:b w:val="0"/>
          <w:noProof/>
        </w:rPr>
        <w:t>1.2.</w:t>
      </w:r>
      <w:r>
        <w:rPr>
          <w:noProof/>
        </w:rPr>
        <w:tab/>
      </w:r>
      <w:r>
        <w:rPr>
          <w:b w:val="0"/>
          <w:noProof/>
        </w:rPr>
        <w:t>Toimintalohko(t) toimintoperusteisessa johtamis- ja budjetointijärjestelmässä (ABM/ABB)</w:t>
      </w:r>
      <w:bookmarkEnd w:id="26"/>
    </w:p>
    <w:p>
      <w:pPr>
        <w:pStyle w:val="ManualHeading2"/>
        <w:rPr>
          <w:b w:val="0"/>
          <w:noProof/>
        </w:rPr>
      </w:pPr>
      <w:r>
        <w:rPr>
          <w:noProof/>
        </w:rPr>
        <w:tab/>
      </w:r>
      <w:bookmarkStart w:id="27" w:name="_Toc456620206"/>
      <w:r>
        <w:rPr>
          <w:b w:val="0"/>
          <w:noProof/>
        </w:rPr>
        <w:t>1.3.</w:t>
      </w:r>
      <w:r>
        <w:rPr>
          <w:noProof/>
        </w:rPr>
        <w:tab/>
      </w:r>
      <w:r>
        <w:rPr>
          <w:b w:val="0"/>
          <w:noProof/>
        </w:rPr>
        <w:t>Ehdotuksen/aloitteen luonne</w:t>
      </w:r>
      <w:bookmarkEnd w:id="27"/>
      <w:r>
        <w:rPr>
          <w:b w:val="0"/>
          <w:noProof/>
        </w:rPr>
        <w:t xml:space="preserve"> </w:t>
      </w:r>
    </w:p>
    <w:p>
      <w:pPr>
        <w:pStyle w:val="ManualHeading2"/>
        <w:rPr>
          <w:b w:val="0"/>
          <w:noProof/>
        </w:rPr>
      </w:pPr>
      <w:r>
        <w:rPr>
          <w:noProof/>
        </w:rPr>
        <w:tab/>
      </w:r>
      <w:bookmarkStart w:id="28" w:name="_Toc456620207"/>
      <w:r>
        <w:rPr>
          <w:b w:val="0"/>
          <w:noProof/>
        </w:rPr>
        <w:t>1.4.</w:t>
      </w:r>
      <w:r>
        <w:rPr>
          <w:noProof/>
        </w:rPr>
        <w:tab/>
      </w:r>
      <w:r>
        <w:rPr>
          <w:b w:val="0"/>
          <w:noProof/>
        </w:rPr>
        <w:t>Tavoite (Tavoitteet)</w:t>
      </w:r>
      <w:bookmarkEnd w:id="28"/>
      <w:r>
        <w:rPr>
          <w:b w:val="0"/>
          <w:noProof/>
        </w:rPr>
        <w:t xml:space="preserve"> </w:t>
      </w:r>
    </w:p>
    <w:p>
      <w:pPr>
        <w:pStyle w:val="ManualHeading2"/>
        <w:rPr>
          <w:b w:val="0"/>
          <w:noProof/>
        </w:rPr>
      </w:pPr>
      <w:r>
        <w:rPr>
          <w:noProof/>
        </w:rPr>
        <w:tab/>
      </w:r>
      <w:bookmarkStart w:id="29" w:name="_Toc456620208"/>
      <w:r>
        <w:rPr>
          <w:b w:val="0"/>
          <w:noProof/>
        </w:rPr>
        <w:t>1.5.</w:t>
      </w:r>
      <w:r>
        <w:rPr>
          <w:noProof/>
        </w:rPr>
        <w:tab/>
      </w:r>
      <w:r>
        <w:rPr>
          <w:b w:val="0"/>
          <w:noProof/>
        </w:rPr>
        <w:t>Ehdotuksen/aloitteen perustelut</w:t>
      </w:r>
      <w:bookmarkEnd w:id="29"/>
      <w:r>
        <w:rPr>
          <w:b w:val="0"/>
          <w:noProof/>
        </w:rPr>
        <w:t xml:space="preserve"> </w:t>
      </w:r>
    </w:p>
    <w:p>
      <w:pPr>
        <w:pStyle w:val="ManualHeading2"/>
        <w:rPr>
          <w:b w:val="0"/>
          <w:noProof/>
        </w:rPr>
      </w:pPr>
      <w:r>
        <w:rPr>
          <w:noProof/>
        </w:rPr>
        <w:tab/>
      </w:r>
      <w:bookmarkStart w:id="30" w:name="_Toc456620209"/>
      <w:r>
        <w:rPr>
          <w:b w:val="0"/>
          <w:noProof/>
        </w:rPr>
        <w:t>1.6.</w:t>
      </w:r>
      <w:r>
        <w:rPr>
          <w:noProof/>
        </w:rPr>
        <w:tab/>
      </w:r>
      <w:r>
        <w:rPr>
          <w:b w:val="0"/>
          <w:noProof/>
        </w:rPr>
        <w:t>Toiminnan ja sen rahoitusvaikutusten kesto</w:t>
      </w:r>
      <w:bookmarkEnd w:id="30"/>
      <w:r>
        <w:rPr>
          <w:b w:val="0"/>
          <w:noProof/>
        </w:rPr>
        <w:t xml:space="preserve"> </w:t>
      </w:r>
    </w:p>
    <w:p>
      <w:pPr>
        <w:pStyle w:val="ManualHeading2"/>
        <w:rPr>
          <w:b w:val="0"/>
          <w:noProof/>
        </w:rPr>
      </w:pPr>
      <w:r>
        <w:rPr>
          <w:noProof/>
        </w:rPr>
        <w:tab/>
      </w:r>
      <w:bookmarkStart w:id="31" w:name="_Toc456620210"/>
      <w:r>
        <w:rPr>
          <w:b w:val="0"/>
          <w:noProof/>
        </w:rPr>
        <w:t>1.7.</w:t>
      </w:r>
      <w:r>
        <w:rPr>
          <w:noProof/>
        </w:rPr>
        <w:tab/>
      </w:r>
      <w:r>
        <w:rPr>
          <w:b w:val="0"/>
          <w:noProof/>
        </w:rPr>
        <w:t>Hallinnointitapa (Hallinnointitavat)</w:t>
      </w:r>
      <w:bookmarkEnd w:id="31"/>
      <w:r>
        <w:rPr>
          <w:b w:val="0"/>
          <w:noProof/>
        </w:rPr>
        <w:t xml:space="preserve"> </w:t>
      </w:r>
    </w:p>
    <w:p>
      <w:pPr>
        <w:pStyle w:val="ManualHeading1"/>
        <w:rPr>
          <w:noProof/>
        </w:rPr>
      </w:pPr>
      <w:bookmarkStart w:id="32" w:name="_Toc456620211"/>
      <w:r>
        <w:rPr>
          <w:noProof/>
        </w:rPr>
        <w:t>2.</w:t>
      </w:r>
      <w:r>
        <w:rPr>
          <w:noProof/>
        </w:rPr>
        <w:tab/>
        <w:t>HALLINNOINTI</w:t>
      </w:r>
      <w:bookmarkEnd w:id="32"/>
      <w:r>
        <w:rPr>
          <w:noProof/>
        </w:rPr>
        <w:t xml:space="preserve"> </w:t>
      </w:r>
    </w:p>
    <w:p>
      <w:pPr>
        <w:pStyle w:val="ManualHeading2"/>
        <w:rPr>
          <w:b w:val="0"/>
          <w:noProof/>
        </w:rPr>
      </w:pPr>
      <w:r>
        <w:rPr>
          <w:noProof/>
        </w:rPr>
        <w:tab/>
      </w:r>
      <w:bookmarkStart w:id="33" w:name="_Toc456620212"/>
      <w:r>
        <w:rPr>
          <w:b w:val="0"/>
          <w:noProof/>
        </w:rPr>
        <w:t>2.1.</w:t>
      </w:r>
      <w:r>
        <w:rPr>
          <w:noProof/>
        </w:rPr>
        <w:tab/>
      </w:r>
      <w:r>
        <w:rPr>
          <w:b w:val="0"/>
          <w:noProof/>
        </w:rPr>
        <w:t>Seuranta- ja raportointisäännöt</w:t>
      </w:r>
      <w:bookmarkEnd w:id="33"/>
      <w:r>
        <w:rPr>
          <w:b w:val="0"/>
          <w:noProof/>
        </w:rPr>
        <w:t xml:space="preserve"> </w:t>
      </w:r>
    </w:p>
    <w:p>
      <w:pPr>
        <w:pStyle w:val="ManualHeading2"/>
        <w:rPr>
          <w:b w:val="0"/>
          <w:noProof/>
        </w:rPr>
      </w:pPr>
      <w:r>
        <w:rPr>
          <w:noProof/>
        </w:rPr>
        <w:tab/>
      </w:r>
      <w:bookmarkStart w:id="34" w:name="_Toc456620213"/>
      <w:r>
        <w:rPr>
          <w:b w:val="0"/>
          <w:noProof/>
        </w:rPr>
        <w:t>2.2.</w:t>
      </w:r>
      <w:r>
        <w:rPr>
          <w:noProof/>
        </w:rPr>
        <w:tab/>
      </w:r>
      <w:r>
        <w:rPr>
          <w:b w:val="0"/>
          <w:noProof/>
        </w:rPr>
        <w:t>Hallinnointi- ja valvontajärjestelmä</w:t>
      </w:r>
      <w:bookmarkEnd w:id="34"/>
      <w:r>
        <w:rPr>
          <w:b w:val="0"/>
          <w:noProof/>
        </w:rPr>
        <w:t xml:space="preserve"> </w:t>
      </w:r>
    </w:p>
    <w:p>
      <w:pPr>
        <w:pStyle w:val="ManualHeading2"/>
        <w:rPr>
          <w:b w:val="0"/>
          <w:noProof/>
        </w:rPr>
      </w:pPr>
      <w:r>
        <w:rPr>
          <w:noProof/>
        </w:rPr>
        <w:tab/>
      </w:r>
      <w:bookmarkStart w:id="35" w:name="_Toc456620214"/>
      <w:r>
        <w:rPr>
          <w:b w:val="0"/>
          <w:noProof/>
        </w:rPr>
        <w:t>2.3.</w:t>
      </w:r>
      <w:r>
        <w:rPr>
          <w:noProof/>
        </w:rPr>
        <w:tab/>
      </w:r>
      <w:r>
        <w:rPr>
          <w:b w:val="0"/>
          <w:noProof/>
        </w:rPr>
        <w:t>Toimenpiteet petosten ja sääntöjenvastaisuuksien ehkäisemiseksi</w:t>
      </w:r>
      <w:bookmarkEnd w:id="35"/>
      <w:r>
        <w:rPr>
          <w:b w:val="0"/>
          <w:noProof/>
        </w:rPr>
        <w:t xml:space="preserve"> </w:t>
      </w:r>
    </w:p>
    <w:p>
      <w:pPr>
        <w:pStyle w:val="ManualHeading1"/>
        <w:rPr>
          <w:noProof/>
        </w:rPr>
      </w:pPr>
      <w:bookmarkStart w:id="36" w:name="_Toc456620215"/>
      <w:r>
        <w:rPr>
          <w:noProof/>
        </w:rPr>
        <w:t>3.</w:t>
      </w:r>
      <w:r>
        <w:rPr>
          <w:noProof/>
        </w:rPr>
        <w:tab/>
        <w:t>EHDOTUKSEN/ALOITTEEN ARVIOIDUT RAHOITUSVAIKUTUKSET</w:t>
      </w:r>
      <w:bookmarkEnd w:id="36"/>
      <w:r>
        <w:rPr>
          <w:noProof/>
        </w:rPr>
        <w:t xml:space="preserve"> </w:t>
      </w:r>
    </w:p>
    <w:p>
      <w:pPr>
        <w:pStyle w:val="ManualHeading2"/>
        <w:rPr>
          <w:b w:val="0"/>
          <w:noProof/>
        </w:rPr>
      </w:pPr>
      <w:r>
        <w:rPr>
          <w:noProof/>
        </w:rPr>
        <w:tab/>
      </w:r>
      <w:bookmarkStart w:id="37" w:name="_Toc456620216"/>
      <w:r>
        <w:rPr>
          <w:b w:val="0"/>
          <w:noProof/>
        </w:rPr>
        <w:t>3.1.</w:t>
      </w:r>
      <w:r>
        <w:rPr>
          <w:noProof/>
        </w:rPr>
        <w:tab/>
      </w:r>
      <w:r>
        <w:rPr>
          <w:b w:val="0"/>
          <w:noProof/>
        </w:rPr>
        <w:t>Kyseeseen tulevat monivuotisen rahoituskehyksen otsakkeet ja menopuolen budjettikohdat</w:t>
      </w:r>
      <w:bookmarkEnd w:id="37"/>
      <w:r>
        <w:rPr>
          <w:b w:val="0"/>
          <w:noProof/>
        </w:rPr>
        <w:t xml:space="preserve"> </w:t>
      </w:r>
    </w:p>
    <w:p>
      <w:pPr>
        <w:pStyle w:val="ManualHeading2"/>
        <w:rPr>
          <w:noProof/>
        </w:rPr>
      </w:pPr>
      <w:r>
        <w:rPr>
          <w:noProof/>
        </w:rPr>
        <w:tab/>
      </w:r>
      <w:bookmarkStart w:id="38" w:name="_Toc456620217"/>
      <w:r>
        <w:rPr>
          <w:b w:val="0"/>
          <w:noProof/>
        </w:rPr>
        <w:t>3.2.</w:t>
      </w:r>
      <w:r>
        <w:rPr>
          <w:noProof/>
        </w:rPr>
        <w:tab/>
      </w:r>
      <w:r>
        <w:rPr>
          <w:b w:val="0"/>
          <w:noProof/>
        </w:rPr>
        <w:t>Arvioidut vaikutukset menoihin</w:t>
      </w:r>
      <w:bookmarkEnd w:id="38"/>
      <w:r>
        <w:rPr>
          <w:noProof/>
        </w:rPr>
        <w:t xml:space="preserve"> </w:t>
      </w:r>
    </w:p>
    <w:p>
      <w:pPr>
        <w:pStyle w:val="ManualHeading3"/>
        <w:rPr>
          <w:noProof/>
        </w:rPr>
      </w:pPr>
      <w:r>
        <w:rPr>
          <w:noProof/>
        </w:rPr>
        <w:tab/>
      </w:r>
      <w:bookmarkStart w:id="39" w:name="_Toc456620218"/>
      <w:r>
        <w:rPr>
          <w:noProof/>
        </w:rPr>
        <w:t>3.2.1.</w:t>
      </w:r>
      <w:r>
        <w:rPr>
          <w:noProof/>
        </w:rPr>
        <w:tab/>
        <w:t>Yhteenveto arvioiduista vaikutuksista menoihin</w:t>
      </w:r>
      <w:bookmarkEnd w:id="39"/>
      <w:r>
        <w:rPr>
          <w:noProof/>
        </w:rPr>
        <w:t xml:space="preserve"> </w:t>
      </w:r>
    </w:p>
    <w:p>
      <w:pPr>
        <w:pStyle w:val="ManualHeading3"/>
        <w:rPr>
          <w:noProof/>
        </w:rPr>
      </w:pPr>
      <w:r>
        <w:rPr>
          <w:noProof/>
        </w:rPr>
        <w:tab/>
      </w:r>
      <w:bookmarkStart w:id="40" w:name="_Toc456620219"/>
      <w:r>
        <w:rPr>
          <w:noProof/>
        </w:rPr>
        <w:t>3.2.2.</w:t>
      </w:r>
      <w:r>
        <w:rPr>
          <w:noProof/>
        </w:rPr>
        <w:tab/>
        <w:t>Arvioidut vaikutukset toimintamäärärahoihin</w:t>
      </w:r>
      <w:bookmarkEnd w:id="40"/>
      <w:r>
        <w:rPr>
          <w:noProof/>
        </w:rPr>
        <w:t xml:space="preserve"> </w:t>
      </w:r>
    </w:p>
    <w:p>
      <w:pPr>
        <w:pStyle w:val="ManualHeading3"/>
        <w:rPr>
          <w:noProof/>
        </w:rPr>
      </w:pPr>
      <w:r>
        <w:rPr>
          <w:noProof/>
        </w:rPr>
        <w:tab/>
      </w:r>
      <w:bookmarkStart w:id="41" w:name="_Toc456620220"/>
      <w:r>
        <w:rPr>
          <w:noProof/>
        </w:rPr>
        <w:t>3.2.3.</w:t>
      </w:r>
      <w:r>
        <w:rPr>
          <w:noProof/>
        </w:rPr>
        <w:tab/>
        <w:t>Arvioidut vaikutukset hallintomäärärahoihin</w:t>
      </w:r>
      <w:bookmarkEnd w:id="41"/>
    </w:p>
    <w:p>
      <w:pPr>
        <w:pStyle w:val="ManualHeading3"/>
        <w:rPr>
          <w:noProof/>
        </w:rPr>
      </w:pPr>
      <w:r>
        <w:rPr>
          <w:noProof/>
        </w:rPr>
        <w:tab/>
      </w:r>
      <w:bookmarkStart w:id="42" w:name="_Toc456620221"/>
      <w:r>
        <w:rPr>
          <w:noProof/>
        </w:rPr>
        <w:t>3.2.4.</w:t>
      </w:r>
      <w:r>
        <w:rPr>
          <w:noProof/>
        </w:rPr>
        <w:tab/>
        <w:t>Yhteensopivuus nykyisen monivuotisen rahoituskehyksen kanssa</w:t>
      </w:r>
      <w:bookmarkEnd w:id="42"/>
    </w:p>
    <w:p>
      <w:pPr>
        <w:pStyle w:val="ManualHeading3"/>
        <w:rPr>
          <w:noProof/>
        </w:rPr>
      </w:pPr>
      <w:r>
        <w:rPr>
          <w:noProof/>
        </w:rPr>
        <w:tab/>
      </w:r>
      <w:bookmarkStart w:id="43" w:name="_Toc456620222"/>
      <w:r>
        <w:rPr>
          <w:noProof/>
        </w:rPr>
        <w:t>3.2.5.</w:t>
      </w:r>
      <w:r>
        <w:rPr>
          <w:noProof/>
        </w:rPr>
        <w:tab/>
        <w:t>Ulkopuolisten tahojen rahoitusosuudet</w:t>
      </w:r>
      <w:bookmarkEnd w:id="43"/>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4" w:name="_Toc456620223"/>
      <w:r>
        <w:rPr>
          <w:b w:val="0"/>
          <w:noProof/>
        </w:rPr>
        <w:t>3.3.</w:t>
      </w:r>
      <w:r>
        <w:rPr>
          <w:noProof/>
        </w:rPr>
        <w:tab/>
      </w:r>
      <w:r>
        <w:rPr>
          <w:b w:val="0"/>
          <w:noProof/>
        </w:rPr>
        <w:t>Arvioidut vaikutukset tuloihin</w:t>
      </w:r>
      <w:bookmarkEnd w:id="44"/>
    </w:p>
    <w:p>
      <w:pPr>
        <w:jc w:val="center"/>
        <w:rPr>
          <w:noProof/>
        </w:rPr>
      </w:pPr>
      <w:r>
        <w:rPr>
          <w:b/>
          <w:noProof/>
          <w:u w:val="single"/>
        </w:rPr>
        <w:t>SÄÄDÖSEHDOTUKSEEN LIITTYVÄ RAHOITUSSELVITYS</w:t>
      </w:r>
    </w:p>
    <w:p>
      <w:pPr>
        <w:pStyle w:val="ManualHeading1"/>
        <w:rPr>
          <w:noProof/>
        </w:rPr>
      </w:pPr>
      <w:bookmarkStart w:id="45" w:name="_Toc456620224"/>
      <w:r>
        <w:t>1.</w:t>
      </w:r>
      <w:r>
        <w:tab/>
      </w:r>
      <w:r>
        <w:rPr>
          <w:noProof/>
        </w:rPr>
        <w:t>PERUSTIEDOT EHDOTUKSESTA/ALOITTEESTA</w:t>
      </w:r>
      <w:bookmarkEnd w:id="45"/>
      <w:r>
        <w:rPr>
          <w:noProof/>
        </w:rPr>
        <w:t xml:space="preserve"> </w:t>
      </w:r>
    </w:p>
    <w:p>
      <w:pPr>
        <w:pStyle w:val="ManualHeading2"/>
        <w:rPr>
          <w:noProof/>
        </w:rPr>
      </w:pPr>
      <w:bookmarkStart w:id="46" w:name="_Toc456620225"/>
      <w:r>
        <w:t>1.1.</w:t>
      </w:r>
      <w:r>
        <w:tab/>
      </w:r>
      <w:r>
        <w:rPr>
          <w:noProof/>
        </w:rPr>
        <w:t>Ehdotuksen/aloitteen nimi</w:t>
      </w:r>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Euroopan parlamentin ja neuvoston asetus integroiduista maatilatilastoista sekä maatilojen rakennetutkimuksista ja maatalouden tuotantomenetelmiä koskevasta tutkimuksesta 19 päivänä marraskuuta 2008 annetun Euroopan parlamentin ja neuvoston asetuksen (EY) N:o 1166/2008 ja monivuotisia viljelykasveja koskevista Euroopan tilastoista 13 päivänä joulukuuta 2011 annetun Euroopan parlamentin ja neuvoston asetuksen (EU) N:o 1337/2011 kumoamisesta</w:t>
      </w:r>
    </w:p>
    <w:p>
      <w:pPr>
        <w:pStyle w:val="ManualHeading2"/>
        <w:rPr>
          <w:noProof/>
          <w:szCs w:val="24"/>
        </w:rPr>
      </w:pPr>
      <w:bookmarkStart w:id="47" w:name="_Toc456620226"/>
      <w:r>
        <w:t>1.2.</w:t>
      </w:r>
      <w:r>
        <w:tab/>
      </w:r>
      <w:r>
        <w:rPr>
          <w:noProof/>
        </w:rPr>
        <w:t>Toimintalohko(t) toimintoperusteisessa johtamis- ja budjetointijärjestelmässä (ABM/ABB)</w:t>
      </w:r>
      <w:r>
        <w:rPr>
          <w:rStyle w:val="FootnoteReference"/>
          <w:noProof/>
        </w:rPr>
        <w:footnoteReference w:id="25"/>
      </w:r>
      <w:bookmarkEnd w:id="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Euroopan tilastojen tuottaminen</w:t>
      </w:r>
    </w:p>
    <w:p>
      <w:pPr>
        <w:pStyle w:val="ManualHeading2"/>
        <w:rPr>
          <w:bCs/>
          <w:noProof/>
          <w:szCs w:val="24"/>
        </w:rPr>
      </w:pPr>
      <w:bookmarkStart w:id="48" w:name="_Toc456620227"/>
      <w:r>
        <w:t>1.3.</w:t>
      </w:r>
      <w:r>
        <w:tab/>
      </w:r>
      <w:r>
        <w:rPr>
          <w:noProof/>
        </w:rPr>
        <w:t>Ehdotuksen/aloitteen luonne</w:t>
      </w:r>
      <w:bookmarkEnd w:id="48"/>
      <w:r>
        <w:rPr>
          <w:noProof/>
        </w:rPr>
        <w:t xml:space="preserve"> </w:t>
      </w:r>
    </w:p>
    <w:p>
      <w:pPr>
        <w:pStyle w:val="Text1"/>
        <w:rPr>
          <w:b/>
          <w:noProof/>
          <w:sz w:val="22"/>
        </w:rPr>
      </w:pPr>
      <w:r>
        <w:rPr>
          <w:noProof/>
          <w:sz w:val="22"/>
        </w:rPr>
        <w:sym w:font="Wingdings" w:char="F0A8"/>
      </w:r>
      <w:r>
        <w:rPr>
          <w:noProof/>
        </w:rPr>
        <w:t xml:space="preserve"> 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noProof/>
        </w:rPr>
        <w:t xml:space="preserve"> Ehdotus/aloite liittyy </w:t>
      </w:r>
      <w:r>
        <w:rPr>
          <w:b/>
          <w:noProof/>
        </w:rPr>
        <w:t>uuteen toimeen, joka perustuu pilottihankkeeseen tai valmistelutoimeen</w:t>
      </w:r>
      <w:r>
        <w:rPr>
          <w:rStyle w:val="FootnoteReference"/>
          <w:b/>
          <w:noProof/>
        </w:rPr>
        <w:footnoteReference w:id="26"/>
      </w:r>
      <w:r>
        <w:rPr>
          <w:noProof/>
        </w:rPr>
        <w:t>.</w:t>
      </w:r>
      <w:r>
        <w:rPr>
          <w:noProof/>
          <w:sz w:val="22"/>
        </w:rPr>
        <w:t xml:space="preserve"> </w:t>
      </w:r>
    </w:p>
    <w:p>
      <w:pPr>
        <w:pStyle w:val="Text1"/>
        <w:rPr>
          <w:noProof/>
          <w:sz w:val="22"/>
        </w:rPr>
      </w:pPr>
      <w:r>
        <w:rPr>
          <w:noProof/>
          <w:sz w:val="22"/>
        </w:rPr>
        <w:sym w:font="Wingdings" w:char="F0A8"/>
      </w:r>
      <w:r>
        <w:rPr>
          <w:noProof/>
        </w:rPr>
        <w:t xml:space="preserve"> Ehdotus/aloite liittyy </w:t>
      </w:r>
      <w:r>
        <w:rPr>
          <w:b/>
          <w:noProof/>
        </w:rPr>
        <w:t>käynnissä olevan toimen jatkamiseen</w:t>
      </w:r>
      <w:r>
        <w:rPr>
          <w:noProof/>
        </w:rPr>
        <w:t>.</w:t>
      </w:r>
      <w:r>
        <w:rPr>
          <w:noProof/>
          <w:sz w:val="22"/>
        </w:rPr>
        <w:t xml:space="preserve"> </w:t>
      </w:r>
    </w:p>
    <w:p>
      <w:pPr>
        <w:pStyle w:val="Text1"/>
        <w:rPr>
          <w:noProof/>
        </w:rPr>
      </w:pPr>
      <w:r>
        <w:rPr>
          <w:noProof/>
          <w:sz w:val="22"/>
        </w:rPr>
        <w:t>X</w:t>
      </w:r>
      <w:r>
        <w:rPr>
          <w:noProof/>
        </w:rPr>
        <w:t xml:space="preserve"> Ehdotus/aloite liittyy </w:t>
      </w:r>
      <w:r>
        <w:rPr>
          <w:b/>
          <w:noProof/>
        </w:rPr>
        <w:t>toimeen, joka on suunnattu uudelleen</w:t>
      </w:r>
      <w:r>
        <w:rPr>
          <w:noProof/>
        </w:rPr>
        <w:t xml:space="preserve">. </w:t>
      </w:r>
    </w:p>
    <w:p>
      <w:pPr>
        <w:pStyle w:val="ManualHeading2"/>
        <w:rPr>
          <w:bCs/>
          <w:noProof/>
          <w:szCs w:val="24"/>
        </w:rPr>
      </w:pPr>
      <w:bookmarkStart w:id="49" w:name="_Toc456620228"/>
      <w:r>
        <w:t>1.4.</w:t>
      </w:r>
      <w:r>
        <w:tab/>
      </w:r>
      <w:r>
        <w:rPr>
          <w:noProof/>
        </w:rPr>
        <w:t>Tavoite (Tavoitteet)</w:t>
      </w:r>
      <w:bookmarkEnd w:id="49"/>
    </w:p>
    <w:p>
      <w:pPr>
        <w:pStyle w:val="ManualHeading3"/>
        <w:rPr>
          <w:noProof/>
        </w:rPr>
      </w:pPr>
      <w:bookmarkStart w:id="50" w:name="_Toc456620229"/>
      <w:r>
        <w:t>1.4.1.</w:t>
      </w:r>
      <w:r>
        <w:tab/>
      </w:r>
      <w:r>
        <w:rPr>
          <w:noProof/>
        </w:rPr>
        <w:t>Komission monivuotinen strateginen tavoite (monivuotiset strategiset tavoitteet), jonka (joiden) saavuttamista ehdotus/aloite tukee</w:t>
      </w:r>
      <w:bookmarkEnd w:id="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Maatilojen rakennetta koskevilla yhdenmukaistetuilla ja vertailukelpoisilla tiedoilla edistetään komission kymmenen prioriteetin joukkoon kuuluvaa prioriteettia 4 (”Syvemmät ja oikeudenmukaisemmat sisämarkkinat ja lujempi teollisuuspohja”) mutta myös seuraavia prioriteetteja: 1 (”Uutta pontta työllisyyteen, kasvuun ja investointeihin”), 3 (”Joustava energiaunioni ja tulevaisuuteen suuntautuva ilmastonmuutospolitiikka”) ja 9 (”Vahvempi maailmanlaajuinen toimija”).</w:t>
      </w:r>
    </w:p>
    <w:p>
      <w:pPr>
        <w:pStyle w:val="ManualHeading3"/>
        <w:rPr>
          <w:bCs/>
          <w:noProof/>
          <w:szCs w:val="24"/>
        </w:rPr>
      </w:pPr>
      <w:bookmarkStart w:id="51" w:name="_Toc456620230"/>
      <w:r>
        <w:t>1.4.2.</w:t>
      </w:r>
      <w:r>
        <w:tab/>
      </w:r>
      <w:r>
        <w:rPr>
          <w:noProof/>
        </w:rPr>
        <w:t>Erityistavoite (erityistavoitteet) sekä toiminto (toiminnot) toimintoperusteisessa johtamis- ja budjetointijärjestelmässä</w:t>
      </w:r>
      <w:bookmarkEnd w:id="5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w:t>
      </w:r>
    </w:p>
    <w:p>
      <w:pPr>
        <w:pStyle w:val="Text1"/>
        <w:pBdr>
          <w:top w:val="single" w:sz="4" w:space="1" w:color="auto"/>
          <w:left w:val="single" w:sz="4" w:space="4" w:color="auto"/>
          <w:bottom w:val="single" w:sz="4" w:space="1" w:color="auto"/>
          <w:right w:val="single" w:sz="4" w:space="4" w:color="auto"/>
        </w:pBdr>
        <w:rPr>
          <w:noProof/>
        </w:rPr>
      </w:pPr>
      <w:r>
        <w:rPr>
          <w:noProof/>
        </w:rPr>
        <w:t>Komission työohjelma 2016, REFIT-aloite nro 26 – tilastopaketti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3403 – Euroopan tilastojen tuottaminen</w:t>
      </w:r>
    </w:p>
    <w:p>
      <w:pPr>
        <w:pStyle w:val="ManualHeading3"/>
        <w:rPr>
          <w:bCs/>
          <w:noProof/>
          <w:szCs w:val="24"/>
        </w:rPr>
      </w:pPr>
      <w:r>
        <w:rPr>
          <w:noProof/>
        </w:rPr>
        <w:br w:type="page"/>
      </w:r>
      <w:bookmarkStart w:id="52" w:name="_Toc456620231"/>
      <w:r>
        <w:t>1.4.3.</w:t>
      </w:r>
      <w:r>
        <w:tab/>
      </w:r>
      <w:r>
        <w:rPr>
          <w:noProof/>
        </w:rPr>
        <w:t>Odotettavissa olevat tulokset ja vaikutukset</w:t>
      </w:r>
      <w:bookmarkEnd w:id="52"/>
    </w:p>
    <w:p>
      <w:pPr>
        <w:pStyle w:val="Text1"/>
        <w:rPr>
          <w:noProof/>
        </w:rPr>
      </w:pPr>
      <w:r>
        <w:rPr>
          <w:i/>
          <w:noProof/>
          <w:sz w:val="20"/>
        </w:rPr>
        <w:t>Selvitys siitä, miten ehdotuksella/aloitteella on tarkoitus vaikuttaa edunsaajien/kohderyhmän tilanteeseen</w:t>
      </w:r>
      <w:r>
        <w:rPr>
          <w:noProof/>
        </w:rPr>
        <w:t xml:space="preserve"> </w:t>
      </w:r>
    </w:p>
    <w:tbl>
      <w:tblPr>
        <w:tblStyle w:val="TableGrid"/>
        <w:tblW w:w="0" w:type="auto"/>
        <w:tblInd w:w="534" w:type="dxa"/>
        <w:tblLook w:val="04A0" w:firstRow="1" w:lastRow="0" w:firstColumn="1" w:lastColumn="0" w:noHBand="0" w:noVBand="1"/>
      </w:tblPr>
      <w:tblGrid>
        <w:gridCol w:w="8753"/>
      </w:tblGrid>
      <w:tr>
        <w:tc>
          <w:tcPr>
            <w:tcW w:w="8753" w:type="dxa"/>
          </w:tcPr>
          <w:p>
            <w:pPr>
              <w:spacing w:before="60"/>
              <w:rPr>
                <w:noProof/>
              </w:rPr>
            </w:pPr>
            <w:r>
              <w:rPr>
                <w:noProof/>
              </w:rPr>
              <w:t>Ehdotuksella on tarkoitus varmistaa taloudellinen tuki jäsenvaltioille maatilojen rakennetta koskevien tietojen keräämiseksi vahvistamalla määrärahat kaudeksi 2019–2020; kautta jatketaan mahdollisesti vuoteen 2028 asti uudesta monivuotisesta rahoituskehyksestä riippuen.</w:t>
            </w:r>
          </w:p>
          <w:p>
            <w:pPr>
              <w:spacing w:before="60"/>
              <w:rPr>
                <w:noProof/>
              </w:rPr>
            </w:pPr>
            <w:r>
              <w:rPr>
                <w:noProof/>
              </w:rPr>
              <w:t>Aloitteella pyritään uudistamaan maatilatason rakennetilastojen keruuta koskevaa lainsäädäntöä, jotta voitaisiin vastata maataloudessa tapahtuneisiin globalisaation ja ilmastonmuutoksen kaltaisiin muutoksiin ja näistä yhteiseen maatalouspolitiikkaan ja muuhun maatalouteen liittyvään EU-politiikkaan aiheutuviin muutoksiin, jotka luovat uusia tietotarpeita, ja vähentää maataloustilastotietojen epäjohdonmukaisuutta samoin kuin tieonkeruusta aiheutuvaa rasitetta. Jäsenvaltioiden välillä vertailukelpoiset korkealaatuiset tiedot ovat tärkeitä, jotta voidaan suunnitella, toteuttaa, seurata ja arvioida EU:n prioriteetteja, kuten yhteistä maatalouspolitiikkaa ja siihen liittyvää politiikkaa, joiden osuus EU:n budjetista on lähes 40 prosenttia.</w:t>
            </w:r>
          </w:p>
          <w:p>
            <w:pPr>
              <w:spacing w:before="60"/>
              <w:rPr>
                <w:noProof/>
              </w:rPr>
            </w:pPr>
            <w:r>
              <w:rPr>
                <w:noProof/>
              </w:rPr>
              <w:t>Tilastolainsäädäntö on ensisijaisesti hallinnollista lainsäädäntöä, joka vaikuttaa pääasiassa tietojen käyttäjiin (eli komission muihin yksikköihin), tietojen tuottajiin (kansallisiin tilastolaitoksiin) ja vastaajiin (viljelijöihin), ja sillä on vain vähäisiä suoria taloudellisia, sosiaalisia tai ympäristövaikutuksia. Sidosryhmille aiheutuu eniten suoria kustannuksia uusiin tilastollisiin, organisatorisiin ja teknisiin järjestelmiin mukautumisesta, mutta tästä aiheutuvien kustannusten ja rasitteiden odotetaan maksavan itsensä takaisin keskipitkällä tai pitkällä aikavälillä, kun tiedonkeruusta aiheutuva rasite kevenee ja saavutetaan tehokkuusetuja ja säästöjä.</w:t>
            </w:r>
          </w:p>
          <w:p>
            <w:pPr>
              <w:rPr>
                <w:noProof/>
                <w:szCs w:val="24"/>
              </w:rPr>
            </w:pPr>
            <w:r>
              <w:rPr>
                <w:noProof/>
              </w:rPr>
              <w:t xml:space="preserve">EU:n taloudellisen tuen kansallisiin maataloustilastojen tiedonkeruisiin odotetaan jatkuvan uudessa järjestelmässä saman tasoisena ja suhteisena kuin nyt, ja myös kansallisten menojen odotetaan olevan samantasoiset kuin nyt. Kun rasitteen ja kustannusten vähentämiseen tähtäävät toimet ovat toteutuneet täysimääräisesti samoin kuin odotettu maatilojen lukumäärän väheneminen (havaitun suuntauksen perusteella), nämä voivat johtaa tiedonkeruuta varten tarvittavien varojen vähenemiseen. </w:t>
            </w:r>
          </w:p>
        </w:tc>
      </w:tr>
    </w:tbl>
    <w:p>
      <w:pPr>
        <w:pStyle w:val="ManualHeading3"/>
        <w:rPr>
          <w:bCs/>
          <w:noProof/>
          <w:szCs w:val="24"/>
        </w:rPr>
      </w:pPr>
      <w:bookmarkStart w:id="53" w:name="_Toc456620232"/>
      <w:r>
        <w:t>1.4.4.</w:t>
      </w:r>
      <w:r>
        <w:tab/>
      </w:r>
      <w:r>
        <w:rPr>
          <w:noProof/>
        </w:rPr>
        <w:t>Tulos- ja vaikutusindikaattorit</w:t>
      </w:r>
      <w:bookmarkEnd w:id="53"/>
      <w:r>
        <w:rPr>
          <w:noProof/>
        </w:rPr>
        <w:t xml:space="preserve">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Politiikan tarkastelussa käytetään vuotuisia vaatimustenmukaisuuden arviointeja, jatkuvaa näkemysten vaihtoa sidosryhmien kanssa Euroopan maataloustilastojärjestelmän (EASS) parantamiseksi ja kolmen vuoden välein laadittavia seurantaraportteja, jotka perustuvat useisiin keskeisiin tulosindikaattoreihin ja -tavoitteisiin.</w:t>
      </w:r>
    </w:p>
    <w:p>
      <w:pPr>
        <w:pStyle w:val="ManualHeading2"/>
        <w:rPr>
          <w:bCs/>
          <w:noProof/>
          <w:szCs w:val="24"/>
        </w:rPr>
      </w:pPr>
      <w:bookmarkStart w:id="54" w:name="_Toc456620233"/>
      <w:r>
        <w:t>1.5.</w:t>
      </w:r>
      <w:r>
        <w:tab/>
      </w:r>
      <w:r>
        <w:rPr>
          <w:noProof/>
        </w:rPr>
        <w:t>Ehdotuksen/aloitteen perustelut</w:t>
      </w:r>
      <w:bookmarkEnd w:id="54"/>
      <w:r>
        <w:rPr>
          <w:noProof/>
        </w:rPr>
        <w:t xml:space="preserve"> </w:t>
      </w:r>
    </w:p>
    <w:p>
      <w:pPr>
        <w:pStyle w:val="ManualHeading3"/>
        <w:rPr>
          <w:noProof/>
        </w:rPr>
      </w:pPr>
      <w:bookmarkStart w:id="55" w:name="_Toc456620234"/>
      <w:r>
        <w:t>1.5.1.</w:t>
      </w:r>
      <w:r>
        <w:tab/>
      </w:r>
      <w:r>
        <w:rPr>
          <w:noProof/>
        </w:rPr>
        <w:t>Tarpeet, joihin ehdotuksella/aloitteella vastataan lyhyellä tai pitkällä aikavälillä</w:t>
      </w:r>
      <w:bookmarkEnd w:id="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Maatilojen rakennetutkimukset (vuoden 2020 maatilojen laskenta ja vuosien 2023 ja 2026 otantatutkimukset) kuuluvat ehdotetun asetuksen piiriin ja rahoitetaan osaksi siitä.</w:t>
      </w:r>
    </w:p>
    <w:p>
      <w:pPr>
        <w:pStyle w:val="ManualHeading3"/>
        <w:rPr>
          <w:bCs/>
          <w:noProof/>
          <w:szCs w:val="24"/>
        </w:rPr>
      </w:pPr>
      <w:bookmarkStart w:id="56" w:name="_Toc456620235"/>
      <w:r>
        <w:t>1.5.2.</w:t>
      </w:r>
      <w:r>
        <w:tab/>
      </w:r>
      <w:r>
        <w:rPr>
          <w:noProof/>
        </w:rPr>
        <w:t>EU:n osallistumisesta saatava lisäarvo</w:t>
      </w:r>
      <w:bookmarkEnd w:id="56"/>
    </w:p>
    <w:p>
      <w:pPr>
        <w:pStyle w:val="Text1"/>
        <w:pBdr>
          <w:top w:val="single" w:sz="4" w:space="1" w:color="auto"/>
          <w:left w:val="single" w:sz="4" w:space="4" w:color="auto"/>
          <w:bottom w:val="single" w:sz="4" w:space="1" w:color="auto"/>
          <w:right w:val="single" w:sz="4" w:space="4" w:color="auto"/>
        </w:pBdr>
        <w:rPr>
          <w:noProof/>
        </w:rPr>
      </w:pPr>
      <w:r>
        <w:rPr>
          <w:noProof/>
        </w:rPr>
        <w:t>Yhdenmukaistettua EU:n politiikkaa, kuten yhteistä maatalouspolitiikkaa, varten tarvitaan välttämättä korkealaatuisia tietoja, jotka ovat vertailukelpoisia jäsenvaltioiden välillä, jotta voidaan kohdentaa poliittiset toimet tehokkaasti, vaikuttavasti ja oikeudenmukaisesti. Tämä voidaan varmistaa vain Euroopan tilastojärjestelmän yhteisellä ja koordinoidulla toimella. Tämä on erityisen tärkeää alalla, johon on osoitettu lähes 40 prosenttia EU:n koko budjetista; kyseessä on suurin yksittäinen menoerä.</w:t>
      </w:r>
    </w:p>
    <w:p>
      <w:pPr>
        <w:pStyle w:val="ManualHeading3"/>
        <w:rPr>
          <w:bCs/>
          <w:noProof/>
          <w:szCs w:val="24"/>
        </w:rPr>
      </w:pPr>
      <w:bookmarkStart w:id="57" w:name="_Toc456620236"/>
      <w:r>
        <w:t>1.5.3.</w:t>
      </w:r>
      <w:r>
        <w:tab/>
      </w:r>
      <w:r>
        <w:rPr>
          <w:noProof/>
        </w:rPr>
        <w:t>Vastaavista toimista saadut kokemukset</w:t>
      </w:r>
      <w:bookmarkEnd w:id="57"/>
    </w:p>
    <w:p>
      <w:pPr>
        <w:pStyle w:val="Text1"/>
        <w:pBdr>
          <w:top w:val="single" w:sz="4" w:space="1" w:color="auto"/>
          <w:left w:val="single" w:sz="4" w:space="4" w:color="auto"/>
          <w:bottom w:val="single" w:sz="4" w:space="1" w:color="auto"/>
          <w:right w:val="single" w:sz="4" w:space="4" w:color="auto"/>
        </w:pBdr>
        <w:rPr>
          <w:noProof/>
        </w:rPr>
      </w:pPr>
      <w:r>
        <w:rPr>
          <w:noProof/>
        </w:rPr>
        <w:t>Maatilojen rakennetutkimuksia on tehty EU:n tasolla vuodesta 1966/1967, ja ne ovat edelleen Euroopan maataloustilastojen kulmakivi. Niiden oikeusperustaa on kuitenkin päivitettävä, jotta voidaan vastata edellä esitettyihin haasteisiin ja korjata nykyisen maataloustilastojärjestelmän jälkiarvioinnissa yksilöityjä suurimpia ongelmia, joita ovat seuraavat:</w:t>
      </w:r>
    </w:p>
    <w:p>
      <w:pPr>
        <w:pStyle w:val="Text1"/>
        <w:pBdr>
          <w:top w:val="single" w:sz="4" w:space="1" w:color="auto"/>
          <w:left w:val="single" w:sz="4" w:space="4" w:color="auto"/>
          <w:bottom w:val="single" w:sz="4" w:space="1" w:color="auto"/>
          <w:right w:val="single" w:sz="4" w:space="4" w:color="auto"/>
        </w:pBdr>
        <w:rPr>
          <w:noProof/>
        </w:rPr>
      </w:pPr>
      <w:r>
        <w:rPr>
          <w:noProof/>
        </w:rPr>
        <w:t>1. Tämänhetkinen maataloustilastolainsäädäntö ei palvele riittävällä tavalla uusia ja tulevia tietotarpeita.</w:t>
      </w:r>
    </w:p>
    <w:p>
      <w:pPr>
        <w:pStyle w:val="Text1"/>
        <w:pBdr>
          <w:top w:val="single" w:sz="4" w:space="1" w:color="auto"/>
          <w:left w:val="single" w:sz="4" w:space="4" w:color="auto"/>
          <w:bottom w:val="single" w:sz="4" w:space="1" w:color="auto"/>
          <w:right w:val="single" w:sz="4" w:space="4" w:color="auto"/>
        </w:pBdr>
        <w:rPr>
          <w:noProof/>
        </w:rPr>
      </w:pPr>
      <w:r>
        <w:rPr>
          <w:noProof/>
        </w:rPr>
        <w:t>2. Euroopan maataloustilastojärjestelmä ei ole riittävän joustava eikä reagoi riittävän nopeasti uusiin tarpeisiin.</w:t>
      </w:r>
    </w:p>
    <w:p>
      <w:pPr>
        <w:pStyle w:val="Text1"/>
        <w:pBdr>
          <w:top w:val="single" w:sz="4" w:space="1" w:color="auto"/>
          <w:left w:val="single" w:sz="4" w:space="4" w:color="auto"/>
          <w:bottom w:val="single" w:sz="4" w:space="1" w:color="auto"/>
          <w:right w:val="single" w:sz="4" w:space="4" w:color="auto"/>
        </w:pBdr>
        <w:rPr>
          <w:noProof/>
        </w:rPr>
      </w:pPr>
      <w:r>
        <w:rPr>
          <w:noProof/>
        </w:rPr>
        <w:t>3. Tiedonkeruut eivät ole yhdenmukaistettuja eivätkä johdonmukaisia tyydyttävässä määrin.</w:t>
      </w:r>
    </w:p>
    <w:p>
      <w:pPr>
        <w:pStyle w:val="Text1"/>
        <w:pBdr>
          <w:top w:val="single" w:sz="4" w:space="1" w:color="auto"/>
          <w:left w:val="single" w:sz="4" w:space="4" w:color="auto"/>
          <w:bottom w:val="single" w:sz="4" w:space="1" w:color="auto"/>
          <w:right w:val="single" w:sz="4" w:space="4" w:color="auto"/>
        </w:pBdr>
        <w:rPr>
          <w:noProof/>
        </w:rPr>
      </w:pPr>
      <w:r>
        <w:rPr>
          <w:noProof/>
        </w:rPr>
        <w:t>4. Tilastoja voitaisiin tuottaa tehokkaammin.</w:t>
      </w:r>
    </w:p>
    <w:p>
      <w:pPr>
        <w:pStyle w:val="Text1"/>
        <w:pBdr>
          <w:top w:val="single" w:sz="4" w:space="1" w:color="auto"/>
          <w:left w:val="single" w:sz="4" w:space="4" w:color="auto"/>
          <w:bottom w:val="single" w:sz="4" w:space="1" w:color="auto"/>
          <w:right w:val="single" w:sz="4" w:space="4" w:color="auto"/>
        </w:pBdr>
        <w:rPr>
          <w:noProof/>
        </w:rPr>
      </w:pPr>
      <w:r>
        <w:rPr>
          <w:noProof/>
        </w:rPr>
        <w:t>5. Tietojen toimittamiseen liittyvää rasitetta pidetään suurena.</w:t>
      </w:r>
    </w:p>
    <w:p>
      <w:pPr>
        <w:pStyle w:val="ManualHeading3"/>
        <w:rPr>
          <w:bCs/>
          <w:noProof/>
          <w:szCs w:val="24"/>
        </w:rPr>
      </w:pPr>
      <w:bookmarkStart w:id="58" w:name="_Toc456620237"/>
      <w:r>
        <w:t>1.5.4.</w:t>
      </w:r>
      <w:r>
        <w:tab/>
      </w:r>
      <w:r>
        <w:rPr>
          <w:noProof/>
        </w:rPr>
        <w:t>Yhteensopivuus muiden kyseeseen tulevien välineiden kanssa ja mahdolliset synergiaedut</w:t>
      </w:r>
      <w:bookmarkEnd w:id="58"/>
    </w:p>
    <w:p>
      <w:pPr>
        <w:pStyle w:val="Text1"/>
        <w:pBdr>
          <w:top w:val="single" w:sz="4" w:space="1" w:color="auto"/>
          <w:left w:val="single" w:sz="4" w:space="4" w:color="auto"/>
          <w:bottom w:val="single" w:sz="4" w:space="1" w:color="auto"/>
          <w:right w:val="single" w:sz="4" w:space="4" w:color="auto"/>
        </w:pBdr>
        <w:rPr>
          <w:noProof/>
        </w:rPr>
      </w:pPr>
      <w:r>
        <w:rPr>
          <w:noProof/>
        </w:rPr>
        <w:t>Ehdotettu asetus on osa maataloustilastoja koskevaa vuoden 2020 jälkeistä Eurostatin strategiaa, johon on tarkoitus sisältyä kaksi puiteasetusta, jotka koskevat integroituja maatilatilastoja sekä maatalouden panos- ja tuotostilastoja. Molemmilla asetuksilla on yhteinen soveltamisala ja yhteiset tekniset ja menetelmiin liittyvä asiakirjat ja ne kattavat yhdessä kaikki maataloustilastostrategian näkökohdat.</w:t>
      </w:r>
    </w:p>
    <w:p>
      <w:pPr>
        <w:pStyle w:val="ManualHeading2"/>
        <w:rPr>
          <w:bCs/>
          <w:noProof/>
          <w:szCs w:val="24"/>
        </w:rPr>
      </w:pPr>
      <w:r>
        <w:rPr>
          <w:noProof/>
        </w:rPr>
        <w:br w:type="page"/>
      </w:r>
      <w:bookmarkStart w:id="59" w:name="_Toc456620238"/>
      <w:r>
        <w:t>1.6.</w:t>
      </w:r>
      <w:r>
        <w:tab/>
      </w:r>
      <w:r>
        <w:rPr>
          <w:noProof/>
        </w:rPr>
        <w:t>Toiminnan ja sen rahoitusvaikutusten kesto</w:t>
      </w:r>
      <w:bookmarkEnd w:id="59"/>
      <w:r>
        <w:rPr>
          <w:noProof/>
        </w:rPr>
        <w:t xml:space="preserve"> </w:t>
      </w:r>
    </w:p>
    <w:p>
      <w:pPr>
        <w:pStyle w:val="Text1"/>
        <w:rPr>
          <w:noProof/>
        </w:rPr>
      </w:pPr>
      <w:r>
        <w:rPr>
          <w:noProof/>
        </w:rPr>
        <w:t xml:space="preserve">X Ehdotuksen/aloitteen mukaisen toiminnan </w:t>
      </w:r>
      <w:r>
        <w:rPr>
          <w:b/>
          <w:noProof/>
        </w:rPr>
        <w:t>kesto on rajattu</w:t>
      </w:r>
      <w:r>
        <w:rPr>
          <w:noProof/>
        </w:rPr>
        <w:t>.</w:t>
      </w:r>
      <w:r>
        <w:rPr>
          <w:b/>
          <w:noProof/>
        </w:rPr>
        <w:t xml:space="preserve"> </w:t>
      </w:r>
    </w:p>
    <w:p>
      <w:pPr>
        <w:pStyle w:val="ListDash2"/>
        <w:ind w:left="1134"/>
        <w:rPr>
          <w:noProof/>
        </w:rPr>
      </w:pPr>
      <w:r>
        <w:rPr>
          <w:noProof/>
        </w:rPr>
        <w:t>X</w:t>
      </w:r>
      <w:r>
        <w:rPr>
          <w:noProof/>
        </w:rPr>
        <w:tab/>
        <w:t xml:space="preserve">Ehdotuksen/aloitteen mukainen toiminta päättyy 31.12.2028 </w:t>
      </w:r>
    </w:p>
    <w:p>
      <w:pPr>
        <w:pStyle w:val="ListDash2"/>
        <w:ind w:left="1134"/>
        <w:rPr>
          <w:noProof/>
        </w:rPr>
      </w:pPr>
      <w:r>
        <w:rPr>
          <w:noProof/>
        </w:rPr>
        <w:t>X</w:t>
      </w:r>
      <w:r>
        <w:rPr>
          <w:noProof/>
        </w:rPr>
        <w:tab/>
        <w:t xml:space="preserve">Rahoitusvaikutuksia vuosina 2019 ja 2020 (mahdolliset rahoitusvaikutukset ulottuvat vuoteen 2028 uudesta monivuotisesta rahoituskehyksestä riippuen). </w:t>
      </w:r>
    </w:p>
    <w:p>
      <w:pPr>
        <w:pStyle w:val="Text1"/>
        <w:rPr>
          <w:noProof/>
        </w:rPr>
      </w:pPr>
      <w:r>
        <w:rPr>
          <w:noProof/>
        </w:rPr>
        <w:sym w:font="Wingdings" w:char="F0A8"/>
      </w:r>
      <w:r>
        <w:rPr>
          <w:noProof/>
        </w:rPr>
        <w:t xml:space="preserve"> Ehdotuksen/aloitteen mukaisen toiminnan </w:t>
      </w:r>
      <w:r>
        <w:rPr>
          <w:b/>
          <w:noProof/>
        </w:rPr>
        <w:t>kestoa ei ole rajattu</w:t>
      </w:r>
      <w:r>
        <w:rPr>
          <w:noProof/>
        </w:rPr>
        <w:t>.</w:t>
      </w:r>
    </w:p>
    <w:p>
      <w:pPr>
        <w:pStyle w:val="ListDash1"/>
        <w:ind w:left="1134"/>
        <w:rPr>
          <w:noProof/>
        </w:rPr>
      </w:pPr>
      <w:r>
        <w:rPr>
          <w:noProof/>
        </w:rPr>
        <w:t>Käynnistysvaihe alkaa vuonna VVVV ja päättyy vuonna VVVV,</w:t>
      </w:r>
    </w:p>
    <w:p>
      <w:pPr>
        <w:pStyle w:val="ListDash1"/>
        <w:ind w:left="1134"/>
        <w:rPr>
          <w:noProof/>
        </w:rPr>
      </w:pPr>
      <w:r>
        <w:rPr>
          <w:noProof/>
        </w:rPr>
        <w:t>minkä jälkeen toteutus täydessä laajuudessa.</w:t>
      </w:r>
    </w:p>
    <w:p>
      <w:pPr>
        <w:pStyle w:val="ManualHeading2"/>
        <w:rPr>
          <w:bCs/>
          <w:noProof/>
          <w:szCs w:val="24"/>
        </w:rPr>
      </w:pPr>
      <w:bookmarkStart w:id="60" w:name="_Toc456620239"/>
      <w:r>
        <w:t>1.7.</w:t>
      </w:r>
      <w:r>
        <w:tab/>
      </w:r>
      <w:r>
        <w:rPr>
          <w:noProof/>
        </w:rPr>
        <w:t>Hallinnointitapa (Hallinnointitavat)</w:t>
      </w:r>
      <w:r>
        <w:rPr>
          <w:rStyle w:val="FootnoteReference"/>
          <w:noProof/>
        </w:rPr>
        <w:footnoteReference w:id="27"/>
      </w:r>
      <w:bookmarkEnd w:id="60"/>
      <w:r>
        <w:rPr>
          <w:rStyle w:val="FootnoteReference"/>
          <w:noProof/>
        </w:rPr>
        <w:t xml:space="preserve"> </w:t>
      </w:r>
    </w:p>
    <w:p>
      <w:pPr>
        <w:pStyle w:val="Text1"/>
        <w:rPr>
          <w:noProof/>
        </w:rPr>
      </w:pPr>
      <w:r>
        <w:rPr>
          <w:noProof/>
        </w:rPr>
        <w:t xml:space="preserve">X </w:t>
      </w:r>
      <w:r>
        <w:rPr>
          <w:b/>
          <w:noProof/>
        </w:rPr>
        <w:t>Suora hallinnointi</w:t>
      </w:r>
      <w:r>
        <w:rPr>
          <w:noProof/>
        </w:rPr>
        <w:t>, jonka komissio toteuttaa käyttämällä</w:t>
      </w:r>
    </w:p>
    <w:p>
      <w:pPr>
        <w:pStyle w:val="ListDash2"/>
        <w:ind w:left="1134"/>
        <w:rPr>
          <w:rFonts w:cs="EUAlbertina"/>
          <w:noProof/>
        </w:rPr>
      </w:pPr>
      <w:r>
        <w:rPr>
          <w:noProof/>
        </w:rPr>
        <w:t xml:space="preserve">X yksiköitään, myös unionin edustustoissa olevaa henkilöstöään </w:t>
      </w:r>
    </w:p>
    <w:p>
      <w:pPr>
        <w:pStyle w:val="ListDash2"/>
        <w:ind w:left="1134"/>
        <w:rPr>
          <w:noProof/>
        </w:rPr>
      </w:pPr>
      <w:r>
        <w:rPr>
          <w:noProof/>
        </w:rPr>
        <w:sym w:font="Wingdings" w:char="F0A8"/>
      </w:r>
      <w:r>
        <w:rPr>
          <w:noProof/>
        </w:rPr>
        <w:t xml:space="preserve"> toimeenpanovirastoja </w:t>
      </w:r>
    </w:p>
    <w:p>
      <w:pPr>
        <w:pStyle w:val="Text1"/>
        <w:rPr>
          <w:noProof/>
        </w:rPr>
      </w:pPr>
      <w:r>
        <w:rPr>
          <w:noProof/>
        </w:rPr>
        <w:sym w:font="Wingdings" w:char="F0A8"/>
      </w:r>
      <w:r>
        <w:rPr>
          <w:b/>
          <w:noProof/>
        </w:rPr>
        <w:t xml:space="preserve"> Hallinnointi yhteistyössä</w:t>
      </w:r>
      <w:r>
        <w:rPr>
          <w:noProof/>
        </w:rPr>
        <w:t xml:space="preserve"> jäsenvaltioiden kanssa </w:t>
      </w:r>
    </w:p>
    <w:p>
      <w:pPr>
        <w:pStyle w:val="Text1"/>
        <w:rPr>
          <w:noProof/>
        </w:rPr>
      </w:pPr>
      <w:r>
        <w:rPr>
          <w:noProof/>
        </w:rPr>
        <w:sym w:font="Wingdings" w:char="F0A8"/>
      </w:r>
      <w:r>
        <w:rPr>
          <w:noProof/>
        </w:rPr>
        <w:t xml:space="preserve"> </w:t>
      </w:r>
      <w:r>
        <w:rPr>
          <w:b/>
          <w:noProof/>
        </w:rPr>
        <w:t>Välillinen hallinnointi</w:t>
      </w:r>
      <w:r>
        <w:rPr>
          <w:noProof/>
        </w:rPr>
        <w:t>, jossa täytäntöönpanotehtäviä on siirretty</w:t>
      </w:r>
    </w:p>
    <w:p>
      <w:pPr>
        <w:pStyle w:val="ListDash2"/>
        <w:ind w:left="1134"/>
        <w:rPr>
          <w:noProof/>
        </w:rPr>
      </w:pPr>
      <w:r>
        <w:rPr>
          <w:noProof/>
        </w:rPr>
        <w:sym w:font="Wingdings" w:char="F0A8"/>
      </w:r>
      <w:r>
        <w:rPr>
          <w:noProof/>
        </w:rPr>
        <w:t xml:space="preserve"> kolmansille maille tai niiden nimeämille elimille</w:t>
      </w:r>
    </w:p>
    <w:p>
      <w:pPr>
        <w:pStyle w:val="ListDash2"/>
        <w:ind w:left="1134"/>
        <w:rPr>
          <w:noProof/>
        </w:rPr>
      </w:pPr>
      <w:r>
        <w:rPr>
          <w:noProof/>
        </w:rPr>
        <w:sym w:font="Wingdings" w:char="F0A8"/>
      </w:r>
      <w:r>
        <w:rPr>
          <w:noProof/>
        </w:rPr>
        <w:t xml:space="preserve"> kansainvälisille järjestöille ja niiden erityisjärjestöille (tarkennettava)</w:t>
      </w:r>
    </w:p>
    <w:p>
      <w:pPr>
        <w:pStyle w:val="ListDash2"/>
        <w:ind w:left="1134"/>
        <w:rPr>
          <w:noProof/>
        </w:rPr>
      </w:pPr>
      <w:r>
        <w:rPr>
          <w:noProof/>
        </w:rPr>
        <w:sym w:font="Wingdings" w:char="F0A8"/>
      </w:r>
      <w:r>
        <w:rPr>
          <w:noProof/>
        </w:rPr>
        <w:t xml:space="preserve"> Euroopan investointipankille tai Euroopan investointirahastolle</w:t>
      </w:r>
    </w:p>
    <w:p>
      <w:pPr>
        <w:pStyle w:val="ListDash2"/>
        <w:ind w:left="1134"/>
        <w:rPr>
          <w:noProof/>
        </w:rPr>
      </w:pPr>
      <w:r>
        <w:rPr>
          <w:noProof/>
        </w:rPr>
        <w:sym w:font="Wingdings" w:char="F0A8"/>
      </w:r>
      <w:r>
        <w:rPr>
          <w:noProof/>
        </w:rPr>
        <w:t xml:space="preserve"> varainhoitoasetuksen 208 ja 209 artiklassa tarkoitetuille elimille</w:t>
      </w:r>
    </w:p>
    <w:p>
      <w:pPr>
        <w:pStyle w:val="ListDash2"/>
        <w:ind w:left="1134"/>
        <w:rPr>
          <w:noProof/>
        </w:rPr>
      </w:pPr>
      <w:r>
        <w:rPr>
          <w:noProof/>
        </w:rPr>
        <w:sym w:font="Wingdings" w:char="F0A8"/>
      </w:r>
      <w:r>
        <w:rPr>
          <w:noProof/>
        </w:rPr>
        <w:t xml:space="preserve"> julkisoikeudellisille yhteisöille</w:t>
      </w:r>
    </w:p>
    <w:p>
      <w:pPr>
        <w:pStyle w:val="ListDash2"/>
        <w:ind w:left="1134"/>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ind w:left="1134"/>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ind w:left="1134"/>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ind w:left="1134"/>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Huomautuksia </w:t>
      </w:r>
    </w:p>
    <w:p>
      <w:pPr>
        <w:pStyle w:val="ManualHeading1"/>
        <w:rPr>
          <w:bCs/>
          <w:noProof/>
          <w:szCs w:val="24"/>
        </w:rPr>
      </w:pPr>
      <w:bookmarkStart w:id="61" w:name="_Toc456620240"/>
      <w:r>
        <w:t>2.</w:t>
      </w:r>
      <w:r>
        <w:tab/>
      </w:r>
      <w:r>
        <w:rPr>
          <w:noProof/>
        </w:rPr>
        <w:t>HALLINNOINTI</w:t>
      </w:r>
      <w:bookmarkEnd w:id="61"/>
      <w:r>
        <w:rPr>
          <w:noProof/>
        </w:rPr>
        <w:t xml:space="preserve"> </w:t>
      </w:r>
    </w:p>
    <w:p>
      <w:pPr>
        <w:pStyle w:val="ManualHeading2"/>
        <w:rPr>
          <w:noProof/>
        </w:rPr>
      </w:pPr>
      <w:bookmarkStart w:id="62" w:name="_Toc456620241"/>
      <w:r>
        <w:t>2.1.</w:t>
      </w:r>
      <w:r>
        <w:tab/>
      </w:r>
      <w:r>
        <w:rPr>
          <w:noProof/>
        </w:rPr>
        <w:t>Seuranta- ja raportointisäännöt</w:t>
      </w:r>
      <w:bookmarkEnd w:id="62"/>
      <w:r>
        <w:rPr>
          <w:noProof/>
        </w:rPr>
        <w:t xml:space="preserve">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Avustusten saajien on toimitettava kerätyt tiedot ja niitä vastaavat laaturaportit.</w:t>
      </w:r>
    </w:p>
    <w:p>
      <w:pPr>
        <w:pStyle w:val="ManualHeading2"/>
        <w:rPr>
          <w:bCs/>
          <w:noProof/>
          <w:szCs w:val="24"/>
        </w:rPr>
      </w:pPr>
      <w:bookmarkStart w:id="63" w:name="_Toc456620242"/>
      <w:r>
        <w:t>2.2.</w:t>
      </w:r>
      <w:r>
        <w:tab/>
      </w:r>
      <w:r>
        <w:rPr>
          <w:noProof/>
        </w:rPr>
        <w:t>Hallinnointi- ja valvontajärjestelmä</w:t>
      </w:r>
      <w:bookmarkEnd w:id="63"/>
      <w:r>
        <w:rPr>
          <w:noProof/>
        </w:rPr>
        <w:t xml:space="preserve"> </w:t>
      </w:r>
    </w:p>
    <w:p>
      <w:pPr>
        <w:pStyle w:val="ManualHeading3"/>
        <w:rPr>
          <w:noProof/>
        </w:rPr>
      </w:pPr>
      <w:bookmarkStart w:id="64" w:name="_Toc456620243"/>
      <w:r>
        <w:t>2.2.1.</w:t>
      </w:r>
      <w:r>
        <w:tab/>
      </w:r>
      <w:r>
        <w:rPr>
          <w:noProof/>
        </w:rPr>
        <w:t>Todetut riskit</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Mahdollisia tietojen laatuun ja ajantasaisuuteen liittyviä ongelmia.</w:t>
      </w:r>
    </w:p>
    <w:p>
      <w:pPr>
        <w:pStyle w:val="ManualHeading3"/>
        <w:rPr>
          <w:bCs/>
          <w:noProof/>
          <w:szCs w:val="24"/>
        </w:rPr>
      </w:pPr>
      <w:bookmarkStart w:id="65" w:name="_Toc456620244"/>
      <w:r>
        <w:t>2.2.2.</w:t>
      </w:r>
      <w:r>
        <w:tab/>
      </w:r>
      <w:r>
        <w:rPr>
          <w:noProof/>
        </w:rPr>
        <w:t>Tiedot käyttöön otetusta sisäisen valvonnan järjestelmästä.</w:t>
      </w:r>
      <w:bookmarkEnd w:id="65"/>
    </w:p>
    <w:p>
      <w:pPr>
        <w:pStyle w:val="Text1"/>
        <w:pBdr>
          <w:top w:val="single" w:sz="4" w:space="1" w:color="auto"/>
          <w:left w:val="single" w:sz="4" w:space="4" w:color="auto"/>
          <w:bottom w:val="single" w:sz="4" w:space="1" w:color="auto"/>
          <w:right w:val="single" w:sz="4" w:space="4" w:color="auto"/>
        </w:pBdr>
        <w:rPr>
          <w:noProof/>
        </w:rPr>
      </w:pPr>
      <w:r>
        <w:rPr>
          <w:noProof/>
        </w:rPr>
        <w:t>Jäsenvaltioille ilmoitetaan etukäteen tekniset ja menetelmiin liittyvät asiakirjat ja ohjeet. Määräaikojen noudattamista valvotaan. Laaturaportit tarkastetaan kustakin tutkimuksesta.</w:t>
      </w:r>
    </w:p>
    <w:p>
      <w:pPr>
        <w:pStyle w:val="ManualHeading3"/>
        <w:rPr>
          <w:noProof/>
        </w:rPr>
      </w:pPr>
      <w:bookmarkStart w:id="66" w:name="_Toc456620245"/>
      <w:r>
        <w:t>2.2.3.</w:t>
      </w:r>
      <w:r>
        <w:tab/>
      </w:r>
      <w:r>
        <w:rPr>
          <w:noProof/>
        </w:rPr>
        <w:t>Arvio tarkastusten kustannustehokkuudesta ja odotettavissa olevasta virheriskin tasosta</w:t>
      </w:r>
      <w:bookmarkEnd w:id="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Tarkastuksista ei aiheudu lisäkustannuksia, koska komission virkamiehet tekevät ne osana työtehtäviään. Tarkastusten etuna on tietojen laadun ja vertailukelpoisuuden paraneminen. Odotettu virheriskin taso on alhainen, koska maataloustilastoja koskevaa tiedonkeruuta on tehty yhteistyössä jäsenvaltioiden kanssa 1950-luvulta lähtien. Teknisten ja muiden tutkimusjärjestelmien mukauttaminen voi johtaa virheriskin vähäiseen kohoamiseen lyhyellä aikavälillä, mutta sen odotetaan palautuvan ennalleen keskipitkällä tai pitkällä aikavälillä.</w:t>
      </w:r>
    </w:p>
    <w:p>
      <w:pPr>
        <w:pStyle w:val="ManualHeading2"/>
        <w:rPr>
          <w:bCs/>
          <w:noProof/>
          <w:szCs w:val="24"/>
        </w:rPr>
      </w:pPr>
      <w:bookmarkStart w:id="67" w:name="_Toc456620246"/>
      <w:r>
        <w:t>2.3.</w:t>
      </w:r>
      <w:r>
        <w:tab/>
      </w:r>
      <w:r>
        <w:rPr>
          <w:noProof/>
        </w:rPr>
        <w:t>Toimenpiteet petosten ja sääntöjenvastaisuuksien ehkäisemiseksi</w:t>
      </w:r>
      <w:bookmarkEnd w:id="67"/>
      <w:r>
        <w:rPr>
          <w:noProof/>
        </w:rPr>
        <w:t xml:space="preserve">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Kaikkien viranomaisvalvontamekanismien soveltamisen lisäksi Eurostat soveltaa petosten vastaista strategiaa komission yleisten petostentorjuntatoimien mukaisesti. Näin varmistetaan, että petosriskien hallintaan sovellettavassa lähestymistavassa suuntaudutaan petoksille alttiiden osa-alueiden ja asianmukaisten vastatoimien kartoittamiseen. Tarvittaessa perustetaan verkkoryhmiä ja otetaan käyttöön riittävät tietotekniikan välineet petosten analysoimiseksi.</w:t>
      </w:r>
    </w:p>
    <w:p>
      <w:pPr>
        <w:pStyle w:val="Text1"/>
        <w:pBdr>
          <w:top w:val="single" w:sz="4" w:space="1" w:color="auto"/>
          <w:left w:val="single" w:sz="4" w:space="4" w:color="auto"/>
          <w:bottom w:val="single" w:sz="4" w:space="1" w:color="auto"/>
          <w:right w:val="single" w:sz="4" w:space="4" w:color="auto"/>
        </w:pBdr>
        <w:rPr>
          <w:noProof/>
        </w:rPr>
      </w:pPr>
      <w:r>
        <w:rPr>
          <w:noProof/>
        </w:rPr>
        <w:t>Menojen toteutumisen valvontaa varten Eurostat on laatinut valvontastrategian. Strategiaan kuuluvia toimenpiteitä ja välineitä sovelletaan ehdotettuun asetukseen täysimääräisesti. Yksinkertaistamalla, soveltamalla kustannustehokkaita seurantaprosesseja ja tekemällä riskiin perustuvia ennakko- ja jälkitarkastuksia pyritään vähentämään petosten todennäköisyyttä ja ehkäisemään niitä. Petostentorjuntaan liittyvä valistus ja koulutus ovat osa valvontastrategiaa.</w:t>
      </w:r>
    </w:p>
    <w:p>
      <w:pPr>
        <w:pStyle w:val="Text1"/>
        <w:rPr>
          <w:noProof/>
        </w:rPr>
      </w:pP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8" w:name="_Toc456620247"/>
      <w:r>
        <w:t>3.</w:t>
      </w:r>
      <w:r>
        <w:tab/>
      </w:r>
      <w:r>
        <w:rPr>
          <w:noProof/>
        </w:rPr>
        <w:t>EHDOTUKSEN/ALOITTEEN ARVIOIDUT RAHOITUSVAIKUTUKSET</w:t>
      </w:r>
      <w:bookmarkEnd w:id="68"/>
      <w:r>
        <w:rPr>
          <w:noProof/>
        </w:rPr>
        <w:t xml:space="preserve"> </w:t>
      </w:r>
    </w:p>
    <w:p>
      <w:pPr>
        <w:pStyle w:val="ManualHeading2"/>
        <w:rPr>
          <w:noProof/>
        </w:rPr>
      </w:pPr>
      <w:bookmarkStart w:id="69" w:name="_Toc456620248"/>
      <w:r>
        <w:t>3.1.</w:t>
      </w:r>
      <w:r>
        <w:tab/>
      </w:r>
      <w:r>
        <w:rPr>
          <w:noProof/>
        </w:rPr>
        <w:t>Kyseeseen tulevat monivuotisen rahoituskehyksen otsakkeet ja menopuolen budjettikohdat</w:t>
      </w:r>
      <w:bookmarkEnd w:id="69"/>
      <w:r>
        <w:rPr>
          <w:noProof/>
        </w:rPr>
        <w:t xml:space="preserve"> </w:t>
      </w:r>
    </w:p>
    <w:p>
      <w:pPr>
        <w:pStyle w:val="ListBullet1"/>
        <w:ind w:left="1134"/>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22"/>
              </w:rPr>
            </w:pPr>
            <w:r>
              <w:rPr>
                <w:noProof/>
                <w:sz w:val="18"/>
              </w:rPr>
              <w:t>Monivuotisen rahoituskehyksen otsake</w:t>
            </w:r>
          </w:p>
        </w:tc>
        <w:tc>
          <w:tcPr>
            <w:tcW w:w="3260" w:type="dxa"/>
            <w:vAlign w:val="center"/>
          </w:tcPr>
          <w:p>
            <w:pPr>
              <w:spacing w:before="60" w:after="60"/>
              <w:jc w:val="center"/>
              <w:rPr>
                <w:noProof/>
                <w:sz w:val="22"/>
              </w:rPr>
            </w:pPr>
            <w:r>
              <w:rPr>
                <w:noProof/>
                <w:sz w:val="20"/>
              </w:rPr>
              <w:t>Budjettikohta</w:t>
            </w:r>
          </w:p>
        </w:tc>
        <w:tc>
          <w:tcPr>
            <w:tcW w:w="1134" w:type="dxa"/>
            <w:vAlign w:val="center"/>
          </w:tcPr>
          <w:p>
            <w:pPr>
              <w:spacing w:before="60" w:after="60"/>
              <w:jc w:val="center"/>
              <w:rPr>
                <w:noProof/>
                <w:sz w:val="18"/>
                <w:szCs w:val="18"/>
              </w:rPr>
            </w:pPr>
            <w:r>
              <w:rPr>
                <w:noProof/>
                <w:sz w:val="18"/>
                <w:szCs w:val="18"/>
              </w:rPr>
              <w:t>Määräraha</w:t>
            </w:r>
            <w:r>
              <w:rPr>
                <w:noProof/>
                <w:sz w:val="18"/>
                <w:szCs w:val="18"/>
              </w:rPr>
              <w:softHyphen/>
              <w:t>laji</w:t>
            </w:r>
          </w:p>
        </w:tc>
        <w:tc>
          <w:tcPr>
            <w:tcW w:w="4813" w:type="dxa"/>
            <w:gridSpan w:val="4"/>
            <w:vAlign w:val="center"/>
          </w:tcPr>
          <w:p>
            <w:pPr>
              <w:spacing w:before="60" w:after="60"/>
              <w:jc w:val="center"/>
              <w:rPr>
                <w:noProof/>
                <w:sz w:val="22"/>
              </w:rPr>
            </w:pPr>
            <w:r>
              <w:rPr>
                <w:noProof/>
                <w:sz w:val="20"/>
              </w:rPr>
              <w:t xml:space="preserve">Rahoitusosuus </w:t>
            </w:r>
          </w:p>
        </w:tc>
      </w:tr>
      <w:tr>
        <w:tc>
          <w:tcPr>
            <w:tcW w:w="1353" w:type="dxa"/>
            <w:vMerge/>
            <w:vAlign w:val="center"/>
          </w:tcPr>
          <w:p>
            <w:pPr>
              <w:jc w:val="center"/>
              <w:rPr>
                <w:noProof/>
                <w:sz w:val="22"/>
              </w:rPr>
            </w:pPr>
          </w:p>
        </w:tc>
        <w:tc>
          <w:tcPr>
            <w:tcW w:w="3260" w:type="dxa"/>
            <w:vAlign w:val="center"/>
          </w:tcPr>
          <w:p>
            <w:pPr>
              <w:jc w:val="left"/>
              <w:rPr>
                <w:noProof/>
                <w:sz w:val="18"/>
                <w:szCs w:val="18"/>
              </w:rPr>
            </w:pPr>
            <w:r>
              <w:rPr>
                <w:noProof/>
                <w:sz w:val="18"/>
                <w:szCs w:val="18"/>
              </w:rPr>
              <w:t>Numero […]</w:t>
            </w:r>
            <w:r>
              <w:rPr>
                <w:noProof/>
                <w:sz w:val="18"/>
                <w:szCs w:val="18"/>
              </w:rPr>
              <w:br/>
              <w:t>[Otsake…]</w:t>
            </w:r>
          </w:p>
        </w:tc>
        <w:tc>
          <w:tcPr>
            <w:tcW w:w="1134" w:type="dxa"/>
            <w:vAlign w:val="center"/>
          </w:tcPr>
          <w:p>
            <w:pPr>
              <w:jc w:val="center"/>
              <w:rPr>
                <w:noProof/>
                <w:sz w:val="18"/>
                <w:szCs w:val="18"/>
              </w:rPr>
            </w:pPr>
            <w:r>
              <w:rPr>
                <w:noProof/>
                <w:sz w:val="18"/>
                <w:szCs w:val="18"/>
              </w:rPr>
              <w:t>JM/EI-JM</w:t>
            </w:r>
            <w:r>
              <w:rPr>
                <w:rStyle w:val="FootnoteReference"/>
                <w:noProof/>
                <w:sz w:val="18"/>
                <w:szCs w:val="18"/>
              </w:rPr>
              <w:footnoteReference w:id="28"/>
            </w:r>
          </w:p>
        </w:tc>
        <w:tc>
          <w:tcPr>
            <w:tcW w:w="1134" w:type="dxa"/>
            <w:vAlign w:val="center"/>
          </w:tcPr>
          <w:p>
            <w:pPr>
              <w:jc w:val="center"/>
              <w:rPr>
                <w:noProof/>
                <w:sz w:val="22"/>
              </w:rPr>
            </w:pPr>
            <w:r>
              <w:rPr>
                <w:noProof/>
                <w:sz w:val="18"/>
              </w:rPr>
              <w:t>EFTA-mailta</w:t>
            </w:r>
            <w:r>
              <w:rPr>
                <w:rStyle w:val="FootnoteReference"/>
                <w:noProof/>
                <w:sz w:val="18"/>
              </w:rPr>
              <w:footnoteReference w:id="29"/>
            </w:r>
          </w:p>
          <w:p>
            <w:pPr>
              <w:spacing w:after="0"/>
              <w:jc w:val="center"/>
              <w:rPr>
                <w:b/>
                <w:noProof/>
                <w:sz w:val="18"/>
              </w:rPr>
            </w:pPr>
          </w:p>
        </w:tc>
        <w:tc>
          <w:tcPr>
            <w:tcW w:w="1275" w:type="dxa"/>
            <w:vAlign w:val="center"/>
          </w:tcPr>
          <w:p>
            <w:pPr>
              <w:jc w:val="center"/>
              <w:rPr>
                <w:noProof/>
                <w:sz w:val="22"/>
              </w:rPr>
            </w:pPr>
            <w:r>
              <w:rPr>
                <w:noProof/>
                <w:sz w:val="18"/>
              </w:rPr>
              <w:t>ehdokasmailta</w:t>
            </w:r>
            <w:r>
              <w:rPr>
                <w:rStyle w:val="FootnoteReference"/>
                <w:noProof/>
                <w:sz w:val="18"/>
              </w:rPr>
              <w:footnoteReference w:id="30"/>
            </w:r>
          </w:p>
          <w:p>
            <w:pPr>
              <w:spacing w:after="0"/>
              <w:jc w:val="center"/>
              <w:rPr>
                <w:noProof/>
                <w:sz w:val="18"/>
              </w:rPr>
            </w:pPr>
          </w:p>
        </w:tc>
        <w:tc>
          <w:tcPr>
            <w:tcW w:w="1135" w:type="dxa"/>
            <w:vAlign w:val="center"/>
          </w:tcPr>
          <w:p>
            <w:pPr>
              <w:jc w:val="center"/>
              <w:rPr>
                <w:noProof/>
                <w:sz w:val="18"/>
              </w:rPr>
            </w:pPr>
            <w:r>
              <w:rPr>
                <w:noProof/>
                <w:sz w:val="18"/>
              </w:rPr>
              <w:t>kolmansilta mailta</w:t>
            </w:r>
          </w:p>
        </w:tc>
        <w:tc>
          <w:tcPr>
            <w:tcW w:w="1269" w:type="dxa"/>
            <w:vAlign w:val="center"/>
          </w:tcPr>
          <w:p>
            <w:pPr>
              <w:jc w:val="center"/>
              <w:rPr>
                <w:noProof/>
                <w:sz w:val="22"/>
              </w:rPr>
            </w:pPr>
            <w:r>
              <w:rPr>
                <w:noProof/>
                <w:sz w:val="16"/>
              </w:rPr>
              <w:t xml:space="preserve">varainhoitoasetuksen 21 artiklan 2 kohdan b alakohdassa tarkoitetut rahoitusosuudet </w:t>
            </w:r>
          </w:p>
        </w:tc>
      </w:tr>
      <w:tr>
        <w:tc>
          <w:tcPr>
            <w:tcW w:w="1353" w:type="dxa"/>
            <w:vAlign w:val="center"/>
          </w:tcPr>
          <w:p>
            <w:pPr>
              <w:jc w:val="center"/>
              <w:rPr>
                <w:noProof/>
                <w:sz w:val="22"/>
              </w:rPr>
            </w:pPr>
            <w:r>
              <w:rPr>
                <w:noProof/>
                <w:sz w:val="22"/>
              </w:rPr>
              <w:t>2</w:t>
            </w:r>
          </w:p>
        </w:tc>
        <w:tc>
          <w:tcPr>
            <w:tcW w:w="3260" w:type="dxa"/>
            <w:vAlign w:val="center"/>
          </w:tcPr>
          <w:p>
            <w:pPr>
              <w:spacing w:before="60"/>
              <w:jc w:val="left"/>
              <w:rPr>
                <w:noProof/>
                <w:szCs w:val="24"/>
              </w:rPr>
            </w:pPr>
            <w:r>
              <w:rPr>
                <w:noProof/>
                <w:szCs w:val="24"/>
              </w:rPr>
              <w:t xml:space="preserve">05 08 02 </w:t>
            </w:r>
            <w:r>
              <w:rPr>
                <w:noProof/>
                <w:szCs w:val="24"/>
              </w:rPr>
              <w:br/>
              <w:t>”Maatilojen rakennetta koskevien tietojen keruu”</w:t>
            </w:r>
          </w:p>
        </w:tc>
        <w:tc>
          <w:tcPr>
            <w:tcW w:w="1134" w:type="dxa"/>
            <w:vAlign w:val="center"/>
          </w:tcPr>
          <w:p>
            <w:pPr>
              <w:jc w:val="center"/>
              <w:rPr>
                <w:noProof/>
                <w:sz w:val="22"/>
              </w:rPr>
            </w:pPr>
            <w:r>
              <w:rPr>
                <w:noProof/>
                <w:sz w:val="22"/>
              </w:rPr>
              <w:t>JM</w:t>
            </w:r>
          </w:p>
        </w:tc>
        <w:tc>
          <w:tcPr>
            <w:tcW w:w="1134" w:type="dxa"/>
            <w:vAlign w:val="center"/>
          </w:tcPr>
          <w:p>
            <w:pPr>
              <w:jc w:val="center"/>
              <w:rPr>
                <w:noProof/>
                <w:sz w:val="22"/>
              </w:rPr>
            </w:pPr>
            <w:r>
              <w:rPr>
                <w:noProof/>
                <w:sz w:val="22"/>
              </w:rPr>
              <w:t>EI</w:t>
            </w:r>
          </w:p>
        </w:tc>
        <w:tc>
          <w:tcPr>
            <w:tcW w:w="1275" w:type="dxa"/>
            <w:vAlign w:val="center"/>
          </w:tcPr>
          <w:p>
            <w:pPr>
              <w:jc w:val="center"/>
              <w:rPr>
                <w:noProof/>
                <w:sz w:val="22"/>
              </w:rPr>
            </w:pPr>
            <w:r>
              <w:rPr>
                <w:noProof/>
                <w:sz w:val="22"/>
              </w:rPr>
              <w:t>EI</w:t>
            </w:r>
          </w:p>
        </w:tc>
        <w:tc>
          <w:tcPr>
            <w:tcW w:w="1135" w:type="dxa"/>
            <w:vAlign w:val="center"/>
          </w:tcPr>
          <w:p>
            <w:pPr>
              <w:jc w:val="center"/>
              <w:rPr>
                <w:noProof/>
                <w:sz w:val="22"/>
              </w:rPr>
            </w:pPr>
            <w:r>
              <w:rPr>
                <w:noProof/>
                <w:sz w:val="22"/>
              </w:rPr>
              <w:t>EI</w:t>
            </w:r>
          </w:p>
        </w:tc>
        <w:tc>
          <w:tcPr>
            <w:tcW w:w="1269" w:type="dxa"/>
            <w:vAlign w:val="center"/>
          </w:tcPr>
          <w:p>
            <w:pPr>
              <w:jc w:val="center"/>
              <w:rPr>
                <w:noProof/>
                <w:sz w:val="22"/>
              </w:rPr>
            </w:pPr>
            <w:r>
              <w:rPr>
                <w:noProof/>
                <w:sz w:val="22"/>
              </w:rPr>
              <w:t>EI</w:t>
            </w:r>
          </w:p>
        </w:tc>
      </w:tr>
    </w:tbl>
    <w:p>
      <w:pPr>
        <w:pStyle w:val="ListBullet1"/>
        <w:ind w:left="1134"/>
        <w:rPr>
          <w:noProof/>
        </w:rPr>
      </w:pPr>
      <w:r>
        <w:rPr>
          <w:noProof/>
        </w:rPr>
        <w:t xml:space="preserve">Uudet perustettaviksi esitetyt budjettikohdat </w:t>
      </w:r>
    </w:p>
    <w:p>
      <w:pPr>
        <w:pStyle w:val="Text1"/>
        <w:rPr>
          <w:i/>
          <w:noProof/>
          <w:sz w:val="20"/>
        </w:rPr>
      </w:pPr>
      <w:r>
        <w:rPr>
          <w:i/>
          <w:noProof/>
        </w:rPr>
        <w:t xml:space="preserve">Monivuotisen rahoituskehyksen otsakkeiden ja budjettikohtien mukaisessa </w:t>
      </w:r>
      <w:r>
        <w:rPr>
          <w:i/>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18"/>
                <w:szCs w:val="18"/>
              </w:rPr>
            </w:pPr>
            <w:r>
              <w:rPr>
                <w:noProof/>
                <w:sz w:val="18"/>
              </w:rPr>
              <w:t>Monivuotisen rahoituskehyksen otsake</w:t>
            </w:r>
          </w:p>
        </w:tc>
        <w:tc>
          <w:tcPr>
            <w:tcW w:w="3260" w:type="dxa"/>
            <w:vAlign w:val="center"/>
          </w:tcPr>
          <w:p>
            <w:pPr>
              <w:spacing w:before="60" w:after="60"/>
              <w:jc w:val="center"/>
              <w:rPr>
                <w:noProof/>
                <w:sz w:val="22"/>
              </w:rPr>
            </w:pPr>
            <w:r>
              <w:rPr>
                <w:noProof/>
                <w:sz w:val="20"/>
              </w:rPr>
              <w:t>Budjettikohta</w:t>
            </w:r>
          </w:p>
        </w:tc>
        <w:tc>
          <w:tcPr>
            <w:tcW w:w="1134" w:type="dxa"/>
            <w:vAlign w:val="center"/>
          </w:tcPr>
          <w:p>
            <w:pPr>
              <w:spacing w:before="60" w:after="60"/>
              <w:jc w:val="center"/>
              <w:rPr>
                <w:noProof/>
                <w:sz w:val="18"/>
                <w:szCs w:val="18"/>
              </w:rPr>
            </w:pPr>
            <w:r>
              <w:rPr>
                <w:noProof/>
                <w:sz w:val="18"/>
                <w:szCs w:val="18"/>
              </w:rPr>
              <w:t>Määräraha</w:t>
            </w:r>
            <w:r>
              <w:rPr>
                <w:noProof/>
                <w:sz w:val="18"/>
                <w:szCs w:val="18"/>
              </w:rPr>
              <w:softHyphen/>
              <w:t>laji</w:t>
            </w:r>
          </w:p>
        </w:tc>
        <w:tc>
          <w:tcPr>
            <w:tcW w:w="4813" w:type="dxa"/>
            <w:gridSpan w:val="4"/>
            <w:vAlign w:val="center"/>
          </w:tcPr>
          <w:p>
            <w:pPr>
              <w:spacing w:before="60" w:after="60"/>
              <w:jc w:val="center"/>
              <w:rPr>
                <w:noProof/>
                <w:sz w:val="22"/>
              </w:rPr>
            </w:pPr>
            <w:r>
              <w:rPr>
                <w:noProof/>
                <w:sz w:val="20"/>
              </w:rPr>
              <w:t xml:space="preserve">Rahoitusosuus </w:t>
            </w:r>
          </w:p>
        </w:tc>
      </w:tr>
      <w:tr>
        <w:tc>
          <w:tcPr>
            <w:tcW w:w="1353" w:type="dxa"/>
            <w:vMerge/>
            <w:vAlign w:val="center"/>
          </w:tcPr>
          <w:p>
            <w:pPr>
              <w:jc w:val="center"/>
              <w:rPr>
                <w:noProof/>
                <w:sz w:val="22"/>
              </w:rPr>
            </w:pPr>
          </w:p>
        </w:tc>
        <w:tc>
          <w:tcPr>
            <w:tcW w:w="3260" w:type="dxa"/>
            <w:vAlign w:val="center"/>
          </w:tcPr>
          <w:p>
            <w:pPr>
              <w:jc w:val="left"/>
              <w:rPr>
                <w:noProof/>
                <w:sz w:val="18"/>
                <w:szCs w:val="18"/>
              </w:rPr>
            </w:pPr>
            <w:r>
              <w:rPr>
                <w:noProof/>
                <w:sz w:val="18"/>
                <w:szCs w:val="18"/>
              </w:rPr>
              <w:t>Numero […]</w:t>
            </w:r>
            <w:r>
              <w:rPr>
                <w:noProof/>
                <w:sz w:val="18"/>
                <w:szCs w:val="18"/>
              </w:rPr>
              <w:br/>
              <w:t>[Otsake…]</w:t>
            </w:r>
          </w:p>
        </w:tc>
        <w:tc>
          <w:tcPr>
            <w:tcW w:w="1134" w:type="dxa"/>
            <w:vAlign w:val="center"/>
          </w:tcPr>
          <w:p>
            <w:pPr>
              <w:jc w:val="center"/>
              <w:rPr>
                <w:noProof/>
                <w:sz w:val="22"/>
              </w:rPr>
            </w:pPr>
            <w:r>
              <w:rPr>
                <w:noProof/>
                <w:sz w:val="18"/>
              </w:rPr>
              <w:t>JM/EI-JM</w:t>
            </w:r>
          </w:p>
        </w:tc>
        <w:tc>
          <w:tcPr>
            <w:tcW w:w="1134" w:type="dxa"/>
            <w:vAlign w:val="center"/>
          </w:tcPr>
          <w:p>
            <w:pPr>
              <w:jc w:val="center"/>
              <w:rPr>
                <w:noProof/>
                <w:sz w:val="18"/>
              </w:rPr>
            </w:pPr>
            <w:r>
              <w:rPr>
                <w:noProof/>
                <w:sz w:val="18"/>
              </w:rPr>
              <w:t>EFTA-mailta</w:t>
            </w:r>
          </w:p>
        </w:tc>
        <w:tc>
          <w:tcPr>
            <w:tcW w:w="1275" w:type="dxa"/>
            <w:vAlign w:val="center"/>
          </w:tcPr>
          <w:p>
            <w:pPr>
              <w:jc w:val="center"/>
              <w:rPr>
                <w:noProof/>
                <w:sz w:val="18"/>
              </w:rPr>
            </w:pPr>
            <w:r>
              <w:rPr>
                <w:noProof/>
                <w:sz w:val="18"/>
              </w:rPr>
              <w:t>ehdokasmailta</w:t>
            </w:r>
          </w:p>
        </w:tc>
        <w:tc>
          <w:tcPr>
            <w:tcW w:w="1135" w:type="dxa"/>
            <w:vAlign w:val="center"/>
          </w:tcPr>
          <w:p>
            <w:pPr>
              <w:jc w:val="center"/>
              <w:rPr>
                <w:noProof/>
                <w:sz w:val="18"/>
              </w:rPr>
            </w:pPr>
            <w:r>
              <w:rPr>
                <w:noProof/>
                <w:sz w:val="18"/>
              </w:rPr>
              <w:t>kolmansilta mailta</w:t>
            </w:r>
          </w:p>
        </w:tc>
        <w:tc>
          <w:tcPr>
            <w:tcW w:w="1269" w:type="dxa"/>
            <w:vAlign w:val="center"/>
          </w:tcPr>
          <w:p>
            <w:pPr>
              <w:jc w:val="center"/>
              <w:rPr>
                <w:noProof/>
                <w:sz w:val="22"/>
              </w:rPr>
            </w:pPr>
            <w:r>
              <w:rPr>
                <w:noProof/>
                <w:sz w:val="16"/>
              </w:rPr>
              <w:t xml:space="preserve">varainhoitoasetuksen 21 artiklan 2 kohdan b alakohdassa tarkoitetut rahoitusosuudet </w:t>
            </w:r>
          </w:p>
        </w:tc>
      </w:tr>
      <w:tr>
        <w:tc>
          <w:tcPr>
            <w:tcW w:w="1353" w:type="dxa"/>
            <w:vAlign w:val="center"/>
          </w:tcPr>
          <w:p>
            <w:pPr>
              <w:jc w:val="center"/>
              <w:rPr>
                <w:noProof/>
                <w:sz w:val="22"/>
              </w:rPr>
            </w:pPr>
          </w:p>
        </w:tc>
        <w:tc>
          <w:tcPr>
            <w:tcW w:w="3260" w:type="dxa"/>
            <w:vAlign w:val="center"/>
          </w:tcPr>
          <w:p>
            <w:pPr>
              <w:spacing w:before="60"/>
              <w:rPr>
                <w:i/>
                <w:noProof/>
                <w:szCs w:val="24"/>
              </w:rPr>
            </w:pPr>
            <w:r>
              <w:rPr>
                <w:noProof/>
                <w:szCs w:val="24"/>
              </w:rPr>
              <w:t>Ei ole</w:t>
            </w:r>
          </w:p>
        </w:tc>
        <w:tc>
          <w:tcPr>
            <w:tcW w:w="1134" w:type="dxa"/>
            <w:vAlign w:val="center"/>
          </w:tcPr>
          <w:p>
            <w:pPr>
              <w:jc w:val="center"/>
              <w:rPr>
                <w:noProof/>
                <w:sz w:val="22"/>
              </w:rPr>
            </w:pPr>
          </w:p>
        </w:tc>
        <w:tc>
          <w:tcPr>
            <w:tcW w:w="1134" w:type="dxa"/>
            <w:vAlign w:val="center"/>
          </w:tcPr>
          <w:p>
            <w:pPr>
              <w:jc w:val="center"/>
              <w:rPr>
                <w:noProof/>
                <w:sz w:val="22"/>
              </w:rPr>
            </w:pPr>
            <w:r>
              <w:rPr>
                <w:noProof/>
                <w:sz w:val="22"/>
              </w:rPr>
              <w:t>KYLLÄ/EI</w:t>
            </w:r>
          </w:p>
        </w:tc>
        <w:tc>
          <w:tcPr>
            <w:tcW w:w="1275" w:type="dxa"/>
            <w:vAlign w:val="center"/>
          </w:tcPr>
          <w:p>
            <w:pPr>
              <w:jc w:val="center"/>
              <w:rPr>
                <w:noProof/>
                <w:sz w:val="22"/>
              </w:rPr>
            </w:pPr>
            <w:r>
              <w:rPr>
                <w:noProof/>
                <w:sz w:val="22"/>
              </w:rPr>
              <w:t>KYLLÄ/EI</w:t>
            </w:r>
          </w:p>
        </w:tc>
        <w:tc>
          <w:tcPr>
            <w:tcW w:w="1135" w:type="dxa"/>
            <w:vAlign w:val="center"/>
          </w:tcPr>
          <w:p>
            <w:pPr>
              <w:jc w:val="center"/>
              <w:rPr>
                <w:noProof/>
                <w:sz w:val="22"/>
              </w:rPr>
            </w:pPr>
            <w:r>
              <w:rPr>
                <w:noProof/>
                <w:sz w:val="22"/>
              </w:rPr>
              <w:t>KYLLÄ/EI</w:t>
            </w:r>
          </w:p>
        </w:tc>
        <w:tc>
          <w:tcPr>
            <w:tcW w:w="1269" w:type="dxa"/>
            <w:vAlign w:val="center"/>
          </w:tcPr>
          <w:p>
            <w:pPr>
              <w:jc w:val="center"/>
              <w:rPr>
                <w:noProof/>
                <w:sz w:val="22"/>
              </w:rPr>
            </w:pPr>
            <w:r>
              <w:rPr>
                <w:noProof/>
                <w:sz w:val="22"/>
              </w:rPr>
              <w:t>KYLLÄ/EI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0" w:name="_Toc456620249"/>
      <w:r>
        <w:t>3.2.</w:t>
      </w:r>
      <w:r>
        <w:tab/>
      </w:r>
      <w:r>
        <w:rPr>
          <w:noProof/>
        </w:rPr>
        <w:t>Arvioidut vaikutukset menoihin</w:t>
      </w:r>
      <w:bookmarkEnd w:id="70"/>
      <w:r>
        <w:rPr>
          <w:noProof/>
        </w:rPr>
        <w:t xml:space="preserve"> </w:t>
      </w:r>
    </w:p>
    <w:p>
      <w:pPr>
        <w:pStyle w:val="ManualHeading3"/>
        <w:rPr>
          <w:noProof/>
          <w:u w:val="single"/>
        </w:rPr>
      </w:pPr>
      <w:bookmarkStart w:id="71" w:name="_Toc456620250"/>
      <w:r>
        <w:t>3.2.1.</w:t>
      </w:r>
      <w:r>
        <w:tab/>
      </w:r>
      <w:r>
        <w:rPr>
          <w:noProof/>
        </w:rPr>
        <w:t>Yhteenveto arvioiduista vaikutuksista menoihin</w:t>
      </w:r>
      <w:bookmarkEnd w:id="71"/>
      <w:r>
        <w:rPr>
          <w:noProof/>
        </w:rPr>
        <w:t xml:space="preserve"> </w:t>
      </w:r>
    </w:p>
    <w:p>
      <w:pPr>
        <w:jc w:val="right"/>
        <w:rPr>
          <w:noProof/>
          <w:sz w:val="20"/>
        </w:rPr>
      </w:pPr>
      <w:r>
        <w:rPr>
          <w:noProof/>
          <w:sz w:val="20"/>
        </w:rPr>
        <w:t>milj. euroa (kolmen desimaalin tarkkuudella)</w:t>
      </w: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1139"/>
        <w:gridCol w:w="7817"/>
      </w:tblGrid>
      <w:tr>
        <w:trPr>
          <w:jc w:val="center"/>
        </w:trPr>
        <w:tc>
          <w:tcPr>
            <w:tcW w:w="5159" w:type="dxa"/>
            <w:shd w:val="thinDiagStripe" w:color="C0C0C0" w:fill="auto"/>
            <w:vAlign w:val="center"/>
          </w:tcPr>
          <w:p>
            <w:pPr>
              <w:spacing w:before="60" w:after="60"/>
              <w:jc w:val="center"/>
              <w:rPr>
                <w:b/>
                <w:noProof/>
                <w:sz w:val="22"/>
              </w:rPr>
            </w:pPr>
            <w:r>
              <w:rPr>
                <w:b/>
                <w:noProof/>
                <w:sz w:val="22"/>
              </w:rPr>
              <w:t>Monivuotisen rahoituskehyksen otsake</w:t>
            </w:r>
          </w:p>
        </w:tc>
        <w:tc>
          <w:tcPr>
            <w:tcW w:w="1139" w:type="dxa"/>
            <w:vAlign w:val="center"/>
          </w:tcPr>
          <w:p>
            <w:pPr>
              <w:spacing w:before="60" w:after="60"/>
              <w:jc w:val="center"/>
              <w:rPr>
                <w:noProof/>
                <w:sz w:val="22"/>
              </w:rPr>
            </w:pPr>
            <w:r>
              <w:rPr>
                <w:noProof/>
                <w:sz w:val="22"/>
              </w:rPr>
              <w:t>2</w:t>
            </w:r>
          </w:p>
        </w:tc>
        <w:tc>
          <w:tcPr>
            <w:tcW w:w="7817" w:type="dxa"/>
            <w:vAlign w:val="center"/>
          </w:tcPr>
          <w:p>
            <w:pPr>
              <w:spacing w:before="60"/>
              <w:rPr>
                <w:noProof/>
                <w:sz w:val="22"/>
              </w:rPr>
            </w:pPr>
            <w:r>
              <w:rPr>
                <w:noProof/>
              </w:rPr>
              <w:t>05 08 02 ”Maatilojen rakennetta koskevien tietojen keruu”</w:t>
            </w:r>
          </w:p>
        </w:tc>
      </w:tr>
    </w:tbl>
    <w:p>
      <w:pPr>
        <w:rPr>
          <w:noProof/>
          <w:sz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c>
          <w:tcPr>
            <w:tcW w:w="1842" w:type="pct"/>
            <w:vAlign w:val="center"/>
          </w:tcPr>
          <w:p>
            <w:pPr>
              <w:spacing w:after="0"/>
              <w:jc w:val="center"/>
              <w:rPr>
                <w:noProof/>
                <w:sz w:val="22"/>
              </w:rPr>
            </w:pPr>
            <w:r>
              <w:rPr>
                <w:noProof/>
                <w:sz w:val="22"/>
              </w:rPr>
              <w:t>PO: AGRI</w:t>
            </w:r>
          </w:p>
        </w:tc>
        <w:tc>
          <w:tcPr>
            <w:tcW w:w="1153" w:type="pct"/>
          </w:tcPr>
          <w:p>
            <w:pPr>
              <w:spacing w:after="0"/>
              <w:rPr>
                <w:noProof/>
                <w:sz w:val="20"/>
              </w:rPr>
            </w:pPr>
          </w:p>
        </w:tc>
        <w:tc>
          <w:tcPr>
            <w:tcW w:w="301" w:type="pct"/>
          </w:tcPr>
          <w:p>
            <w:pPr>
              <w:spacing w:after="0"/>
              <w:jc w:val="center"/>
              <w:rPr>
                <w:noProof/>
                <w:sz w:val="20"/>
              </w:rPr>
            </w:pPr>
          </w:p>
        </w:tc>
        <w:tc>
          <w:tcPr>
            <w:tcW w:w="601" w:type="pct"/>
            <w:vAlign w:val="center"/>
          </w:tcPr>
          <w:p>
            <w:pPr>
              <w:spacing w:after="0"/>
              <w:jc w:val="center"/>
              <w:rPr>
                <w:noProof/>
                <w:sz w:val="20"/>
              </w:rPr>
            </w:pPr>
            <w:r>
              <w:rPr>
                <w:noProof/>
              </w:rPr>
              <w:t>Vuosi</w:t>
            </w:r>
            <w:r>
              <w:rPr>
                <w:noProof/>
              </w:rPr>
              <w:br/>
            </w:r>
            <w:r>
              <w:rPr>
                <w:b/>
                <w:noProof/>
                <w:sz w:val="20"/>
              </w:rPr>
              <w:t>2019</w:t>
            </w:r>
            <w:r>
              <w:rPr>
                <w:rStyle w:val="FootnoteReference"/>
                <w:b/>
                <w:noProof/>
                <w:sz w:val="20"/>
              </w:rPr>
              <w:footnoteReference w:id="31"/>
            </w:r>
          </w:p>
        </w:tc>
        <w:tc>
          <w:tcPr>
            <w:tcW w:w="551" w:type="pct"/>
            <w:vAlign w:val="center"/>
          </w:tcPr>
          <w:p>
            <w:pPr>
              <w:spacing w:after="0"/>
              <w:jc w:val="center"/>
              <w:rPr>
                <w:noProof/>
                <w:sz w:val="20"/>
              </w:rPr>
            </w:pPr>
            <w:r>
              <w:rPr>
                <w:noProof/>
                <w:sz w:val="20"/>
              </w:rPr>
              <w:t>Vuosi</w:t>
            </w:r>
            <w:r>
              <w:rPr>
                <w:noProof/>
                <w:sz w:val="22"/>
              </w:rPr>
              <w:br/>
            </w:r>
            <w:r>
              <w:rPr>
                <w:b/>
                <w:noProof/>
                <w:sz w:val="20"/>
              </w:rPr>
              <w:t>2020</w:t>
            </w:r>
          </w:p>
        </w:tc>
        <w:tc>
          <w:tcPr>
            <w:tcW w:w="552" w:type="pct"/>
            <w:vAlign w:val="center"/>
          </w:tcPr>
          <w:p>
            <w:pPr>
              <w:spacing w:after="0"/>
              <w:jc w:val="left"/>
              <w:rPr>
                <w:b/>
                <w:noProof/>
                <w:sz w:val="20"/>
              </w:rPr>
            </w:pPr>
            <w:r>
              <w:rPr>
                <w:b/>
                <w:noProof/>
                <w:sz w:val="20"/>
              </w:rPr>
              <w:t>YHTEENSÄ</w:t>
            </w:r>
          </w:p>
        </w:tc>
      </w:tr>
      <w:tr>
        <w:trPr>
          <w:trHeight w:val="213"/>
        </w:trPr>
        <w:tc>
          <w:tcPr>
            <w:tcW w:w="3296" w:type="pct"/>
            <w:gridSpan w:val="3"/>
            <w:vAlign w:val="center"/>
          </w:tcPr>
          <w:p>
            <w:pPr>
              <w:spacing w:after="0"/>
              <w:rPr>
                <w:noProof/>
                <w:sz w:val="21"/>
              </w:rPr>
            </w:pPr>
            <w:r>
              <w:rPr>
                <w:noProof/>
                <w:sz w:val="21"/>
              </w:rPr>
              <w:sym w:font="Wingdings" w:char="F09F"/>
            </w:r>
            <w:r>
              <w:rPr>
                <w:noProof/>
              </w:rPr>
              <w:t xml:space="preserve"> </w:t>
            </w:r>
            <w:r>
              <w:rPr>
                <w:noProof/>
                <w:sz w:val="22"/>
              </w:rPr>
              <w:t>Toimintamäärärahat</w:t>
            </w:r>
          </w:p>
        </w:tc>
        <w:tc>
          <w:tcPr>
            <w:tcW w:w="601" w:type="pct"/>
            <w:vAlign w:val="center"/>
          </w:tcPr>
          <w:p>
            <w:pPr>
              <w:spacing w:after="0"/>
              <w:rPr>
                <w:noProof/>
                <w:sz w:val="20"/>
              </w:rPr>
            </w:pPr>
          </w:p>
        </w:tc>
        <w:tc>
          <w:tcPr>
            <w:tcW w:w="551" w:type="pct"/>
            <w:vAlign w:val="center"/>
          </w:tcPr>
          <w:p>
            <w:pPr>
              <w:spacing w:after="0"/>
              <w:rPr>
                <w:noProof/>
                <w:sz w:val="20"/>
              </w:rPr>
            </w:pPr>
          </w:p>
        </w:tc>
        <w:tc>
          <w:tcPr>
            <w:tcW w:w="552" w:type="pct"/>
            <w:vAlign w:val="center"/>
          </w:tcPr>
          <w:p>
            <w:pPr>
              <w:spacing w:after="0"/>
              <w:jc w:val="left"/>
              <w:rPr>
                <w:noProof/>
                <w:sz w:val="20"/>
              </w:rPr>
            </w:pPr>
          </w:p>
        </w:tc>
      </w:tr>
      <w:tr>
        <w:trPr>
          <w:trHeight w:val="277"/>
        </w:trPr>
        <w:tc>
          <w:tcPr>
            <w:tcW w:w="1842" w:type="pct"/>
            <w:vMerge w:val="restart"/>
            <w:vAlign w:val="center"/>
          </w:tcPr>
          <w:p>
            <w:pPr>
              <w:spacing w:after="0"/>
              <w:rPr>
                <w:noProof/>
                <w:sz w:val="22"/>
              </w:rPr>
            </w:pPr>
            <w:r>
              <w:rPr>
                <w:noProof/>
                <w:sz w:val="20"/>
              </w:rPr>
              <w:t>Budjettikohdan numero 05 08 02</w:t>
            </w:r>
          </w:p>
        </w:tc>
        <w:tc>
          <w:tcPr>
            <w:tcW w:w="1153" w:type="pct"/>
            <w:vAlign w:val="center"/>
          </w:tcPr>
          <w:p>
            <w:pPr>
              <w:spacing w:after="0"/>
              <w:rPr>
                <w:noProof/>
                <w:sz w:val="18"/>
              </w:rPr>
            </w:pPr>
            <w:r>
              <w:rPr>
                <w:noProof/>
                <w:sz w:val="18"/>
              </w:rPr>
              <w:t>Sitoumukset</w:t>
            </w:r>
          </w:p>
        </w:tc>
        <w:tc>
          <w:tcPr>
            <w:tcW w:w="301" w:type="pct"/>
            <w:vAlign w:val="center"/>
          </w:tcPr>
          <w:p>
            <w:pPr>
              <w:spacing w:after="0"/>
              <w:jc w:val="center"/>
              <w:rPr>
                <w:noProof/>
                <w:sz w:val="14"/>
              </w:rPr>
            </w:pPr>
            <w:r>
              <w:rPr>
                <w:noProof/>
                <w:sz w:val="14"/>
              </w:rPr>
              <w:t>(1)</w:t>
            </w:r>
          </w:p>
        </w:tc>
        <w:tc>
          <w:tcPr>
            <w:tcW w:w="601" w:type="pct"/>
            <w:vAlign w:val="center"/>
          </w:tcPr>
          <w:p>
            <w:pPr>
              <w:spacing w:after="0"/>
              <w:jc w:val="left"/>
              <w:rPr>
                <w:noProof/>
                <w:sz w:val="20"/>
              </w:rPr>
            </w:pPr>
            <w:r>
              <w:rPr>
                <w:noProof/>
                <w:sz w:val="20"/>
              </w:rPr>
              <w:t>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Maksut</w:t>
            </w:r>
          </w:p>
        </w:tc>
        <w:tc>
          <w:tcPr>
            <w:tcW w:w="301" w:type="pct"/>
            <w:vAlign w:val="center"/>
          </w:tcPr>
          <w:p>
            <w:pPr>
              <w:spacing w:after="0"/>
              <w:jc w:val="center"/>
              <w:rPr>
                <w:noProof/>
                <w:sz w:val="14"/>
              </w:rPr>
            </w:pPr>
            <w:r>
              <w:rPr>
                <w:noProof/>
                <w:sz w:val="14"/>
              </w:rPr>
              <w:t>(2)</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c>
          <w:tcPr>
            <w:tcW w:w="1842" w:type="pct"/>
            <w:vMerge w:val="restart"/>
            <w:vAlign w:val="center"/>
          </w:tcPr>
          <w:p>
            <w:pPr>
              <w:spacing w:after="0"/>
              <w:rPr>
                <w:noProof/>
                <w:sz w:val="22"/>
              </w:rPr>
            </w:pPr>
            <w:r>
              <w:rPr>
                <w:noProof/>
                <w:sz w:val="20"/>
              </w:rPr>
              <w:t>Budjettikohdan numero</w:t>
            </w:r>
          </w:p>
        </w:tc>
        <w:tc>
          <w:tcPr>
            <w:tcW w:w="1153" w:type="pct"/>
            <w:vAlign w:val="center"/>
          </w:tcPr>
          <w:p>
            <w:pPr>
              <w:spacing w:after="0"/>
              <w:rPr>
                <w:noProof/>
                <w:sz w:val="18"/>
              </w:rPr>
            </w:pPr>
            <w:r>
              <w:rPr>
                <w:noProof/>
                <w:sz w:val="18"/>
              </w:rPr>
              <w:t>Sitoumukset</w:t>
            </w:r>
          </w:p>
        </w:tc>
        <w:tc>
          <w:tcPr>
            <w:tcW w:w="301" w:type="pct"/>
            <w:vAlign w:val="center"/>
          </w:tcPr>
          <w:p>
            <w:pPr>
              <w:spacing w:after="0"/>
              <w:jc w:val="center"/>
              <w:rPr>
                <w:noProof/>
                <w:sz w:val="14"/>
              </w:rPr>
            </w:pPr>
            <w:r>
              <w:rPr>
                <w:noProof/>
                <w:sz w:val="14"/>
              </w:rPr>
              <w:t>(1a)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Maksut</w:t>
            </w:r>
          </w:p>
        </w:tc>
        <w:tc>
          <w:tcPr>
            <w:tcW w:w="301" w:type="pct"/>
            <w:vAlign w:val="center"/>
          </w:tcPr>
          <w:p>
            <w:pPr>
              <w:spacing w:after="0"/>
              <w:jc w:val="center"/>
              <w:rPr>
                <w:noProof/>
                <w:sz w:val="14"/>
              </w:rPr>
            </w:pPr>
            <w:r>
              <w:rPr>
                <w:noProof/>
                <w:sz w:val="14"/>
              </w:rPr>
              <w:t>(2a)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rPr>
          <w:trHeight w:val="231"/>
        </w:trPr>
        <w:tc>
          <w:tcPr>
            <w:tcW w:w="3296" w:type="pct"/>
            <w:gridSpan w:val="3"/>
            <w:vAlign w:val="center"/>
          </w:tcPr>
          <w:p>
            <w:pPr>
              <w:spacing w:after="0"/>
              <w:rPr>
                <w:noProof/>
                <w:sz w:val="20"/>
                <w:szCs w:val="20"/>
              </w:rPr>
            </w:pPr>
            <w:r>
              <w:rPr>
                <w:noProof/>
                <w:sz w:val="20"/>
                <w:szCs w:val="20"/>
              </w:rPr>
              <w:t>Tiettyjen ohjelmien määrärahoista katettavat hallintomäärärahat</w:t>
            </w:r>
            <w:r>
              <w:rPr>
                <w:rStyle w:val="FootnoteReference"/>
                <w:noProof/>
                <w:sz w:val="20"/>
                <w:szCs w:val="20"/>
              </w:rPr>
              <w:footnoteReference w:id="32"/>
            </w:r>
            <w:r>
              <w:rPr>
                <w:noProof/>
                <w:sz w:val="20"/>
                <w:szCs w:val="20"/>
              </w:rPr>
              <w:t xml:space="preserve"> </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rPr>
          <w:trHeight w:val="319"/>
        </w:trPr>
        <w:tc>
          <w:tcPr>
            <w:tcW w:w="1842" w:type="pct"/>
            <w:vAlign w:val="center"/>
          </w:tcPr>
          <w:p>
            <w:pPr>
              <w:spacing w:after="0"/>
              <w:rPr>
                <w:noProof/>
                <w:sz w:val="22"/>
              </w:rPr>
            </w:pPr>
            <w:r>
              <w:rPr>
                <w:noProof/>
                <w:sz w:val="20"/>
              </w:rPr>
              <w:t>Budjettikohdan numero</w:t>
            </w:r>
          </w:p>
        </w:tc>
        <w:tc>
          <w:tcPr>
            <w:tcW w:w="1153" w:type="pct"/>
            <w:vAlign w:val="center"/>
          </w:tcPr>
          <w:p>
            <w:pPr>
              <w:spacing w:after="0"/>
              <w:jc w:val="right"/>
              <w:rPr>
                <w:noProof/>
                <w:sz w:val="18"/>
              </w:rPr>
            </w:pPr>
          </w:p>
        </w:tc>
        <w:tc>
          <w:tcPr>
            <w:tcW w:w="301" w:type="pct"/>
            <w:vAlign w:val="center"/>
          </w:tcPr>
          <w:p>
            <w:pPr>
              <w:spacing w:after="0"/>
              <w:jc w:val="center"/>
              <w:rPr>
                <w:noProof/>
                <w:sz w:val="14"/>
              </w:rPr>
            </w:pPr>
            <w:r>
              <w:rPr>
                <w:noProof/>
                <w:sz w:val="14"/>
              </w:rPr>
              <w:t>(3)</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c>
          <w:tcPr>
            <w:tcW w:w="1842" w:type="pct"/>
            <w:vMerge w:val="restart"/>
            <w:vAlign w:val="center"/>
          </w:tcPr>
          <w:p>
            <w:pPr>
              <w:spacing w:after="0"/>
              <w:jc w:val="center"/>
              <w:rPr>
                <w:b/>
                <w:noProof/>
                <w:sz w:val="22"/>
              </w:rPr>
            </w:pPr>
            <w:r>
              <w:rPr>
                <w:b/>
                <w:noProof/>
                <w:sz w:val="22"/>
              </w:rPr>
              <w:t>PO AGRIn</w:t>
            </w:r>
            <w:r>
              <w:rPr>
                <w:noProof/>
                <w:sz w:val="22"/>
              </w:rPr>
              <w:br/>
            </w:r>
            <w:r>
              <w:rPr>
                <w:b/>
                <w:noProof/>
                <w:sz w:val="22"/>
              </w:rPr>
              <w:t>määrärahat YHTEENSÄ</w:t>
            </w:r>
          </w:p>
        </w:tc>
        <w:tc>
          <w:tcPr>
            <w:tcW w:w="1153" w:type="pct"/>
            <w:vAlign w:val="center"/>
          </w:tcPr>
          <w:p>
            <w:pPr>
              <w:spacing w:after="0"/>
              <w:rPr>
                <w:noProof/>
                <w:sz w:val="18"/>
              </w:rPr>
            </w:pPr>
            <w:r>
              <w:rPr>
                <w:noProof/>
                <w:sz w:val="18"/>
              </w:rPr>
              <w:t>Sitoumukset</w:t>
            </w:r>
          </w:p>
        </w:tc>
        <w:tc>
          <w:tcPr>
            <w:tcW w:w="301" w:type="pct"/>
            <w:vAlign w:val="center"/>
          </w:tcPr>
          <w:p>
            <w:pPr>
              <w:spacing w:after="0"/>
              <w:jc w:val="center"/>
              <w:rPr>
                <w:noProof/>
                <w:sz w:val="14"/>
              </w:rPr>
            </w:pPr>
            <w:r>
              <w:rPr>
                <w:noProof/>
                <w:sz w:val="14"/>
              </w:rPr>
              <w:t>= 1 + 1 a + 3</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rPr>
                <w:noProof/>
                <w:sz w:val="20"/>
              </w:rPr>
            </w:pPr>
          </w:p>
        </w:tc>
        <w:tc>
          <w:tcPr>
            <w:tcW w:w="1153" w:type="pct"/>
            <w:vAlign w:val="center"/>
          </w:tcPr>
          <w:p>
            <w:pPr>
              <w:spacing w:after="0"/>
              <w:rPr>
                <w:noProof/>
                <w:sz w:val="18"/>
              </w:rPr>
            </w:pPr>
            <w:r>
              <w:rPr>
                <w:noProof/>
                <w:sz w:val="18"/>
              </w:rPr>
              <w:t>Maksut</w:t>
            </w:r>
          </w:p>
        </w:tc>
        <w:tc>
          <w:tcPr>
            <w:tcW w:w="301" w:type="pct"/>
            <w:vAlign w:val="center"/>
          </w:tcPr>
          <w:p>
            <w:pPr>
              <w:spacing w:after="0"/>
              <w:jc w:val="center"/>
              <w:rPr>
                <w:noProof/>
                <w:sz w:val="14"/>
              </w:rPr>
            </w:pPr>
            <w:r>
              <w:rPr>
                <w:noProof/>
                <w:sz w:val="14"/>
              </w:rPr>
              <w:t>= 2 + 2 a</w:t>
            </w:r>
          </w:p>
          <w:p>
            <w:pPr>
              <w:spacing w:after="0"/>
              <w:jc w:val="center"/>
              <w:rPr>
                <w:noProof/>
                <w:sz w:val="14"/>
              </w:rPr>
            </w:pPr>
            <w:r>
              <w:rPr>
                <w:noProof/>
                <w:sz w:val="14"/>
              </w:rPr>
              <w:t>+3</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rPr>
          <w:noProof/>
        </w:rPr>
      </w:pPr>
    </w:p>
    <w:p>
      <w:pPr>
        <w:rPr>
          <w:noProof/>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rPr>
          <w:trHeight w:val="277"/>
        </w:trPr>
        <w:tc>
          <w:tcPr>
            <w:tcW w:w="1842" w:type="pct"/>
            <w:vMerge w:val="restart"/>
            <w:vAlign w:val="center"/>
          </w:tcPr>
          <w:p>
            <w:pPr>
              <w:spacing w:after="0"/>
              <w:rPr>
                <w:noProof/>
                <w:sz w:val="21"/>
                <w:szCs w:val="21"/>
              </w:rPr>
            </w:pPr>
            <w:r>
              <w:rPr>
                <w:noProof/>
                <w:sz w:val="21"/>
                <w:szCs w:val="21"/>
              </w:rPr>
              <w:br w:type="page"/>
            </w:r>
            <w:r>
              <w:rPr>
                <w:noProof/>
                <w:sz w:val="21"/>
                <w:szCs w:val="21"/>
              </w:rPr>
              <w:sym w:font="Wingdings" w:char="F09F"/>
            </w:r>
            <w:r>
              <w:rPr>
                <w:noProof/>
                <w:sz w:val="21"/>
                <w:szCs w:val="21"/>
              </w:rPr>
              <w:t xml:space="preserve"> Toimintamäärärahat YHTEENSÄ</w:t>
            </w:r>
          </w:p>
        </w:tc>
        <w:tc>
          <w:tcPr>
            <w:tcW w:w="1153" w:type="pct"/>
            <w:vAlign w:val="center"/>
          </w:tcPr>
          <w:p>
            <w:pPr>
              <w:spacing w:beforeLines="20" w:before="48" w:afterLines="20" w:after="48"/>
              <w:rPr>
                <w:noProof/>
                <w:sz w:val="18"/>
              </w:rPr>
            </w:pPr>
            <w:r>
              <w:rPr>
                <w:noProof/>
                <w:sz w:val="18"/>
              </w:rPr>
              <w:t>Sitoumukset</w:t>
            </w:r>
          </w:p>
        </w:tc>
        <w:tc>
          <w:tcPr>
            <w:tcW w:w="301" w:type="pct"/>
            <w:vAlign w:val="center"/>
          </w:tcPr>
          <w:p>
            <w:pPr>
              <w:spacing w:beforeLines="20" w:before="48" w:afterLines="20" w:after="48"/>
              <w:jc w:val="center"/>
              <w:rPr>
                <w:noProof/>
                <w:sz w:val="14"/>
              </w:rPr>
            </w:pPr>
            <w:r>
              <w:rPr>
                <w:noProof/>
                <w:sz w:val="14"/>
              </w:rPr>
              <w:t>(4)</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beforeLines="20" w:before="48" w:afterLines="20" w:after="48"/>
              <w:rPr>
                <w:noProof/>
                <w:sz w:val="18"/>
              </w:rPr>
            </w:pPr>
            <w:r>
              <w:rPr>
                <w:noProof/>
                <w:sz w:val="18"/>
              </w:rPr>
              <w:t>Maksut</w:t>
            </w:r>
          </w:p>
        </w:tc>
        <w:tc>
          <w:tcPr>
            <w:tcW w:w="301" w:type="pct"/>
            <w:vAlign w:val="center"/>
          </w:tcPr>
          <w:p>
            <w:pPr>
              <w:spacing w:beforeLines="20" w:before="48" w:afterLines="20" w:after="48"/>
              <w:jc w:val="center"/>
              <w:rPr>
                <w:noProof/>
                <w:sz w:val="14"/>
              </w:rPr>
            </w:pPr>
            <w:r>
              <w:rPr>
                <w:noProof/>
                <w:sz w:val="14"/>
              </w:rPr>
              <w:t>(5)</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rPr>
          <w:trHeight w:val="533"/>
        </w:trPr>
        <w:tc>
          <w:tcPr>
            <w:tcW w:w="2995" w:type="pct"/>
            <w:gridSpan w:val="2"/>
            <w:vAlign w:val="center"/>
          </w:tcPr>
          <w:p>
            <w:pPr>
              <w:spacing w:beforeLines="20" w:before="48" w:afterLines="20" w:after="48"/>
              <w:rPr>
                <w:noProof/>
                <w:sz w:val="21"/>
                <w:szCs w:val="21"/>
              </w:rPr>
            </w:pPr>
            <w:r>
              <w:rPr>
                <w:noProof/>
                <w:sz w:val="21"/>
                <w:szCs w:val="21"/>
              </w:rPr>
              <w:sym w:font="Wingdings" w:char="F09F"/>
            </w:r>
            <w:r>
              <w:rPr>
                <w:noProof/>
                <w:sz w:val="21"/>
                <w:szCs w:val="21"/>
              </w:rPr>
              <w:t xml:space="preserve"> Tiettyjen ohjelmien määrärahoista katettavat hallintomäärärahat YHTEENSÄ</w:t>
            </w:r>
          </w:p>
        </w:tc>
        <w:tc>
          <w:tcPr>
            <w:tcW w:w="301" w:type="pct"/>
            <w:vAlign w:val="center"/>
          </w:tcPr>
          <w:p>
            <w:pPr>
              <w:spacing w:beforeLines="20" w:before="48" w:afterLines="20" w:after="48"/>
              <w:jc w:val="center"/>
              <w:rPr>
                <w:noProof/>
                <w:sz w:val="14"/>
              </w:rPr>
            </w:pPr>
            <w:r>
              <w:rPr>
                <w:noProof/>
                <w:sz w:val="14"/>
              </w:rPr>
              <w:t>(6)</w:t>
            </w:r>
          </w:p>
        </w:tc>
        <w:tc>
          <w:tcPr>
            <w:tcW w:w="601" w:type="pct"/>
            <w:vAlign w:val="center"/>
          </w:tcPr>
          <w:p>
            <w:pPr>
              <w:spacing w:after="0"/>
              <w:jc w:val="right"/>
              <w:rPr>
                <w:b/>
                <w:noProof/>
                <w:sz w:val="20"/>
              </w:rPr>
            </w:pPr>
          </w:p>
        </w:tc>
        <w:tc>
          <w:tcPr>
            <w:tcW w:w="551" w:type="pct"/>
            <w:vAlign w:val="center"/>
          </w:tcPr>
          <w:p>
            <w:pPr>
              <w:spacing w:after="0"/>
              <w:jc w:val="right"/>
              <w:rPr>
                <w:b/>
                <w:noProof/>
                <w:sz w:val="20"/>
              </w:rPr>
            </w:pPr>
          </w:p>
        </w:tc>
        <w:tc>
          <w:tcPr>
            <w:tcW w:w="552" w:type="pct"/>
            <w:vAlign w:val="center"/>
          </w:tcPr>
          <w:p>
            <w:pPr>
              <w:spacing w:after="0"/>
              <w:jc w:val="right"/>
              <w:rPr>
                <w:b/>
                <w:noProof/>
                <w:sz w:val="20"/>
              </w:rPr>
            </w:pPr>
          </w:p>
        </w:tc>
      </w:tr>
      <w:tr>
        <w:tc>
          <w:tcPr>
            <w:tcW w:w="1842" w:type="pct"/>
            <w:vMerge w:val="restart"/>
            <w:shd w:val="thinDiagStripe" w:color="C0C0C0" w:fill="auto"/>
            <w:vAlign w:val="center"/>
          </w:tcPr>
          <w:p>
            <w:pPr>
              <w:spacing w:after="0"/>
              <w:jc w:val="center"/>
              <w:rPr>
                <w:b/>
                <w:noProof/>
                <w:sz w:val="22"/>
              </w:rPr>
            </w:pPr>
            <w:r>
              <w:rPr>
                <w:noProof/>
                <w:sz w:val="22"/>
              </w:rPr>
              <w:t>Monivuotisen rahoituskehyksen</w:t>
            </w:r>
            <w:r>
              <w:rPr>
                <w:noProof/>
                <w:sz w:val="22"/>
              </w:rPr>
              <w:br/>
            </w:r>
            <w:r>
              <w:rPr>
                <w:b/>
                <w:noProof/>
                <w:sz w:val="22"/>
              </w:rPr>
              <w:t>OTSAKKEESEEN 2 kuuluvat</w:t>
            </w:r>
            <w:r>
              <w:rPr>
                <w:noProof/>
                <w:sz w:val="22"/>
              </w:rPr>
              <w:br/>
            </w:r>
            <w:r>
              <w:rPr>
                <w:b/>
                <w:noProof/>
                <w:sz w:val="22"/>
              </w:rPr>
              <w:t>määrärahat YHTEENSÄ</w:t>
            </w:r>
          </w:p>
        </w:tc>
        <w:tc>
          <w:tcPr>
            <w:tcW w:w="1153" w:type="pct"/>
            <w:vAlign w:val="center"/>
          </w:tcPr>
          <w:p>
            <w:pPr>
              <w:spacing w:after="0"/>
              <w:rPr>
                <w:noProof/>
                <w:sz w:val="18"/>
              </w:rPr>
            </w:pPr>
            <w:r>
              <w:rPr>
                <w:noProof/>
                <w:sz w:val="18"/>
              </w:rPr>
              <w:t>Sitoumukset</w:t>
            </w:r>
          </w:p>
        </w:tc>
        <w:tc>
          <w:tcPr>
            <w:tcW w:w="301" w:type="pct"/>
            <w:vAlign w:val="center"/>
          </w:tcPr>
          <w:p>
            <w:pPr>
              <w:spacing w:after="0"/>
              <w:jc w:val="center"/>
              <w:rPr>
                <w:noProof/>
                <w:sz w:val="14"/>
              </w:rPr>
            </w:pPr>
            <w:r>
              <w:rPr>
                <w:noProof/>
                <w:sz w:val="14"/>
              </w:rPr>
              <w:t>=4+ 6</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shd w:val="thinDiagStripe" w:color="C0C0C0" w:fill="auto"/>
          </w:tcPr>
          <w:p>
            <w:pPr>
              <w:spacing w:after="0"/>
              <w:rPr>
                <w:noProof/>
                <w:sz w:val="20"/>
              </w:rPr>
            </w:pPr>
          </w:p>
        </w:tc>
        <w:tc>
          <w:tcPr>
            <w:tcW w:w="1153" w:type="pct"/>
            <w:vAlign w:val="center"/>
          </w:tcPr>
          <w:p>
            <w:pPr>
              <w:spacing w:after="0"/>
              <w:rPr>
                <w:noProof/>
                <w:sz w:val="18"/>
              </w:rPr>
            </w:pPr>
            <w:r>
              <w:rPr>
                <w:noProof/>
                <w:sz w:val="18"/>
              </w:rPr>
              <w:t>Maksut</w:t>
            </w:r>
          </w:p>
        </w:tc>
        <w:tc>
          <w:tcPr>
            <w:tcW w:w="301" w:type="pct"/>
            <w:vAlign w:val="center"/>
          </w:tcPr>
          <w:p>
            <w:pPr>
              <w:spacing w:after="0"/>
              <w:jc w:val="center"/>
              <w:rPr>
                <w:noProof/>
                <w:sz w:val="14"/>
              </w:rPr>
            </w:pPr>
            <w:r>
              <w:rPr>
                <w:noProof/>
                <w:sz w:val="14"/>
              </w:rPr>
              <w:t>=5+ 6</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spacing w:after="40"/>
        <w:rPr>
          <w:b/>
          <w:noProof/>
          <w:sz w:val="22"/>
          <w:u w:val="single"/>
        </w:rPr>
      </w:pPr>
    </w:p>
    <w:p>
      <w:pPr>
        <w:spacing w:after="40"/>
        <w:rPr>
          <w:b/>
          <w:noProof/>
          <w:sz w:val="22"/>
          <w:u w:val="single"/>
        </w:rPr>
      </w:pPr>
      <w:r>
        <w:rPr>
          <w:b/>
          <w:noProof/>
          <w:sz w:val="22"/>
          <w:u w:val="single"/>
        </w:rPr>
        <w:t>Jos ehdotuksella/aloitteella on vaikutuksia useampaan otsakkeeseen:</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245"/>
        <w:gridCol w:w="3261"/>
        <w:gridCol w:w="850"/>
        <w:gridCol w:w="1701"/>
        <w:gridCol w:w="1559"/>
        <w:gridCol w:w="1560"/>
      </w:tblGrid>
      <w:tr>
        <w:trPr>
          <w:trHeight w:val="277"/>
        </w:trPr>
        <w:tc>
          <w:tcPr>
            <w:tcW w:w="5245" w:type="dxa"/>
            <w:vMerge w:val="restart"/>
            <w:tcBorders>
              <w:top w:val="single" w:sz="4" w:space="0" w:color="auto"/>
              <w:left w:val="single" w:sz="4" w:space="0" w:color="auto"/>
              <w:bottom w:val="single" w:sz="4" w:space="0" w:color="FF0000"/>
            </w:tcBorders>
            <w:vAlign w:val="center"/>
          </w:tcPr>
          <w:p>
            <w:pPr>
              <w:spacing w:before="20" w:after="20"/>
              <w:rPr>
                <w:noProof/>
                <w:sz w:val="21"/>
                <w:szCs w:val="21"/>
              </w:rPr>
            </w:pPr>
            <w:r>
              <w:rPr>
                <w:noProof/>
                <w:sz w:val="21"/>
                <w:szCs w:val="21"/>
              </w:rPr>
              <w:sym w:font="Wingdings" w:char="F09F"/>
            </w:r>
            <w:r>
              <w:rPr>
                <w:noProof/>
                <w:sz w:val="21"/>
                <w:szCs w:val="21"/>
              </w:rPr>
              <w:t xml:space="preserve"> Toimintamäärärahat YHTEENSÄ</w:t>
            </w:r>
          </w:p>
        </w:tc>
        <w:tc>
          <w:tcPr>
            <w:tcW w:w="3261" w:type="dxa"/>
            <w:tcBorders>
              <w:top w:val="single" w:sz="4" w:space="0" w:color="auto"/>
            </w:tcBorders>
            <w:vAlign w:val="center"/>
          </w:tcPr>
          <w:p>
            <w:pPr>
              <w:spacing w:beforeLines="20" w:before="48" w:afterLines="20" w:after="48"/>
              <w:rPr>
                <w:noProof/>
                <w:sz w:val="18"/>
              </w:rPr>
            </w:pPr>
            <w:r>
              <w:rPr>
                <w:noProof/>
                <w:sz w:val="18"/>
              </w:rPr>
              <w:t>Sitoumukset</w:t>
            </w:r>
          </w:p>
        </w:tc>
        <w:tc>
          <w:tcPr>
            <w:tcW w:w="850" w:type="dxa"/>
            <w:tcBorders>
              <w:top w:val="single" w:sz="4" w:space="0" w:color="auto"/>
            </w:tcBorders>
            <w:vAlign w:val="center"/>
          </w:tcPr>
          <w:p>
            <w:pPr>
              <w:spacing w:beforeLines="20" w:before="48" w:afterLines="20" w:after="48"/>
              <w:jc w:val="center"/>
              <w:rPr>
                <w:noProof/>
                <w:sz w:val="14"/>
              </w:rPr>
            </w:pPr>
            <w:r>
              <w:rPr>
                <w:noProof/>
                <w:sz w:val="14"/>
              </w:rPr>
              <w:t>(4)</w:t>
            </w:r>
          </w:p>
        </w:tc>
        <w:tc>
          <w:tcPr>
            <w:tcW w:w="1701" w:type="dxa"/>
            <w:tcBorders>
              <w:top w:val="single" w:sz="4" w:space="0" w:color="auto"/>
            </w:tcBorders>
            <w:vAlign w:val="center"/>
          </w:tcPr>
          <w:p>
            <w:pPr>
              <w:spacing w:before="20" w:after="20"/>
              <w:jc w:val="right"/>
              <w:rPr>
                <w:noProof/>
                <w:sz w:val="20"/>
              </w:rPr>
            </w:pPr>
          </w:p>
        </w:tc>
        <w:tc>
          <w:tcPr>
            <w:tcW w:w="1559" w:type="dxa"/>
            <w:tcBorders>
              <w:top w:val="single" w:sz="4" w:space="0" w:color="auto"/>
            </w:tcBorders>
            <w:vAlign w:val="center"/>
          </w:tcPr>
          <w:p>
            <w:pPr>
              <w:spacing w:before="20" w:after="20"/>
              <w:jc w:val="right"/>
              <w:rPr>
                <w:noProof/>
                <w:sz w:val="20"/>
              </w:rPr>
            </w:pPr>
          </w:p>
        </w:tc>
        <w:tc>
          <w:tcPr>
            <w:tcW w:w="1560" w:type="dxa"/>
            <w:tcBorders>
              <w:top w:val="single" w:sz="4" w:space="0" w:color="auto"/>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FF0000"/>
            </w:tcBorders>
          </w:tcPr>
          <w:p>
            <w:pPr>
              <w:jc w:val="center"/>
              <w:rPr>
                <w:noProof/>
                <w:sz w:val="20"/>
              </w:rPr>
            </w:pPr>
          </w:p>
        </w:tc>
        <w:tc>
          <w:tcPr>
            <w:tcW w:w="3261" w:type="dxa"/>
            <w:vAlign w:val="center"/>
          </w:tcPr>
          <w:p>
            <w:pPr>
              <w:spacing w:beforeLines="20" w:before="48" w:afterLines="20" w:after="48"/>
              <w:rPr>
                <w:noProof/>
                <w:sz w:val="18"/>
              </w:rPr>
            </w:pPr>
            <w:r>
              <w:rPr>
                <w:noProof/>
                <w:sz w:val="18"/>
              </w:rPr>
              <w:t>Maksut</w:t>
            </w:r>
          </w:p>
        </w:tc>
        <w:tc>
          <w:tcPr>
            <w:tcW w:w="850" w:type="dxa"/>
            <w:vAlign w:val="center"/>
          </w:tcPr>
          <w:p>
            <w:pPr>
              <w:spacing w:beforeLines="20" w:before="48" w:afterLines="20" w:after="48"/>
              <w:jc w:val="center"/>
              <w:rPr>
                <w:noProof/>
                <w:sz w:val="14"/>
              </w:rPr>
            </w:pPr>
            <w:r>
              <w:rPr>
                <w:noProof/>
                <w:sz w:val="14"/>
              </w:rPr>
              <w:t>(5)</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8506" w:type="dxa"/>
            <w:gridSpan w:val="2"/>
            <w:vAlign w:val="center"/>
          </w:tcPr>
          <w:p>
            <w:pPr>
              <w:spacing w:beforeLines="20" w:before="48" w:afterLines="20" w:after="48"/>
              <w:rPr>
                <w:noProof/>
                <w:sz w:val="21"/>
                <w:szCs w:val="21"/>
              </w:rPr>
            </w:pPr>
            <w:r>
              <w:rPr>
                <w:noProof/>
                <w:sz w:val="21"/>
                <w:szCs w:val="21"/>
              </w:rPr>
              <w:sym w:font="Wingdings" w:char="F09F"/>
            </w:r>
            <w:r>
              <w:rPr>
                <w:noProof/>
                <w:sz w:val="21"/>
                <w:szCs w:val="21"/>
              </w:rPr>
              <w:t xml:space="preserve"> Tiettyjen ohjelmien määrärahoista katettavat hallintomäärärahat YHTEENSÄ</w:t>
            </w:r>
          </w:p>
        </w:tc>
        <w:tc>
          <w:tcPr>
            <w:tcW w:w="850" w:type="dxa"/>
            <w:vAlign w:val="center"/>
          </w:tcPr>
          <w:p>
            <w:pPr>
              <w:spacing w:beforeLines="20" w:before="48" w:afterLines="20" w:after="48"/>
              <w:jc w:val="center"/>
              <w:rPr>
                <w:noProof/>
                <w:sz w:val="14"/>
              </w:rPr>
            </w:pPr>
            <w:r>
              <w:rPr>
                <w:noProof/>
                <w:sz w:val="14"/>
              </w:rPr>
              <w:t>(6)</w:t>
            </w:r>
          </w:p>
        </w:tc>
        <w:tc>
          <w:tcPr>
            <w:tcW w:w="1701"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c>
          <w:tcPr>
            <w:tcW w:w="1560" w:type="dxa"/>
            <w:vAlign w:val="center"/>
          </w:tcPr>
          <w:p>
            <w:pPr>
              <w:spacing w:before="20" w:after="20"/>
              <w:jc w:val="right"/>
              <w:rPr>
                <w:b/>
                <w:noProof/>
                <w:sz w:val="20"/>
              </w:rPr>
            </w:pPr>
          </w:p>
        </w:tc>
      </w:tr>
      <w:tr>
        <w:tc>
          <w:tcPr>
            <w:tcW w:w="5245"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Monivuotisen rahoituskehyksen</w:t>
            </w:r>
            <w:r>
              <w:rPr>
                <w:noProof/>
                <w:sz w:val="22"/>
              </w:rPr>
              <w:br/>
            </w:r>
            <w:r>
              <w:rPr>
                <w:b/>
                <w:noProof/>
                <w:sz w:val="22"/>
              </w:rPr>
              <w:t>OTSAKKEISIIN 1–4 kuuluvat</w:t>
            </w:r>
            <w:r>
              <w:rPr>
                <w:noProof/>
                <w:sz w:val="22"/>
              </w:rPr>
              <w:br/>
            </w:r>
            <w:r>
              <w:rPr>
                <w:b/>
                <w:noProof/>
                <w:sz w:val="22"/>
              </w:rPr>
              <w:t>määrärahat YHTEENSÄ</w:t>
            </w:r>
            <w:r>
              <w:rPr>
                <w:noProof/>
                <w:sz w:val="22"/>
              </w:rPr>
              <w:br/>
              <w:t>(Viitemäärä)</w:t>
            </w:r>
          </w:p>
        </w:tc>
        <w:tc>
          <w:tcPr>
            <w:tcW w:w="3261" w:type="dxa"/>
            <w:vAlign w:val="center"/>
          </w:tcPr>
          <w:p>
            <w:pPr>
              <w:rPr>
                <w:noProof/>
                <w:sz w:val="18"/>
              </w:rPr>
            </w:pPr>
            <w:r>
              <w:rPr>
                <w:noProof/>
                <w:sz w:val="18"/>
              </w:rPr>
              <w:t>Sitoumukset</w:t>
            </w:r>
          </w:p>
        </w:tc>
        <w:tc>
          <w:tcPr>
            <w:tcW w:w="850" w:type="dxa"/>
            <w:vAlign w:val="center"/>
          </w:tcPr>
          <w:p>
            <w:pPr>
              <w:jc w:val="center"/>
              <w:rPr>
                <w:noProof/>
                <w:sz w:val="14"/>
              </w:rPr>
            </w:pPr>
            <w:r>
              <w:rPr>
                <w:noProof/>
                <w:sz w:val="14"/>
              </w:rPr>
              <w:t>=4+ 6</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3261" w:type="dxa"/>
            <w:tcBorders>
              <w:bottom w:val="single" w:sz="4" w:space="0" w:color="auto"/>
            </w:tcBorders>
            <w:vAlign w:val="center"/>
          </w:tcPr>
          <w:p>
            <w:pPr>
              <w:rPr>
                <w:noProof/>
                <w:sz w:val="18"/>
              </w:rPr>
            </w:pPr>
            <w:r>
              <w:rPr>
                <w:noProof/>
                <w:sz w:val="18"/>
              </w:rPr>
              <w:t>Maksut</w:t>
            </w:r>
          </w:p>
        </w:tc>
        <w:tc>
          <w:tcPr>
            <w:tcW w:w="850" w:type="dxa"/>
            <w:tcBorders>
              <w:bottom w:val="single" w:sz="4" w:space="0" w:color="auto"/>
            </w:tcBorders>
            <w:vAlign w:val="center"/>
          </w:tcPr>
          <w:p>
            <w:pPr>
              <w:jc w:val="center"/>
              <w:rPr>
                <w:noProof/>
                <w:sz w:val="14"/>
              </w:rPr>
            </w:pPr>
            <w:r>
              <w:rPr>
                <w:noProof/>
                <w:sz w:val="14"/>
              </w:rPr>
              <w:t>=5+ 6</w:t>
            </w:r>
          </w:p>
        </w:tc>
        <w:tc>
          <w:tcPr>
            <w:tcW w:w="1701" w:type="dxa"/>
            <w:tcBorders>
              <w:bottom w:val="single" w:sz="4" w:space="0" w:color="auto"/>
            </w:tcBorders>
            <w:vAlign w:val="center"/>
          </w:tcPr>
          <w:p>
            <w:pPr>
              <w:spacing w:before="20" w:after="20"/>
              <w:jc w:val="right"/>
              <w:rPr>
                <w:noProof/>
                <w:sz w:val="20"/>
              </w:rPr>
            </w:pPr>
          </w:p>
        </w:tc>
        <w:tc>
          <w:tcPr>
            <w:tcW w:w="1559" w:type="dxa"/>
            <w:tcBorders>
              <w:bottom w:val="single" w:sz="4" w:space="0" w:color="auto"/>
            </w:tcBorders>
            <w:vAlign w:val="center"/>
          </w:tcPr>
          <w:p>
            <w:pPr>
              <w:spacing w:before="20" w:after="20"/>
              <w:jc w:val="right"/>
              <w:rPr>
                <w:noProof/>
                <w:sz w:val="20"/>
              </w:rPr>
            </w:pPr>
          </w:p>
        </w:tc>
        <w:tc>
          <w:tcPr>
            <w:tcW w:w="1560" w:type="dxa"/>
            <w:tcBorders>
              <w:bottom w:val="single" w:sz="4" w:space="0" w:color="auto"/>
              <w:right w:val="single" w:sz="4" w:space="0" w:color="auto"/>
            </w:tcBorders>
            <w:vAlign w:val="center"/>
          </w:tcPr>
          <w:p>
            <w:pPr>
              <w:spacing w:before="20" w:after="20"/>
              <w:jc w:val="right"/>
              <w:rPr>
                <w:noProof/>
                <w:sz w:val="20"/>
              </w:rPr>
            </w:pPr>
          </w:p>
        </w:tc>
      </w:tr>
    </w:tbl>
    <w:p>
      <w:pPr>
        <w:rPr>
          <w:noProof/>
        </w:rPr>
      </w:pPr>
    </w:p>
    <w:p>
      <w:pPr>
        <w:rPr>
          <w:noProof/>
        </w:rPr>
      </w:pPr>
      <w:r>
        <w:rPr>
          <w:noProof/>
        </w:rPr>
        <w:br w:type="page"/>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080"/>
        <w:gridCol w:w="7817"/>
      </w:tblGrid>
      <w:tr>
        <w:trPr>
          <w:jc w:val="center"/>
        </w:trPr>
        <w:tc>
          <w:tcPr>
            <w:tcW w:w="5655" w:type="dxa"/>
            <w:shd w:val="thinDiagStripe" w:color="C0C0C0" w:fill="auto"/>
            <w:vAlign w:val="center"/>
          </w:tcPr>
          <w:p>
            <w:pPr>
              <w:spacing w:before="60" w:after="60"/>
              <w:jc w:val="center"/>
              <w:rPr>
                <w:b/>
                <w:noProof/>
                <w:sz w:val="22"/>
              </w:rPr>
            </w:pPr>
            <w:r>
              <w:rPr>
                <w:noProof/>
                <w:sz w:val="22"/>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51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3341"/>
        <w:gridCol w:w="999"/>
        <w:gridCol w:w="1700"/>
        <w:gridCol w:w="1559"/>
        <w:gridCol w:w="1843"/>
      </w:tblGrid>
      <w:tr>
        <w:trPr>
          <w:gridAfter w:val="4"/>
          <w:wAfter w:w="2089" w:type="pct"/>
        </w:trPr>
        <w:tc>
          <w:tcPr>
            <w:tcW w:w="2911" w:type="pct"/>
            <w:gridSpan w:val="2"/>
            <w:vAlign w:val="center"/>
          </w:tcPr>
          <w:p>
            <w:pPr>
              <w:spacing w:after="0"/>
              <w:jc w:val="center"/>
              <w:rPr>
                <w:noProof/>
                <w:sz w:val="22"/>
              </w:rPr>
            </w:pPr>
            <w:r>
              <w:rPr>
                <w:noProof/>
                <w:sz w:val="22"/>
              </w:rPr>
              <w:t xml:space="preserve">PO: ESTAT 29 01 </w:t>
            </w:r>
          </w:p>
        </w:tc>
      </w:tr>
      <w:tr>
        <w:trPr>
          <w:trHeight w:val="313"/>
        </w:trPr>
        <w:tc>
          <w:tcPr>
            <w:tcW w:w="3253" w:type="pct"/>
            <w:gridSpan w:val="3"/>
            <w:vAlign w:val="center"/>
          </w:tcPr>
          <w:p>
            <w:pPr>
              <w:spacing w:after="0"/>
              <w:rPr>
                <w:noProof/>
                <w:sz w:val="22"/>
              </w:rPr>
            </w:pPr>
            <w:r>
              <w:rPr>
                <w:noProof/>
                <w:sz w:val="22"/>
              </w:rPr>
              <w:sym w:font="Wingdings" w:char="F09F"/>
            </w:r>
            <w:r>
              <w:rPr>
                <w:noProof/>
                <w:sz w:val="22"/>
              </w:rPr>
              <w:t xml:space="preserve"> Henkilöresurssit</w:t>
            </w:r>
          </w:p>
        </w:tc>
        <w:tc>
          <w:tcPr>
            <w:tcW w:w="582" w:type="pct"/>
            <w:vAlign w:val="center"/>
          </w:tcPr>
          <w:p>
            <w:pPr>
              <w:spacing w:after="0"/>
              <w:jc w:val="center"/>
              <w:rPr>
                <w:noProof/>
                <w:sz w:val="20"/>
              </w:rPr>
            </w:pPr>
            <w:r>
              <w:rPr>
                <w:noProof/>
                <w:sz w:val="20"/>
              </w:rPr>
              <w:t>0,549</w:t>
            </w:r>
          </w:p>
        </w:tc>
        <w:tc>
          <w:tcPr>
            <w:tcW w:w="534" w:type="pct"/>
            <w:vAlign w:val="center"/>
          </w:tcPr>
          <w:p>
            <w:pPr>
              <w:spacing w:after="0"/>
              <w:jc w:val="center"/>
              <w:rPr>
                <w:noProof/>
                <w:sz w:val="20"/>
              </w:rPr>
            </w:pPr>
            <w:r>
              <w:rPr>
                <w:noProof/>
                <w:sz w:val="20"/>
              </w:rPr>
              <w:t>0,549</w:t>
            </w:r>
          </w:p>
        </w:tc>
        <w:tc>
          <w:tcPr>
            <w:tcW w:w="631" w:type="pct"/>
            <w:vAlign w:val="center"/>
          </w:tcPr>
          <w:p>
            <w:pPr>
              <w:spacing w:after="0"/>
              <w:jc w:val="center"/>
              <w:rPr>
                <w:b/>
                <w:noProof/>
                <w:sz w:val="20"/>
              </w:rPr>
            </w:pPr>
            <w:r>
              <w:rPr>
                <w:b/>
                <w:noProof/>
                <w:sz w:val="20"/>
              </w:rPr>
              <w:t>1,098</w:t>
            </w:r>
          </w:p>
        </w:tc>
      </w:tr>
      <w:tr>
        <w:trPr>
          <w:trHeight w:val="351"/>
        </w:trPr>
        <w:tc>
          <w:tcPr>
            <w:tcW w:w="3253" w:type="pct"/>
            <w:gridSpan w:val="3"/>
            <w:vAlign w:val="center"/>
          </w:tcPr>
          <w:p>
            <w:pPr>
              <w:spacing w:after="0"/>
              <w:jc w:val="left"/>
              <w:rPr>
                <w:noProof/>
                <w:sz w:val="22"/>
              </w:rPr>
            </w:pPr>
            <w:r>
              <w:rPr>
                <w:noProof/>
                <w:sz w:val="22"/>
              </w:rPr>
              <w:sym w:font="Wingdings" w:char="F09F"/>
            </w:r>
            <w:r>
              <w:rPr>
                <w:noProof/>
                <w:sz w:val="22"/>
              </w:rPr>
              <w:t xml:space="preserve"> Muut hallintomenot</w:t>
            </w:r>
          </w:p>
        </w:tc>
        <w:tc>
          <w:tcPr>
            <w:tcW w:w="582" w:type="pct"/>
            <w:vAlign w:val="center"/>
          </w:tcPr>
          <w:p>
            <w:pPr>
              <w:spacing w:after="0"/>
              <w:jc w:val="center"/>
              <w:rPr>
                <w:noProof/>
                <w:sz w:val="20"/>
              </w:rPr>
            </w:pPr>
            <w:r>
              <w:rPr>
                <w:noProof/>
                <w:sz w:val="20"/>
              </w:rPr>
              <w:t>0,045</w:t>
            </w:r>
          </w:p>
        </w:tc>
        <w:tc>
          <w:tcPr>
            <w:tcW w:w="534" w:type="pct"/>
            <w:vAlign w:val="center"/>
          </w:tcPr>
          <w:p>
            <w:pPr>
              <w:spacing w:after="0"/>
              <w:jc w:val="center"/>
              <w:rPr>
                <w:noProof/>
                <w:sz w:val="20"/>
              </w:rPr>
            </w:pPr>
            <w:r>
              <w:rPr>
                <w:noProof/>
                <w:sz w:val="20"/>
              </w:rPr>
              <w:t>0,030</w:t>
            </w:r>
          </w:p>
        </w:tc>
        <w:tc>
          <w:tcPr>
            <w:tcW w:w="631" w:type="pct"/>
            <w:vAlign w:val="center"/>
          </w:tcPr>
          <w:p>
            <w:pPr>
              <w:spacing w:after="0"/>
              <w:jc w:val="center"/>
              <w:rPr>
                <w:b/>
                <w:noProof/>
                <w:sz w:val="20"/>
              </w:rPr>
            </w:pPr>
            <w:r>
              <w:rPr>
                <w:b/>
                <w:noProof/>
                <w:sz w:val="20"/>
              </w:rPr>
              <w:t>0,075</w:t>
            </w:r>
          </w:p>
        </w:tc>
      </w:tr>
      <w:tr>
        <w:tc>
          <w:tcPr>
            <w:tcW w:w="1767" w:type="pct"/>
            <w:vAlign w:val="center"/>
          </w:tcPr>
          <w:p>
            <w:pPr>
              <w:spacing w:after="0"/>
              <w:jc w:val="center"/>
              <w:rPr>
                <w:b/>
                <w:noProof/>
                <w:sz w:val="22"/>
              </w:rPr>
            </w:pPr>
            <w:r>
              <w:rPr>
                <w:noProof/>
                <w:sz w:val="22"/>
              </w:rPr>
              <w:t xml:space="preserve">PO ESTAT </w:t>
            </w:r>
            <w:r>
              <w:rPr>
                <w:b/>
                <w:noProof/>
                <w:sz w:val="22"/>
              </w:rPr>
              <w:t>YHTEENSÄ</w:t>
            </w:r>
          </w:p>
        </w:tc>
        <w:tc>
          <w:tcPr>
            <w:tcW w:w="1486" w:type="pct"/>
            <w:gridSpan w:val="2"/>
            <w:vAlign w:val="center"/>
          </w:tcPr>
          <w:p>
            <w:pPr>
              <w:spacing w:after="0"/>
              <w:rPr>
                <w:noProof/>
                <w:sz w:val="14"/>
              </w:rPr>
            </w:pPr>
            <w:r>
              <w:rPr>
                <w:noProof/>
                <w:sz w:val="18"/>
              </w:rPr>
              <w:t xml:space="preserve">Määrärahat </w:t>
            </w:r>
          </w:p>
        </w:tc>
        <w:tc>
          <w:tcPr>
            <w:tcW w:w="582" w:type="pct"/>
            <w:vAlign w:val="center"/>
          </w:tcPr>
          <w:p>
            <w:pPr>
              <w:spacing w:after="0"/>
              <w:jc w:val="center"/>
              <w:rPr>
                <w:noProof/>
                <w:sz w:val="20"/>
              </w:rPr>
            </w:pPr>
            <w:r>
              <w:rPr>
                <w:noProof/>
                <w:sz w:val="20"/>
              </w:rPr>
              <w:t>0,594</w:t>
            </w:r>
          </w:p>
        </w:tc>
        <w:tc>
          <w:tcPr>
            <w:tcW w:w="534" w:type="pct"/>
            <w:vAlign w:val="center"/>
          </w:tcPr>
          <w:p>
            <w:pPr>
              <w:spacing w:after="0"/>
              <w:jc w:val="center"/>
              <w:rPr>
                <w:noProof/>
                <w:sz w:val="20"/>
              </w:rPr>
            </w:pPr>
            <w:r>
              <w:rPr>
                <w:noProof/>
                <w:sz w:val="20"/>
              </w:rPr>
              <w:t>0,579</w:t>
            </w:r>
          </w:p>
        </w:tc>
        <w:tc>
          <w:tcPr>
            <w:tcW w:w="631" w:type="pct"/>
            <w:vAlign w:val="center"/>
          </w:tcPr>
          <w:p>
            <w:pPr>
              <w:spacing w:after="0"/>
              <w:jc w:val="center"/>
              <w:rPr>
                <w:b/>
                <w:noProof/>
                <w:sz w:val="20"/>
              </w:rPr>
            </w:pPr>
            <w:r>
              <w:rPr>
                <w:b/>
                <w:noProof/>
                <w:sz w:val="20"/>
              </w:rPr>
              <w:t>1,173</w:t>
            </w:r>
          </w:p>
        </w:tc>
      </w:tr>
    </w:tbl>
    <w:p>
      <w:pPr>
        <w:spacing w:after="0"/>
        <w:jc w:val="right"/>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5322" w:type="dxa"/>
            <w:shd w:val="thinDiagStripe" w:color="C0C0C0" w:fill="auto"/>
            <w:vAlign w:val="center"/>
          </w:tcPr>
          <w:p>
            <w:pPr>
              <w:spacing w:after="0"/>
              <w:jc w:val="center"/>
              <w:rPr>
                <w:b/>
                <w:noProof/>
                <w:sz w:val="22"/>
              </w:rPr>
            </w:pPr>
            <w:r>
              <w:rPr>
                <w:noProof/>
                <w:sz w:val="22"/>
              </w:rPr>
              <w:t>Monivuotisen rahoituskehyksen</w:t>
            </w:r>
            <w:r>
              <w:rPr>
                <w:noProof/>
                <w:sz w:val="22"/>
              </w:rPr>
              <w:br/>
            </w:r>
            <w:r>
              <w:rPr>
                <w:b/>
                <w:noProof/>
                <w:sz w:val="22"/>
              </w:rPr>
              <w:t>OTSAKKEESEEN 5 kuuluvat</w:t>
            </w:r>
            <w:r>
              <w:rPr>
                <w:noProof/>
                <w:sz w:val="22"/>
              </w:rPr>
              <w:br/>
            </w:r>
            <w:r>
              <w:rPr>
                <w:b/>
                <w:noProof/>
                <w:sz w:val="22"/>
              </w:rPr>
              <w:t xml:space="preserve">määrärahat YHTEENSÄ </w:t>
            </w:r>
          </w:p>
        </w:tc>
        <w:tc>
          <w:tcPr>
            <w:tcW w:w="4252" w:type="dxa"/>
            <w:vAlign w:val="center"/>
          </w:tcPr>
          <w:p>
            <w:pPr>
              <w:spacing w:after="0"/>
              <w:jc w:val="left"/>
              <w:rPr>
                <w:noProof/>
                <w:sz w:val="22"/>
              </w:rPr>
            </w:pPr>
            <w:r>
              <w:rPr>
                <w:noProof/>
                <w:sz w:val="18"/>
              </w:rPr>
              <w:t>(Sitoumukset yhteensä = maksut yhteensä)</w:t>
            </w:r>
          </w:p>
        </w:tc>
        <w:tc>
          <w:tcPr>
            <w:tcW w:w="1701" w:type="dxa"/>
            <w:vAlign w:val="center"/>
          </w:tcPr>
          <w:p>
            <w:pPr>
              <w:spacing w:after="0"/>
              <w:jc w:val="center"/>
              <w:rPr>
                <w:noProof/>
                <w:sz w:val="16"/>
                <w:szCs w:val="16"/>
              </w:rPr>
            </w:pPr>
            <w:r>
              <w:rPr>
                <w:noProof/>
                <w:sz w:val="20"/>
              </w:rPr>
              <w:t>0,594</w:t>
            </w:r>
          </w:p>
        </w:tc>
        <w:tc>
          <w:tcPr>
            <w:tcW w:w="1559" w:type="dxa"/>
            <w:vAlign w:val="center"/>
          </w:tcPr>
          <w:p>
            <w:pPr>
              <w:spacing w:after="0"/>
              <w:jc w:val="center"/>
              <w:rPr>
                <w:noProof/>
                <w:sz w:val="16"/>
                <w:szCs w:val="16"/>
              </w:rPr>
            </w:pPr>
            <w:r>
              <w:rPr>
                <w:noProof/>
                <w:sz w:val="20"/>
              </w:rPr>
              <w:t>0,579</w:t>
            </w:r>
          </w:p>
        </w:tc>
        <w:tc>
          <w:tcPr>
            <w:tcW w:w="1843" w:type="dxa"/>
            <w:vAlign w:val="center"/>
          </w:tcPr>
          <w:p>
            <w:pPr>
              <w:spacing w:after="0"/>
              <w:jc w:val="center"/>
              <w:rPr>
                <w:b/>
                <w:noProof/>
                <w:sz w:val="16"/>
                <w:szCs w:val="16"/>
              </w:rPr>
            </w:pPr>
            <w:r>
              <w:rPr>
                <w:b/>
                <w:noProof/>
                <w:sz w:val="20"/>
              </w:rPr>
              <w:t>1,173</w:t>
            </w:r>
          </w:p>
        </w:tc>
      </w:tr>
    </w:tbl>
    <w:p>
      <w:pPr>
        <w:spacing w:after="0"/>
        <w:jc w:val="right"/>
        <w:rPr>
          <w:noProof/>
          <w:sz w:val="20"/>
        </w:rPr>
      </w:pPr>
      <w:r>
        <w:rPr>
          <w:noProof/>
          <w:sz w:val="20"/>
        </w:rPr>
        <w:t>milj. euroa (kolmen desimaalin tarkkuudella)</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9574" w:type="dxa"/>
            <w:gridSpan w:val="2"/>
            <w:tcBorders>
              <w:top w:val="nil"/>
              <w:left w:val="nil"/>
            </w:tcBorders>
            <w:shd w:val="clear" w:color="auto" w:fill="FFFFFF" w:themeFill="background1"/>
            <w:vAlign w:val="center"/>
          </w:tcPr>
          <w:p>
            <w:pPr>
              <w:spacing w:after="0"/>
              <w:rPr>
                <w:noProof/>
                <w:sz w:val="18"/>
              </w:rPr>
            </w:pPr>
          </w:p>
        </w:tc>
        <w:tc>
          <w:tcPr>
            <w:tcW w:w="1701" w:type="dxa"/>
            <w:vAlign w:val="center"/>
          </w:tcPr>
          <w:p>
            <w:pPr>
              <w:spacing w:after="0"/>
              <w:jc w:val="center"/>
              <w:rPr>
                <w:b/>
                <w:noProof/>
                <w:sz w:val="18"/>
                <w:szCs w:val="18"/>
              </w:rPr>
            </w:pPr>
            <w:r>
              <w:rPr>
                <w:b/>
                <w:noProof/>
                <w:sz w:val="18"/>
              </w:rPr>
              <w:t>2019</w:t>
            </w:r>
          </w:p>
        </w:tc>
        <w:tc>
          <w:tcPr>
            <w:tcW w:w="1559" w:type="dxa"/>
            <w:vAlign w:val="center"/>
          </w:tcPr>
          <w:p>
            <w:pPr>
              <w:spacing w:after="0"/>
              <w:jc w:val="center"/>
              <w:rPr>
                <w:b/>
                <w:noProof/>
                <w:sz w:val="18"/>
                <w:szCs w:val="18"/>
              </w:rPr>
            </w:pPr>
            <w:r>
              <w:rPr>
                <w:b/>
                <w:noProof/>
                <w:sz w:val="18"/>
              </w:rPr>
              <w:t>2020</w:t>
            </w:r>
          </w:p>
        </w:tc>
        <w:tc>
          <w:tcPr>
            <w:tcW w:w="1843" w:type="dxa"/>
            <w:vAlign w:val="center"/>
          </w:tcPr>
          <w:p>
            <w:pPr>
              <w:spacing w:after="0"/>
              <w:jc w:val="center"/>
              <w:rPr>
                <w:b/>
                <w:noProof/>
                <w:sz w:val="20"/>
              </w:rPr>
            </w:pPr>
            <w:r>
              <w:rPr>
                <w:b/>
                <w:noProof/>
                <w:sz w:val="20"/>
              </w:rPr>
              <w:t>YHTEENSÄ</w:t>
            </w:r>
          </w:p>
        </w:tc>
      </w:tr>
      <w:tr>
        <w:tc>
          <w:tcPr>
            <w:tcW w:w="5322" w:type="dxa"/>
            <w:vMerge w:val="restart"/>
            <w:shd w:val="clear" w:color="auto" w:fill="C0C0C0"/>
            <w:vAlign w:val="center"/>
          </w:tcPr>
          <w:p>
            <w:pPr>
              <w:spacing w:after="0"/>
              <w:jc w:val="center"/>
              <w:rPr>
                <w:b/>
                <w:noProof/>
                <w:sz w:val="22"/>
              </w:rPr>
            </w:pPr>
            <w:r>
              <w:rPr>
                <w:noProof/>
                <w:sz w:val="22"/>
              </w:rPr>
              <w:t>Monivuotisen rahoituskehyksen</w:t>
            </w:r>
            <w:r>
              <w:rPr>
                <w:noProof/>
                <w:sz w:val="22"/>
              </w:rPr>
              <w:br/>
            </w:r>
            <w:r>
              <w:rPr>
                <w:b/>
                <w:noProof/>
                <w:sz w:val="22"/>
              </w:rPr>
              <w:t>OTSAKKEISIIN 1–5 kuuluvat</w:t>
            </w:r>
            <w:r>
              <w:rPr>
                <w:noProof/>
                <w:sz w:val="22"/>
              </w:rPr>
              <w:br/>
            </w:r>
            <w:r>
              <w:rPr>
                <w:b/>
                <w:noProof/>
                <w:sz w:val="22"/>
              </w:rPr>
              <w:t xml:space="preserve">määrärahat YHTEENSÄ </w:t>
            </w:r>
          </w:p>
        </w:tc>
        <w:tc>
          <w:tcPr>
            <w:tcW w:w="4252" w:type="dxa"/>
            <w:vAlign w:val="center"/>
          </w:tcPr>
          <w:p>
            <w:pPr>
              <w:spacing w:after="0"/>
              <w:rPr>
                <w:noProof/>
                <w:sz w:val="14"/>
              </w:rPr>
            </w:pPr>
            <w:r>
              <w:rPr>
                <w:noProof/>
                <w:sz w:val="18"/>
              </w:rPr>
              <w:t>Sitoumukset</w:t>
            </w:r>
          </w:p>
        </w:tc>
        <w:tc>
          <w:tcPr>
            <w:tcW w:w="1701" w:type="dxa"/>
            <w:vAlign w:val="center"/>
          </w:tcPr>
          <w:p>
            <w:pPr>
              <w:spacing w:after="0"/>
              <w:jc w:val="center"/>
              <w:rPr>
                <w:noProof/>
                <w:sz w:val="16"/>
                <w:szCs w:val="16"/>
              </w:rPr>
            </w:pPr>
            <w:r>
              <w:rPr>
                <w:noProof/>
                <w:sz w:val="16"/>
              </w:rPr>
              <w:t xml:space="preserve"> 39,594</w:t>
            </w:r>
          </w:p>
        </w:tc>
        <w:tc>
          <w:tcPr>
            <w:tcW w:w="1559" w:type="dxa"/>
            <w:vAlign w:val="center"/>
          </w:tcPr>
          <w:p>
            <w:pPr>
              <w:spacing w:after="0"/>
              <w:jc w:val="center"/>
              <w:rPr>
                <w:noProof/>
                <w:sz w:val="16"/>
                <w:szCs w:val="16"/>
              </w:rPr>
            </w:pPr>
            <w:r>
              <w:rPr>
                <w:noProof/>
                <w:sz w:val="16"/>
              </w:rPr>
              <w:t>1,579</w:t>
            </w:r>
          </w:p>
        </w:tc>
        <w:tc>
          <w:tcPr>
            <w:tcW w:w="1843" w:type="dxa"/>
            <w:vAlign w:val="center"/>
          </w:tcPr>
          <w:p>
            <w:pPr>
              <w:spacing w:after="0"/>
              <w:jc w:val="center"/>
              <w:rPr>
                <w:b/>
                <w:noProof/>
                <w:sz w:val="20"/>
              </w:rPr>
            </w:pPr>
            <w:r>
              <w:rPr>
                <w:b/>
                <w:noProof/>
                <w:sz w:val="20"/>
              </w:rPr>
              <w:t>40,573</w:t>
            </w:r>
          </w:p>
        </w:tc>
      </w:tr>
      <w:tr>
        <w:tc>
          <w:tcPr>
            <w:tcW w:w="5322" w:type="dxa"/>
            <w:vMerge/>
            <w:shd w:val="clear" w:color="auto" w:fill="C0C0C0"/>
          </w:tcPr>
          <w:p>
            <w:pPr>
              <w:spacing w:after="0"/>
              <w:rPr>
                <w:noProof/>
                <w:sz w:val="20"/>
              </w:rPr>
            </w:pPr>
          </w:p>
        </w:tc>
        <w:tc>
          <w:tcPr>
            <w:tcW w:w="4252" w:type="dxa"/>
            <w:vAlign w:val="center"/>
          </w:tcPr>
          <w:p>
            <w:pPr>
              <w:spacing w:after="0"/>
              <w:rPr>
                <w:noProof/>
                <w:sz w:val="14"/>
              </w:rPr>
            </w:pPr>
            <w:r>
              <w:rPr>
                <w:noProof/>
                <w:sz w:val="18"/>
              </w:rPr>
              <w:t>Maksut</w:t>
            </w:r>
          </w:p>
        </w:tc>
        <w:tc>
          <w:tcPr>
            <w:tcW w:w="1701" w:type="dxa"/>
            <w:vAlign w:val="center"/>
          </w:tcPr>
          <w:p>
            <w:pPr>
              <w:spacing w:after="0"/>
              <w:jc w:val="center"/>
              <w:rPr>
                <w:noProof/>
                <w:sz w:val="16"/>
                <w:szCs w:val="16"/>
              </w:rPr>
            </w:pPr>
            <w:r>
              <w:rPr>
                <w:noProof/>
                <w:sz w:val="16"/>
              </w:rPr>
              <w:t>19,794</w:t>
            </w:r>
          </w:p>
        </w:tc>
        <w:tc>
          <w:tcPr>
            <w:tcW w:w="1559" w:type="dxa"/>
            <w:vAlign w:val="center"/>
          </w:tcPr>
          <w:p>
            <w:pPr>
              <w:spacing w:after="0"/>
              <w:jc w:val="center"/>
              <w:rPr>
                <w:noProof/>
                <w:sz w:val="16"/>
                <w:szCs w:val="16"/>
              </w:rPr>
            </w:pPr>
            <w:r>
              <w:rPr>
                <w:noProof/>
                <w:sz w:val="16"/>
              </w:rPr>
              <w:t>1,479</w:t>
            </w:r>
          </w:p>
        </w:tc>
        <w:tc>
          <w:tcPr>
            <w:tcW w:w="1843" w:type="dxa"/>
            <w:vAlign w:val="center"/>
          </w:tcPr>
          <w:p>
            <w:pPr>
              <w:spacing w:after="0"/>
              <w:jc w:val="center"/>
              <w:rPr>
                <w:b/>
                <w:noProof/>
                <w:sz w:val="20"/>
              </w:rPr>
            </w:pPr>
            <w:r>
              <w:rPr>
                <w:b/>
                <w:noProof/>
                <w:sz w:val="20"/>
              </w:rPr>
              <w:t>21,273</w:t>
            </w:r>
          </w:p>
        </w:tc>
      </w:tr>
    </w:tbl>
    <w:p>
      <w:pPr>
        <w:rPr>
          <w:noProof/>
        </w:rPr>
      </w:pPr>
    </w:p>
    <w:p>
      <w:pPr>
        <w:rPr>
          <w:noProof/>
        </w:rPr>
      </w:pPr>
    </w:p>
    <w:p>
      <w:pPr>
        <w:rPr>
          <w:noProof/>
        </w:rPr>
      </w:pPr>
    </w:p>
    <w:p>
      <w:pPr>
        <w:rPr>
          <w:noProof/>
        </w:rPr>
      </w:pPr>
    </w:p>
    <w:p>
      <w:pPr>
        <w:rPr>
          <w:noProof/>
        </w:rPr>
      </w:pPr>
    </w:p>
    <w:p>
      <w:pPr>
        <w:rPr>
          <w:noProof/>
        </w:rPr>
      </w:pPr>
    </w:p>
    <w:p>
      <w:pPr>
        <w:rPr>
          <w:noProof/>
        </w:rPr>
      </w:pPr>
    </w:p>
    <w:p>
      <w:pPr>
        <w:tabs>
          <w:tab w:val="left" w:pos="13260"/>
        </w:tabs>
        <w:rPr>
          <w:noProof/>
        </w:rPr>
      </w:pPr>
      <w:r>
        <w:rPr>
          <w:noProof/>
        </w:rPr>
        <w:tab/>
      </w:r>
    </w:p>
    <w:p>
      <w:pPr>
        <w:rPr>
          <w:noProof/>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72" w:name="_Toc456620251"/>
      <w:r>
        <w:t>3.2.2.</w:t>
      </w:r>
      <w:r>
        <w:tab/>
      </w:r>
      <w:r>
        <w:rPr>
          <w:noProof/>
        </w:rPr>
        <w:t>Arvioidut vaikutukset toimintamäärärahoihin</w:t>
      </w:r>
      <w:bookmarkEnd w:id="72"/>
      <w:r>
        <w:rPr>
          <w:noProof/>
        </w:rPr>
        <w:t xml:space="preserve"> </w:t>
      </w:r>
    </w:p>
    <w:p>
      <w:pPr>
        <w:pStyle w:val="ListDash1"/>
        <w:ind w:left="1134"/>
        <w:rPr>
          <w:noProof/>
        </w:rPr>
      </w:pPr>
      <w:r>
        <w:rPr>
          <w:noProof/>
        </w:rPr>
        <w:sym w:font="Wingdings" w:char="F0A8"/>
      </w:r>
      <w:r>
        <w:rPr>
          <w:noProof/>
        </w:rPr>
        <w:t xml:space="preserve"> Ehdotus/aloite ei edellytä toimintamäärärahoja. </w:t>
      </w:r>
    </w:p>
    <w:p>
      <w:pPr>
        <w:pStyle w:val="ListDash1"/>
        <w:ind w:left="1134"/>
        <w:rPr>
          <w:noProof/>
        </w:rPr>
      </w:pPr>
      <w:r>
        <w:rPr>
          <w:noProof/>
        </w:rPr>
        <w:t>X Ehdotus/aloite edellyttää toimintamäärärahoja seuraavasti:</w:t>
      </w:r>
    </w:p>
    <w:p>
      <w:pPr>
        <w:jc w:val="right"/>
        <w:rPr>
          <w:noProof/>
          <w:sz w:val="20"/>
        </w:rPr>
      </w:pPr>
      <w:r>
        <w:rPr>
          <w:noProof/>
          <w:sz w:val="20"/>
        </w:rPr>
        <w:t>Maksusitoumusmäärärahat, milj. euroa (kolmen desimaalin tarkkuudella)</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05"/>
        <w:gridCol w:w="236"/>
        <w:gridCol w:w="4210"/>
        <w:gridCol w:w="9"/>
        <w:gridCol w:w="983"/>
        <w:gridCol w:w="19"/>
        <w:gridCol w:w="865"/>
        <w:gridCol w:w="959"/>
        <w:gridCol w:w="850"/>
        <w:gridCol w:w="1134"/>
        <w:gridCol w:w="35"/>
        <w:gridCol w:w="1125"/>
        <w:gridCol w:w="1108"/>
        <w:gridCol w:w="17"/>
      </w:tblGrid>
      <w:tr>
        <w:trPr>
          <w:gridAfter w:val="1"/>
          <w:wAfter w:w="17" w:type="dxa"/>
        </w:trPr>
        <w:tc>
          <w:tcPr>
            <w:tcW w:w="1245" w:type="dxa"/>
            <w:vMerge w:val="restart"/>
            <w:vAlign w:val="center"/>
          </w:tcPr>
          <w:p>
            <w:pPr>
              <w:spacing w:after="0"/>
              <w:ind w:right="-29"/>
              <w:jc w:val="center"/>
              <w:rPr>
                <w:b/>
                <w:noProof/>
                <w:sz w:val="18"/>
                <w:szCs w:val="18"/>
              </w:rPr>
            </w:pPr>
            <w:r>
              <w:rPr>
                <w:b/>
                <w:noProof/>
                <w:sz w:val="18"/>
              </w:rPr>
              <w:t xml:space="preserve">Tavoitteet ja tuotokset </w:t>
            </w:r>
          </w:p>
          <w:p>
            <w:pPr>
              <w:spacing w:after="0"/>
              <w:ind w:right="-29"/>
              <w:jc w:val="center"/>
              <w:rPr>
                <w:b/>
                <w:noProof/>
                <w:sz w:val="18"/>
                <w:szCs w:val="18"/>
              </w:rPr>
            </w:pPr>
          </w:p>
          <w:p>
            <w:pPr>
              <w:spacing w:after="0"/>
              <w:ind w:right="-29"/>
              <w:jc w:val="center"/>
              <w:rPr>
                <w:noProof/>
                <w:sz w:val="18"/>
                <w:szCs w:val="18"/>
              </w:rPr>
            </w:pPr>
            <w:r>
              <w:rPr>
                <w:noProof/>
                <w:sz w:val="18"/>
              </w:rPr>
              <w:sym w:font="Wingdings" w:char="F0F2"/>
            </w:r>
          </w:p>
        </w:tc>
        <w:tc>
          <w:tcPr>
            <w:tcW w:w="6962" w:type="dxa"/>
            <w:gridSpan w:val="6"/>
            <w:vAlign w:val="center"/>
          </w:tcPr>
          <w:p>
            <w:pPr>
              <w:spacing w:after="0"/>
              <w:ind w:right="-29"/>
              <w:jc w:val="center"/>
              <w:rPr>
                <w:noProof/>
                <w:sz w:val="18"/>
                <w:szCs w:val="18"/>
              </w:rPr>
            </w:pPr>
          </w:p>
        </w:tc>
        <w:tc>
          <w:tcPr>
            <w:tcW w:w="1824" w:type="dxa"/>
            <w:gridSpan w:val="2"/>
            <w:tcBorders>
              <w:left w:val="nil"/>
            </w:tcBorders>
            <w:vAlign w:val="center"/>
          </w:tcPr>
          <w:p>
            <w:pPr>
              <w:spacing w:after="0"/>
              <w:ind w:right="-29"/>
              <w:jc w:val="center"/>
              <w:rPr>
                <w:noProof/>
                <w:sz w:val="18"/>
                <w:szCs w:val="18"/>
              </w:rPr>
            </w:pPr>
            <w:r>
              <w:rPr>
                <w:noProof/>
                <w:sz w:val="18"/>
              </w:rPr>
              <w:t>2019</w:t>
            </w:r>
          </w:p>
        </w:tc>
        <w:tc>
          <w:tcPr>
            <w:tcW w:w="1984" w:type="dxa"/>
            <w:gridSpan w:val="2"/>
            <w:vAlign w:val="center"/>
          </w:tcPr>
          <w:p>
            <w:pPr>
              <w:spacing w:after="0"/>
              <w:ind w:right="-29"/>
              <w:jc w:val="center"/>
              <w:rPr>
                <w:noProof/>
                <w:sz w:val="18"/>
                <w:szCs w:val="18"/>
              </w:rPr>
            </w:pPr>
            <w:r>
              <w:rPr>
                <w:noProof/>
                <w:sz w:val="18"/>
              </w:rPr>
              <w:t>2020</w:t>
            </w:r>
          </w:p>
        </w:tc>
        <w:tc>
          <w:tcPr>
            <w:tcW w:w="2268" w:type="dxa"/>
            <w:gridSpan w:val="3"/>
            <w:vAlign w:val="center"/>
          </w:tcPr>
          <w:p>
            <w:pPr>
              <w:spacing w:after="0"/>
              <w:ind w:right="-29"/>
              <w:jc w:val="center"/>
              <w:rPr>
                <w:noProof/>
                <w:sz w:val="18"/>
                <w:szCs w:val="18"/>
              </w:rPr>
            </w:pPr>
          </w:p>
        </w:tc>
      </w:tr>
      <w:tr>
        <w:tc>
          <w:tcPr>
            <w:tcW w:w="1245" w:type="dxa"/>
            <w:vMerge/>
            <w:vAlign w:val="center"/>
          </w:tcPr>
          <w:p>
            <w:pPr>
              <w:spacing w:after="0"/>
              <w:ind w:right="-29"/>
              <w:jc w:val="center"/>
              <w:rPr>
                <w:noProof/>
                <w:sz w:val="18"/>
                <w:szCs w:val="18"/>
              </w:rPr>
            </w:pPr>
          </w:p>
        </w:tc>
        <w:tc>
          <w:tcPr>
            <w:tcW w:w="13055" w:type="dxa"/>
            <w:gridSpan w:val="14"/>
          </w:tcPr>
          <w:p>
            <w:pPr>
              <w:spacing w:after="0"/>
              <w:ind w:right="-29"/>
              <w:jc w:val="center"/>
              <w:rPr>
                <w:noProof/>
                <w:sz w:val="18"/>
                <w:szCs w:val="18"/>
              </w:rPr>
            </w:pPr>
            <w:r>
              <w:rPr>
                <w:b/>
                <w:noProof/>
                <w:sz w:val="18"/>
              </w:rPr>
              <w:t>TUOTOKSET</w:t>
            </w:r>
          </w:p>
        </w:tc>
      </w:tr>
      <w:tr>
        <w:trPr>
          <w:cantSplit/>
          <w:trHeight w:val="1134"/>
        </w:trPr>
        <w:tc>
          <w:tcPr>
            <w:tcW w:w="1245" w:type="dxa"/>
            <w:vMerge/>
            <w:vAlign w:val="center"/>
          </w:tcPr>
          <w:p>
            <w:pPr>
              <w:spacing w:after="0"/>
              <w:rPr>
                <w:noProof/>
                <w:sz w:val="18"/>
                <w:szCs w:val="18"/>
              </w:rPr>
            </w:pPr>
          </w:p>
        </w:tc>
        <w:tc>
          <w:tcPr>
            <w:tcW w:w="5960" w:type="dxa"/>
            <w:gridSpan w:val="4"/>
            <w:vAlign w:val="center"/>
          </w:tcPr>
          <w:p>
            <w:pPr>
              <w:spacing w:after="0"/>
              <w:jc w:val="center"/>
              <w:rPr>
                <w:noProof/>
                <w:sz w:val="18"/>
                <w:szCs w:val="18"/>
              </w:rPr>
            </w:pPr>
            <w:r>
              <w:rPr>
                <w:noProof/>
                <w:sz w:val="18"/>
              </w:rPr>
              <w:t>Tyyppi</w:t>
            </w:r>
            <w:r>
              <w:rPr>
                <w:rStyle w:val="FootnoteReference"/>
                <w:noProof/>
                <w:sz w:val="18"/>
              </w:rPr>
              <w:footnoteReference w:id="33"/>
            </w:r>
          </w:p>
          <w:p>
            <w:pPr>
              <w:spacing w:after="0"/>
              <w:jc w:val="center"/>
              <w:rPr>
                <w:noProof/>
                <w:sz w:val="18"/>
                <w:szCs w:val="18"/>
              </w:rPr>
            </w:pPr>
          </w:p>
        </w:tc>
        <w:tc>
          <w:tcPr>
            <w:tcW w:w="1002" w:type="dxa"/>
            <w:gridSpan w:val="2"/>
            <w:vAlign w:val="center"/>
          </w:tcPr>
          <w:p>
            <w:pPr>
              <w:spacing w:after="0"/>
              <w:jc w:val="center"/>
              <w:rPr>
                <w:noProof/>
                <w:sz w:val="18"/>
                <w:szCs w:val="18"/>
              </w:rPr>
            </w:pPr>
            <w:r>
              <w:rPr>
                <w:noProof/>
                <w:sz w:val="18"/>
              </w:rPr>
              <w:t>Keskimäär. kustannukset</w:t>
            </w:r>
          </w:p>
        </w:tc>
        <w:tc>
          <w:tcPr>
            <w:tcW w:w="865" w:type="dxa"/>
            <w:tcBorders>
              <w:left w:val="nil"/>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Lukumäärä</w:t>
            </w:r>
          </w:p>
        </w:tc>
        <w:tc>
          <w:tcPr>
            <w:tcW w:w="959" w:type="dxa"/>
            <w:tcBorders>
              <w:left w:val="dashSmallGap" w:sz="4" w:space="0" w:color="auto"/>
            </w:tcBorders>
            <w:shd w:val="pct10" w:color="auto" w:fill="auto"/>
            <w:vAlign w:val="center"/>
          </w:tcPr>
          <w:p>
            <w:pPr>
              <w:spacing w:after="0"/>
              <w:jc w:val="center"/>
              <w:rPr>
                <w:noProof/>
                <w:sz w:val="18"/>
                <w:szCs w:val="18"/>
              </w:rPr>
            </w:pPr>
            <w:r>
              <w:rPr>
                <w:noProof/>
                <w:sz w:val="18"/>
              </w:rPr>
              <w:t>Kustannus</w:t>
            </w:r>
          </w:p>
        </w:tc>
        <w:tc>
          <w:tcPr>
            <w:tcW w:w="850" w:type="dxa"/>
            <w:tcBorders>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Lukumäärä</w:t>
            </w:r>
          </w:p>
        </w:tc>
        <w:tc>
          <w:tcPr>
            <w:tcW w:w="1169" w:type="dxa"/>
            <w:gridSpan w:val="2"/>
            <w:tcBorders>
              <w:left w:val="dashSmallGap" w:sz="4" w:space="0" w:color="auto"/>
            </w:tcBorders>
            <w:shd w:val="pct10" w:color="auto" w:fill="auto"/>
            <w:vAlign w:val="center"/>
          </w:tcPr>
          <w:p>
            <w:pPr>
              <w:spacing w:after="0"/>
              <w:jc w:val="center"/>
              <w:rPr>
                <w:noProof/>
                <w:sz w:val="18"/>
                <w:szCs w:val="18"/>
              </w:rPr>
            </w:pPr>
            <w:r>
              <w:rPr>
                <w:noProof/>
                <w:sz w:val="18"/>
              </w:rPr>
              <w:t>Kustannus</w:t>
            </w:r>
          </w:p>
        </w:tc>
        <w:tc>
          <w:tcPr>
            <w:tcW w:w="1125" w:type="dxa"/>
            <w:tcBorders>
              <w:right w:val="dashSmallGap" w:sz="4" w:space="0" w:color="auto"/>
            </w:tcBorders>
            <w:shd w:val="pct10" w:color="auto" w:fill="auto"/>
            <w:vAlign w:val="center"/>
          </w:tcPr>
          <w:p>
            <w:pPr>
              <w:spacing w:after="0"/>
              <w:jc w:val="center"/>
              <w:rPr>
                <w:noProof/>
                <w:sz w:val="18"/>
                <w:szCs w:val="18"/>
              </w:rPr>
            </w:pPr>
            <w:r>
              <w:rPr>
                <w:noProof/>
                <w:sz w:val="18"/>
              </w:rPr>
              <w:t>Lukumäärä yhteensä</w:t>
            </w:r>
          </w:p>
        </w:tc>
        <w:tc>
          <w:tcPr>
            <w:tcW w:w="1125" w:type="dxa"/>
            <w:gridSpan w:val="2"/>
            <w:tcBorders>
              <w:left w:val="dashSmallGap" w:sz="4" w:space="0" w:color="auto"/>
            </w:tcBorders>
            <w:shd w:val="pct10" w:color="auto" w:fill="auto"/>
            <w:vAlign w:val="center"/>
          </w:tcPr>
          <w:p>
            <w:pPr>
              <w:spacing w:after="0"/>
              <w:jc w:val="center"/>
              <w:rPr>
                <w:noProof/>
                <w:sz w:val="18"/>
                <w:szCs w:val="18"/>
              </w:rPr>
            </w:pPr>
            <w:r>
              <w:rPr>
                <w:noProof/>
                <w:sz w:val="18"/>
              </w:rPr>
              <w:t>Kustannukset yhteensä</w:t>
            </w:r>
          </w:p>
        </w:tc>
      </w:tr>
      <w:tr>
        <w:trPr>
          <w:gridAfter w:val="12"/>
          <w:wAfter w:w="11314" w:type="dxa"/>
        </w:trPr>
        <w:tc>
          <w:tcPr>
            <w:tcW w:w="2750" w:type="dxa"/>
            <w:gridSpan w:val="2"/>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34"/>
            </w:r>
            <w:r>
              <w:rPr>
                <w:noProof/>
                <w:sz w:val="18"/>
              </w:rPr>
              <w:t xml:space="preserve"> …</w:t>
            </w:r>
          </w:p>
        </w:tc>
        <w:tc>
          <w:tcPr>
            <w:tcW w:w="236" w:type="dxa"/>
            <w:tcBorders>
              <w:top w:val="nil"/>
              <w:left w:val="nil"/>
              <w:bottom w:val="nil"/>
              <w:right w:val="nil"/>
            </w:tcBorders>
          </w:tcPr>
          <w:p>
            <w:pPr>
              <w:spacing w:before="60" w:after="60"/>
              <w:ind w:right="-29"/>
              <w:jc w:val="center"/>
              <w:rPr>
                <w:noProof/>
                <w:sz w:val="18"/>
                <w:szCs w:val="18"/>
              </w:rPr>
            </w:pPr>
          </w:p>
        </w:tc>
      </w:tr>
      <w:tr>
        <w:trPr>
          <w:trHeight w:hRule="exact" w:val="272"/>
        </w:trPr>
        <w:tc>
          <w:tcPr>
            <w:tcW w:w="1245" w:type="dxa"/>
          </w:tcPr>
          <w:p>
            <w:pPr>
              <w:spacing w:after="0"/>
              <w:ind w:right="-28"/>
              <w:jc w:val="center"/>
              <w:rPr>
                <w:noProof/>
                <w:sz w:val="18"/>
                <w:szCs w:val="18"/>
              </w:rPr>
            </w:pPr>
            <w:r>
              <w:rPr>
                <w:noProof/>
                <w:sz w:val="18"/>
              </w:rPr>
              <w:t>- tuotos</w:t>
            </w:r>
          </w:p>
        </w:tc>
        <w:tc>
          <w:tcPr>
            <w:tcW w:w="5960" w:type="dxa"/>
            <w:gridSpan w:val="4"/>
          </w:tcPr>
          <w:p>
            <w:pPr>
              <w:spacing w:after="0"/>
              <w:ind w:right="-28"/>
              <w:jc w:val="center"/>
              <w:rPr>
                <w:noProof/>
                <w:sz w:val="18"/>
                <w:szCs w:val="18"/>
              </w:rPr>
            </w:pPr>
            <w:r>
              <w:rPr>
                <w:noProof/>
                <w:sz w:val="18"/>
              </w:rPr>
              <w:t>Tietokanta</w:t>
            </w:r>
          </w:p>
        </w:tc>
        <w:tc>
          <w:tcPr>
            <w:tcW w:w="1002" w:type="dxa"/>
            <w:gridSpan w:val="2"/>
          </w:tcPr>
          <w:p>
            <w:pPr>
              <w:spacing w:after="0"/>
              <w:ind w:right="-28"/>
              <w:jc w:val="center"/>
              <w:rPr>
                <w:noProof/>
                <w:sz w:val="18"/>
                <w:szCs w:val="18"/>
              </w:rPr>
            </w:pPr>
          </w:p>
        </w:tc>
        <w:tc>
          <w:tcPr>
            <w:tcW w:w="865" w:type="dxa"/>
            <w:tcBorders>
              <w:right w:val="dashSmallGap" w:sz="4" w:space="0" w:color="auto"/>
            </w:tcBorders>
          </w:tcPr>
          <w:p>
            <w:pPr>
              <w:spacing w:after="0"/>
              <w:ind w:right="-28"/>
              <w:jc w:val="center"/>
              <w:rPr>
                <w:noProof/>
                <w:sz w:val="18"/>
                <w:szCs w:val="18"/>
              </w:rPr>
            </w:pPr>
          </w:p>
        </w:tc>
        <w:tc>
          <w:tcPr>
            <w:tcW w:w="959" w:type="dxa"/>
            <w:tcBorders>
              <w:left w:val="dashSmallGap" w:sz="4" w:space="0" w:color="auto"/>
            </w:tcBorders>
          </w:tcPr>
          <w:p>
            <w:pPr>
              <w:spacing w:after="0"/>
              <w:ind w:right="-28"/>
              <w:jc w:val="center"/>
              <w:rPr>
                <w:noProof/>
                <w:sz w:val="18"/>
                <w:szCs w:val="18"/>
              </w:rPr>
            </w:pPr>
            <w:r>
              <w:rPr>
                <w:noProof/>
                <w:sz w:val="18"/>
              </w:rPr>
              <w:t>0,600</w:t>
            </w:r>
          </w:p>
        </w:tc>
        <w:tc>
          <w:tcPr>
            <w:tcW w:w="850" w:type="dxa"/>
            <w:tcBorders>
              <w:right w:val="dashSmallGap" w:sz="4" w:space="0" w:color="auto"/>
            </w:tcBorders>
          </w:tcPr>
          <w:p>
            <w:pPr>
              <w:spacing w:after="0"/>
              <w:ind w:right="-28"/>
              <w:jc w:val="center"/>
              <w:rPr>
                <w:noProof/>
                <w:sz w:val="18"/>
                <w:szCs w:val="18"/>
              </w:rPr>
            </w:pPr>
          </w:p>
        </w:tc>
        <w:tc>
          <w:tcPr>
            <w:tcW w:w="1169" w:type="dxa"/>
            <w:gridSpan w:val="2"/>
            <w:tcBorders>
              <w:left w:val="dashSmallGap" w:sz="4" w:space="0" w:color="auto"/>
            </w:tcBorders>
          </w:tcPr>
          <w:p>
            <w:pPr>
              <w:spacing w:after="0"/>
              <w:ind w:right="-28"/>
              <w:jc w:val="center"/>
              <w:rPr>
                <w:noProof/>
                <w:sz w:val="18"/>
                <w:szCs w:val="18"/>
              </w:rPr>
            </w:pPr>
            <w:r>
              <w:rPr>
                <w:noProof/>
                <w:sz w:val="18"/>
              </w:rPr>
              <w:t>1,000</w:t>
            </w:r>
          </w:p>
        </w:tc>
        <w:tc>
          <w:tcPr>
            <w:tcW w:w="1125" w:type="dxa"/>
            <w:tcBorders>
              <w:right w:val="dashSmallGap" w:sz="4" w:space="0" w:color="auto"/>
            </w:tcBorders>
          </w:tcPr>
          <w:p>
            <w:pPr>
              <w:spacing w:after="0"/>
              <w:ind w:right="-28"/>
              <w:jc w:val="center"/>
              <w:rPr>
                <w:noProof/>
                <w:sz w:val="18"/>
                <w:szCs w:val="18"/>
              </w:rPr>
            </w:pPr>
          </w:p>
        </w:tc>
        <w:tc>
          <w:tcPr>
            <w:tcW w:w="1125" w:type="dxa"/>
            <w:gridSpan w:val="2"/>
            <w:tcBorders>
              <w:left w:val="dashSmallGap" w:sz="4" w:space="0" w:color="auto"/>
            </w:tcBorders>
          </w:tcPr>
          <w:p>
            <w:pPr>
              <w:spacing w:after="0"/>
              <w:ind w:right="-28"/>
              <w:jc w:val="center"/>
              <w:rPr>
                <w:noProof/>
                <w:sz w:val="18"/>
                <w:szCs w:val="18"/>
              </w:rPr>
            </w:pPr>
            <w:r>
              <w:rPr>
                <w:noProof/>
                <w:sz w:val="18"/>
              </w:rPr>
              <w:t>1,600</w:t>
            </w:r>
          </w:p>
        </w:tc>
      </w:tr>
      <w:tr>
        <w:trPr>
          <w:trHeight w:hRule="exact" w:val="484"/>
        </w:trPr>
        <w:tc>
          <w:tcPr>
            <w:tcW w:w="1245" w:type="dxa"/>
          </w:tcPr>
          <w:p>
            <w:pPr>
              <w:ind w:right="-29"/>
              <w:jc w:val="center"/>
              <w:rPr>
                <w:noProof/>
                <w:sz w:val="18"/>
                <w:szCs w:val="18"/>
              </w:rPr>
            </w:pPr>
            <w:r>
              <w:rPr>
                <w:noProof/>
                <w:sz w:val="18"/>
              </w:rPr>
              <w:t>- tuotos</w:t>
            </w:r>
          </w:p>
        </w:tc>
        <w:tc>
          <w:tcPr>
            <w:tcW w:w="5960" w:type="dxa"/>
            <w:gridSpan w:val="4"/>
          </w:tcPr>
          <w:p>
            <w:pPr>
              <w:ind w:right="-29"/>
              <w:jc w:val="center"/>
              <w:rPr>
                <w:noProof/>
                <w:sz w:val="18"/>
                <w:szCs w:val="18"/>
              </w:rPr>
            </w:pPr>
            <w:r>
              <w:rPr>
                <w:noProof/>
                <w:sz w:val="18"/>
              </w:rPr>
              <w:t>Maatiloja koskevat mikrotiedot</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38,400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38,400</w:t>
            </w:r>
          </w:p>
        </w:tc>
      </w:tr>
      <w:tr>
        <w:trPr>
          <w:trHeight w:hRule="exact" w:val="448"/>
        </w:trPr>
        <w:tc>
          <w:tcPr>
            <w:tcW w:w="7205" w:type="dxa"/>
            <w:gridSpan w:val="5"/>
          </w:tcPr>
          <w:p>
            <w:pPr>
              <w:ind w:right="-29"/>
              <w:jc w:val="left"/>
              <w:rPr>
                <w:noProof/>
                <w:sz w:val="18"/>
                <w:szCs w:val="18"/>
              </w:rPr>
            </w:pPr>
            <w:r>
              <w:rPr>
                <w:noProof/>
                <w:sz w:val="18"/>
              </w:rPr>
              <w:t>Välisumma erityistavoite 1</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39,000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1,000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40,000</w:t>
            </w:r>
          </w:p>
        </w:tc>
      </w:tr>
      <w:tr>
        <w:tc>
          <w:tcPr>
            <w:tcW w:w="7196" w:type="dxa"/>
            <w:gridSpan w:val="4"/>
            <w:tcBorders>
              <w:top w:val="single" w:sz="12" w:space="0" w:color="auto"/>
              <w:left w:val="single" w:sz="12" w:space="0" w:color="auto"/>
              <w:bottom w:val="single" w:sz="12" w:space="0" w:color="auto"/>
            </w:tcBorders>
            <w:vAlign w:val="center"/>
          </w:tcPr>
          <w:p>
            <w:pPr>
              <w:spacing w:after="0"/>
              <w:ind w:right="-28"/>
              <w:jc w:val="center"/>
              <w:rPr>
                <w:noProof/>
                <w:sz w:val="18"/>
                <w:szCs w:val="18"/>
              </w:rPr>
            </w:pPr>
            <w:r>
              <w:rPr>
                <w:b/>
                <w:noProof/>
                <w:sz w:val="18"/>
              </w:rPr>
              <w:t>KUSTANNUKSET YHTEENSÄ</w:t>
            </w:r>
          </w:p>
        </w:tc>
        <w:tc>
          <w:tcPr>
            <w:tcW w:w="992" w:type="dxa"/>
            <w:gridSpan w:val="2"/>
            <w:tcBorders>
              <w:top w:val="single" w:sz="12" w:space="0" w:color="auto"/>
              <w:bottom w:val="single" w:sz="12" w:space="0" w:color="auto"/>
            </w:tcBorders>
          </w:tcPr>
          <w:p>
            <w:pPr>
              <w:spacing w:after="0"/>
              <w:ind w:right="-28"/>
              <w:jc w:val="center"/>
              <w:rPr>
                <w:noProof/>
                <w:sz w:val="18"/>
                <w:szCs w:val="18"/>
              </w:rPr>
            </w:pPr>
          </w:p>
        </w:tc>
        <w:tc>
          <w:tcPr>
            <w:tcW w:w="1843" w:type="dxa"/>
            <w:gridSpan w:val="3"/>
            <w:tcBorders>
              <w:top w:val="single" w:sz="12" w:space="0" w:color="auto"/>
              <w:bottom w:val="single" w:sz="12" w:space="0" w:color="auto"/>
            </w:tcBorders>
          </w:tcPr>
          <w:p>
            <w:pPr>
              <w:spacing w:after="0"/>
              <w:ind w:right="-28"/>
              <w:jc w:val="center"/>
              <w:rPr>
                <w:noProof/>
                <w:sz w:val="18"/>
                <w:szCs w:val="18"/>
              </w:rPr>
            </w:pPr>
            <w:r>
              <w:rPr>
                <w:noProof/>
                <w:sz w:val="18"/>
              </w:rPr>
              <w:t>39,000</w:t>
            </w:r>
          </w:p>
        </w:tc>
        <w:tc>
          <w:tcPr>
            <w:tcW w:w="850" w:type="dxa"/>
            <w:tcBorders>
              <w:top w:val="single" w:sz="12" w:space="0" w:color="auto"/>
              <w:bottom w:val="single" w:sz="12" w:space="0" w:color="auto"/>
            </w:tcBorders>
          </w:tcPr>
          <w:p>
            <w:pPr>
              <w:spacing w:after="0"/>
              <w:ind w:right="-28"/>
              <w:jc w:val="center"/>
              <w:rPr>
                <w:noProof/>
                <w:sz w:val="18"/>
                <w:szCs w:val="18"/>
              </w:rPr>
            </w:pPr>
          </w:p>
        </w:tc>
        <w:tc>
          <w:tcPr>
            <w:tcW w:w="1169" w:type="dxa"/>
            <w:gridSpan w:val="2"/>
            <w:tcBorders>
              <w:top w:val="single" w:sz="12" w:space="0" w:color="auto"/>
              <w:bottom w:val="single" w:sz="12" w:space="0" w:color="auto"/>
            </w:tcBorders>
          </w:tcPr>
          <w:p>
            <w:pPr>
              <w:spacing w:after="0"/>
              <w:ind w:right="-28"/>
              <w:jc w:val="center"/>
              <w:rPr>
                <w:noProof/>
                <w:sz w:val="18"/>
                <w:szCs w:val="18"/>
              </w:rPr>
            </w:pPr>
            <w:r>
              <w:rPr>
                <w:noProof/>
                <w:sz w:val="18"/>
              </w:rPr>
              <w:t>1,000</w:t>
            </w:r>
          </w:p>
        </w:tc>
        <w:tc>
          <w:tcPr>
            <w:tcW w:w="1125" w:type="dxa"/>
            <w:tcBorders>
              <w:top w:val="single" w:sz="12" w:space="0" w:color="auto"/>
              <w:bottom w:val="single" w:sz="12" w:space="0" w:color="auto"/>
            </w:tcBorders>
          </w:tcPr>
          <w:p>
            <w:pPr>
              <w:spacing w:after="0"/>
              <w:ind w:right="-28"/>
              <w:jc w:val="center"/>
              <w:rPr>
                <w:noProof/>
                <w:sz w:val="18"/>
                <w:szCs w:val="18"/>
              </w:rPr>
            </w:pPr>
          </w:p>
        </w:tc>
        <w:tc>
          <w:tcPr>
            <w:tcW w:w="1125" w:type="dxa"/>
            <w:gridSpan w:val="2"/>
            <w:tcBorders>
              <w:top w:val="single" w:sz="12" w:space="0" w:color="auto"/>
              <w:bottom w:val="single" w:sz="12" w:space="0" w:color="auto"/>
              <w:right w:val="single" w:sz="12" w:space="0" w:color="auto"/>
            </w:tcBorders>
          </w:tcPr>
          <w:p>
            <w:pPr>
              <w:spacing w:after="0"/>
              <w:ind w:right="-28"/>
              <w:jc w:val="center"/>
              <w:rPr>
                <w:noProof/>
                <w:sz w:val="18"/>
                <w:szCs w:val="18"/>
              </w:rPr>
            </w:pPr>
            <w:r>
              <w:rPr>
                <w:noProof/>
                <w:sz w:val="18"/>
              </w:rPr>
              <w:t>40,000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3" w:name="_Toc456620252"/>
      <w:r>
        <w:t>3.2.3.</w:t>
      </w:r>
      <w:r>
        <w:tab/>
      </w:r>
      <w:r>
        <w:rPr>
          <w:noProof/>
        </w:rPr>
        <w:t>Arvioidut vaikutukset hallintomäärärahoihin</w:t>
      </w:r>
      <w:bookmarkEnd w:id="73"/>
    </w:p>
    <w:p>
      <w:pPr>
        <w:pStyle w:val="ManualHeading4"/>
        <w:rPr>
          <w:noProof/>
        </w:rPr>
      </w:pPr>
      <w:bookmarkStart w:id="74" w:name="_Toc456620253"/>
      <w:r>
        <w:t>3.2.3.1.</w:t>
      </w:r>
      <w:r>
        <w:tab/>
      </w:r>
      <w:r>
        <w:rPr>
          <w:noProof/>
        </w:rPr>
        <w:t>Yhteenveto</w:t>
      </w:r>
      <w:bookmarkEnd w:id="74"/>
      <w:r>
        <w:rPr>
          <w:noProof/>
        </w:rPr>
        <w:t xml:space="preserve"> </w:t>
      </w:r>
    </w:p>
    <w:p>
      <w:pPr>
        <w:pStyle w:val="ListDash1"/>
        <w:ind w:left="1134"/>
        <w:rPr>
          <w:noProof/>
        </w:rPr>
      </w:pPr>
      <w:r>
        <w:rPr>
          <w:noProof/>
        </w:rPr>
        <w:sym w:font="Wingdings" w:char="F0A8"/>
      </w:r>
      <w:r>
        <w:rPr>
          <w:noProof/>
        </w:rPr>
        <w:t xml:space="preserve"> Ehdotus/aloite ei edellytä hallintomäärärahoja. </w:t>
      </w:r>
    </w:p>
    <w:p>
      <w:pPr>
        <w:pStyle w:val="ListDash1"/>
        <w:ind w:left="1134"/>
        <w:rPr>
          <w:noProof/>
        </w:rPr>
      </w:pPr>
      <w:r>
        <w:rPr>
          <w:noProof/>
        </w:rPr>
        <w:t>X</w:t>
      </w:r>
      <w:r>
        <w:rPr>
          <w:noProof/>
        </w:rPr>
        <w:tab/>
        <w:t>Ehdotus/aloite edellyttää hallintomäärärahoja seuraavasti:</w:t>
      </w:r>
    </w:p>
    <w:p>
      <w:pPr>
        <w:rPr>
          <w:noProof/>
          <w:sz w:val="20"/>
        </w:rPr>
      </w:pPr>
      <w:r>
        <w:rPr>
          <w:noProof/>
          <w:sz w:val="20"/>
        </w:rPr>
        <w:t>milj. euroa (kolmen desimaalin tarkkuudella)</w:t>
      </w: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7"/>
        <w:gridCol w:w="1418"/>
      </w:tblGrid>
      <w:tr>
        <w:trPr>
          <w:trHeight w:val="585"/>
        </w:trPr>
        <w:tc>
          <w:tcPr>
            <w:tcW w:w="2005" w:type="pct"/>
            <w:vAlign w:val="center"/>
          </w:tcPr>
          <w:p>
            <w:pPr>
              <w:spacing w:after="0" w:line="200" w:lineRule="exact"/>
              <w:jc w:val="center"/>
              <w:rPr>
                <w:noProof/>
                <w:sz w:val="16"/>
                <w:szCs w:val="16"/>
              </w:rPr>
            </w:pPr>
          </w:p>
        </w:tc>
        <w:tc>
          <w:tcPr>
            <w:tcW w:w="1159" w:type="pct"/>
            <w:vAlign w:val="center"/>
          </w:tcPr>
          <w:p>
            <w:pPr>
              <w:spacing w:after="0" w:line="200" w:lineRule="exact"/>
              <w:jc w:val="center"/>
              <w:rPr>
                <w:noProof/>
                <w:sz w:val="16"/>
                <w:szCs w:val="16"/>
              </w:rPr>
            </w:pPr>
            <w:r>
              <w:rPr>
                <w:noProof/>
                <w:sz w:val="16"/>
              </w:rPr>
              <w:t>2019</w:t>
            </w:r>
          </w:p>
        </w:tc>
        <w:tc>
          <w:tcPr>
            <w:tcW w:w="870" w:type="pct"/>
            <w:vAlign w:val="center"/>
          </w:tcPr>
          <w:p>
            <w:pPr>
              <w:spacing w:after="0" w:line="200" w:lineRule="exact"/>
              <w:jc w:val="center"/>
              <w:rPr>
                <w:noProof/>
                <w:sz w:val="16"/>
                <w:szCs w:val="16"/>
              </w:rPr>
            </w:pPr>
            <w:r>
              <w:rPr>
                <w:noProof/>
                <w:sz w:val="16"/>
              </w:rPr>
              <w:t>2020</w:t>
            </w:r>
          </w:p>
        </w:tc>
        <w:tc>
          <w:tcPr>
            <w:tcW w:w="966" w:type="pct"/>
            <w:vAlign w:val="center"/>
          </w:tcPr>
          <w:p>
            <w:pPr>
              <w:spacing w:after="0" w:line="200" w:lineRule="exact"/>
              <w:jc w:val="center"/>
              <w:rPr>
                <w:b/>
                <w:noProof/>
                <w:sz w:val="16"/>
                <w:szCs w:val="16"/>
              </w:rPr>
            </w:pPr>
            <w:r>
              <w:rPr>
                <w:b/>
                <w:noProof/>
                <w:sz w:val="16"/>
              </w:rPr>
              <w:t>YHTEENSÄ</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b/>
                <w:noProof/>
                <w:sz w:val="16"/>
                <w:szCs w:val="16"/>
              </w:rPr>
            </w:pPr>
            <w:r>
              <w:rPr>
                <w:b/>
                <w:noProof/>
                <w:sz w:val="16"/>
                <w:szCs w:val="16"/>
              </w:rPr>
              <w:t>Monivuotisen rahoituskehyksen</w:t>
            </w:r>
            <w:r>
              <w:rPr>
                <w:noProof/>
                <w:sz w:val="16"/>
                <w:szCs w:val="16"/>
              </w:rPr>
              <w:br/>
            </w:r>
            <w:r>
              <w:rPr>
                <w:b/>
                <w:noProof/>
                <w:sz w:val="16"/>
                <w:szCs w:val="16"/>
              </w:rPr>
              <w:t>OTSAKE 5</w:t>
            </w:r>
          </w:p>
        </w:tc>
        <w:tc>
          <w:tcPr>
            <w:tcW w:w="1159" w:type="pct"/>
            <w:vAlign w:val="center"/>
          </w:tcPr>
          <w:p>
            <w:pPr>
              <w:spacing w:after="0" w:line="200" w:lineRule="exact"/>
              <w:jc w:val="right"/>
              <w:rPr>
                <w:noProof/>
                <w:sz w:val="16"/>
                <w:szCs w:val="16"/>
              </w:rPr>
            </w:pPr>
          </w:p>
        </w:tc>
        <w:tc>
          <w:tcPr>
            <w:tcW w:w="869" w:type="pct"/>
            <w:vAlign w:val="center"/>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szCs w:val="16"/>
              </w:rPr>
              <w:t xml:space="preserve">Henkilöresurssit </w:t>
            </w:r>
          </w:p>
        </w:tc>
        <w:tc>
          <w:tcPr>
            <w:tcW w:w="1159" w:type="pct"/>
            <w:vAlign w:val="center"/>
          </w:tcPr>
          <w:p>
            <w:pPr>
              <w:spacing w:after="0"/>
              <w:jc w:val="center"/>
              <w:rPr>
                <w:noProof/>
                <w:sz w:val="20"/>
              </w:rPr>
            </w:pPr>
            <w:r>
              <w:rPr>
                <w:noProof/>
                <w:sz w:val="20"/>
              </w:rPr>
              <w:t>0,549</w:t>
            </w:r>
          </w:p>
        </w:tc>
        <w:tc>
          <w:tcPr>
            <w:tcW w:w="869" w:type="pct"/>
            <w:vAlign w:val="center"/>
          </w:tcPr>
          <w:p>
            <w:pPr>
              <w:spacing w:after="0"/>
              <w:jc w:val="center"/>
              <w:rPr>
                <w:noProof/>
                <w:sz w:val="20"/>
              </w:rPr>
            </w:pPr>
            <w:r>
              <w:rPr>
                <w:noProof/>
                <w:sz w:val="20"/>
              </w:rPr>
              <w:t>0,549</w:t>
            </w:r>
          </w:p>
        </w:tc>
        <w:tc>
          <w:tcPr>
            <w:tcW w:w="967" w:type="pct"/>
            <w:vAlign w:val="center"/>
          </w:tcPr>
          <w:p>
            <w:pPr>
              <w:spacing w:after="0"/>
              <w:jc w:val="center"/>
              <w:rPr>
                <w:b/>
                <w:noProof/>
                <w:sz w:val="20"/>
              </w:rPr>
            </w:pPr>
            <w:r>
              <w:rPr>
                <w:b/>
                <w:noProof/>
                <w:sz w:val="20"/>
              </w:rPr>
              <w:t>1,098</w:t>
            </w:r>
          </w:p>
        </w:tc>
      </w:tr>
      <w:tr>
        <w:trPr>
          <w:trHeight w:val="585"/>
        </w:trPr>
        <w:tc>
          <w:tcPr>
            <w:tcW w:w="2005" w:type="pct"/>
            <w:vAlign w:val="center"/>
          </w:tcPr>
          <w:p>
            <w:pPr>
              <w:spacing w:after="0" w:line="200" w:lineRule="exact"/>
              <w:ind w:left="72"/>
              <w:jc w:val="left"/>
              <w:rPr>
                <w:noProof/>
                <w:sz w:val="16"/>
                <w:szCs w:val="16"/>
              </w:rPr>
            </w:pPr>
            <w:r>
              <w:rPr>
                <w:noProof/>
                <w:sz w:val="16"/>
                <w:szCs w:val="16"/>
              </w:rPr>
              <w:t xml:space="preserve">Muut hallintomenot </w:t>
            </w:r>
          </w:p>
        </w:tc>
        <w:tc>
          <w:tcPr>
            <w:tcW w:w="1159" w:type="pct"/>
            <w:vAlign w:val="center"/>
          </w:tcPr>
          <w:p>
            <w:pPr>
              <w:spacing w:after="0"/>
              <w:jc w:val="center"/>
              <w:rPr>
                <w:noProof/>
                <w:sz w:val="20"/>
              </w:rPr>
            </w:pPr>
            <w:r>
              <w:rPr>
                <w:noProof/>
                <w:sz w:val="20"/>
              </w:rPr>
              <w:t>0,045</w:t>
            </w:r>
          </w:p>
        </w:tc>
        <w:tc>
          <w:tcPr>
            <w:tcW w:w="869" w:type="pct"/>
            <w:vAlign w:val="center"/>
          </w:tcPr>
          <w:p>
            <w:pPr>
              <w:spacing w:after="0"/>
              <w:jc w:val="center"/>
              <w:rPr>
                <w:noProof/>
                <w:sz w:val="20"/>
              </w:rPr>
            </w:pPr>
            <w:r>
              <w:rPr>
                <w:noProof/>
                <w:sz w:val="20"/>
              </w:rPr>
              <w:t>0,030</w:t>
            </w:r>
          </w:p>
        </w:tc>
        <w:tc>
          <w:tcPr>
            <w:tcW w:w="967" w:type="pct"/>
            <w:vAlign w:val="center"/>
          </w:tcPr>
          <w:p>
            <w:pPr>
              <w:spacing w:after="0"/>
              <w:jc w:val="center"/>
              <w:rPr>
                <w:b/>
                <w:noProof/>
                <w:sz w:val="20"/>
              </w:rPr>
            </w:pPr>
            <w:r>
              <w:rPr>
                <w:b/>
                <w:noProof/>
                <w:sz w:val="20"/>
              </w:rPr>
              <w:t>0,075</w:t>
            </w: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szCs w:val="16"/>
              </w:rPr>
              <w:t>Monivuotisen rahoituskehyksen OTSAKE 5,</w:t>
            </w:r>
            <w:r>
              <w:rPr>
                <w:noProof/>
                <w:sz w:val="16"/>
                <w:szCs w:val="16"/>
              </w:rPr>
              <w:br/>
            </w:r>
            <w:r>
              <w:rPr>
                <w:b/>
                <w:noProof/>
                <w:sz w:val="16"/>
                <w:szCs w:val="16"/>
              </w:rPr>
              <w:t xml:space="preserve">välisumma </w:t>
            </w:r>
          </w:p>
        </w:tc>
        <w:tc>
          <w:tcPr>
            <w:tcW w:w="1159" w:type="pct"/>
            <w:vAlign w:val="center"/>
          </w:tcPr>
          <w:p>
            <w:pPr>
              <w:spacing w:after="0"/>
              <w:jc w:val="center"/>
              <w:rPr>
                <w:noProof/>
                <w:sz w:val="20"/>
              </w:rPr>
            </w:pPr>
            <w:r>
              <w:rPr>
                <w:noProof/>
                <w:sz w:val="20"/>
              </w:rPr>
              <w:t>0,594</w:t>
            </w:r>
          </w:p>
        </w:tc>
        <w:tc>
          <w:tcPr>
            <w:tcW w:w="869" w:type="pct"/>
            <w:vAlign w:val="center"/>
          </w:tcPr>
          <w:p>
            <w:pPr>
              <w:spacing w:after="0"/>
              <w:jc w:val="center"/>
              <w:rPr>
                <w:noProof/>
                <w:sz w:val="20"/>
              </w:rPr>
            </w:pPr>
            <w:r>
              <w:rPr>
                <w:noProof/>
                <w:sz w:val="20"/>
              </w:rPr>
              <w:t>0,579</w:t>
            </w:r>
          </w:p>
        </w:tc>
        <w:tc>
          <w:tcPr>
            <w:tcW w:w="967" w:type="pct"/>
            <w:vAlign w:val="center"/>
          </w:tcPr>
          <w:p>
            <w:pPr>
              <w:spacing w:after="0"/>
              <w:jc w:val="center"/>
              <w:rPr>
                <w:b/>
                <w:noProof/>
                <w:sz w:val="20"/>
              </w:rPr>
            </w:pPr>
            <w:r>
              <w:rPr>
                <w:b/>
                <w:noProof/>
                <w:sz w:val="20"/>
              </w:rPr>
              <w:t>1,173</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noProof/>
                <w:sz w:val="16"/>
                <w:szCs w:val="16"/>
              </w:rPr>
            </w:pPr>
            <w:r>
              <w:rPr>
                <w:b/>
                <w:noProof/>
                <w:sz w:val="16"/>
                <w:szCs w:val="16"/>
              </w:rPr>
              <w:t>Monivuotisen rahoituskehyksen OTSAKKEESEEN 5</w:t>
            </w:r>
            <w:r>
              <w:rPr>
                <w:rStyle w:val="FootnoteReference"/>
                <w:b/>
                <w:noProof/>
                <w:sz w:val="16"/>
                <w:szCs w:val="16"/>
              </w:rPr>
              <w:footnoteReference w:id="35"/>
            </w:r>
            <w:r>
              <w:rPr>
                <w:b/>
                <w:noProof/>
                <w:sz w:val="16"/>
                <w:szCs w:val="16"/>
              </w:rPr>
              <w:t xml:space="preserve"> sisältymättömät </w:t>
            </w:r>
          </w:p>
          <w:p>
            <w:pPr>
              <w:spacing w:after="0" w:line="200" w:lineRule="exact"/>
              <w:jc w:val="center"/>
              <w:rPr>
                <w:b/>
                <w:noProof/>
                <w:sz w:val="16"/>
                <w:szCs w:val="16"/>
              </w:rPr>
            </w:pP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szCs w:val="16"/>
              </w:rPr>
              <w:t xml:space="preserve">Henkilöresurssit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szCs w:val="16"/>
              </w:rPr>
              <w:t>Muut hallintomenot</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szCs w:val="16"/>
              </w:rPr>
              <w:t>Monivuotisen rahoituskehyksen OTSAKKEESEEN 5 sisältymättömät,</w:t>
            </w:r>
            <w:r>
              <w:rPr>
                <w:noProof/>
                <w:sz w:val="16"/>
                <w:szCs w:val="16"/>
              </w:rPr>
              <w:br/>
            </w:r>
            <w:r>
              <w:rPr>
                <w:b/>
                <w:noProof/>
                <w:sz w:val="16"/>
                <w:szCs w:val="16"/>
              </w:rPr>
              <w:t xml:space="preserve">välisumma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bl>
    <w:p>
      <w:pPr>
        <w:spacing w:after="0" w:line="200" w:lineRule="exact"/>
        <w:rPr>
          <w:noProof/>
          <w:sz w:val="16"/>
          <w:szCs w:val="16"/>
        </w:rPr>
      </w:pPr>
    </w:p>
    <w:tbl>
      <w:tblPr>
        <w:tblW w:w="3951" w:type="pct"/>
        <w:tblLayout w:type="fixed"/>
        <w:tblLook w:val="01E0" w:firstRow="1" w:lastRow="1" w:firstColumn="1" w:lastColumn="1" w:noHBand="0" w:noVBand="0"/>
      </w:tblPr>
      <w:tblGrid>
        <w:gridCol w:w="2943"/>
        <w:gridCol w:w="1701"/>
        <w:gridCol w:w="1276"/>
        <w:gridCol w:w="1419"/>
      </w:tblGrid>
      <w:tr>
        <w:trPr>
          <w:trHeight w:val="585"/>
        </w:trPr>
        <w:tc>
          <w:tcPr>
            <w:tcW w:w="2005" w:type="pct"/>
            <w:tcBorders>
              <w:top w:val="single" w:sz="12" w:space="0" w:color="auto"/>
              <w:left w:val="single" w:sz="12" w:space="0" w:color="auto"/>
              <w:bottom w:val="single" w:sz="12" w:space="0" w:color="auto"/>
              <w:right w:val="single" w:sz="2" w:space="0" w:color="auto"/>
            </w:tcBorders>
            <w:vAlign w:val="center"/>
          </w:tcPr>
          <w:p>
            <w:pPr>
              <w:spacing w:after="0" w:line="200" w:lineRule="exact"/>
              <w:jc w:val="center"/>
              <w:rPr>
                <w:noProof/>
                <w:sz w:val="16"/>
                <w:szCs w:val="16"/>
              </w:rPr>
            </w:pPr>
            <w:r>
              <w:rPr>
                <w:b/>
                <w:noProof/>
                <w:sz w:val="16"/>
              </w:rPr>
              <w:t>YHTEENSÄ</w:t>
            </w:r>
          </w:p>
        </w:tc>
        <w:tc>
          <w:tcPr>
            <w:tcW w:w="115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0,594</w:t>
            </w:r>
          </w:p>
        </w:tc>
        <w:tc>
          <w:tcPr>
            <w:tcW w:w="86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0,579</w:t>
            </w:r>
          </w:p>
        </w:tc>
        <w:tc>
          <w:tcPr>
            <w:tcW w:w="967" w:type="pct"/>
            <w:tcBorders>
              <w:top w:val="single" w:sz="12" w:space="0" w:color="auto"/>
              <w:left w:val="single" w:sz="2" w:space="0" w:color="auto"/>
              <w:bottom w:val="single" w:sz="12" w:space="0" w:color="auto"/>
              <w:right w:val="single" w:sz="12" w:space="0" w:color="auto"/>
            </w:tcBorders>
            <w:vAlign w:val="center"/>
          </w:tcPr>
          <w:p>
            <w:pPr>
              <w:spacing w:after="0"/>
              <w:jc w:val="center"/>
              <w:rPr>
                <w:b/>
                <w:noProof/>
                <w:sz w:val="18"/>
                <w:szCs w:val="18"/>
              </w:rPr>
            </w:pPr>
            <w:r>
              <w:rPr>
                <w:b/>
                <w:noProof/>
                <w:sz w:val="18"/>
              </w:rPr>
              <w:t>1,173</w:t>
            </w:r>
          </w:p>
        </w:tc>
      </w:tr>
    </w:tbl>
    <w:p>
      <w:pPr>
        <w:spacing w:after="0"/>
        <w:rPr>
          <w:noProof/>
          <w:sz w:val="18"/>
        </w:rPr>
      </w:pPr>
      <w:r>
        <w:rPr>
          <w:noProof/>
          <w:sz w:val="18"/>
        </w:rPr>
        <w:t>Henkilöresursseihin ja muihin hallintomenoihin käytettävien määrärahojen tarve katetaan toimen hallinnointiin jo osoitetuilla pääosaston määrärahoilla ja/tai pääosastossa toteutetulla määrärahojen uudelleenjärjestelyillä sekä tarvittaessa sellaisilla lisäresursseilla, jotka toimea hallinnoiva pääosasto voi saada käyttöönsä vuotuisessa määrärahojen jakomenettelyssä talousarvion puitteissa.</w:t>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w:t>
      </w:r>
    </w:p>
    <w:p>
      <w:pPr>
        <w:pStyle w:val="ManualHeading4"/>
        <w:rPr>
          <w:bCs/>
          <w:noProof/>
          <w:szCs w:val="24"/>
        </w:rPr>
      </w:pPr>
      <w:bookmarkStart w:id="75" w:name="_Toc456620254"/>
      <w:r>
        <w:t>3.2.3.2.</w:t>
      </w:r>
      <w:r>
        <w:tab/>
      </w:r>
      <w:r>
        <w:rPr>
          <w:noProof/>
        </w:rPr>
        <w:t>Henkilöresurssien arvioitu tarve</w:t>
      </w:r>
      <w:bookmarkEnd w:id="75"/>
    </w:p>
    <w:p>
      <w:pPr>
        <w:pStyle w:val="ListDash1"/>
        <w:ind w:left="1134"/>
        <w:rPr>
          <w:noProof/>
        </w:rPr>
      </w:pPr>
      <w:r>
        <w:rPr>
          <w:noProof/>
        </w:rPr>
        <w:sym w:font="Wingdings" w:char="F0A8"/>
      </w:r>
      <w:r>
        <w:rPr>
          <w:noProof/>
        </w:rPr>
        <w:t xml:space="preserve"> Ehdotus/aloite ei edellytä henkilöresursseja. </w:t>
      </w:r>
    </w:p>
    <w:p>
      <w:pPr>
        <w:pStyle w:val="ListDash1"/>
        <w:ind w:left="1134"/>
        <w:rPr>
          <w:noProof/>
        </w:rPr>
      </w:pPr>
      <w:r>
        <w:rPr>
          <w:noProof/>
        </w:rPr>
        <w:t>X Ehdotus/aloite edellyttää henkilöresursseja seuraavasti:</w:t>
      </w:r>
    </w:p>
    <w:p>
      <w:pPr>
        <w:spacing w:after="60"/>
        <w:jc w:val="right"/>
        <w:rPr>
          <w:i/>
          <w:noProof/>
          <w:sz w:val="20"/>
        </w:rPr>
      </w:pPr>
      <w:r>
        <w:rPr>
          <w:i/>
          <w:noProof/>
          <w:sz w:val="20"/>
        </w:rPr>
        <w:t>Arvio kokoaikaiseksi henkilöstöksi muutettuna</w:t>
      </w:r>
    </w:p>
    <w:tbl>
      <w:tblPr>
        <w:tblW w:w="4314" w:type="pct"/>
        <w:jc w:val="center"/>
        <w:tblInd w:w="-3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0"/>
        <w:gridCol w:w="2088"/>
        <w:gridCol w:w="1135"/>
        <w:gridCol w:w="1170"/>
      </w:tblGrid>
      <w:tr>
        <w:trPr>
          <w:trHeight w:val="289"/>
          <w:jc w:val="center"/>
        </w:trPr>
        <w:tc>
          <w:tcPr>
            <w:tcW w:w="3562" w:type="pct"/>
            <w:gridSpan w:val="2"/>
            <w:shd w:val="clear" w:color="auto" w:fill="auto"/>
          </w:tcPr>
          <w:p>
            <w:pPr>
              <w:pStyle w:val="Text1"/>
              <w:spacing w:before="40" w:after="40"/>
              <w:ind w:left="0"/>
              <w:jc w:val="center"/>
              <w:rPr>
                <w:i/>
                <w:noProof/>
                <w:sz w:val="16"/>
                <w:szCs w:val="16"/>
              </w:rPr>
            </w:pPr>
          </w:p>
        </w:tc>
        <w:tc>
          <w:tcPr>
            <w:tcW w:w="708" w:type="pct"/>
            <w:shd w:val="clear" w:color="auto" w:fill="auto"/>
            <w:vAlign w:val="center"/>
          </w:tcPr>
          <w:p>
            <w:pPr>
              <w:spacing w:before="20" w:after="20"/>
              <w:jc w:val="center"/>
              <w:rPr>
                <w:noProof/>
                <w:sz w:val="16"/>
                <w:szCs w:val="16"/>
              </w:rPr>
            </w:pPr>
            <w:r>
              <w:rPr>
                <w:noProof/>
                <w:sz w:val="16"/>
              </w:rPr>
              <w:t>2019</w:t>
            </w:r>
          </w:p>
        </w:tc>
        <w:tc>
          <w:tcPr>
            <w:tcW w:w="730" w:type="pct"/>
            <w:shd w:val="clear" w:color="auto" w:fill="auto"/>
            <w:vAlign w:val="center"/>
          </w:tcPr>
          <w:p>
            <w:pPr>
              <w:spacing w:before="20" w:after="20"/>
              <w:jc w:val="center"/>
              <w:rPr>
                <w:noProof/>
                <w:sz w:val="16"/>
                <w:szCs w:val="16"/>
              </w:rPr>
            </w:pPr>
            <w:r>
              <w:rPr>
                <w:noProof/>
                <w:sz w:val="16"/>
              </w:rPr>
              <w:t>2020</w:t>
            </w:r>
          </w:p>
        </w:tc>
      </w:tr>
      <w:tr>
        <w:trPr>
          <w:trHeight w:val="289"/>
          <w:jc w:val="center"/>
        </w:trPr>
        <w:tc>
          <w:tcPr>
            <w:tcW w:w="5000" w:type="pct"/>
            <w:gridSpan w:val="4"/>
          </w:tcPr>
          <w:p>
            <w:pPr>
              <w:jc w:val="center"/>
              <w:rPr>
                <w:noProof/>
                <w:sz w:val="16"/>
                <w:szCs w:val="16"/>
              </w:rPr>
            </w:pPr>
            <w:r>
              <w:rPr>
                <w:b/>
                <w:noProof/>
                <w:sz w:val="16"/>
                <w:szCs w:val="16"/>
              </w:rPr>
              <w:sym w:font="Wingdings" w:char="F09F"/>
            </w:r>
            <w:r>
              <w:rPr>
                <w:noProof/>
                <w:sz w:val="16"/>
                <w:szCs w:val="16"/>
              </w:rPr>
              <w:t xml:space="preserve"> </w:t>
            </w:r>
            <w:r>
              <w:rPr>
                <w:b/>
                <w:noProof/>
                <w:sz w:val="16"/>
                <w:szCs w:val="16"/>
              </w:rPr>
              <w:t>Henkilöstötaulukkoon sisältyvät virat/toimet (virkamiehet ja väliaikaiset toimihenkilöt)</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(päätoimipaikka ja komission edustustot EU:ssa)</w:t>
            </w:r>
          </w:p>
        </w:tc>
        <w:tc>
          <w:tcPr>
            <w:tcW w:w="708" w:type="pct"/>
            <w:shd w:val="clear" w:color="auto" w:fill="auto"/>
            <w:vAlign w:val="center"/>
          </w:tcPr>
          <w:p>
            <w:pPr>
              <w:spacing w:beforeLines="20" w:before="48" w:afterLines="20" w:after="48"/>
              <w:jc w:val="center"/>
              <w:rPr>
                <w:noProof/>
                <w:sz w:val="16"/>
                <w:szCs w:val="16"/>
              </w:rPr>
            </w:pPr>
            <w:r>
              <w:rPr>
                <w:noProof/>
                <w:sz w:val="16"/>
              </w:rPr>
              <w:t>4.1</w:t>
            </w:r>
          </w:p>
        </w:tc>
        <w:tc>
          <w:tcPr>
            <w:tcW w:w="730" w:type="pct"/>
            <w:shd w:val="clear" w:color="auto" w:fill="auto"/>
            <w:vAlign w:val="center"/>
          </w:tcPr>
          <w:p>
            <w:pPr>
              <w:spacing w:beforeLines="20" w:before="48" w:afterLines="20" w:after="48"/>
              <w:jc w:val="center"/>
              <w:rPr>
                <w:noProof/>
                <w:sz w:val="16"/>
                <w:szCs w:val="16"/>
              </w:rPr>
            </w:pPr>
            <w:r>
              <w:rPr>
                <w:noProof/>
                <w:sz w:val="16"/>
              </w:rPr>
              <w:t>4.1</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tcPr>
          <w:p>
            <w:pPr>
              <w:pStyle w:val="Text1"/>
              <w:spacing w:before="60" w:after="60"/>
              <w:ind w:left="0"/>
              <w:jc w:val="left"/>
              <w:rPr>
                <w:b/>
                <w:noProof/>
                <w:sz w:val="16"/>
                <w:szCs w:val="16"/>
              </w:rPr>
            </w:pPr>
            <w:r>
              <w:rPr>
                <w:b/>
                <w:noProof/>
                <w:sz w:val="16"/>
                <w:szCs w:val="16"/>
              </w:rPr>
              <w:sym w:font="Wingdings" w:char="F09F"/>
            </w:r>
            <w:r>
              <w:rPr>
                <w:b/>
                <w:noProof/>
                <w:sz w:val="16"/>
                <w:szCs w:val="16"/>
              </w:rPr>
              <w:t xml:space="preserve"> Ulkopuolinen henkilöstö (kokoaikaiseksi muutettuna)</w:t>
            </w:r>
            <w:r>
              <w:rPr>
                <w:rStyle w:val="FootnoteReference"/>
                <w:b/>
                <w:noProof/>
                <w:sz w:val="16"/>
                <w:szCs w:val="16"/>
              </w:rPr>
              <w:footnoteReference w:id="36"/>
            </w: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noProof/>
                <w:sz w:val="16"/>
              </w:rPr>
            </w:pPr>
            <w:r>
              <w:rPr>
                <w:noProof/>
                <w:sz w:val="16"/>
              </w:rPr>
              <w:t>- EU:n ulkopuolisissa edustustoissa</w:t>
            </w: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(sopimussuhteiset toimihenkilöt, kansalliset asiantuntijat ja vuokrahenkilöstö – epäsuora tutkimustoiminta)</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7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70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c>
          <w:tcPr>
            <w:tcW w:w="730"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r>
    </w:tbl>
    <w:p>
      <w:pPr>
        <w:pStyle w:val="Text1"/>
        <w:spacing w:before="60" w:after="60"/>
        <w:ind w:left="851"/>
        <w:rPr>
          <w:noProof/>
          <w:sz w:val="16"/>
          <w:szCs w:val="16"/>
        </w:rPr>
      </w:pPr>
      <w:r>
        <w:rPr>
          <w:b/>
          <w:noProof/>
          <w:sz w:val="16"/>
          <w:szCs w:val="16"/>
        </w:rPr>
        <w:t>XX</w:t>
      </w:r>
      <w:r>
        <w:rPr>
          <w:noProof/>
          <w:sz w:val="16"/>
          <w:szCs w:val="16"/>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spacing w:after="0"/>
              <w:rPr>
                <w:noProof/>
                <w:sz w:val="20"/>
              </w:rPr>
            </w:pPr>
            <w:r>
              <w:rPr>
                <w:noProof/>
                <w:sz w:val="20"/>
              </w:rPr>
              <w:t>- aloitteeseen liittyvien avustusten hallinnointi</w:t>
            </w:r>
          </w:p>
          <w:p>
            <w:pPr>
              <w:spacing w:after="0"/>
              <w:rPr>
                <w:noProof/>
                <w:sz w:val="20"/>
              </w:rPr>
            </w:pPr>
            <w:r>
              <w:rPr>
                <w:noProof/>
                <w:sz w:val="20"/>
              </w:rPr>
              <w:t>- tietojen validointi</w:t>
            </w:r>
          </w:p>
          <w:p>
            <w:pPr>
              <w:spacing w:after="0"/>
              <w:rPr>
                <w:noProof/>
                <w:sz w:val="20"/>
              </w:rPr>
            </w:pPr>
            <w:r>
              <w:rPr>
                <w:noProof/>
                <w:sz w:val="20"/>
              </w:rPr>
              <w:t>- menetelmiin liittyvät tukitoiminnot ja tehtävät</w:t>
            </w:r>
          </w:p>
          <w:p>
            <w:pPr>
              <w:spacing w:after="0"/>
              <w:rPr>
                <w:noProof/>
                <w:sz w:val="20"/>
              </w:rPr>
            </w:pPr>
            <w:r>
              <w:rPr>
                <w:noProof/>
                <w:sz w:val="20"/>
              </w:rPr>
              <w:t>- raporttien analysointi</w:t>
            </w:r>
          </w:p>
          <w:p>
            <w:pPr>
              <w:spacing w:after="0"/>
              <w:rPr>
                <w:noProof/>
                <w:sz w:val="20"/>
              </w:rPr>
            </w:pPr>
            <w:r>
              <w:rPr>
                <w:noProof/>
                <w:sz w:val="20"/>
              </w:rPr>
              <w:t>- tietojen levittäminen</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pPr>
    </w:p>
    <w:p>
      <w:pPr>
        <w:rPr>
          <w:noProof/>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76" w:name="_Toc456620255"/>
      <w:r>
        <w:t>3.2.4.</w:t>
      </w:r>
      <w:r>
        <w:tab/>
      </w:r>
      <w:r>
        <w:rPr>
          <w:noProof/>
        </w:rPr>
        <w:t>Yhteensopivuus nykyisen monivuotisen rahoituskehyksen kanssa</w:t>
      </w:r>
      <w:bookmarkEnd w:id="76"/>
      <w:r>
        <w:rPr>
          <w:noProof/>
        </w:rPr>
        <w:t xml:space="preserve"> </w:t>
      </w:r>
    </w:p>
    <w:p>
      <w:pPr>
        <w:pStyle w:val="ListDash1"/>
        <w:ind w:left="1134"/>
        <w:rPr>
          <w:noProof/>
        </w:rPr>
      </w:pPr>
      <w:r>
        <w:rPr>
          <w:noProof/>
        </w:rPr>
        <w:t>X</w:t>
      </w:r>
      <w:r>
        <w:rPr>
          <w:noProof/>
        </w:rPr>
        <w:tab/>
        <w:t>Ehdotus/aloite on nykyisen monivuotisen rahoituskehyksen mukainen.</w:t>
      </w:r>
    </w:p>
    <w:p>
      <w:pPr>
        <w:pStyle w:val="ListDash1"/>
        <w:ind w:left="1134"/>
        <w:rPr>
          <w:noProof/>
        </w:rPr>
      </w:pPr>
      <w:r>
        <w:rPr>
          <w:noProof/>
        </w:rPr>
        <w:sym w:font="Wingdings" w:char="F0A8"/>
      </w:r>
      <w:r>
        <w:rPr>
          <w:noProof/>
        </w:rPr>
        <w:t xml:space="preserve"> 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i/>
          <w:noProof/>
        </w:rPr>
      </w:pPr>
      <w:r>
        <w:rPr>
          <w:noProof/>
        </w:rPr>
        <w:t>Ei ole</w:t>
      </w:r>
    </w:p>
    <w:p>
      <w:pPr>
        <w:pStyle w:val="ListDash1"/>
        <w:ind w:left="1134"/>
        <w:rPr>
          <w:noProof/>
        </w:rPr>
      </w:pPr>
      <w:r>
        <w:rPr>
          <w:noProof/>
        </w:rPr>
        <w:sym w:font="Wingdings" w:char="F0A8"/>
      </w:r>
      <w:r>
        <w:rPr>
          <w:noProof/>
        </w:rPr>
        <w:t xml:space="preserve"> 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i/>
          <w:noProof/>
        </w:rPr>
      </w:pPr>
      <w:r>
        <w:rPr>
          <w:noProof/>
        </w:rPr>
        <w:t>Ei ole</w:t>
      </w:r>
    </w:p>
    <w:p>
      <w:pPr>
        <w:pStyle w:val="ManualHeading3"/>
        <w:rPr>
          <w:bCs/>
          <w:noProof/>
          <w:szCs w:val="24"/>
        </w:rPr>
      </w:pPr>
      <w:bookmarkStart w:id="77" w:name="_Toc456620256"/>
      <w:r>
        <w:t>3.2.5.</w:t>
      </w:r>
      <w:r>
        <w:tab/>
      </w:r>
      <w:r>
        <w:rPr>
          <w:noProof/>
        </w:rPr>
        <w:t>Ulkopuolisten tahojen rahoitusosuudet</w:t>
      </w:r>
      <w:bookmarkEnd w:id="77"/>
      <w:r>
        <w:rPr>
          <w:noProof/>
        </w:rPr>
        <w:t xml:space="preserve"> </w:t>
      </w:r>
    </w:p>
    <w:p>
      <w:pPr>
        <w:pStyle w:val="ListDash1"/>
        <w:ind w:left="1134"/>
        <w:rPr>
          <w:noProof/>
        </w:rPr>
      </w:pPr>
      <w:r>
        <w:rPr>
          <w:noProof/>
        </w:rPr>
        <w:t xml:space="preserve">Ehdotuksen/aloitteen rahoittamiseen ei osallistu ulkopuolisia tahoja. </w:t>
      </w:r>
    </w:p>
    <w:p>
      <w:pPr>
        <w:pStyle w:val="ListDash1"/>
        <w:ind w:left="1134"/>
        <w:rPr>
          <w:noProof/>
        </w:rPr>
      </w:pPr>
      <w:r>
        <w:rPr>
          <w:noProof/>
        </w:rPr>
        <w:t>Ehdotuksen/aloitteen 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after="0"/>
              <w:rPr>
                <w:noProof/>
                <w:sz w:val="20"/>
              </w:rPr>
            </w:pPr>
          </w:p>
        </w:tc>
        <w:tc>
          <w:tcPr>
            <w:tcW w:w="964" w:type="dxa"/>
            <w:vAlign w:val="center"/>
          </w:tcPr>
          <w:p>
            <w:pPr>
              <w:spacing w:after="0"/>
              <w:jc w:val="center"/>
              <w:rPr>
                <w:noProof/>
                <w:sz w:val="20"/>
              </w:rPr>
            </w:pPr>
            <w:r>
              <w:rPr>
                <w:noProof/>
                <w:sz w:val="20"/>
              </w:rPr>
              <w:t>Vuosi</w:t>
            </w:r>
            <w:r>
              <w:rPr>
                <w:noProof/>
                <w:sz w:val="22"/>
              </w:rPr>
              <w:br/>
            </w:r>
            <w:r>
              <w:rPr>
                <w:b/>
                <w:noProof/>
                <w:sz w:val="20"/>
              </w:rPr>
              <w:t>N</w:t>
            </w:r>
          </w:p>
        </w:tc>
        <w:tc>
          <w:tcPr>
            <w:tcW w:w="964" w:type="dxa"/>
            <w:vAlign w:val="center"/>
          </w:tcPr>
          <w:p>
            <w:pPr>
              <w:spacing w:after="0"/>
              <w:jc w:val="center"/>
              <w:rPr>
                <w:noProof/>
                <w:sz w:val="20"/>
              </w:rPr>
            </w:pPr>
            <w:r>
              <w:rPr>
                <w:noProof/>
                <w:sz w:val="20"/>
              </w:rPr>
              <w:t>Vuosi</w:t>
            </w:r>
            <w:r>
              <w:rPr>
                <w:noProof/>
                <w:sz w:val="22"/>
              </w:rPr>
              <w:br/>
            </w:r>
            <w:r>
              <w:rPr>
                <w:b/>
                <w:noProof/>
                <w:sz w:val="20"/>
              </w:rPr>
              <w:t>N+1</w:t>
            </w:r>
          </w:p>
        </w:tc>
        <w:tc>
          <w:tcPr>
            <w:tcW w:w="964" w:type="dxa"/>
            <w:vAlign w:val="center"/>
          </w:tcPr>
          <w:p>
            <w:pPr>
              <w:spacing w:after="0"/>
              <w:jc w:val="center"/>
              <w:rPr>
                <w:noProof/>
                <w:sz w:val="20"/>
              </w:rPr>
            </w:pPr>
            <w:r>
              <w:rPr>
                <w:noProof/>
                <w:sz w:val="20"/>
              </w:rPr>
              <w:t>Vuosi</w:t>
            </w:r>
            <w:r>
              <w:rPr>
                <w:noProof/>
                <w:sz w:val="22"/>
              </w:rPr>
              <w:br/>
            </w:r>
            <w:r>
              <w:rPr>
                <w:b/>
                <w:noProof/>
                <w:sz w:val="20"/>
              </w:rPr>
              <w:t>N+2</w:t>
            </w:r>
          </w:p>
        </w:tc>
        <w:tc>
          <w:tcPr>
            <w:tcW w:w="964" w:type="dxa"/>
            <w:vAlign w:val="center"/>
          </w:tcPr>
          <w:p>
            <w:pPr>
              <w:spacing w:after="0"/>
              <w:jc w:val="center"/>
              <w:rPr>
                <w:noProof/>
                <w:sz w:val="20"/>
              </w:rPr>
            </w:pPr>
            <w:r>
              <w:rPr>
                <w:noProof/>
                <w:sz w:val="20"/>
              </w:rPr>
              <w:t>Vuosi</w:t>
            </w:r>
            <w:r>
              <w:rPr>
                <w:noProof/>
                <w:sz w:val="22"/>
              </w:rPr>
              <w:br/>
            </w:r>
            <w:r>
              <w:rPr>
                <w:b/>
                <w:noProof/>
                <w:sz w:val="20"/>
              </w:rPr>
              <w:t>N+3</w:t>
            </w:r>
          </w:p>
        </w:tc>
        <w:tc>
          <w:tcPr>
            <w:tcW w:w="2892" w:type="dxa"/>
            <w:gridSpan w:val="3"/>
            <w:vAlign w:val="center"/>
          </w:tcPr>
          <w:p>
            <w:pPr>
              <w:spacing w:after="0"/>
              <w:jc w:val="center"/>
              <w:rPr>
                <w:b/>
                <w:noProof/>
                <w:sz w:val="20"/>
              </w:rPr>
            </w:pPr>
            <w:r>
              <w:rPr>
                <w:noProof/>
                <w:sz w:val="20"/>
              </w:rPr>
              <w:t>(ilmoitetaan kaikki vuodet, joille ehdotuksen/aloitteen vaikutukset ulottuvat, ks. kohta 1.6)</w:t>
            </w:r>
          </w:p>
        </w:tc>
        <w:tc>
          <w:tcPr>
            <w:tcW w:w="1158" w:type="dxa"/>
            <w:vAlign w:val="center"/>
          </w:tcPr>
          <w:p>
            <w:pPr>
              <w:spacing w:after="0"/>
              <w:jc w:val="center"/>
              <w:rPr>
                <w:noProof/>
                <w:sz w:val="20"/>
              </w:rPr>
            </w:pPr>
            <w:r>
              <w:rPr>
                <w:noProof/>
                <w:sz w:val="20"/>
              </w:rPr>
              <w:t>Yhteensä</w:t>
            </w:r>
          </w:p>
        </w:tc>
      </w:tr>
      <w:tr>
        <w:trPr>
          <w:cantSplit/>
        </w:trPr>
        <w:tc>
          <w:tcPr>
            <w:tcW w:w="2340" w:type="dxa"/>
          </w:tcPr>
          <w:p>
            <w:pPr>
              <w:spacing w:after="0"/>
              <w:rPr>
                <w:noProof/>
                <w:sz w:val="22"/>
              </w:rPr>
            </w:pPr>
            <w:r>
              <w:rPr>
                <w:noProof/>
                <w:sz w:val="20"/>
              </w:rPr>
              <w:t>Rahoitukseen osallistuva taho</w:t>
            </w:r>
            <w:r>
              <w:rPr>
                <w:i/>
                <w:noProof/>
                <w:sz w:val="20"/>
              </w:rPr>
              <w:t xml:space="preserve">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r>
        <w:trPr>
          <w:cantSplit/>
        </w:trPr>
        <w:tc>
          <w:tcPr>
            <w:tcW w:w="2340" w:type="dxa"/>
          </w:tcPr>
          <w:p>
            <w:pPr>
              <w:spacing w:after="0"/>
              <w:jc w:val="left"/>
              <w:rPr>
                <w:noProof/>
                <w:sz w:val="20"/>
              </w:rPr>
            </w:pPr>
            <w:r>
              <w:rPr>
                <w:noProof/>
                <w:sz w:val="20"/>
              </w:rPr>
              <w:t xml:space="preserve">Yhteisrahoituksella katettavat määrärahat YHTEENSÄ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bl>
    <w:p>
      <w:pPr>
        <w:rPr>
          <w:noProof/>
        </w:rPr>
      </w:pPr>
      <w:r>
        <w:rPr>
          <w:noProof/>
        </w:rPr>
        <w:br/>
      </w:r>
    </w:p>
    <w:p>
      <w:pPr>
        <w:pStyle w:val="ManualHeading2"/>
        <w:rPr>
          <w:bCs/>
          <w:noProof/>
          <w:szCs w:val="24"/>
        </w:rPr>
      </w:pPr>
      <w:r>
        <w:rPr>
          <w:noProof/>
        </w:rPr>
        <w:br w:type="page"/>
      </w:r>
      <w:bookmarkStart w:id="78" w:name="_Toc456620257"/>
      <w:r>
        <w:t>3.3.</w:t>
      </w:r>
      <w:r>
        <w:tab/>
      </w:r>
      <w:r>
        <w:rPr>
          <w:noProof/>
        </w:rPr>
        <w:t>Arvioidut vaikutukset tuloihin</w:t>
      </w:r>
      <w:bookmarkEnd w:id="78"/>
      <w:r>
        <w:rPr>
          <w:noProof/>
        </w:rPr>
        <w:t xml:space="preserve"> </w:t>
      </w:r>
    </w:p>
    <w:p>
      <w:pPr>
        <w:pStyle w:val="ListDash1"/>
        <w:ind w:left="1134"/>
        <w:rPr>
          <w:noProof/>
        </w:rPr>
      </w:pPr>
      <w:r>
        <w:rPr>
          <w:noProof/>
        </w:rPr>
        <w:t>X Ehdotuksella/aloitteella ei ole vaikutuksia tuloihin.</w:t>
      </w:r>
    </w:p>
    <w:p>
      <w:pPr>
        <w:pStyle w:val="ListDash1"/>
        <w:ind w:left="1134"/>
        <w:rPr>
          <w:noProof/>
        </w:rPr>
      </w:pPr>
      <w:r>
        <w:rPr>
          <w:noProof/>
        </w:rPr>
        <w:sym w:font="Wingdings" w:char="F0A8"/>
      </w:r>
      <w:r>
        <w:rPr>
          <w:noProof/>
        </w:rPr>
        <w:t xml:space="preserve"> Ehdotuksella/aloitteella on vaikutuksia tuloihin seuraavasti:</w:t>
      </w:r>
    </w:p>
    <w:p>
      <w:pPr>
        <w:pStyle w:val="ListNumberLevel3"/>
        <w:rPr>
          <w:noProof/>
        </w:rPr>
      </w:pPr>
      <w:r>
        <w:rPr>
          <w:noProof/>
        </w:rPr>
        <w:sym w:font="Wingdings" w:char="F0A8"/>
      </w:r>
      <w:r>
        <w:rPr>
          <w:noProof/>
        </w:rPr>
        <w:t xml:space="preserve"> vaikutukset omiin varoihin </w:t>
      </w:r>
    </w:p>
    <w:p>
      <w:pPr>
        <w:pStyle w:val="ListNumberLevel3"/>
        <w:rPr>
          <w:noProof/>
        </w:rPr>
      </w:pPr>
      <w:r>
        <w:rPr>
          <w:noProof/>
        </w:rPr>
        <w:sym w:font="Wingdings" w:char="F0A8"/>
      </w:r>
      <w:r>
        <w:rPr>
          <w:noProof/>
        </w:rPr>
        <w:t xml:space="preserve"> vaikutukset sekalaisiin tuloihin </w:t>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Vuosi</w:t>
            </w:r>
            <w:r>
              <w:rPr>
                <w:noProof/>
                <w:sz w:val="22"/>
              </w:rPr>
              <w:br/>
            </w:r>
            <w:r>
              <w:rPr>
                <w:b/>
                <w:noProof/>
                <w:sz w:val="18"/>
              </w:rPr>
              <w:t>N</w:t>
            </w:r>
          </w:p>
        </w:tc>
        <w:tc>
          <w:tcPr>
            <w:tcW w:w="900" w:type="dxa"/>
            <w:vAlign w:val="center"/>
          </w:tcPr>
          <w:p>
            <w:pPr>
              <w:jc w:val="center"/>
              <w:rPr>
                <w:noProof/>
                <w:sz w:val="18"/>
              </w:rPr>
            </w:pPr>
            <w:r>
              <w:rPr>
                <w:noProof/>
                <w:sz w:val="18"/>
              </w:rPr>
              <w:t>Vuosi</w:t>
            </w:r>
            <w:r>
              <w:rPr>
                <w:noProof/>
                <w:sz w:val="22"/>
              </w:rPr>
              <w:br/>
            </w:r>
            <w:r>
              <w:rPr>
                <w:b/>
                <w:noProof/>
                <w:sz w:val="18"/>
              </w:rPr>
              <w:t>N+1</w:t>
            </w:r>
          </w:p>
        </w:tc>
        <w:tc>
          <w:tcPr>
            <w:tcW w:w="900" w:type="dxa"/>
            <w:vAlign w:val="center"/>
          </w:tcPr>
          <w:p>
            <w:pPr>
              <w:jc w:val="center"/>
              <w:rPr>
                <w:noProof/>
                <w:sz w:val="18"/>
              </w:rPr>
            </w:pPr>
            <w:r>
              <w:rPr>
                <w:noProof/>
                <w:sz w:val="18"/>
              </w:rPr>
              <w:t>Vuosi</w:t>
            </w:r>
            <w:r>
              <w:rPr>
                <w:noProof/>
                <w:sz w:val="22"/>
              </w:rPr>
              <w:br/>
            </w:r>
            <w:r>
              <w:rPr>
                <w:b/>
                <w:noProof/>
                <w:sz w:val="18"/>
              </w:rPr>
              <w:t>N+2</w:t>
            </w:r>
          </w:p>
        </w:tc>
        <w:tc>
          <w:tcPr>
            <w:tcW w:w="1080" w:type="dxa"/>
            <w:vAlign w:val="center"/>
          </w:tcPr>
          <w:p>
            <w:pPr>
              <w:jc w:val="center"/>
              <w:rPr>
                <w:noProof/>
                <w:sz w:val="18"/>
              </w:rPr>
            </w:pPr>
            <w:r>
              <w:rPr>
                <w:noProof/>
                <w:sz w:val="18"/>
              </w:rPr>
              <w:t>Vuosi</w:t>
            </w:r>
            <w:r>
              <w:rPr>
                <w:noProof/>
                <w:sz w:val="22"/>
              </w:rPr>
              <w:br/>
            </w:r>
            <w:r>
              <w:rPr>
                <w:b/>
                <w:noProof/>
                <w:sz w:val="18"/>
              </w:rPr>
              <w:t>N+3</w:t>
            </w:r>
          </w:p>
        </w:tc>
        <w:tc>
          <w:tcPr>
            <w:tcW w:w="3240" w:type="dxa"/>
            <w:gridSpan w:val="3"/>
            <w:vAlign w:val="center"/>
          </w:tcPr>
          <w:p>
            <w:pPr>
              <w:jc w:val="center"/>
              <w:rPr>
                <w:b/>
                <w:noProof/>
                <w:sz w:val="18"/>
              </w:rPr>
            </w:pPr>
            <w:r>
              <w:rPr>
                <w:noProof/>
                <w:sz w:val="18"/>
              </w:rPr>
              <w:t>(ilmoitetaan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i/>
          <w:noProof/>
        </w:rPr>
      </w:pPr>
      <w:r>
        <w:rPr>
          <w:noProof/>
        </w:rPr>
        <w:t>Ei sovelleta</w:t>
      </w: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i/>
          <w:noProof/>
        </w:rPr>
      </w:pPr>
      <w:r>
        <w:rPr>
          <w:noProof/>
        </w:rPr>
        <w:t>Ei sovelleta</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Euroopan parlamentin ja neuvoston asetus (EY) N:o 1166/2008, annettu 19 päivänä marraskuuta 2008, maatilojen rakennetutkimuksista ja maatalouden tuotantomenetelmiä koskevasta tutkimuksesta sekä neuvoston asetuksen (ETY) N:o 571/88 kumoamisesta (EUVL L 321, 1.12.2008, s. 14).</w:t>
      </w:r>
    </w:p>
  </w:footnote>
  <w:footnote w:id="3">
    <w:p>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w:t>
      </w:r>
    </w:p>
    <w:p>
      <w:pPr>
        <w:pStyle w:val="FootnoteText"/>
      </w:pPr>
    </w:p>
  </w:footnote>
  <w:footnote w:id="4">
    <w:p>
      <w:pPr>
        <w:pStyle w:val="FootnoteText"/>
        <w:rPr>
          <w:lang w:val="pl-PL"/>
        </w:rPr>
      </w:pPr>
      <w:r>
        <w:rPr>
          <w:rStyle w:val="FootnoteReference"/>
        </w:rPr>
        <w:footnoteRef/>
      </w:r>
      <w:r>
        <w:rPr>
          <w:lang w:val="pl-PL"/>
        </w:rPr>
        <w:tab/>
        <w:t xml:space="preserve">Ks. </w:t>
      </w:r>
      <w:hyperlink r:id="rId1">
        <w:r>
          <w:rPr>
            <w:rStyle w:val="Hyperlink"/>
            <w:lang w:val="pl-PL"/>
          </w:rPr>
          <w:t>http://ec.europa.eu/eurostat/web/quality/evaluation</w:t>
        </w:r>
      </w:hyperlink>
      <w:r>
        <w:rPr>
          <w:lang w:val="pl-PL"/>
        </w:rPr>
        <w:t xml:space="preserve"> </w:t>
      </w:r>
    </w:p>
  </w:footnote>
  <w:footnote w:id="5">
    <w:p>
      <w:pPr>
        <w:pStyle w:val="FootnoteText"/>
        <w:jc w:val="left"/>
      </w:pPr>
      <w:r>
        <w:rPr>
          <w:rStyle w:val="FootnoteReference"/>
        </w:rPr>
        <w:footnoteRef/>
      </w:r>
      <w:r>
        <w:tab/>
        <w:t xml:space="preserve">Eurostatin julkisten kuulemisten verkkosivut: http://ec.europa.eu/eurostat/about/opportunities/consultations/eass </w:t>
      </w:r>
    </w:p>
    <w:p>
      <w:pPr>
        <w:pStyle w:val="FootnoteText"/>
      </w:pPr>
      <w:r>
        <w:tab/>
        <w:t>Raportti julkisesta kuulemisesta:</w:t>
      </w:r>
    </w:p>
    <w:p>
      <w:pPr>
        <w:pStyle w:val="FootnoteText"/>
      </w:pPr>
      <w:r>
        <w:tab/>
        <w:t>http://ec.europa.eu/eurostat/documents/10186/6937766/Agricultural-Statistics-Strategy-2020-Report.docx</w:t>
      </w:r>
    </w:p>
  </w:footnote>
  <w:footnote w:id="6">
    <w:p>
      <w:pPr>
        <w:pStyle w:val="FootnoteText"/>
        <w:ind w:left="709" w:hanging="709"/>
      </w:pPr>
      <w:r>
        <w:rPr>
          <w:rStyle w:val="FootnoteReference"/>
        </w:rPr>
        <w:footnoteRef/>
      </w:r>
      <w:r>
        <w:tab/>
        <w:t xml:space="preserve">Euroopan parlamentin ja neuvoston direktiivi 95/46/EY, annettu 24 päivänä lokakuuta 2001, yksilöiden suojelusta henkilötietojen käsittelyssä ja näiden tietojen vapaasta liikkuvuudesta (EYVL L 8, 23.11.1995, s. 1) ja Euroopan parlamentin ja neuvoston asetus (EY) N:o 45/2001, annettu 18 päivänä joulukuuta 2000, yksilöiden suojelusta yhteisöjen toimielinten ja elinten suorittamassa henkilötietojen käsittelyssä ja näiden tietojen vapaasta liikkuvuudesta (EYVL L 8, 12.1.2001, s. 1). </w:t>
      </w:r>
    </w:p>
  </w:footnote>
  <w:footnote w:id="7">
    <w:p>
      <w:pPr>
        <w:pStyle w:val="FootnoteText"/>
      </w:pPr>
      <w:r>
        <w:rPr>
          <w:rStyle w:val="FootnoteReference"/>
        </w:rPr>
        <w:footnoteRef/>
      </w:r>
      <w:r>
        <w:tab/>
        <w:t>Euroopan parlamentin ja neuvoston asetus (EY) N:o 1166/2008, annettu 19 päivänä marraskuuta 2008, maatilojen rakennetutkimuksista ja maatalouden tuotantomenetelmiä koskevasta tutkimuksesta sekä neuvoston asetuksen (ETY) N:o 571/88 kumoamisesta (EUVL L 321, 1.12.2008, s. 14).</w:t>
      </w:r>
    </w:p>
  </w:footnote>
  <w:footnote w:id="8">
    <w:p>
      <w:pPr>
        <w:pStyle w:val="FootnoteText"/>
      </w:pPr>
      <w:r>
        <w:rPr>
          <w:rStyle w:val="FootnoteReference"/>
        </w:rPr>
        <w:footnoteRef/>
      </w:r>
      <w:r>
        <w:tab/>
        <w:t>Euroopan parlamentin ja neuvoston asetus (EU) N:o 1337/2011, annettu 13 päivänä joulukuuta 2011, monivuotisia viljelykasveja koskevista Euroopan tilastoista sekä neuvoston asetuksen (ETY) N:o 357/79 ja Euroopan parlamentin ja neuvoston direktiivin 2001/109/EY kumoamisesta (EUVL L 347, 30.12.2011, s. 7).</w:t>
      </w:r>
    </w:p>
  </w:footnote>
  <w:footnote w:id="9">
    <w:p>
      <w:pPr>
        <w:pStyle w:val="FootnoteText"/>
      </w:pPr>
      <w:r>
        <w:rPr>
          <w:rStyle w:val="FootnoteReference"/>
        </w:rPr>
        <w:footnoteRef/>
      </w:r>
      <w:r>
        <w:tab/>
        <w:t>Euroopan parlamentin ja neuvoston direktiivi 2007/2/EY, annettu 14 päivänä maaliskuuta 2007, Euroopan yhteisön paikkatietoinfrastruktuurin (INSPIRE) perustamisesta (EUVL L 108, 25.4.2007, s. 1).</w:t>
      </w:r>
    </w:p>
  </w:footnote>
  <w:footnote w:id="10">
    <w:p>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w:t>
      </w:r>
    </w:p>
  </w:footnote>
  <w:footnote w:id="11">
    <w:p>
      <w:pPr>
        <w:pStyle w:val="FootnoteText"/>
      </w:pPr>
      <w:r>
        <w:rPr>
          <w:rStyle w:val="FootnoteReference"/>
        </w:rPr>
        <w:footnoteRef/>
      </w:r>
      <w:r>
        <w:tab/>
        <w:t>Euroopan parlamentin ja neuvoston asetus (EY) N:o 1893/2006, annettu 20 päivänä joulukuuta 2006, tilastollisen toimialaluokituksen NACE Rev. 2 vahvistamisesta sekä neuvoston asetuksen (ETY) N:o 3037/90 ja tiettyjen eri tilastoaloja koskevien yhteisön asetusten muuttamisesta (EUVL L 393, 30.12.2006, s. 1).</w:t>
      </w:r>
    </w:p>
  </w:footnote>
  <w:footnote w:id="12">
    <w:p>
      <w:pPr>
        <w:pStyle w:val="FootnoteText"/>
      </w:pPr>
      <w:r>
        <w:rPr>
          <w:rStyle w:val="FootnoteReference"/>
        </w:rPr>
        <w:footnoteRef/>
      </w:r>
      <w:r>
        <w:tab/>
        <w:t>Euroopan parlamentin ja neuvoston asetus (EY) N:o 1059/2003, annettu 26 päivänä toukokuuta 2011, yhteisestä tilastollisten alueyksiköiden nimikkeistöstä (NUTS) (EUVL L 13, 18.1.2011, s. 3).</w:t>
      </w:r>
    </w:p>
  </w:footnote>
  <w:footnote w:id="13">
    <w:p>
      <w:pPr>
        <w:pStyle w:val="FootnoteText"/>
      </w:pPr>
      <w:r>
        <w:rPr>
          <w:rStyle w:val="FootnoteReference"/>
        </w:rPr>
        <w:footnoteRef/>
      </w:r>
      <w:r>
        <w:tab/>
        <w:t>Euroopan parlamentin ja neuvoston asetus (EU) N:o 1306/2013, annettu 17 päivänä joulukuuta 2013, yhteisen maatalouspolitiikan rahoituksesta, hallinnoinnista ja seurannasta ja neuvoston asetusten (ETY) N:o 352/78, (EY) N:o 165/94, (EY) N:o 2799/98, (EY) N:o 814/2000, (EY) N:o 1290/2005 ja (EY) N:o 485/2008 kumoamisesta (EUVL L 347, 20.12.2013, s. 549).</w:t>
      </w:r>
    </w:p>
  </w:footnote>
  <w:footnote w:id="14">
    <w:p>
      <w:pPr>
        <w:pStyle w:val="FootnoteText"/>
      </w:pPr>
      <w:r>
        <w:rPr>
          <w:rStyle w:val="FootnoteReference"/>
        </w:rPr>
        <w:footnoteRef/>
      </w:r>
      <w:r>
        <w:tab/>
        <w:t>EUVL C 373, 20.12.2013, s. 1.</w:t>
      </w:r>
    </w:p>
  </w:footnote>
  <w:footnote w:id="15">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6">
    <w:p>
      <w:pPr>
        <w:pStyle w:val="FootnoteText"/>
      </w:pPr>
      <w:r>
        <w:rPr>
          <w:rStyle w:val="FootnoteReference"/>
        </w:rPr>
        <w:footnoteRef/>
      </w:r>
      <w:r>
        <w:tab/>
        <w:t>EUVL L 123, 12.5.2016, s. 1.</w:t>
      </w:r>
    </w:p>
  </w:footnote>
  <w:footnote w:id="17">
    <w:p>
      <w:pPr>
        <w:pStyle w:val="FootnoteText"/>
      </w:pPr>
      <w:r>
        <w:rPr>
          <w:rStyle w:val="FootnoteReference"/>
        </w:rPr>
        <w:footnoteRef/>
      </w:r>
      <w:r>
        <w:tab/>
        <w:t>Komission delegoitu asetus (EU) N:o 1198/2014, annettu 1 päivänä elokuuta 2014, verkoston luomisesta Euroopan unionin maatilojen tuloja ja taloutta koskevien kirjanpitotietojen keruuta varten annetun neuvoston asetuksen (EY) N:o 1217/2009 täydentämisestä (EUVL L 321, 7.11.2014, s. 2).</w:t>
      </w:r>
    </w:p>
  </w:footnote>
  <w:footnote w:id="18">
    <w:p>
      <w:pPr>
        <w:pStyle w:val="FootnoteText"/>
      </w:pPr>
      <w:r>
        <w:rPr>
          <w:rStyle w:val="FootnoteReference"/>
        </w:rPr>
        <w:footnoteRef/>
      </w:r>
      <w:r>
        <w:tab/>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 (EUVL L 347, 20.12.2013, s. 608).</w:t>
      </w:r>
    </w:p>
  </w:footnote>
  <w:footnote w:id="19">
    <w:p>
      <w:pPr>
        <w:pStyle w:val="FootnoteText"/>
      </w:pPr>
      <w:r>
        <w:rPr>
          <w:rStyle w:val="FootnoteReference"/>
        </w:rPr>
        <w:footnoteRef/>
      </w:r>
      <w:r>
        <w:tab/>
        <w:t>Euroopan parlamentin ja neuvoston asetus (EY) N:o 1760/2000, annettu 17 päivänä heinäkuuta 2000, nautaeläinten tunnistus- ja rekisteröintijärjestelmän käyttöönottamisesta sekä naudanlihan ja naudanlihatuotteiden pakollisesta merkitsemisestä ja neuvoston asetuksen (EY) N:o 820/97 kumoamisesta (EYVL L 204, 11.8.2000, s. 1).</w:t>
      </w:r>
    </w:p>
  </w:footnote>
  <w:footnote w:id="20">
    <w:p>
      <w:pPr>
        <w:pStyle w:val="FootnoteText"/>
      </w:pPr>
      <w:r>
        <w:rPr>
          <w:rStyle w:val="FootnoteReference"/>
        </w:rPr>
        <w:footnoteRef/>
      </w:r>
      <w:r>
        <w:tab/>
        <w:t xml:space="preserve">Neuvoston asetus (EY) N:o 21/2004, annettu 17 päivänä joulukuuta 2003, lammas- ja vuohieläinten tunnistus- ja rekisteröintijärjestelmän käyttöönottamisesta ja asetuksen (EY) N:o 1782/2003 ja direktiivien 92/102/ETY ja 64/432/ETY muuttamisesta (EUVL L 5, 9.1.2004, s. 8). </w:t>
      </w:r>
    </w:p>
  </w:footnote>
  <w:footnote w:id="21">
    <w:p>
      <w:pPr>
        <w:pStyle w:val="FootnoteText"/>
      </w:pPr>
      <w:r>
        <w:rPr>
          <w:rStyle w:val="FootnoteReference"/>
        </w:rPr>
        <w:footnoteRef/>
      </w:r>
      <w:r>
        <w:tab/>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footnote>
  <w:footnote w:id="22">
    <w:p>
      <w:pPr>
        <w:pStyle w:val="FootnoteText"/>
      </w:pPr>
      <w:r>
        <w:rPr>
          <w:rStyle w:val="FootnoteReference"/>
        </w:rPr>
        <w:footnoteRef/>
      </w:r>
      <w:r>
        <w:tab/>
        <w:t>Neuvoston asetus (EY) N:o 834/2007, annettu 28 päivänä kesäkuuta 2007, luonnonmukaisesta tuotannosta ja luonnonmukaisesti tuotettujen tuotteiden merkinnöistä sekä asetuksen (ETY) N:o 2092/91 kumoamisesta (EUVL L 189, 20.7.2007, s. 1).</w:t>
      </w:r>
    </w:p>
  </w:footnote>
  <w:footnote w:id="23">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24">
    <w:p>
      <w:pPr>
        <w:pStyle w:val="FootnoteText"/>
        <w:rPr>
          <w:sz w:val="24"/>
          <w:szCs w:val="24"/>
        </w:rPr>
      </w:pPr>
      <w:r>
        <w:rPr>
          <w:rStyle w:val="FootnoteReference"/>
        </w:rPr>
        <w:footnoteRef/>
      </w:r>
      <w:r>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25">
    <w:p>
      <w:pPr>
        <w:pStyle w:val="FootnoteText"/>
        <w:rPr>
          <w:szCs w:val="24"/>
        </w:rPr>
      </w:pPr>
      <w:r>
        <w:rPr>
          <w:rStyle w:val="FootnoteReference"/>
        </w:rPr>
        <w:footnoteRef/>
      </w:r>
      <w:r>
        <w:tab/>
        <w:t>ABM: toimintoperusteinen johtaminen; ABB: toimintoperusteinen budjetointi.</w:t>
      </w:r>
    </w:p>
  </w:footnote>
  <w:footnote w:id="26">
    <w:p>
      <w:pPr>
        <w:pStyle w:val="FootnoteText"/>
        <w:rPr>
          <w:szCs w:val="24"/>
        </w:rPr>
      </w:pPr>
      <w:r>
        <w:rPr>
          <w:rStyle w:val="FootnoteReference"/>
        </w:rPr>
        <w:footnoteRef/>
      </w:r>
      <w:r>
        <w:tab/>
        <w:t>Sellaisina kuin nämä on määritelty varainhoitoasetuksen 54 artiklan 2 kohdan a ja b alakohdassa.</w:t>
      </w:r>
    </w:p>
  </w:footnote>
  <w:footnote w:id="27">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2">
        <w:r>
          <w:rPr>
            <w:rStyle w:val="Hyperlink"/>
          </w:rPr>
          <w:t>https://myintracomm.ec.europa.eu/budgweb/en/man/budgmanag/Pages/budgmanag.aspx</w:t>
        </w:r>
      </w:hyperlink>
      <w:r>
        <w:t xml:space="preserve"> </w:t>
      </w:r>
    </w:p>
  </w:footnote>
  <w:footnote w:id="28">
    <w:p>
      <w:pPr>
        <w:pStyle w:val="FootnoteText"/>
        <w:rPr>
          <w:szCs w:val="24"/>
        </w:rPr>
      </w:pPr>
      <w:r>
        <w:rPr>
          <w:rStyle w:val="FootnoteReference"/>
        </w:rPr>
        <w:footnoteRef/>
      </w:r>
      <w:r>
        <w:tab/>
        <w:t>JM = jaksotetut määrärahat; EI-JM = jaksottamattomat määrärahat.</w:t>
      </w:r>
    </w:p>
  </w:footnote>
  <w:footnote w:id="29">
    <w:p>
      <w:pPr>
        <w:pStyle w:val="FootnoteText"/>
        <w:rPr>
          <w:szCs w:val="24"/>
        </w:rPr>
      </w:pPr>
      <w:r>
        <w:rPr>
          <w:rStyle w:val="FootnoteReference"/>
        </w:rPr>
        <w:footnoteRef/>
      </w:r>
      <w:r>
        <w:tab/>
        <w:t xml:space="preserve">EFTA: Euroopan vapaakauppaliitto. </w:t>
      </w:r>
    </w:p>
  </w:footnote>
  <w:footnote w:id="30">
    <w:p>
      <w:pPr>
        <w:pStyle w:val="FootnoteText"/>
        <w:rPr>
          <w:szCs w:val="24"/>
        </w:rPr>
      </w:pPr>
      <w:r>
        <w:rPr>
          <w:rStyle w:val="FootnoteReference"/>
        </w:rPr>
        <w:footnoteRef/>
      </w:r>
      <w:r>
        <w:tab/>
        <w:t>Ehdokasmaat ja soveltuvin osin Länsi-Balkanin mahdolliset ehdokasmaat.</w:t>
      </w:r>
    </w:p>
  </w:footnote>
  <w:footnote w:id="31">
    <w:p>
      <w:pPr>
        <w:pStyle w:val="FootnoteText"/>
        <w:rPr>
          <w:szCs w:val="24"/>
        </w:rPr>
      </w:pPr>
      <w:r>
        <w:rPr>
          <w:rStyle w:val="FootnoteReference"/>
        </w:rPr>
        <w:footnoteRef/>
      </w:r>
      <w:r>
        <w:tab/>
        <w:t>Vuosi n on ehdotuksen/aloitteen toteutuksen aloitusvuosi.</w:t>
      </w:r>
    </w:p>
  </w:footnote>
  <w:footnote w:id="32">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33">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34">
    <w:p>
      <w:pPr>
        <w:pStyle w:val="FootnoteText"/>
        <w:rPr>
          <w:szCs w:val="24"/>
        </w:rPr>
      </w:pPr>
      <w:r>
        <w:rPr>
          <w:rStyle w:val="FootnoteReference"/>
        </w:rPr>
        <w:footnoteRef/>
      </w:r>
      <w:r>
        <w:tab/>
        <w:t xml:space="preserve">Kuten kuvattu kohdassa 1.4.2. ”Erityistavoitteet”. </w:t>
      </w:r>
    </w:p>
  </w:footnote>
  <w:footnote w:id="35">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36">
    <w:p>
      <w:pPr>
        <w:pStyle w:val="FootnoteText"/>
        <w:rPr>
          <w:szCs w:val="24"/>
        </w:rPr>
      </w:pPr>
      <w:r>
        <w:rPr>
          <w:rStyle w:val="FootnoteReference"/>
        </w:rPr>
        <w:footnoteRef/>
      </w:r>
      <w:r>
        <w:tab/>
        <w:t xml:space="preserve">AC = sopimussuhteiset toimihenkilöt; AL = paikalliset toimihenkilöt; END = kansalliset asiantuntijat; INT = vuokrahenkilöstö, JED = nuoremmat asiantuntijat EU:n ulkopuolisissa edustustoissa. </w:t>
      </w:r>
    </w:p>
  </w:footnote>
  <w:footnote w:id="37">
    <w:p>
      <w:pPr>
        <w:pStyle w:val="FootnoteText"/>
        <w:rPr>
          <w:szCs w:val="24"/>
        </w:rPr>
      </w:pPr>
      <w:r>
        <w:rPr>
          <w:rStyle w:val="FootnoteReference"/>
        </w:rPr>
        <w:footnoteRef/>
      </w:r>
      <w:r>
        <w:tab/>
        <w:t>Toimintamäärärahoista katettavan ulkopuolisen henkilöstön enimmäismäärä (entiset BA-budjettikohdat).</w:t>
      </w:r>
    </w:p>
  </w:footnote>
  <w:footnote w:id="38">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DD3599"/>
    <w:multiLevelType w:val="multilevel"/>
    <w:tmpl w:val="4EAA5BA6"/>
    <w:name w:val="0,326118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29"/>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12"/>
  </w:num>
  <w:num w:numId="24">
    <w:abstractNumId w:val="5"/>
  </w:num>
  <w:num w:numId="25">
    <w:abstractNumId w:val="11"/>
  </w:num>
  <w:num w:numId="26">
    <w:abstractNumId w:val="24"/>
  </w:num>
  <w:num w:numId="27">
    <w:abstractNumId w:val="27"/>
  </w:num>
  <w:num w:numId="28">
    <w:abstractNumId w:val="9"/>
  </w:num>
  <w:num w:numId="29">
    <w:abstractNumId w:val="23"/>
  </w:num>
  <w:num w:numId="30">
    <w:abstractNumId w:val="22"/>
  </w:num>
  <w:num w:numId="31">
    <w:abstractNumId w:val="16"/>
  </w:num>
  <w:num w:numId="32">
    <w:abstractNumId w:val="17"/>
  </w:num>
  <w:num w:numId="33">
    <w:abstractNumId w:val="3"/>
  </w:num>
  <w:num w:numId="34">
    <w:abstractNumId w:val="10"/>
  </w:num>
  <w:num w:numId="35">
    <w:abstractNumId w:val="1"/>
  </w:num>
  <w:num w:numId="36">
    <w:abstractNumId w:val="6"/>
  </w:num>
  <w:num w:numId="37">
    <w:abstractNumId w:val="28"/>
  </w:num>
  <w:num w:numId="38">
    <w:abstractNumId w:val="20"/>
    <w:lvlOverride w:ilvl="0">
      <w:startOverride w:val="1"/>
    </w:lvlOverride>
  </w:num>
  <w:num w:numId="39">
    <w:abstractNumId w:val="21"/>
  </w:num>
  <w:num w:numId="40">
    <w:abstractNumId w:val="13"/>
  </w:num>
  <w:num w:numId="41">
    <w:abstractNumId w:val="26"/>
  </w:num>
  <w:num w:numId="42">
    <w:abstractNumId w:val="8"/>
  </w:num>
  <w:num w:numId="43">
    <w:abstractNumId w:val="14"/>
  </w:num>
  <w:num w:numId="44">
    <w:abstractNumId w:val="4"/>
  </w:num>
  <w:num w:numId="45">
    <w:abstractNumId w:val="25"/>
  </w:num>
  <w:num w:numId="46">
    <w:abstractNumId w:val="2"/>
  </w:num>
  <w:num w:numId="47">
    <w:abstractNumId w:val="15"/>
  </w:num>
  <w:num w:numId="48">
    <w:abstractNumId w:val="19"/>
  </w:num>
  <w:num w:numId="49">
    <w:abstractNumId w:val="20"/>
  </w:num>
  <w:num w:numId="50">
    <w:abstractNumId w:val="7"/>
  </w:num>
  <w:num w:numId="51">
    <w:abstractNumId w:val="1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oNotTrackFormatting/>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5: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9FC1375B209C40C0A5AE783007D5C82F"/>
    <w:docVar w:name="LW_CROSSREFERENCE" w:val="{SWD(2016) 429 final}_x000b_{SWD(2016) 430 final}"/>
    <w:docVar w:name="LW_DocType" w:val="COM"/>
    <w:docVar w:name="LW_EMISSION" w:val="9.12.2016"/>
    <w:docVar w:name="LW_EMISSION_ISODATE" w:val="2016-12-09"/>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89"/>
    <w:docVar w:name="LW_REF.II.NEW.CP_YEAR" w:val="2016"/>
    <w:docVar w:name="LW_REF.INST.NEW" w:val="COM"/>
    <w:docVar w:name="LW_REF.INST.NEW_ADOPTED" w:val="final"/>
    <w:docVar w:name="LW_REF.INST.NEW_TEXT" w:val="(2016) 786"/>
    <w:docVar w:name="LW_REF.INTERNE" w:val="&lt;UNUSED&gt;"/>
    <w:docVar w:name="LW_SOUS.TITRE.OBJ.CP" w:val="sekä asetusten (EY) N:o 1166/2008 ja (EU) N:o 1337/2011 kumoamisesta"/>
    <w:docVar w:name="LW_STATUT.CP" w:val="Ehdotus"/>
    <w:docVar w:name="LW_SUPERTITRE" w:val="&lt;UNUSED&gt;"/>
    <w:docVar w:name="LW_TITRE.OBJ.CP" w:val="integroiduista maatilatilastoi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3"/>
      </w:numPr>
      <w:spacing w:before="0" w:after="240"/>
    </w:pPr>
    <w:rPr>
      <w:rFonts w:eastAsia="Times New Roman"/>
      <w:szCs w:val="20"/>
    </w:rPr>
  </w:style>
  <w:style w:type="paragraph" w:customStyle="1" w:styleId="ListBullet1">
    <w:name w:val="List Bullet 1"/>
    <w:basedOn w:val="Text1"/>
    <w:pPr>
      <w:numPr>
        <w:numId w:val="24"/>
      </w:numPr>
      <w:spacing w:before="0" w:after="240"/>
    </w:pPr>
    <w:rPr>
      <w:rFonts w:eastAsia="Times New Roman"/>
      <w:szCs w:val="20"/>
    </w:rPr>
  </w:style>
  <w:style w:type="paragraph" w:customStyle="1" w:styleId="ListDash1">
    <w:name w:val="List Dash 1"/>
    <w:basedOn w:val="Text1"/>
    <w:pPr>
      <w:numPr>
        <w:numId w:val="29"/>
      </w:numPr>
      <w:spacing w:before="0" w:after="240"/>
    </w:pPr>
    <w:rPr>
      <w:rFonts w:eastAsia="Times New Roman"/>
      <w:szCs w:val="20"/>
    </w:rPr>
  </w:style>
  <w:style w:type="paragraph" w:customStyle="1" w:styleId="ListDash2">
    <w:name w:val="List Dash 2"/>
    <w:basedOn w:val="Text2"/>
    <w:pPr>
      <w:numPr>
        <w:numId w:val="30"/>
      </w:numPr>
      <w:spacing w:before="0" w:after="240"/>
    </w:pPr>
    <w:rPr>
      <w:rFonts w:eastAsia="Times New Roman"/>
      <w:szCs w:val="20"/>
    </w:rPr>
  </w:style>
  <w:style w:type="paragraph" w:customStyle="1" w:styleId="ListNumberLevel2">
    <w:name w:val="List Number (Level 2)"/>
    <w:basedOn w:val="Normal"/>
    <w:pPr>
      <w:numPr>
        <w:ilvl w:val="1"/>
        <w:numId w:val="33"/>
      </w:numPr>
      <w:spacing w:before="0" w:after="240"/>
    </w:pPr>
    <w:rPr>
      <w:rFonts w:eastAsia="Times New Roman"/>
      <w:szCs w:val="20"/>
    </w:rPr>
  </w:style>
  <w:style w:type="paragraph" w:customStyle="1" w:styleId="ListNumberLevel3">
    <w:name w:val="List Number (Level 3)"/>
    <w:basedOn w:val="Normal"/>
    <w:pPr>
      <w:numPr>
        <w:ilvl w:val="2"/>
        <w:numId w:val="33"/>
      </w:numPr>
      <w:spacing w:before="0" w:after="240"/>
    </w:pPr>
    <w:rPr>
      <w:rFonts w:eastAsia="Times New Roman"/>
      <w:szCs w:val="20"/>
    </w:rPr>
  </w:style>
  <w:style w:type="paragraph" w:customStyle="1" w:styleId="ListNumberLevel4">
    <w:name w:val="List Number (Level 4)"/>
    <w:basedOn w:val="Normal"/>
    <w:pPr>
      <w:numPr>
        <w:ilvl w:val="3"/>
        <w:numId w:val="33"/>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3"/>
      </w:numPr>
      <w:spacing w:before="0" w:after="240"/>
    </w:pPr>
    <w:rPr>
      <w:rFonts w:eastAsia="Times New Roman"/>
      <w:szCs w:val="20"/>
    </w:rPr>
  </w:style>
  <w:style w:type="paragraph" w:styleId="ListBullet2">
    <w:name w:val="List Bullet 2"/>
    <w:basedOn w:val="Text2"/>
    <w:pPr>
      <w:numPr>
        <w:numId w:val="2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fi-FI"/>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fi-FI"/>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6"/>
      </w:numPr>
      <w:spacing w:before="0" w:after="240"/>
    </w:pPr>
    <w:rPr>
      <w:rFonts w:eastAsia="Times New Roman"/>
      <w:szCs w:val="20"/>
    </w:rPr>
  </w:style>
  <w:style w:type="paragraph" w:styleId="ListBullet4">
    <w:name w:val="List Bullet 4"/>
    <w:basedOn w:val="Text4"/>
    <w:pPr>
      <w:numPr>
        <w:numId w:val="27"/>
      </w:numPr>
      <w:spacing w:before="0" w:after="240"/>
    </w:pPr>
    <w:rPr>
      <w:rFonts w:eastAsia="Times New Roman"/>
      <w:szCs w:val="20"/>
    </w:rPr>
  </w:style>
  <w:style w:type="paragraph" w:styleId="ListNumber2">
    <w:name w:val="List Number 2"/>
    <w:basedOn w:val="Text2"/>
    <w:pPr>
      <w:numPr>
        <w:numId w:val="35"/>
      </w:numPr>
      <w:spacing w:before="0" w:after="240"/>
    </w:pPr>
    <w:rPr>
      <w:rFonts w:eastAsia="Times New Roman"/>
      <w:szCs w:val="20"/>
    </w:rPr>
  </w:style>
  <w:style w:type="paragraph" w:styleId="ListNumber3">
    <w:name w:val="List Number 3"/>
    <w:basedOn w:val="Text3"/>
    <w:pPr>
      <w:numPr>
        <w:numId w:val="36"/>
      </w:numPr>
      <w:spacing w:before="0" w:after="240"/>
    </w:pPr>
    <w:rPr>
      <w:rFonts w:eastAsia="Times New Roman"/>
      <w:szCs w:val="20"/>
    </w:rPr>
  </w:style>
  <w:style w:type="paragraph" w:styleId="ListNumber4">
    <w:name w:val="List Number 4"/>
    <w:basedOn w:val="Text4"/>
    <w:pPr>
      <w:numPr>
        <w:numId w:val="37"/>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ListDash4">
    <w:name w:val="List Dash 4"/>
    <w:basedOn w:val="Text4"/>
    <w:pPr>
      <w:numPr>
        <w:numId w:val="32"/>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fi-FI"/>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8"/>
      </w:numPr>
      <w:spacing w:before="0" w:after="240"/>
    </w:pPr>
    <w:rPr>
      <w:rFonts w:eastAsia="Times New Roman"/>
      <w:szCs w:val="20"/>
    </w:rPr>
  </w:style>
  <w:style w:type="paragraph" w:customStyle="1" w:styleId="ListDash3">
    <w:name w:val="List Dash 3"/>
    <w:basedOn w:val="Text3"/>
    <w:pPr>
      <w:numPr>
        <w:numId w:val="31"/>
      </w:numPr>
      <w:spacing w:before="0" w:after="240"/>
    </w:pPr>
    <w:rPr>
      <w:rFonts w:eastAsia="Times New Roman"/>
      <w:szCs w:val="20"/>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2Level2">
    <w:name w:val="List Number 2 (Level 2)"/>
    <w:basedOn w:val="Text2"/>
    <w:pPr>
      <w:numPr>
        <w:ilvl w:val="1"/>
        <w:numId w:val="35"/>
      </w:numPr>
      <w:spacing w:before="0" w:after="240"/>
    </w:pPr>
    <w:rPr>
      <w:rFonts w:eastAsia="Times New Roman"/>
      <w:szCs w:val="20"/>
    </w:rPr>
  </w:style>
  <w:style w:type="paragraph" w:customStyle="1" w:styleId="ListNumber3Level2">
    <w:name w:val="List Number 3 (Level 2)"/>
    <w:basedOn w:val="Text3"/>
    <w:pPr>
      <w:numPr>
        <w:ilvl w:val="1"/>
        <w:numId w:val="36"/>
      </w:numPr>
      <w:spacing w:before="0" w:after="240"/>
    </w:pPr>
    <w:rPr>
      <w:rFonts w:eastAsia="Times New Roman"/>
      <w:szCs w:val="20"/>
    </w:rPr>
  </w:style>
  <w:style w:type="paragraph" w:customStyle="1" w:styleId="ListNumber4Level2">
    <w:name w:val="List Number 4 (Level 2)"/>
    <w:basedOn w:val="Text4"/>
    <w:pPr>
      <w:numPr>
        <w:ilvl w:val="1"/>
        <w:numId w:val="37"/>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2Level3">
    <w:name w:val="List Number 2 (Level 3)"/>
    <w:basedOn w:val="Text2"/>
    <w:pPr>
      <w:numPr>
        <w:ilvl w:val="2"/>
        <w:numId w:val="35"/>
      </w:numPr>
      <w:spacing w:before="0" w:after="240"/>
    </w:pPr>
    <w:rPr>
      <w:rFonts w:eastAsia="Times New Roman"/>
      <w:szCs w:val="20"/>
    </w:rPr>
  </w:style>
  <w:style w:type="paragraph" w:customStyle="1" w:styleId="ListNumber3Level3">
    <w:name w:val="List Number 3 (Level 3)"/>
    <w:basedOn w:val="Text3"/>
    <w:pPr>
      <w:numPr>
        <w:ilvl w:val="2"/>
        <w:numId w:val="36"/>
      </w:numPr>
      <w:spacing w:before="0" w:after="240"/>
    </w:pPr>
    <w:rPr>
      <w:rFonts w:eastAsia="Times New Roman"/>
      <w:szCs w:val="20"/>
    </w:rPr>
  </w:style>
  <w:style w:type="paragraph" w:customStyle="1" w:styleId="ListNumber4Level3">
    <w:name w:val="List Number 4 (Level 3)"/>
    <w:basedOn w:val="Text4"/>
    <w:pPr>
      <w:numPr>
        <w:ilvl w:val="2"/>
        <w:numId w:val="37"/>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paragraph" w:customStyle="1" w:styleId="ListNumber2Level4">
    <w:name w:val="List Number 2 (Level 4)"/>
    <w:basedOn w:val="Text2"/>
    <w:pPr>
      <w:numPr>
        <w:ilvl w:val="3"/>
        <w:numId w:val="35"/>
      </w:numPr>
      <w:spacing w:before="0" w:after="240"/>
    </w:pPr>
    <w:rPr>
      <w:rFonts w:eastAsia="Times New Roman"/>
      <w:szCs w:val="20"/>
    </w:rPr>
  </w:style>
  <w:style w:type="paragraph" w:customStyle="1" w:styleId="ListNumber3Level4">
    <w:name w:val="List Number 3 (Level 4)"/>
    <w:basedOn w:val="Text3"/>
    <w:pPr>
      <w:numPr>
        <w:ilvl w:val="3"/>
        <w:numId w:val="36"/>
      </w:numPr>
      <w:spacing w:before="0" w:after="240"/>
    </w:pPr>
    <w:rPr>
      <w:rFonts w:eastAsia="Times New Roman"/>
      <w:szCs w:val="20"/>
    </w:rPr>
  </w:style>
  <w:style w:type="paragraph" w:customStyle="1" w:styleId="ListNumber4Level4">
    <w:name w:val="List Number 4 (Level 4)"/>
    <w:basedOn w:val="Text4"/>
    <w:pPr>
      <w:numPr>
        <w:ilvl w:val="3"/>
        <w:numId w:val="37"/>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fi-FI"/>
    </w:rPr>
  </w:style>
  <w:style w:type="paragraph" w:customStyle="1" w:styleId="LegalNumPar">
    <w:name w:val="LegalNumPar"/>
    <w:basedOn w:val="Normal"/>
    <w:pPr>
      <w:numPr>
        <w:numId w:val="20"/>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3"/>
      </w:numPr>
      <w:spacing w:before="0" w:after="240"/>
    </w:pPr>
    <w:rPr>
      <w:rFonts w:eastAsia="Times New Roman"/>
      <w:szCs w:val="20"/>
    </w:rPr>
  </w:style>
  <w:style w:type="paragraph" w:customStyle="1" w:styleId="ListBullet1">
    <w:name w:val="List Bullet 1"/>
    <w:basedOn w:val="Text1"/>
    <w:pPr>
      <w:numPr>
        <w:numId w:val="24"/>
      </w:numPr>
      <w:spacing w:before="0" w:after="240"/>
    </w:pPr>
    <w:rPr>
      <w:rFonts w:eastAsia="Times New Roman"/>
      <w:szCs w:val="20"/>
    </w:rPr>
  </w:style>
  <w:style w:type="paragraph" w:customStyle="1" w:styleId="ListDash1">
    <w:name w:val="List Dash 1"/>
    <w:basedOn w:val="Text1"/>
    <w:pPr>
      <w:numPr>
        <w:numId w:val="29"/>
      </w:numPr>
      <w:spacing w:before="0" w:after="240"/>
    </w:pPr>
    <w:rPr>
      <w:rFonts w:eastAsia="Times New Roman"/>
      <w:szCs w:val="20"/>
    </w:rPr>
  </w:style>
  <w:style w:type="paragraph" w:customStyle="1" w:styleId="ListDash2">
    <w:name w:val="List Dash 2"/>
    <w:basedOn w:val="Text2"/>
    <w:pPr>
      <w:numPr>
        <w:numId w:val="30"/>
      </w:numPr>
      <w:spacing w:before="0" w:after="240"/>
    </w:pPr>
    <w:rPr>
      <w:rFonts w:eastAsia="Times New Roman"/>
      <w:szCs w:val="20"/>
    </w:rPr>
  </w:style>
  <w:style w:type="paragraph" w:customStyle="1" w:styleId="ListNumberLevel2">
    <w:name w:val="List Number (Level 2)"/>
    <w:basedOn w:val="Normal"/>
    <w:pPr>
      <w:numPr>
        <w:ilvl w:val="1"/>
        <w:numId w:val="33"/>
      </w:numPr>
      <w:spacing w:before="0" w:after="240"/>
    </w:pPr>
    <w:rPr>
      <w:rFonts w:eastAsia="Times New Roman"/>
      <w:szCs w:val="20"/>
    </w:rPr>
  </w:style>
  <w:style w:type="paragraph" w:customStyle="1" w:styleId="ListNumberLevel3">
    <w:name w:val="List Number (Level 3)"/>
    <w:basedOn w:val="Normal"/>
    <w:pPr>
      <w:numPr>
        <w:ilvl w:val="2"/>
        <w:numId w:val="33"/>
      </w:numPr>
      <w:spacing w:before="0" w:after="240"/>
    </w:pPr>
    <w:rPr>
      <w:rFonts w:eastAsia="Times New Roman"/>
      <w:szCs w:val="20"/>
    </w:rPr>
  </w:style>
  <w:style w:type="paragraph" w:customStyle="1" w:styleId="ListNumberLevel4">
    <w:name w:val="List Number (Level 4)"/>
    <w:basedOn w:val="Normal"/>
    <w:pPr>
      <w:numPr>
        <w:ilvl w:val="3"/>
        <w:numId w:val="33"/>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3"/>
      </w:numPr>
      <w:spacing w:before="0" w:after="240"/>
    </w:pPr>
    <w:rPr>
      <w:rFonts w:eastAsia="Times New Roman"/>
      <w:szCs w:val="20"/>
    </w:rPr>
  </w:style>
  <w:style w:type="paragraph" w:styleId="ListBullet2">
    <w:name w:val="List Bullet 2"/>
    <w:basedOn w:val="Text2"/>
    <w:pPr>
      <w:numPr>
        <w:numId w:val="2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fi-FI"/>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fi-FI"/>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6"/>
      </w:numPr>
      <w:spacing w:before="0" w:after="240"/>
    </w:pPr>
    <w:rPr>
      <w:rFonts w:eastAsia="Times New Roman"/>
      <w:szCs w:val="20"/>
    </w:rPr>
  </w:style>
  <w:style w:type="paragraph" w:styleId="ListBullet4">
    <w:name w:val="List Bullet 4"/>
    <w:basedOn w:val="Text4"/>
    <w:pPr>
      <w:numPr>
        <w:numId w:val="27"/>
      </w:numPr>
      <w:spacing w:before="0" w:after="240"/>
    </w:pPr>
    <w:rPr>
      <w:rFonts w:eastAsia="Times New Roman"/>
      <w:szCs w:val="20"/>
    </w:rPr>
  </w:style>
  <w:style w:type="paragraph" w:styleId="ListNumber2">
    <w:name w:val="List Number 2"/>
    <w:basedOn w:val="Text2"/>
    <w:pPr>
      <w:numPr>
        <w:numId w:val="35"/>
      </w:numPr>
      <w:spacing w:before="0" w:after="240"/>
    </w:pPr>
    <w:rPr>
      <w:rFonts w:eastAsia="Times New Roman"/>
      <w:szCs w:val="20"/>
    </w:rPr>
  </w:style>
  <w:style w:type="paragraph" w:styleId="ListNumber3">
    <w:name w:val="List Number 3"/>
    <w:basedOn w:val="Text3"/>
    <w:pPr>
      <w:numPr>
        <w:numId w:val="36"/>
      </w:numPr>
      <w:spacing w:before="0" w:after="240"/>
    </w:pPr>
    <w:rPr>
      <w:rFonts w:eastAsia="Times New Roman"/>
      <w:szCs w:val="20"/>
    </w:rPr>
  </w:style>
  <w:style w:type="paragraph" w:styleId="ListNumber4">
    <w:name w:val="List Number 4"/>
    <w:basedOn w:val="Text4"/>
    <w:pPr>
      <w:numPr>
        <w:numId w:val="37"/>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ListDash4">
    <w:name w:val="List Dash 4"/>
    <w:basedOn w:val="Text4"/>
    <w:pPr>
      <w:numPr>
        <w:numId w:val="32"/>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fi-FI"/>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8"/>
      </w:numPr>
      <w:spacing w:before="0" w:after="240"/>
    </w:pPr>
    <w:rPr>
      <w:rFonts w:eastAsia="Times New Roman"/>
      <w:szCs w:val="20"/>
    </w:rPr>
  </w:style>
  <w:style w:type="paragraph" w:customStyle="1" w:styleId="ListDash3">
    <w:name w:val="List Dash 3"/>
    <w:basedOn w:val="Text3"/>
    <w:pPr>
      <w:numPr>
        <w:numId w:val="31"/>
      </w:numPr>
      <w:spacing w:before="0" w:after="240"/>
    </w:pPr>
    <w:rPr>
      <w:rFonts w:eastAsia="Times New Roman"/>
      <w:szCs w:val="20"/>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2Level2">
    <w:name w:val="List Number 2 (Level 2)"/>
    <w:basedOn w:val="Text2"/>
    <w:pPr>
      <w:numPr>
        <w:ilvl w:val="1"/>
        <w:numId w:val="35"/>
      </w:numPr>
      <w:spacing w:before="0" w:after="240"/>
    </w:pPr>
    <w:rPr>
      <w:rFonts w:eastAsia="Times New Roman"/>
      <w:szCs w:val="20"/>
    </w:rPr>
  </w:style>
  <w:style w:type="paragraph" w:customStyle="1" w:styleId="ListNumber3Level2">
    <w:name w:val="List Number 3 (Level 2)"/>
    <w:basedOn w:val="Text3"/>
    <w:pPr>
      <w:numPr>
        <w:ilvl w:val="1"/>
        <w:numId w:val="36"/>
      </w:numPr>
      <w:spacing w:before="0" w:after="240"/>
    </w:pPr>
    <w:rPr>
      <w:rFonts w:eastAsia="Times New Roman"/>
      <w:szCs w:val="20"/>
    </w:rPr>
  </w:style>
  <w:style w:type="paragraph" w:customStyle="1" w:styleId="ListNumber4Level2">
    <w:name w:val="List Number 4 (Level 2)"/>
    <w:basedOn w:val="Text4"/>
    <w:pPr>
      <w:numPr>
        <w:ilvl w:val="1"/>
        <w:numId w:val="37"/>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2Level3">
    <w:name w:val="List Number 2 (Level 3)"/>
    <w:basedOn w:val="Text2"/>
    <w:pPr>
      <w:numPr>
        <w:ilvl w:val="2"/>
        <w:numId w:val="35"/>
      </w:numPr>
      <w:spacing w:before="0" w:after="240"/>
    </w:pPr>
    <w:rPr>
      <w:rFonts w:eastAsia="Times New Roman"/>
      <w:szCs w:val="20"/>
    </w:rPr>
  </w:style>
  <w:style w:type="paragraph" w:customStyle="1" w:styleId="ListNumber3Level3">
    <w:name w:val="List Number 3 (Level 3)"/>
    <w:basedOn w:val="Text3"/>
    <w:pPr>
      <w:numPr>
        <w:ilvl w:val="2"/>
        <w:numId w:val="36"/>
      </w:numPr>
      <w:spacing w:before="0" w:after="240"/>
    </w:pPr>
    <w:rPr>
      <w:rFonts w:eastAsia="Times New Roman"/>
      <w:szCs w:val="20"/>
    </w:rPr>
  </w:style>
  <w:style w:type="paragraph" w:customStyle="1" w:styleId="ListNumber4Level3">
    <w:name w:val="List Number 4 (Level 3)"/>
    <w:basedOn w:val="Text4"/>
    <w:pPr>
      <w:numPr>
        <w:ilvl w:val="2"/>
        <w:numId w:val="37"/>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paragraph" w:customStyle="1" w:styleId="ListNumber2Level4">
    <w:name w:val="List Number 2 (Level 4)"/>
    <w:basedOn w:val="Text2"/>
    <w:pPr>
      <w:numPr>
        <w:ilvl w:val="3"/>
        <w:numId w:val="35"/>
      </w:numPr>
      <w:spacing w:before="0" w:after="240"/>
    </w:pPr>
    <w:rPr>
      <w:rFonts w:eastAsia="Times New Roman"/>
      <w:szCs w:val="20"/>
    </w:rPr>
  </w:style>
  <w:style w:type="paragraph" w:customStyle="1" w:styleId="ListNumber3Level4">
    <w:name w:val="List Number 3 (Level 4)"/>
    <w:basedOn w:val="Text3"/>
    <w:pPr>
      <w:numPr>
        <w:ilvl w:val="3"/>
        <w:numId w:val="36"/>
      </w:numPr>
      <w:spacing w:before="0" w:after="240"/>
    </w:pPr>
    <w:rPr>
      <w:rFonts w:eastAsia="Times New Roman"/>
      <w:szCs w:val="20"/>
    </w:rPr>
  </w:style>
  <w:style w:type="paragraph" w:customStyle="1" w:styleId="ListNumber4Level4">
    <w:name w:val="List Number 4 (Level 4)"/>
    <w:basedOn w:val="Text4"/>
    <w:pPr>
      <w:numPr>
        <w:ilvl w:val="3"/>
        <w:numId w:val="37"/>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fi-FI"/>
    </w:rPr>
  </w:style>
  <w:style w:type="paragraph" w:customStyle="1" w:styleId="LegalNumPar">
    <w:name w:val="LegalNumPar"/>
    <w:basedOn w:val="Normal"/>
    <w:pPr>
      <w:numPr>
        <w:numId w:val="20"/>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477">
      <w:bodyDiv w:val="1"/>
      <w:marLeft w:val="0"/>
      <w:marRight w:val="0"/>
      <w:marTop w:val="0"/>
      <w:marBottom w:val="0"/>
      <w:divBdr>
        <w:top w:val="none" w:sz="0" w:space="0" w:color="auto"/>
        <w:left w:val="none" w:sz="0" w:space="0" w:color="auto"/>
        <w:bottom w:val="none" w:sz="0" w:space="0" w:color="auto"/>
        <w:right w:val="none" w:sz="0" w:space="0" w:color="auto"/>
      </w:divBdr>
    </w:div>
    <w:div w:id="790628611">
      <w:bodyDiv w:val="1"/>
      <w:marLeft w:val="0"/>
      <w:marRight w:val="0"/>
      <w:marTop w:val="0"/>
      <w:marBottom w:val="0"/>
      <w:divBdr>
        <w:top w:val="none" w:sz="0" w:space="0" w:color="auto"/>
        <w:left w:val="none" w:sz="0" w:space="0" w:color="auto"/>
        <w:bottom w:val="none" w:sz="0" w:space="0" w:color="auto"/>
        <w:right w:val="none" w:sz="0" w:space="0" w:color="auto"/>
      </w:divBdr>
    </w:div>
    <w:div w:id="1059984375">
      <w:bodyDiv w:val="1"/>
      <w:marLeft w:val="0"/>
      <w:marRight w:val="0"/>
      <w:marTop w:val="0"/>
      <w:marBottom w:val="0"/>
      <w:divBdr>
        <w:top w:val="none" w:sz="0" w:space="0" w:color="auto"/>
        <w:left w:val="none" w:sz="0" w:space="0" w:color="auto"/>
        <w:bottom w:val="none" w:sz="0" w:space="0" w:color="auto"/>
        <w:right w:val="none" w:sz="0" w:space="0" w:color="auto"/>
      </w:divBdr>
    </w:div>
    <w:div w:id="18367952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819">
          <w:marLeft w:val="0"/>
          <w:marRight w:val="0"/>
          <w:marTop w:val="0"/>
          <w:marBottom w:val="0"/>
          <w:divBdr>
            <w:top w:val="none" w:sz="0" w:space="0" w:color="auto"/>
            <w:left w:val="none" w:sz="0" w:space="0" w:color="auto"/>
            <w:bottom w:val="none" w:sz="0" w:space="0" w:color="auto"/>
            <w:right w:val="none" w:sz="0" w:space="0" w:color="auto"/>
          </w:divBdr>
          <w:divsChild>
            <w:div w:id="1754234038">
              <w:marLeft w:val="0"/>
              <w:marRight w:val="0"/>
              <w:marTop w:val="0"/>
              <w:marBottom w:val="0"/>
              <w:divBdr>
                <w:top w:val="none" w:sz="0" w:space="0" w:color="auto"/>
                <w:left w:val="none" w:sz="0" w:space="0" w:color="auto"/>
                <w:bottom w:val="none" w:sz="0" w:space="0" w:color="auto"/>
                <w:right w:val="none" w:sz="0" w:space="0" w:color="auto"/>
              </w:divBdr>
              <w:divsChild>
                <w:div w:id="420762472">
                  <w:marLeft w:val="0"/>
                  <w:marRight w:val="0"/>
                  <w:marTop w:val="0"/>
                  <w:marBottom w:val="0"/>
                  <w:divBdr>
                    <w:top w:val="none" w:sz="0" w:space="0" w:color="auto"/>
                    <w:left w:val="none" w:sz="0" w:space="0" w:color="auto"/>
                    <w:bottom w:val="none" w:sz="0" w:space="0" w:color="auto"/>
                    <w:right w:val="none" w:sz="0" w:space="0" w:color="auto"/>
                  </w:divBdr>
                  <w:divsChild>
                    <w:div w:id="791286629">
                      <w:marLeft w:val="1"/>
                      <w:marRight w:val="1"/>
                      <w:marTop w:val="0"/>
                      <w:marBottom w:val="0"/>
                      <w:divBdr>
                        <w:top w:val="none" w:sz="0" w:space="0" w:color="auto"/>
                        <w:left w:val="none" w:sz="0" w:space="0" w:color="auto"/>
                        <w:bottom w:val="none" w:sz="0" w:space="0" w:color="auto"/>
                        <w:right w:val="none" w:sz="0" w:space="0" w:color="auto"/>
                      </w:divBdr>
                      <w:divsChild>
                        <w:div w:id="229275414">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360"/>
                              <w:divBdr>
                                <w:top w:val="none" w:sz="0" w:space="0" w:color="auto"/>
                                <w:left w:val="none" w:sz="0" w:space="0" w:color="auto"/>
                                <w:bottom w:val="none" w:sz="0" w:space="0" w:color="auto"/>
                                <w:right w:val="none" w:sz="0" w:space="0" w:color="auto"/>
                              </w:divBdr>
                              <w:divsChild>
                                <w:div w:id="832141037">
                                  <w:marLeft w:val="0"/>
                                  <w:marRight w:val="0"/>
                                  <w:marTop w:val="0"/>
                                  <w:marBottom w:val="0"/>
                                  <w:divBdr>
                                    <w:top w:val="none" w:sz="0" w:space="0" w:color="auto"/>
                                    <w:left w:val="none" w:sz="0" w:space="0" w:color="auto"/>
                                    <w:bottom w:val="none" w:sz="0" w:space="0" w:color="auto"/>
                                    <w:right w:val="none" w:sz="0" w:space="0" w:color="auto"/>
                                  </w:divBdr>
                                  <w:divsChild>
                                    <w:div w:id="1906604052">
                                      <w:marLeft w:val="0"/>
                                      <w:marRight w:val="0"/>
                                      <w:marTop w:val="0"/>
                                      <w:marBottom w:val="0"/>
                                      <w:divBdr>
                                        <w:top w:val="none" w:sz="0" w:space="0" w:color="auto"/>
                                        <w:left w:val="none" w:sz="0" w:space="0" w:color="auto"/>
                                        <w:bottom w:val="none" w:sz="0" w:space="0" w:color="auto"/>
                                        <w:right w:val="none" w:sz="0" w:space="0" w:color="auto"/>
                                      </w:divBdr>
                                      <w:divsChild>
                                        <w:div w:id="189144309">
                                          <w:marLeft w:val="0"/>
                                          <w:marRight w:val="0"/>
                                          <w:marTop w:val="0"/>
                                          <w:marBottom w:val="0"/>
                                          <w:divBdr>
                                            <w:top w:val="none" w:sz="0" w:space="0" w:color="auto"/>
                                            <w:left w:val="none" w:sz="0" w:space="0" w:color="auto"/>
                                            <w:bottom w:val="none" w:sz="0" w:space="0" w:color="auto"/>
                                            <w:right w:val="none" w:sz="0" w:space="0" w:color="auto"/>
                                          </w:divBdr>
                                          <w:divsChild>
                                            <w:div w:id="2045671940">
                                              <w:marLeft w:val="0"/>
                                              <w:marRight w:val="0"/>
                                              <w:marTop w:val="0"/>
                                              <w:marBottom w:val="0"/>
                                              <w:divBdr>
                                                <w:top w:val="none" w:sz="0" w:space="0" w:color="auto"/>
                                                <w:left w:val="none" w:sz="0" w:space="0" w:color="auto"/>
                                                <w:bottom w:val="none" w:sz="0" w:space="0" w:color="auto"/>
                                                <w:right w:val="none" w:sz="0" w:space="0" w:color="auto"/>
                                              </w:divBdr>
                                              <w:divsChild>
                                                <w:div w:id="1331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c.europa.eu/eurostat/web/qualit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8904-9C4C-41C3-ACA0-AC30F202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9001</Words>
  <Characters>78129</Characters>
  <Application>Microsoft Office Word</Application>
  <DocSecurity>0</DocSecurity>
  <Lines>1775</Lines>
  <Paragraphs>814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2016-09-29T13:56:00Z</cp:lastPrinted>
  <dcterms:created xsi:type="dcterms:W3CDTF">2016-11-24T18:34:00Z</dcterms:created>
  <dcterms:modified xsi:type="dcterms:W3CDTF">2016-12-02T09:45:00Z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