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3E6F46AC751E4D35AB0892D449E4C5D3" style="width:450.75pt;height:411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ANEXOS</w:t>
      </w:r>
    </w:p>
    <w:p>
      <w:pPr>
        <w:pStyle w:val="Accompagnant"/>
        <w:rPr>
          <w:noProof/>
        </w:rPr>
      </w:pPr>
      <w:r>
        <w:rPr>
          <w:noProof/>
        </w:rPr>
        <w:t>à proposta de</w:t>
      </w:r>
    </w:p>
    <w:p>
      <w:pPr>
        <w:pStyle w:val="Typeacteprincipal"/>
        <w:rPr>
          <w:noProof/>
        </w:rPr>
      </w:pPr>
      <w:r>
        <w:rPr>
          <w:noProof/>
        </w:rPr>
        <w:t>REGULAMENTO DO PARLAMENTO EUROPEU E DO CONSELHO</w:t>
      </w:r>
    </w:p>
    <w:p>
      <w:pPr>
        <w:pStyle w:val="Objetacteprincipal"/>
        <w:rPr>
          <w:noProof/>
        </w:rPr>
      </w:pPr>
      <w:r>
        <w:rPr>
          <w:noProof/>
        </w:rPr>
        <w:t>relativo às estatísticas integradas sobre explorações agrícolas e que revoga os Regulamentos (CE) n.º 1166/2008 e (UE) n.º 1337/2011</w:t>
      </w:r>
    </w:p>
    <w:p>
      <w:pPr>
        <w:rPr>
          <w:b/>
          <w:noProof/>
          <w:sz w:val="28"/>
          <w:szCs w:val="28"/>
        </w:rPr>
      </w:pPr>
      <w:r>
        <w:rPr>
          <w:b/>
          <w:noProof/>
          <w:sz w:val="28"/>
        </w:rPr>
        <w:t>ANEXO I — Coeficientes de cabeças normais</w:t>
      </w:r>
    </w:p>
    <w:p>
      <w:pPr>
        <w:pStyle w:val="Default"/>
        <w:rPr>
          <w:rFonts w:cstheme="minorHAnsi"/>
          <w:b/>
          <w:bCs/>
          <w:noProof/>
          <w:sz w:val="17"/>
          <w:szCs w:val="17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4383"/>
        <w:gridCol w:w="2217"/>
      </w:tblGrid>
      <w:tr>
        <w:trPr>
          <w:trHeight w:val="218"/>
        </w:trPr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i/>
                <w:noProof/>
                <w:color w:val="000000"/>
                <w:szCs w:val="24"/>
              </w:rPr>
            </w:pPr>
            <w:r>
              <w:rPr>
                <w:b/>
                <w:i/>
                <w:noProof/>
                <w:color w:val="000000"/>
              </w:rPr>
              <w:t>Tipo de animal</w:t>
            </w: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i/>
                <w:noProof/>
                <w:color w:val="000000"/>
                <w:szCs w:val="24"/>
              </w:rPr>
            </w:pPr>
            <w:r>
              <w:rPr>
                <w:b/>
                <w:i/>
                <w:noProof/>
                <w:color w:val="000000"/>
              </w:rPr>
              <w:t>Característica do animal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b/>
                <w:i/>
                <w:noProof/>
                <w:color w:val="000000"/>
                <w:szCs w:val="24"/>
              </w:rPr>
            </w:pPr>
            <w:r>
              <w:rPr>
                <w:b/>
                <w:i/>
                <w:noProof/>
                <w:color w:val="000000"/>
              </w:rPr>
              <w:t>Coeficiente</w:t>
            </w:r>
          </w:p>
        </w:tc>
      </w:tr>
      <w:tr>
        <w:trPr>
          <w:trHeight w:val="218"/>
        </w:trPr>
        <w:tc>
          <w:tcPr>
            <w:tcW w:w="2388" w:type="dxa"/>
            <w:vMerge w:val="restart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Bovinos</w:t>
            </w: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Com menos de 1 ano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0,400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Com 1, mas menos de 2 anos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0,700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Machos, com 2 ou mais anos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Novilhas, com 2 ou mais anos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0,800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Vacas leiteiras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Vacas não leiteiras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0,800</w:t>
            </w:r>
          </w:p>
        </w:tc>
      </w:tr>
      <w:tr>
        <w:trPr>
          <w:trHeight w:val="103"/>
        </w:trPr>
        <w:tc>
          <w:tcPr>
            <w:tcW w:w="6771" w:type="dxa"/>
            <w:gridSpan w:val="2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Ovinos e caprinos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0,100</w:t>
            </w:r>
          </w:p>
        </w:tc>
      </w:tr>
      <w:tr>
        <w:trPr>
          <w:trHeight w:val="103"/>
        </w:trPr>
        <w:tc>
          <w:tcPr>
            <w:tcW w:w="2388" w:type="dxa"/>
            <w:vMerge w:val="restart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Suínos</w:t>
            </w: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Leitões, com menos de 20 kg de peso vivo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0,027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Porcas reprodutoras, com peso vivo igual ou superior a 50 kg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0,500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Outros suínos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0,300</w:t>
            </w:r>
          </w:p>
        </w:tc>
      </w:tr>
      <w:tr>
        <w:trPr>
          <w:trHeight w:val="103"/>
        </w:trPr>
        <w:tc>
          <w:tcPr>
            <w:tcW w:w="2388" w:type="dxa"/>
            <w:vMerge w:val="restart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Aves de capoeira</w:t>
            </w: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Frangos de carne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0,007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Galinhas poedeiras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0,014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Outras aves de capoeira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Perus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0,030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Patos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0,010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Gansos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0,020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Avestruzes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0,350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Outras aves de capoeira n.e.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0,001</w:t>
            </w:r>
          </w:p>
        </w:tc>
      </w:tr>
      <w:tr>
        <w:trPr>
          <w:trHeight w:val="296"/>
        </w:trPr>
        <w:tc>
          <w:tcPr>
            <w:tcW w:w="6771" w:type="dxa"/>
            <w:gridSpan w:val="2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Coelhos, fêmeas reprodutoras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0,020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p>
      <w:pPr>
        <w:tabs>
          <w:tab w:val="left" w:pos="5625"/>
        </w:tabs>
        <w:rPr>
          <w:rFonts w:cstheme="minorHAnsi"/>
          <w:b/>
          <w:noProof/>
          <w:sz w:val="28"/>
          <w:szCs w:val="28"/>
        </w:rPr>
      </w:pPr>
      <w:r>
        <w:rPr>
          <w:rFonts w:cstheme="minorHAnsi"/>
          <w:b/>
          <w:noProof/>
          <w:sz w:val="28"/>
        </w:rPr>
        <w:lastRenderedPageBreak/>
        <w:t>Anexo II – Lista de limiares físicos</w:t>
      </w:r>
      <w:r>
        <w:rPr>
          <w:rStyle w:val="FootnoteReference"/>
          <w:rFonts w:cstheme="minorHAnsi"/>
          <w:b/>
          <w:noProof/>
          <w:sz w:val="28"/>
        </w:rPr>
        <w:footnoteReference w:id="1"/>
      </w:r>
    </w:p>
    <w:p>
      <w:pPr>
        <w:tabs>
          <w:tab w:val="left" w:pos="5625"/>
        </w:tabs>
        <w:rPr>
          <w:rFonts w:cstheme="minorHAnsi"/>
          <w:b/>
          <w:noProof/>
          <w:sz w:val="28"/>
          <w:szCs w:val="28"/>
        </w:rPr>
      </w:pPr>
      <w:r>
        <w:rPr>
          <w:noProof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268"/>
      </w:tblGrid>
      <w:tr>
        <w:tc>
          <w:tcPr>
            <w:tcW w:w="6062" w:type="dxa"/>
          </w:tcPr>
          <w:p>
            <w:pPr>
              <w:spacing w:before="0" w:after="0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Rubrica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Limiar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Superfície agrícola utilizada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 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Terras aráveis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Batatas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0,5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Produtos hortícolas frescos e morangos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0,5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Plantas aromáticas, medicinais e condimentares, flores e plantas ornamentais, sementes e propágulos, viveiros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0,2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Árvores de fruto, bagas, árvores de frutos de casca rija, árvores de citrinos, outras culturas permanentes excluindo viveiros, vinhas e oliveiras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0,3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Vinhas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0,1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Oliveiras 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0,3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Estufas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 m</w:t>
            </w:r>
            <w:r>
              <w:rPr>
                <w:noProof/>
                <w:vertAlign w:val="superscript"/>
              </w:rPr>
              <w:t>2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Cogumelos de cultura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 m</w:t>
            </w:r>
            <w:r>
              <w:rPr>
                <w:noProof/>
                <w:vertAlign w:val="superscript"/>
              </w:rPr>
              <w:t>2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Animais 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1,5 cabeças normais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b/>
          <w:noProof/>
          <w:sz w:val="28"/>
          <w:szCs w:val="28"/>
        </w:rPr>
      </w:pPr>
      <w:r>
        <w:rPr>
          <w:b/>
          <w:noProof/>
          <w:sz w:val="28"/>
        </w:rPr>
        <w:lastRenderedPageBreak/>
        <w:t>Anexo III - Dados de base: Informações a fornecer</w:t>
      </w:r>
    </w:p>
    <w:tbl>
      <w:tblPr>
        <w:tblStyle w:val="TableGrid1"/>
        <w:tblW w:w="889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567"/>
        <w:gridCol w:w="5310"/>
        <w:gridCol w:w="2483"/>
      </w:tblGrid>
      <w:tr>
        <w:trPr>
          <w:tblHeader/>
        </w:trPr>
        <w:tc>
          <w:tcPr>
            <w:tcW w:w="6411" w:type="dxa"/>
            <w:gridSpan w:val="3"/>
          </w:tcPr>
          <w:p>
            <w:pPr>
              <w:spacing w:before="0" w:after="0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Características gerais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Unidades/Categorias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Informações dos inquéritos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Identificador da exploração agrícola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ID da exploração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Localização da exploração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Localização geográfica 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Código INSPIRE da célula da quadrícula de 1 km de Equal-Area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Região NUTS 3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Código NUTS 3</w:t>
            </w:r>
          </w:p>
        </w:tc>
      </w:tr>
      <w:tr>
        <w:trPr>
          <w:trHeight w:val="475"/>
        </w:trPr>
        <w:tc>
          <w:tcPr>
            <w:tcW w:w="53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A exploração tem zonas designadas como sujeitas a condicionantes naturais nos termos do Regulamento n.º 1305/2013. 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L/M/O/N</w:t>
            </w:r>
            <w:r>
              <w:rPr>
                <w:rStyle w:val="FootnoteReference"/>
                <w:noProof/>
              </w:rPr>
              <w:footnoteReference w:id="2"/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Personalidade jurídica da exploração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 responsabilidade jurídica e económica da exploração é assumida por: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Uma pessoa singular que é produtor único, no caso de a exploração ser independente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sim/não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310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Em caso afirmativo, o produtor é também o dirigente da exploração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sim/não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310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Em caso negativo, o dirigente é membro da família do produtor?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sim/não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310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Em caso afirmativo, o dirigente é cônjuge do produtor?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sim/não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Uma ou mais pessoas singulares, que é/são sócio(s), no caso de a exploração ser uma exploração de grupo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sim/não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Pessoa coletiva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sim/não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 exploração é um baldio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sim/não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 produtor beneficia de apoio da UE para terras ou animais na exploração e, por conseguinte, integra o SIGC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sim/não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Dirigente da exploração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Ano de nascimento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ano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Sexo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masculino/feminino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Trabalho agrícola na exploração (excluindo o trabalho doméstico)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Escalões UTA</w:t>
            </w:r>
            <w:r>
              <w:rPr>
                <w:rStyle w:val="FootnoteReference"/>
                <w:noProof/>
              </w:rPr>
              <w:footnoteReference w:id="3"/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Formação agrícola do dirigente da exploração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Códigos dos tipos de formação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Formação profissional realizada durante os últimos 12 </w:t>
            </w:r>
            <w:r>
              <w:rPr>
                <w:noProof/>
              </w:rPr>
              <w:lastRenderedPageBreak/>
              <w:t>meses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>sim/não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lastRenderedPageBreak/>
              <w:t>Forma de exploração da superfície agrícola utilizada (relativamente ao produtor)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Exploração agrícola em terras próprias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Exploração agrícola em terras arrendadas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Exploração agrícola em parceria ou outras formas de exploração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Baldios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6411" w:type="dxa"/>
            <w:gridSpan w:val="3"/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Agricultura biológica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sim/não</w:t>
            </w:r>
          </w:p>
        </w:tc>
      </w:tr>
      <w:tr>
        <w:tc>
          <w:tcPr>
            <w:tcW w:w="53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Total da superfície agrícola utilizada da exploração onde são aplicados e certificados métodos de produção agrícolas biológicos de acordo com as regras nacionais ou da União Europeia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53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Total da superfície agrícola utilizada da exploração que se encontra em processo de conversão para métodos de produção biológicos a certificar de acordo com as regras nacionais ou da União Europeia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Participação em outros regimes de certificação ambiental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sim/não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Importância das outras atividades lucrativas diretamente relacionadas com a exploração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Percentagem da produção económica final da exploração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Escalões percentuais</w:t>
            </w:r>
            <w:r>
              <w:rPr>
                <w:rStyle w:val="FootnoteReference"/>
                <w:noProof/>
              </w:rPr>
              <w:footnoteReference w:id="4"/>
            </w:r>
          </w:p>
        </w:tc>
      </w:tr>
    </w:tbl>
    <w:p>
      <w:pPr>
        <w:rPr>
          <w:noProof/>
          <w:sz w:val="20"/>
        </w:rPr>
      </w:pPr>
      <w:r>
        <w:rPr>
          <w:noProof/>
        </w:rPr>
        <w:br w:type="page"/>
      </w:r>
    </w:p>
    <w:tbl>
      <w:tblPr>
        <w:tblStyle w:val="TableGrid1"/>
        <w:tblW w:w="889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1"/>
        <w:gridCol w:w="414"/>
        <w:gridCol w:w="379"/>
        <w:gridCol w:w="405"/>
        <w:gridCol w:w="4514"/>
        <w:gridCol w:w="1230"/>
        <w:gridCol w:w="1561"/>
      </w:tblGrid>
      <w:tr>
        <w:trPr>
          <w:tblHeader/>
        </w:trPr>
        <w:tc>
          <w:tcPr>
            <w:tcW w:w="6378" w:type="dxa"/>
            <w:gridSpan w:val="5"/>
            <w:vAlign w:val="center"/>
          </w:tcPr>
          <w:p>
            <w:pPr>
              <w:spacing w:before="0" w:after="0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lastRenderedPageBreak/>
              <w:t>Características do solo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Superfície principal total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da qual está certificada como agricultura biológica e/ou em processo de conversão</w:t>
            </w:r>
          </w:p>
        </w:tc>
      </w:tr>
      <w:tr>
        <w:tc>
          <w:tcPr>
            <w:tcW w:w="6378" w:type="dxa"/>
            <w:gridSpan w:val="5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Superfície agrícola utilizada (SAU)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Terras aráveis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Cereais para a produção de grão (incluindo sementes)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Trigo mole e espelta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Trigo duro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Centeio e misturas de cereais de inverno (mistura de trigo e centeio)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Cevada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Aveia e misturas de cereais de primavera (mistura de cereais que não trigo e centeio)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Milho em grão e </w:t>
            </w:r>
            <w:r>
              <w:rPr>
                <w:i/>
                <w:noProof/>
              </w:rPr>
              <w:t>corn-cob-mix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Triticale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Sorgo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Outros cereais n.e. (trigo mourisco, milho painço, alpista, etc.)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Arroz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Leguminosas secas e proteaginosas para grão (incluindo sementes e misturas de cereais e leguminosas)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Ervilhas forrageiras, feijões e favas e tremoços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Culturas sachadas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Batatas (incluindo batatas de semente)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Beterrabas sacarinas (excluindo sementes)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Outras culturas sachadas n.e.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Culturas industriais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Sementes oleaginosas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Sementes de colza e de nabita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Sementes de girassol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Soja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Sementes de linho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Outras culturas oleaginosas n.e.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Culturas de plantas têxteis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Linho têxtil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Cânhamo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Algodão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Outras culturas de plantas têxteis n.e.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Tabaco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Lúpulo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Plantas aromáticas, medicinais e condimentares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Culturas energéticas n.e.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Outras culturas industriais n.e.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Culturas forrageiras de terras aráveis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Prados e pastagens temporários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Leguminosas forrageiras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Milho forrageiro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rPr>
          <w:trHeight w:val="163"/>
        </w:trP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Outros cereais forrageiros (excluindo milho forrageiro)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rPr>
          <w:trHeight w:val="163"/>
        </w:trP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Outras culturas forrageiras de terras aráveis n.e.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Produtos hortícolas frescos (incluindo melões) e morangos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Produtos hortícolas frescos (incluindo melões) e morangos cultivados em rotação com culturas hortícolas (cultura intensiva)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Produtos hortícolas frescos (incluindo melões) e morangos cultivados em rotação com culturas não hortícolas (cultura extensiva)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Flores e plantas ornamentais (excluindo os viveiros)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Sementes e propágulos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Outras culturas de terras aráveis n.e.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Pousios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Prados e pastagens permanentes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Prados e pastagens, excluindo pastagens pobres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Pastagens pobres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Prados e pastagens permanentes já não usados para efeitos de produção e elegíveis para o pagamento de subsídios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rPr>
          <w:cantSplit/>
        </w:trP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lastRenderedPageBreak/>
              <w:t>-</w:t>
            </w:r>
          </w:p>
        </w:tc>
        <w:tc>
          <w:tcPr>
            <w:tcW w:w="5979" w:type="dxa"/>
            <w:gridSpan w:val="4"/>
          </w:tcPr>
          <w:p>
            <w:pPr>
              <w:keepLines/>
              <w:spacing w:before="0" w:after="0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Culturas permanentes (incluindo plantações jovens e temporariamente abandonadas, excluindo as zonas de produção exclusivamente para consumo próprio)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Frutos, bagas e frutos de casca rija (excluindo citrinos, uvas e morangos)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Frutos de pomóideas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Frutos de prunóideas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Frutos de zonas climáticas subtropicais e tropicais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Bagas (excluindo morangos)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Frutos de casca rija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Citrinos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Uvas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Uvas para produção de vinho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Uvas para produção de vinho com denominação de origem protegida (DOP)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Uvas para produção de vinho com indicação geográfica protegida (IGP)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Uvas para outros vinhos n.e. (sem DOP/IGP)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Uvas de mesa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Uvas passas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Azeitonas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Viveiros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Outras culturas permanentes incluindo outras culturas permanentes para consumo humano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Árvores de Natal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Hortas familiares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378" w:type="dxa"/>
            <w:gridSpan w:val="5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Outras terras agrícolas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Superfície agrícola não utilizada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Superfície florestal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Espécies de crescimento rápido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Outras superfícies (superfícies edificadas, pátios, caminhos, tanques e outras zonas não produtivas)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378" w:type="dxa"/>
            <w:gridSpan w:val="5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lastRenderedPageBreak/>
              <w:t xml:space="preserve">Zonas de exploração especial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Cogumelos de cultura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378" w:type="dxa"/>
            <w:gridSpan w:val="5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Superfície agrícola utilizada em estufas ou sob abrigo alto acessível</w:t>
            </w:r>
            <w:r>
              <w:rPr>
                <w:noProof/>
              </w:rPr>
              <w:t xml:space="preserve"> (já incluída nas superfícies principais totais acima)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Produtos hortícolas, incluindo melões e morangos em estufas ou sob abrigo alto acessível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Flores e plantas ornamentais (excluindo os viveiros) em estufas ou sob abrigo alto acessível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Outras culturas de terras aráveis em estufas ou sob abrigo alto acessível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Culturas permanentes em estufas ou sob abrigo alto acessível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Outras SAU em estufas ou sob abrigo alto acessível n.e.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378" w:type="dxa"/>
            <w:gridSpan w:val="5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Irrigação em superfície cultivada ao ar livre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Superfícies irrigáveis totais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</w:tbl>
    <w:p>
      <w:pPr>
        <w:rPr>
          <w:noProof/>
        </w:rPr>
      </w:pPr>
    </w:p>
    <w:tbl>
      <w:tblPr>
        <w:tblStyle w:val="TableGrid1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5245"/>
        <w:gridCol w:w="1070"/>
        <w:gridCol w:w="1522"/>
      </w:tblGrid>
      <w:tr>
        <w:trPr>
          <w:tblHeader/>
        </w:trPr>
        <w:tc>
          <w:tcPr>
            <w:tcW w:w="6487" w:type="dxa"/>
            <w:gridSpan w:val="4"/>
            <w:vAlign w:val="center"/>
          </w:tcPr>
          <w:p>
            <w:pPr>
              <w:spacing w:before="0" w:after="0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Características referentes ao efetivo pecuário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Número total de animais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da qual está certificada como agricultura biológica e/ou em processo de conversão</w:t>
            </w: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Bovinos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Bovinos com menos de 1 ano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Bovinos, com 1 mas menos de 2 anos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Bovinos machos, com 1 mas menos de 2 anos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Novilhas, com 1 mas menos de 2 anos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Bovinos machos, com 2 anos e mais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Bovinos fêmeas, com 2 anos e mais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Novilhas, com 2 anos e mais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Vacas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245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Vacas leiteiras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245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Vacas não leiteiras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Ovinos e caprinos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Ovinos (de qualquer idade)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Fêmeas reprodutoras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Outros ovinos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Caprinos (de qualquer idade)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Fêmeas reprodutoras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Outros caprinos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Suínos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Leitões, com menos de 20 kg de peso vivo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Porcas reprodutoras, com peso vivo igual ou superior a 50 kg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Outros suínos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Aves de capoeira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Frangos de carne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Galinhas poedeiras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Galinhas poedeiras produtoras de ovos para consumo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Outras galinhas poedeiras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Outras aves de capoeira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Perus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Patos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Gansos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Avestruzes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Outras aves de capoeira n.e.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Coelhos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Fêmeas reprodutoras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cabeças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Abelhas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colmeias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Veados 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sim/não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Animais para produção de peles com pelo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sim/não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Animais n.e.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sim/não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p>
      <w:pPr>
        <w:pStyle w:val="Header"/>
        <w:rPr>
          <w:b/>
          <w:noProof/>
          <w:sz w:val="28"/>
        </w:rPr>
      </w:pPr>
      <w:r>
        <w:rPr>
          <w:b/>
          <w:noProof/>
          <w:sz w:val="28"/>
        </w:rPr>
        <w:lastRenderedPageBreak/>
        <w:t>Anexo IV – Temas e temas detalhados nos dados dos módulos</w:t>
      </w:r>
    </w:p>
    <w:p>
      <w:pPr>
        <w:rPr>
          <w:b/>
          <w:i/>
          <w:noProof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rPr>
          <w:tblHeader/>
        </w:trPr>
        <w:tc>
          <w:tcPr>
            <w:tcW w:w="3106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Módulo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Tema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Tema detalhado</w:t>
            </w:r>
          </w:p>
        </w:tc>
      </w:tr>
      <w:tr>
        <w:tc>
          <w:tcPr>
            <w:tcW w:w="3106" w:type="dxa"/>
            <w:vMerge w:val="restart"/>
            <w:tcBorders>
              <w:top w:val="single" w:sz="6" w:space="0" w:color="auto"/>
            </w:tcBorders>
          </w:tcPr>
          <w:p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Mão de obra </w:t>
            </w:r>
          </w:p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e outras atividades lucrativas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Sustentabilidade da gestão agrícola</w:t>
            </w:r>
          </w:p>
        </w:tc>
        <w:tc>
          <w:tcPr>
            <w:tcW w:w="3108" w:type="dxa"/>
            <w:tcBorders>
              <w:top w:val="single" w:sz="6" w:space="0" w:color="auto"/>
              <w:bottom w:val="nil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Idade do produtor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 w:val="restart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Outras atividades lucrativas</w:t>
            </w: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Utilização de mão de obra em outras atividades lucrativas diretamente relacionadas com a atividade agrícola, como atividade principal ou secundária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Importância das outras atividades lucrativas diretamente relacionadas com a exploração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Outras atividades lucrativas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Rendibilidade e eficiência da produção agrícola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Mão de obra agrícola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Igualdade de género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Sexo do produtor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Equilíbrio de género na mão de obra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Dependência do rendimento agrícola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Outra atividade lucrativa, trabalho não agrícola fora da exploração, principal ou secundário: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Produtor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Dirigente da exploração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Mão de obra familiar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Impacto no emprego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Número de pessoas ao serviço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Ligação com volume de mão de obra agrícola</w:t>
            </w:r>
          </w:p>
        </w:tc>
        <w:tc>
          <w:tcPr>
            <w:tcW w:w="3108" w:type="dxa"/>
            <w:tcBorders>
              <w:top w:val="single" w:sz="6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Mão de obra remunerada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Medições da utilização de mão de obra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noProof/>
              </w:rPr>
              <w:t xml:space="preserve">Número de pessoas ao serviço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Mão de obra sem ocupação regular ao serviço da exploração agrícola </w:t>
            </w:r>
          </w:p>
        </w:tc>
      </w:tr>
      <w:tr>
        <w:trPr>
          <w:trHeight w:val="480"/>
        </w:trPr>
        <w:tc>
          <w:tcPr>
            <w:tcW w:w="3106" w:type="dxa"/>
            <w:vMerge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noProof/>
              </w:rPr>
              <w:t>Utilização de mão de obra através de empresas de trabalho à tarefa</w:t>
            </w:r>
          </w:p>
        </w:tc>
      </w:tr>
    </w:tbl>
    <w:p>
      <w:pPr>
        <w:jc w:val="left"/>
        <w:rPr>
          <w:rFonts w:asciiTheme="minorHAnsi" w:hAnsiTheme="minorHAnsi"/>
          <w:noProof/>
          <w:sz w:val="18"/>
          <w:szCs w:val="1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rPr>
          <w:cantSplit/>
        </w:trPr>
        <w:tc>
          <w:tcPr>
            <w:tcW w:w="3106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lastRenderedPageBreak/>
              <w:t>Módulo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Tema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Tema detalhado</w:t>
            </w:r>
          </w:p>
        </w:tc>
      </w:tr>
      <w:tr>
        <w:trPr>
          <w:cantSplit/>
        </w:trPr>
        <w:tc>
          <w:tcPr>
            <w:tcW w:w="3106" w:type="dxa"/>
            <w:vMerge w:val="restart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Desenvolvimento rural </w:t>
            </w:r>
          </w:p>
        </w:tc>
        <w:tc>
          <w:tcPr>
            <w:tcW w:w="3108" w:type="dxa"/>
            <w:vMerge w:val="restart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Explorações apoiadas por medidas de desenvolvimento rural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Serviços de aconselhamento, de gestão agrícola e de substituição nas explorações agrícolas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Desenvolvimento das explorações agrícolas e das empresas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Regimes de qualidade para os produtos agrícolas e os géneros alimentícios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Investimentos em ativos físicos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Restabelecimento do potencial de produção agrícola afetado por catástrofes naturais e acontecimentos catastróficos e introdução de medidas de prevenção adequadas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Investimentos no desenvolvimento das zonas florestais e na melhoria da viabilidade das florestas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Pagamentos ligados ao agroambiente e ao clima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Agricultura biológica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Pagamentos ligados à rede Natura 2000 e à Diretiva-Quadro Água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Pagamentos a favor de zonas sujeitas a condicionantes naturais ou a outras condicionantes específicas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Bem-estar dos animais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Gestão de riscos </w:t>
            </w:r>
          </w:p>
        </w:tc>
      </w:tr>
    </w:tbl>
    <w:p>
      <w:pPr>
        <w:rPr>
          <w:rFonts w:asciiTheme="minorHAnsi" w:hAnsiTheme="minorHAnsi"/>
          <w:noProof/>
          <w:sz w:val="20"/>
          <w:szCs w:val="1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Módulo</w:t>
            </w: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Tema</w:t>
            </w: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Tema detalhado</w:t>
            </w:r>
          </w:p>
        </w:tc>
      </w:tr>
      <w:tr>
        <w:tc>
          <w:tcPr>
            <w:tcW w:w="3106" w:type="dxa"/>
            <w:vMerge w:val="restart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Instalações pecuárias e gestão do estrume/chorume</w:t>
            </w:r>
          </w:p>
        </w:tc>
        <w:tc>
          <w:tcPr>
            <w:tcW w:w="3108" w:type="dxa"/>
            <w:vMerge w:val="restart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Instalações pecuárias</w:t>
            </w: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Instalações para bovinos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Instalações para suínos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Instalações para galinhas poedeiras.</w:t>
            </w:r>
          </w:p>
        </w:tc>
      </w:tr>
      <w:tr>
        <w:tc>
          <w:tcPr>
            <w:tcW w:w="3106" w:type="dxa"/>
            <w:vMerge/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Utilização de nutrientes e produção de estrume/chorume na exploração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SAU fertilizada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Estrume/chorume disponível para utilização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Adubos orgânicos e adubos à base de resíduos que não o estrume/chorume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Técnicas de aplicação de estrume/chorume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Tipo de aplicação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Tempo de incorporação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Instalações para o estrume/chorume 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Instalações de tratamento do estrume/chorume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Instalações para armazenamento do estrume/chorume</w:t>
            </w:r>
          </w:p>
        </w:tc>
      </w:tr>
    </w:tbl>
    <w:p>
      <w:pPr>
        <w:jc w:val="left"/>
        <w:rPr>
          <w:rFonts w:asciiTheme="minorHAnsi" w:hAnsiTheme="minorHAnsi"/>
          <w:noProof/>
          <w:sz w:val="20"/>
          <w:szCs w:val="20"/>
        </w:rPr>
      </w:pPr>
    </w:p>
    <w:p>
      <w:pPr>
        <w:jc w:val="left"/>
        <w:rPr>
          <w:rFonts w:asciiTheme="minorHAnsi" w:hAnsiTheme="minorHAnsi"/>
          <w:noProof/>
          <w:sz w:val="20"/>
          <w:szCs w:val="2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Módulo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Tema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Tema detalhado</w:t>
            </w:r>
          </w:p>
        </w:tc>
      </w:tr>
      <w:t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Irrigação 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Práticas de irrigação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Disponibilidade de irrigação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Métodos de irrigação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Origem da água de irrigação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Parâmetros técnicos do equipamento de irrigação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Culturas irrigadas durante um período de 12 meses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Cereais para a produção de grão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Leguminosas secas e proteaginosas para a produção de grão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Culturas sachadas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Culturas industriais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Culturas forrageiras de terras aráveis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Outras culturas de terras aráveis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Prados e pastagens permanentes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Culturas permanentes </w:t>
            </w:r>
          </w:p>
        </w:tc>
      </w:tr>
    </w:tbl>
    <w:p>
      <w:pPr>
        <w:rPr>
          <w:rFonts w:asciiTheme="minorHAnsi" w:hAnsiTheme="minorHAnsi"/>
          <w:noProof/>
          <w:sz w:val="20"/>
          <w:szCs w:val="2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Módulo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Tema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Tema detalhado</w:t>
            </w:r>
          </w:p>
        </w:tc>
      </w:tr>
      <w:t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Práticas de gestão de solos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Práticas de gestão de solos em terras ao ar livre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Métodos de mobilização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Cobertura de solos em terras aráveis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Rotação de culturas em terras aráveis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Superfície de interesse ecológico </w:t>
            </w:r>
          </w:p>
        </w:tc>
      </w:tr>
    </w:tbl>
    <w:p>
      <w:pPr>
        <w:rPr>
          <w:rFonts w:asciiTheme="minorHAnsi" w:hAnsiTheme="minorHAnsi"/>
          <w:noProof/>
          <w:sz w:val="20"/>
          <w:szCs w:val="2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lastRenderedPageBreak/>
              <w:t>Módulo</w:t>
            </w: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Tema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Tema detalhado</w:t>
            </w:r>
          </w:p>
        </w:tc>
      </w:tr>
      <w:tr>
        <w:tc>
          <w:tcPr>
            <w:tcW w:w="3106" w:type="dxa"/>
            <w:vMerge w:val="restart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Máquinas e equipamentos</w:t>
            </w:r>
          </w:p>
        </w:tc>
        <w:tc>
          <w:tcPr>
            <w:tcW w:w="3108" w:type="dxa"/>
            <w:vMerge w:val="restart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Máquinas 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Acesso à Internet</w:t>
            </w:r>
            <w:r>
              <w:rPr>
                <w:noProof/>
                <w:color w:val="000000" w:themeColor="text1"/>
              </w:rPr>
              <w:t xml:space="preserve">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Máquinas de base</w:t>
            </w:r>
            <w:r>
              <w:rPr>
                <w:noProof/>
                <w:color w:val="000000" w:themeColor="text1"/>
              </w:rPr>
              <w:t xml:space="preserve">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Utilização de agricultura de precisão</w:t>
            </w:r>
            <w:r>
              <w:rPr>
                <w:noProof/>
                <w:color w:val="000000" w:themeColor="text1"/>
              </w:rPr>
              <w:t xml:space="preserve">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Máquinas para gestão do efetivo pecuário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Armazenagem para produtos agrícolas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Equipamentos 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Equipamentos utilizados para a produção de energia renovável em explorações agrícolas </w:t>
            </w:r>
          </w:p>
        </w:tc>
      </w:tr>
    </w:tbl>
    <w:p>
      <w:pPr>
        <w:jc w:val="left"/>
        <w:rPr>
          <w:rFonts w:asciiTheme="minorHAnsi" w:hAnsiTheme="minorHAnsi"/>
          <w:noProof/>
          <w:sz w:val="20"/>
          <w:szCs w:val="2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lastRenderedPageBreak/>
              <w:t>Módulo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Tema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Tema detalhado</w:t>
            </w:r>
          </w:p>
        </w:tc>
      </w:tr>
      <w:t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Pomar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Frutos de pomóideas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Maçãs: Zona por idade das plantações e densidade das árvores </w:t>
            </w:r>
          </w:p>
        </w:tc>
      </w:tr>
      <w:tr>
        <w:trPr>
          <w:trHeight w:val="615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Peras: Zona por idade das plantações e densidade das árvores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Frutos de prunóideas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Pêssegos: Zona por idade das plantações e densidade das árvores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Nectarinas: Zona por idade das plantações e densidade das árvores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Damascos: Zona por idade das plantações e densidade das árvores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Citrinos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Laranjas: Zona por idade das plantações e densidade das árvores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Pequenos citrinos: Zona por idade das plantações e densidade das árvores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Limões: Zona por idade das plantações e densidade das árvores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Azeitonas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Zona por idade das plantações e densidade das árvores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Uvas de mesa e uvas passas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Uvas de mesa: Zona por idade das plantações e densidade das vinhas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Uvas passas: Zona por idade das plantações e densidade das vinhas</w:t>
            </w:r>
          </w:p>
        </w:tc>
      </w:tr>
    </w:tbl>
    <w:p>
      <w:pPr>
        <w:jc w:val="left"/>
        <w:rPr>
          <w:noProof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Módulo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Tema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Tema detalhado</w:t>
            </w:r>
          </w:p>
        </w:tc>
      </w:tr>
      <w:t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Vinha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Uvas para produção de vinho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Zona e idade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Castas de uvas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Número de variedades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Código e zona</w:t>
            </w:r>
          </w:p>
        </w:tc>
      </w:tr>
    </w:tbl>
    <w:p>
      <w:pPr>
        <w:jc w:val="left"/>
        <w:rPr>
          <w:noProof/>
        </w:rPr>
      </w:pPr>
      <w:r>
        <w:rPr>
          <w:noProof/>
        </w:rPr>
        <w:t xml:space="preserve"> </w:t>
      </w:r>
    </w:p>
    <w:p>
      <w:pPr>
        <w:autoSpaceDE w:val="0"/>
        <w:autoSpaceDN w:val="0"/>
        <w:adjustRightInd w:val="0"/>
        <w:spacing w:after="0"/>
        <w:jc w:val="left"/>
        <w:outlineLvl w:val="0"/>
        <w:rPr>
          <w:b/>
          <w:bCs/>
          <w:noProof/>
          <w:sz w:val="28"/>
          <w:szCs w:val="28"/>
        </w:rPr>
      </w:pPr>
      <w:r>
        <w:rPr>
          <w:noProof/>
        </w:rPr>
        <w:br w:type="page"/>
      </w:r>
    </w:p>
    <w:p>
      <w:pPr>
        <w:autoSpaceDE w:val="0"/>
        <w:autoSpaceDN w:val="0"/>
        <w:adjustRightInd w:val="0"/>
        <w:spacing w:after="0"/>
        <w:outlineLvl w:val="0"/>
        <w:rPr>
          <w:b/>
          <w:bCs/>
          <w:noProof/>
          <w:sz w:val="28"/>
          <w:szCs w:val="28"/>
        </w:rPr>
      </w:pPr>
      <w:r>
        <w:rPr>
          <w:b/>
          <w:noProof/>
          <w:sz w:val="28"/>
        </w:rPr>
        <w:lastRenderedPageBreak/>
        <w:t>Anexo V – Requisitos de precisão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 xml:space="preserve">Os dados de base (em 2023 e 2026) e os dados dos módulos devem ser estatisticamente representativos das populações das explorações agrícolas definidas no quadro de precisão </w:t>
      </w:r>
      <w:r>
        <w:rPr>
          <w:i/>
          <w:noProof/>
        </w:rPr>
        <w:t>infra</w:t>
      </w:r>
      <w:r>
        <w:rPr>
          <w:noProof/>
        </w:rPr>
        <w:t xml:space="preserve"> ao nível das regiões NUTS 2 em termos da dimensão e do tipo das explorações agrícolas, em conformidade com o Regulamento (CE) n.º 1217/2009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do Conselho, com o Regulamento Delegado (UE) n.º 1198/2014 da Comissão e com o Regulamento de Execução (UE) 2015/220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da Comissão. 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 xml:space="preserve">Os requisitos de precisão são aplicáveis às características constantes do quadro </w:t>
      </w:r>
      <w:r>
        <w:rPr>
          <w:i/>
          <w:noProof/>
        </w:rPr>
        <w:t>infra</w:t>
      </w:r>
      <w:r>
        <w:rPr>
          <w:noProof/>
        </w:rPr>
        <w:t xml:space="preserve">. 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 xml:space="preserve">Os dados na base de amostragem alargada em 2020 devem ser estatisticamente representativos da população abrangida ao nível das regiões NUTS 2 definidas no quadro de precisão </w:t>
      </w:r>
      <w:r>
        <w:rPr>
          <w:i/>
          <w:noProof/>
        </w:rPr>
        <w:t>infra</w:t>
      </w:r>
      <w:r>
        <w:rPr>
          <w:noProof/>
        </w:rPr>
        <w:t>.</w:t>
      </w:r>
    </w:p>
    <w:p>
      <w:pPr>
        <w:autoSpaceDE w:val="0"/>
        <w:autoSpaceDN w:val="0"/>
        <w:adjustRightInd w:val="0"/>
        <w:spacing w:after="0"/>
        <w:outlineLvl w:val="0"/>
        <w:rPr>
          <w:noProof/>
          <w:szCs w:val="24"/>
        </w:rPr>
      </w:pPr>
      <w:r>
        <w:rPr>
          <w:noProof/>
        </w:rPr>
        <w:t>Além disso, os requisitos de precisão definidos no quadro são aplicáveis a todas as regiões NUTS 2 com, pelo menos:</w:t>
      </w:r>
    </w:p>
    <w:p>
      <w:pPr>
        <w:pStyle w:val="Bullet0"/>
        <w:numPr>
          <w:ilvl w:val="0"/>
          <w:numId w:val="11"/>
        </w:numPr>
        <w:rPr>
          <w:noProof/>
        </w:rPr>
      </w:pPr>
      <w:r>
        <w:rPr>
          <w:noProof/>
        </w:rPr>
        <w:t>5 000 explorações na população abrangida para os módulos «Pomar» e «Vinha»;</w:t>
      </w:r>
    </w:p>
    <w:p>
      <w:pPr>
        <w:pStyle w:val="Bullet0"/>
        <w:rPr>
          <w:noProof/>
        </w:rPr>
      </w:pPr>
      <w:r>
        <w:rPr>
          <w:noProof/>
        </w:rPr>
        <w:t xml:space="preserve">10 000 explorações na população abrangida para os dados de base, todos os restantes módulos e os dados para a base de amostragem alargada. </w:t>
      </w:r>
    </w:p>
    <w:p>
      <w:pPr>
        <w:rPr>
          <w:noProof/>
        </w:rPr>
      </w:pPr>
      <w:r>
        <w:rPr>
          <w:noProof/>
        </w:rPr>
        <w:t>Em relação às regiões NUTS 2 com um menor número de explorações, os requisitos de precisão definidos no quadro são aplicáveis às regiões NUTS 1 associadas com, pelo menos:</w:t>
      </w:r>
    </w:p>
    <w:p>
      <w:pPr>
        <w:pStyle w:val="Bullet0"/>
        <w:rPr>
          <w:noProof/>
        </w:rPr>
      </w:pPr>
      <w:r>
        <w:rPr>
          <w:noProof/>
        </w:rPr>
        <w:t xml:space="preserve">500 explorações na população abrangida para os módulos «Pomar» e «Vinha»; </w:t>
      </w:r>
    </w:p>
    <w:p>
      <w:pPr>
        <w:pStyle w:val="Bullet0"/>
        <w:rPr>
          <w:noProof/>
        </w:rPr>
      </w:pPr>
      <w:r>
        <w:rPr>
          <w:noProof/>
        </w:rPr>
        <w:t xml:space="preserve">1 000 explorações na população abrangida para os dados de base, todos os restantes módulos e os dados para a base de amostragem alargada. 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>É necessária uma precisão nacional equivalente no máximo a 5% de desvio-padrão relativo para as características dos módulos «Pomar» e «Vinha», sem requisito de precisão para as regiões NUTS 2 e NUTS 1.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 xml:space="preserve">É necessária uma precisão nacional equivalente no máximo a 7,5% de desvio-padrão relativo para todas as características dos restantes módulos, sem requisito de precisão para as regiões NUTS 2 e NUTS 1 em qualquer das características. </w:t>
      </w:r>
    </w:p>
    <w:p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noProof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noProof/>
          <w:szCs w:val="24"/>
        </w:rPr>
      </w:pPr>
      <w:r>
        <w:rPr>
          <w:noProof/>
        </w:rPr>
        <w:br w:type="page"/>
      </w:r>
    </w:p>
    <w:p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noProof/>
          <w:szCs w:val="24"/>
        </w:rPr>
      </w:pPr>
      <w:r>
        <w:rPr>
          <w:b/>
          <w:noProof/>
        </w:rPr>
        <w:lastRenderedPageBreak/>
        <w:t>Quadro de precisão</w:t>
      </w:r>
    </w:p>
    <w:p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3056"/>
        <w:gridCol w:w="2262"/>
        <w:gridCol w:w="1155"/>
      </w:tblGrid>
      <w:tr>
        <w:trPr>
          <w:tblHeader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População abrangida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Características às quais se aplicam requisitos de precisão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Prevalência de cada característica na população abrangida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Desvio-padrão relativo</w:t>
            </w: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Dados de base</w:t>
            </w:r>
            <w:r>
              <w:rPr>
                <w:noProof/>
              </w:rPr>
              <w:t xml:space="preserve"> em 2023 e 2026 e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Módulo de mão de obra e outras atividades lucrativas</w:t>
            </w:r>
          </w:p>
        </w:tc>
      </w:tr>
      <w:tr>
        <w:trPr>
          <w:trHeight w:val="641"/>
        </w:trPr>
        <w:tc>
          <w:tcPr>
            <w:tcW w:w="0" w:type="auto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Conforme definido pelo artigo 5.º no que respeita aos dados de base e pelo artigo 7.º no que respeita ao módulo de mão de obra e outras atividades lucrativas.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Características do solo 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Cereais para a produção de grão (incluindo sementes) 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Sementes oleaginosas 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Culturas forrageiras de terras aráveis 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Produtos hortícolas frescos (incluindo melões), morangos, flores e plantas ornamentais (excluindo viveiros) 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hd w:val="clear" w:color="auto" w:fill="FFFFFF" w:themeFill="background1"/>
              </w:rPr>
              <w:t>Prados e pastagens permanentes, excluindo pastagens pobres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hd w:val="clear" w:color="auto" w:fill="FFFFFF" w:themeFill="background1"/>
              </w:rPr>
              <w:t>Frutos, bagas, frutos de casca rija e citrinos (excluindo uvas e morangos)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Uvas 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Azeitonas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7,5 % ou mais da superfície agrícola utilizada na região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&lt;5 %</w:t>
            </w:r>
          </w:p>
        </w:tc>
      </w:tr>
      <w:tr>
        <w:trPr>
          <w:trHeight w:val="641"/>
        </w:trPr>
        <w:tc>
          <w:tcPr>
            <w:tcW w:w="0" w:type="auto"/>
            <w:vMerge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Características referentes ao efetivo pecuário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Vacas leiteiras 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Vacas não leiteiras 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Outros bovinos (bovinos com menos de 1 ano, bovinos com 1 mas menos de 2 anos, bovinos machos com 2 anos e mais, novilhas com 2 anos e mais) 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Porcas reprodutoras, com peso vivo igual ou superior a 50 kg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Leitões com menos de 20 kg de peso vivo e outros suínos 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lastRenderedPageBreak/>
              <w:t xml:space="preserve">Ovinos e caprinos 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Aves de capoeira</w:t>
            </w:r>
          </w:p>
          <w:p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>7,5 % ou mais das cabeças normais na região e 5 % ou mais da característica no país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&lt;5 %</w:t>
            </w: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keepNext/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lastRenderedPageBreak/>
              <w:t xml:space="preserve">Dados de base para a base de amostragem alargada </w:t>
            </w:r>
            <w:r>
              <w:rPr>
                <w:noProof/>
              </w:rPr>
              <w:t xml:space="preserve">em 2020 </w:t>
            </w:r>
          </w:p>
        </w:tc>
      </w:tr>
      <w:tr>
        <w:trPr>
          <w:trHeight w:val="415"/>
        </w:trPr>
        <w:tc>
          <w:tcPr>
            <w:tcW w:w="0" w:type="auto"/>
            <w:vMerge w:val="restart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Conforme definido no artigo 6.º</w:t>
            </w:r>
          </w:p>
        </w:tc>
        <w:tc>
          <w:tcPr>
            <w:tcW w:w="0" w:type="auto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Características do solo</w:t>
            </w:r>
          </w:p>
          <w:p>
            <w:pPr>
              <w:pStyle w:val="ListParagraph"/>
              <w:keepNext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Terras aráveis </w:t>
            </w:r>
          </w:p>
          <w:p>
            <w:pPr>
              <w:pStyle w:val="ListParagraph"/>
              <w:keepNext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hd w:val="clear" w:color="auto" w:fill="FFFFFF" w:themeFill="background1"/>
              </w:rPr>
              <w:t>Prados e pastagens permanentes, excluindo pastagens pobres</w:t>
            </w:r>
          </w:p>
          <w:p>
            <w:pPr>
              <w:pStyle w:val="ListParagraph"/>
              <w:keepNext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Culturas permanentes </w:t>
            </w:r>
          </w:p>
        </w:tc>
        <w:tc>
          <w:tcPr>
            <w:tcW w:w="0" w:type="auto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7,5 % ou mais da superfície agrícola utilizada na região</w:t>
            </w:r>
          </w:p>
        </w:tc>
        <w:tc>
          <w:tcPr>
            <w:tcW w:w="0" w:type="auto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&lt;7,5 %</w:t>
            </w:r>
          </w:p>
        </w:tc>
      </w:tr>
      <w:tr>
        <w:trPr>
          <w:trHeight w:val="641"/>
        </w:trPr>
        <w:tc>
          <w:tcPr>
            <w:tcW w:w="0" w:type="auto"/>
            <w:vMerge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Características referentes ao efetivo pecuário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Total de cabeças normais 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5 % ou mais da característica no país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&lt;7,5 %</w:t>
            </w: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keepNext/>
              <w:tabs>
                <w:tab w:val="left" w:pos="3281"/>
              </w:tabs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Módulo de desenvolvimento rural </w:t>
            </w:r>
            <w:r>
              <w:rPr>
                <w:noProof/>
              </w:rPr>
              <w:t>e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Módulo de máquinas e equipamentos</w:t>
            </w:r>
          </w:p>
        </w:tc>
      </w:tr>
      <w:tr>
        <w:trPr>
          <w:trHeight w:val="641"/>
        </w:trPr>
        <w:tc>
          <w:tcPr>
            <w:tcW w:w="0" w:type="auto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Conforme definido no artigo 7.º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noProof/>
                <w:szCs w:val="24"/>
              </w:rPr>
            </w:pPr>
            <w:r>
              <w:rPr>
                <w:i/>
                <w:noProof/>
              </w:rPr>
              <w:t>Características do solo</w:t>
            </w:r>
            <w:r>
              <w:rPr>
                <w:noProof/>
              </w:rPr>
              <w:t xml:space="preserve"> como para o módulo de mão de obra e outras atividades lucrativas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7,5 % ou mais da superfície agrícola utilizada na região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&lt;7,5 %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</w:p>
        </w:tc>
      </w:tr>
      <w:tr>
        <w:trPr>
          <w:trHeight w:val="641"/>
        </w:trPr>
        <w:tc>
          <w:tcPr>
            <w:tcW w:w="0" w:type="auto"/>
            <w:vMerge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noProof/>
                <w:szCs w:val="24"/>
              </w:rPr>
            </w:pPr>
            <w:r>
              <w:rPr>
                <w:i/>
                <w:noProof/>
              </w:rPr>
              <w:t>Características referentes ao efetivo pecuário</w:t>
            </w:r>
            <w:r>
              <w:rPr>
                <w:noProof/>
              </w:rPr>
              <w:t xml:space="preserve"> como para o módulo de mão de obra e outras atividades lucrativas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7,5 % ou mais das cabeças normais na região e 5 % ou mais da característica no país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&lt;7,5 %</w:t>
            </w:r>
          </w:p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Módulo de instalações pecuárias e gestão do estrume/chorume</w:t>
            </w:r>
          </w:p>
        </w:tc>
      </w:tr>
      <w:tr>
        <w:trPr>
          <w:trHeight w:val="641"/>
        </w:trPr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Cs/>
                <w:noProof/>
                <w:szCs w:val="24"/>
              </w:rPr>
            </w:pPr>
            <w:r>
              <w:rPr>
                <w:noProof/>
              </w:rPr>
              <w:t>O subconjunto da população de explorações definido no artigo 7.º com pelo menos um dos seguintes elementos: bovinos, suínos, ovinos, caprinos, aves de capoeira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Características referentes ao efetivo pecuário </w:t>
            </w:r>
            <w:r>
              <w:rPr>
                <w:noProof/>
              </w:rPr>
              <w:t>como para o módulo de mão de obra e outras atividades lucrativas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7,5 % ou mais das cabeças normais na região e 5 % ou mais da característica no país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&lt;7,5 %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Módulo de irrigação</w:t>
            </w:r>
          </w:p>
        </w:tc>
      </w:tr>
      <w:tr>
        <w:trPr>
          <w:trHeight w:val="641"/>
        </w:trPr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 subconjunto da população de explorações definido no artigo 7.º com superfícies irrigáveis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Características do solo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Superfícies irrigáveis totais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7,5 % ou mais da superfície agrícola utilizada na região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&lt;7,5 %</w:t>
            </w: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Módulo de práticas de gestão de solos</w:t>
            </w:r>
          </w:p>
        </w:tc>
      </w:tr>
      <w:tr>
        <w:trPr>
          <w:trHeight w:val="641"/>
        </w:trPr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 subconjunto da população de explorações definido no artigo 7.º com as terras aráveis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noProof/>
                <w:szCs w:val="24"/>
              </w:rPr>
            </w:pPr>
            <w:r>
              <w:rPr>
                <w:i/>
                <w:noProof/>
              </w:rPr>
              <w:t>Características do solo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Terras aráveis 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7,5 % ou mais da superfície agrícola utilizada na região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&lt;7,5 %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243"/>
      </w:tblGrid>
      <w:tr>
        <w:tc>
          <w:tcPr>
            <w:tcW w:w="9289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lastRenderedPageBreak/>
              <w:t>Módulo pomar</w:t>
            </w:r>
          </w:p>
        </w:tc>
      </w:tr>
      <w:tr>
        <w:trPr>
          <w:trHeight w:val="1676"/>
        </w:trPr>
        <w:tc>
          <w:tcPr>
            <w:tcW w:w="2802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 subconjunto da população de explorações definido no artigo 7.º com qualquer dessas características individuais de pomar que respeitam o limiar fixado no artigo 7.º, n.º 5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Características referentes aos pomares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As características de pomar que entre maçãs, peras, damascos, pêssegos, nectarinas, laranjas, pequenos citrinos, limões, azeitonas e uvas de mesa, uvas passas que respeitam o limiar fixado no artigo 7.º, n.º 5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5 % ou mais da superfície agrícola utilizada na região</w:t>
            </w:r>
          </w:p>
        </w:tc>
        <w:tc>
          <w:tcPr>
            <w:tcW w:w="1243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&lt;7,5 %</w:t>
            </w:r>
          </w:p>
        </w:tc>
      </w:tr>
      <w:tr>
        <w:trPr>
          <w:trHeight w:val="344"/>
        </w:trPr>
        <w:tc>
          <w:tcPr>
            <w:tcW w:w="9289" w:type="dxa"/>
            <w:gridSpan w:val="4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Módulo de vinha</w:t>
            </w:r>
          </w:p>
        </w:tc>
      </w:tr>
      <w:tr>
        <w:trPr>
          <w:trHeight w:val="641"/>
        </w:trPr>
        <w:tc>
          <w:tcPr>
            <w:tcW w:w="2802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 subconjunto da população de explorações definido no artigo 7.º com uvas para produção de vinho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Características das vinhas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bCs/>
                <w:i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Uvas para produção de vinho</w:t>
            </w:r>
            <w:r>
              <w:rPr>
                <w:noProof/>
              </w:rPr>
              <w:t xml:space="preserve"> 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5 % ou mais da superfície agrícola utilizada na região</w:t>
            </w:r>
          </w:p>
        </w:tc>
        <w:tc>
          <w:tcPr>
            <w:tcW w:w="1243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&lt;7,5 %</w:t>
            </w:r>
          </w:p>
        </w:tc>
      </w:tr>
    </w:tbl>
    <w:p>
      <w:pPr>
        <w:autoSpaceDE w:val="0"/>
        <w:autoSpaceDN w:val="0"/>
        <w:adjustRightInd w:val="0"/>
        <w:spacing w:after="0"/>
        <w:rPr>
          <w:noProof/>
          <w:sz w:val="18"/>
          <w:szCs w:val="18"/>
        </w:rPr>
      </w:pPr>
    </w:p>
    <w:p>
      <w:pPr>
        <w:autoSpaceDE w:val="0"/>
        <w:autoSpaceDN w:val="0"/>
        <w:adjustRightInd w:val="0"/>
        <w:spacing w:after="0"/>
        <w:rPr>
          <w:noProof/>
          <w:sz w:val="18"/>
          <w:szCs w:val="18"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Os limiares são aplicáveis ao grupo de rubricas conforme enumeradas.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L - Zonas, que não zonas de montanha, sujeitas a condicionantes naturais significativas; M - Zona de montanha desfavorecida; O - Outras zonas afetadas por condicionantes específicas; N - Zona normal (não ZD) Esta classificação pode vir a ser adaptada no futuro, à luz da evolução da PAC.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Escalão percentual 2 de Unidade de Trabalho Ano (UTA): (&gt;0-&lt;25), (≥25-&lt;50), (≥50-&lt;75), (≥75-&lt;100), (100)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Escalões percentuais: (≥ 0-≤ 10), (&gt; 10-≤ 50), (&gt; 50-&lt; 100)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Regulamento (CE) n.º 1217/2009 do Conselho, de 30 de novembro de 2009, que cria uma rede de informação contabilística agrícola sobre os rendimentos e a economia das explorações agrícolas na Comunidade Europeia (JO L 328 de 15.12.2009, p. 27).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Regulamento de Execução (UE) 2015/220 da Comissão, de 3 de fevereiro de 2015, que estabelece regras de execução do Regulamento (CE) n.º 1217/2009 do Conselho, que cria uma rede de informação contabilística agrícola sobre os rendimentos e a economia das explorações agrícolas na União Europeia (JO L 46 de 19.2.2015, p.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0AE0F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B0AD1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E1648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BF8CE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D4E77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308D7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08E14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C140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17379A"/>
    <w:multiLevelType w:val="hybridMultilevel"/>
    <w:tmpl w:val="FA343D20"/>
    <w:lvl w:ilvl="0" w:tplc="4B36E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96062"/>
    <w:multiLevelType w:val="hybridMultilevel"/>
    <w:tmpl w:val="D3EC9166"/>
    <w:lvl w:ilvl="0" w:tplc="E0580F74">
      <w:start w:val="1"/>
      <w:numFmt w:val="bullet"/>
      <w:lvlText w:val=""/>
      <w:lvlJc w:val="left"/>
      <w:pPr>
        <w:ind w:left="5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8"/>
  </w:num>
  <w:num w:numId="11">
    <w:abstractNumId w:val="14"/>
    <w:lvlOverride w:ilvl="0">
      <w:startOverride w:val="1"/>
    </w:lvlOverride>
  </w:num>
  <w:num w:numId="12">
    <w:abstractNumId w:val="20"/>
  </w:num>
  <w:num w:numId="13">
    <w:abstractNumId w:val="12"/>
  </w:num>
  <w:num w:numId="14">
    <w:abstractNumId w:val="22"/>
  </w:num>
  <w:num w:numId="15">
    <w:abstractNumId w:val="11"/>
  </w:num>
  <w:num w:numId="16">
    <w:abstractNumId w:val="13"/>
  </w:num>
  <w:num w:numId="17">
    <w:abstractNumId w:val="9"/>
  </w:num>
  <w:num w:numId="18">
    <w:abstractNumId w:val="21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2-02 10:48:3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.CP" w:val="à proposta de"/>
    <w:docVar w:name="LW_ANNEX_NBR_FIRST" w:val="1"/>
    <w:docVar w:name="LW_ANNEX_NBR_LAST" w:val="5"/>
    <w:docVar w:name="LW_CONFIDENCE" w:val=" "/>
    <w:docVar w:name="LW_CONST_RESTREINT_UE" w:val="RESTREINT UE"/>
    <w:docVar w:name="LW_CORRIGENDUM" w:val="&lt;UNUSED&gt;"/>
    <w:docVar w:name="LW_COVERPAGE_GUID" w:val="3E6F46AC751E4D35AB0892D449E4C5D3"/>
    <w:docVar w:name="LW_CROSSREFERENCE" w:val="{SWD(2016) 429 final}_x000b_{SWD(2016) 430 final}"/>
    <w:docVar w:name="LW_DocType" w:val="ANNEX"/>
    <w:docVar w:name="LW_EMISSION" w:val="9.12.2016"/>
    <w:docVar w:name="LW_EMISSION_ISODATE" w:val="2016-12-09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.CP" w:val="relativo às estatísticas integradas sobre explorações agrícolas e que revoga os Regulamentos (CE) n.º 1166/2008 e (UE) n.º 1337/2011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786"/>
    <w:docVar w:name="LW_REF.INTERNE" w:val="&lt;UNUSED&gt;"/>
    <w:docVar w:name="LW_SUPERTITRE" w:val="&lt;UNUSED&gt;"/>
    <w:docVar w:name="LW_TITRE.OBJ.CP" w:val="&lt;UNUSED&gt;"/>
    <w:docVar w:name="LW_TYPE.DOC.CP" w:val="ANEXOS"/>
    <w:docVar w:name="LW_TYPEACTEPRINCIPAL.CP" w:val="REGULAMENTO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  <w:lang w:val="pt-P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  <w:lang w:val="pt-PT"/>
    </w:rPr>
  </w:style>
  <w:style w:type="numbering" w:customStyle="1" w:styleId="NoList1">
    <w:name w:val="No List1"/>
    <w:next w:val="No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  <w:lang w:val="pt-P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  <w:lang w:val="pt-PT"/>
    </w:rPr>
  </w:style>
  <w:style w:type="numbering" w:customStyle="1" w:styleId="NoList1">
    <w:name w:val="No List1"/>
    <w:next w:val="No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997E-1805-4421-A2E7-025487A9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19</Pages>
  <Words>3375</Words>
  <Characters>17147</Characters>
  <Application>Microsoft Office Word</Application>
  <DocSecurity>0</DocSecurity>
  <Lines>1714</Lines>
  <Paragraphs>1140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ABONYI Gabriella (ESTAT)</dc:creator>
  <cp:lastModifiedBy>DIGIT/A3</cp:lastModifiedBy>
  <cp:revision>9</cp:revision>
  <cp:lastPrinted>2016-09-12T10:34:00Z</cp:lastPrinted>
  <dcterms:created xsi:type="dcterms:W3CDTF">2016-11-24T10:23:00Z</dcterms:created>
  <dcterms:modified xsi:type="dcterms:W3CDTF">2016-12-02T09:48:00Z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5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