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45DEC5655E942C7AD86DC39744A3D63" style="width:450.75pt;height:44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sz w:val="24"/>
          <w:szCs w:val="24"/>
        </w:rPr>
      </w:pPr>
      <w:bookmarkStart w:id="1" w:name="_GoBack"/>
      <w:bookmarkEnd w:id="1"/>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Šiandien Komisijos paskelbtoje iniciatyvoje pripažįstamas itin svarbus pastatų vaidmuo užtikrinant Europos perėjimą prie švarios energijos.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Iniciatyva, kurioje dėmesys sutelkiamas į mūsų gyvenamąsias ir darbo vietas, siekiama nustatyti visapusišką, integruotą strategiją, pagal kurią energijos vartojimo efektyvumui būtų teikiama pirmenybė, padedama ES užtikrinti pirmaujančią poziciją pasaulyje atsinaujinančiųjų energijos išteklių srityje ir sudaromos tinkamos sąlygos vartotojams, siekiant padėti valstybėms narėms pasiekti savo 2020 ir 2030 m. energetikos ir klimato politikos tikslus.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Tokios integruotos strategijos nauda yra aiški:</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sutelkti investicijas nacionaliniu, regioniniu ir vietos lygmenimis ir skatinti augimą bei darbo vietų kūrimą, kartu skatinant inovuoti ir ugdyti įgūdžius;</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sudaryti sąlygas taupyti energiją ir taip sumažinti eksploatavimo sąnaudas bei užtikrinti piliečiams sveikesnes gyvenimo ir darbo sąlygas; </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mažinti energijos nepriteklių, ypatingą dėmesį skiriant socialinio būsto ir viešųjų pastatų, kurių energijos vartojimo efektyvumas yra mažas, problemai spręsti; </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palaipsniui decentralizuoti Europos energetikos sistemą, pastatuose naudojant tvariąją energiją;</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pastatus sujungti su susietąja energijos, saugojimo, skaitmenine ir transporto sistema, kuri padės Europai įgyvendinti mažataršio judumo strategiją;</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suteikti galių namų ūkiams, įmonėms ir energijos bendruomenėms; </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prisidėti prie žiedinės ekonomikos kūrimo.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Vien statybų sektoriuje Europoje yra 18 mln. tiesioginių darbo vietų ir sukuriama 9 proc. BVP</w:t>
      </w:r>
      <w:r>
        <w:rPr>
          <w:rStyle w:val="FootnoteReference"/>
          <w:rFonts w:ascii="Times New Roman" w:hAnsi="Times New Roman"/>
          <w:noProof/>
          <w:sz w:val="24"/>
        </w:rPr>
        <w:footnoteReference w:id="1"/>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Europos statybų sektorius turi galimybių padėti įveikti ne vieną ekonominį ir socialinį iššūkį, susijusį, kaip antai, su darbo vietų kūrimu ir ekonomikos augimu, didėjančia urbanizacija, socialiniais tinklais ir skaitmenine komunikacija, demografiniais pokyčiais ir globalizuotomis vertės grandinėmis, ekologinėmis problemomis, ir kartu įveikti su energetika ir klimato kaita susijusius iššūkius. Pastatai gali būti viena iš šio sektoriaus ir jo darbo jėgos modernizavimo varomųjų jėgų.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ES jau dabar pirmauja pasaulyje pastatų inovacijų sistemų srityje. Dar labiau sustiprinti šią pirmaujančią poziciją ir kuo labiau išnaudoti palankią reguliavimo sistemą galima integruojant energijos vartojimo efektyvumo, atsinaujinančiųjų išteklių energijos, energijos saugojimo sritis ir pastatus sujungiant su skaitmenine ir transporto sistemomis.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Šiuo metu pastatams tenka 40 proc. visos Europoje suvartojamos energijos. Maždaug 75 proc. pastatų energija vartojama neefektyviai. Šiuo metu per metus renovuojama 1 proc. pastatų. Jei ir toliau bus renovuojama tokiu pačiu tempu, prireiks maždaug šimto metų pastatų priklausomybei nuo iškastinio kuro panaikinti ir pasiekti žemą anglies dioksido lygį, koks yra išskiriamas moderniuose pastatuose</w:t>
      </w:r>
      <w:r>
        <w:rPr>
          <w:rStyle w:val="FootnoteReference"/>
          <w:rFonts w:ascii="Times New Roman" w:hAnsi="Times New Roman"/>
          <w:noProof/>
          <w:sz w:val="24"/>
        </w:rPr>
        <w:footnoteReference w:id="2"/>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Kad būtų išnaudotas tvariosios energijos potencialas pastatuose, reikia šalinti įvairias </w:t>
      </w:r>
      <w:r>
        <w:rPr>
          <w:rFonts w:ascii="Times New Roman" w:hAnsi="Times New Roman"/>
          <w:b/>
          <w:noProof/>
          <w:sz w:val="24"/>
        </w:rPr>
        <w:t>socialines, finansines, technines kliūtis arba spręsti administracines problemas</w:t>
      </w:r>
      <w:r>
        <w:rPr>
          <w:rFonts w:ascii="Times New Roman" w:hAnsi="Times New Roman"/>
          <w:noProof/>
          <w:sz w:val="24"/>
        </w:rPr>
        <w:t>. Pavyzdžiui, nors pastatai yra reguliariai prižiūrimi arba gerinami, dažnai investicijoms į tvariąją energiją neskiriama dėmesio, nes dėl kapitalo, kuris yra ribotas, varžomasi su kitomis reikmėmis, trūksta patikimos informacijos ir kvalifikuotų darbuotojų arba kyla abejonių dėl galimos naudos.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Be to, daugelis projektų rengėjų vis dar susiduria su kliūtimis norėdami padidinti būtinas pradines savo projektų išlaidas ir neturi prieigos prie patrauklių ir pakankamų finansavimo produktų rinkoje galimybių. Šį rinkos nepakankamumą iš esmės lemia nepakankamas finansuotojų ir investuotojų supratimas apie investicijų į tvariąją energetiką, ypač susijusių su energijos vartojimo efektyvumo didinimu, riziką, daugeriopą naudą bei teikiamas verslo galimybes. Be to, įgyvendinimo išlaidas didina tai, kad investicijų apimtis yra nedidelė ir trūksta kompleksinių sprendimų, o dėl nepakankamų gebėjimų ir įgūdžių parengti bankams priimtinus projektus finansavimo paklausa yra maža.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Tvariosios energetikos politika turėtų padėti vartotojams lengviau imtis šių investicijų ir sukurti palankesnes investavimo sąlygas. Renovuodami savo namus vartotojai turėtų turėti galimybę pasirinkti veiksmingesnius sprendimus, pagrįstus skaidria, aiškia ir laiku gaunama informacija apie vartojimą ir susijusias sąnaudas. Renovuodamos viešuosius pastatus, tokius kaip ligoninės, mokyklos, socialinis būstas ar biurai, valdžios institucijos turėtų turėti galimybę naudotis patraukliais finansavimo sprendimais ir naujoviškomis energetikos paslaugomis, pvz., sudaryti sutartis dėl energijos vartojimo efektyvumo.</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Būtina ne tik sukurti tinkamą reguliavimo sistemą, visų pirma pagal pasiūlymą persvarstyti Energijos vartojimo efektyvumo direktyvą ir Europos pastatų energinio naudingumo direktyvą, bet ir imtis papildomų veiksmų siekiant paskatinti sparčius realiosios ekonomikos pokyčius ir dabar spręsti finansavimo klausimą.</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1. </w:t>
      </w:r>
      <w:r>
        <w:rPr>
          <w:noProof/>
        </w:rPr>
        <w:tab/>
      </w:r>
      <w:r>
        <w:rPr>
          <w:rFonts w:ascii="Times New Roman" w:hAnsi="Times New Roman"/>
          <w:b/>
          <w:noProof/>
          <w:sz w:val="24"/>
        </w:rPr>
        <w:t>Pažangus išmaniųjų pastatų finansavimas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Pastatų renovavimas užtikrinant tvariosios energijos vartojimą – tai sritis, kurioje projektų telkimas ir valstybės garantijos gali padaryti didžiulį poveikį. Pagal Investicijų planą Europai esminį vaidmenį pritraukiant privačių lėšų siekiant </w:t>
      </w:r>
      <w:r>
        <w:rPr>
          <w:rFonts w:ascii="Times New Roman" w:hAnsi="Times New Roman"/>
          <w:b/>
          <w:noProof/>
          <w:sz w:val="24"/>
        </w:rPr>
        <w:t>didinti pastatų energijos vartojimo efektyvumą ir atsinaujinančiųjų išteklių energijos naudojimą</w:t>
      </w:r>
      <w:r>
        <w:rPr>
          <w:rFonts w:ascii="Times New Roman" w:hAnsi="Times New Roman"/>
          <w:noProof/>
          <w:sz w:val="24"/>
        </w:rPr>
        <w:t xml:space="preserve"> atlieka Europos strateginių investicijų fondas (ESIF) 2.0</w:t>
      </w:r>
      <w:r>
        <w:rPr>
          <w:rStyle w:val="FootnoteReference"/>
          <w:rFonts w:ascii="Times New Roman" w:hAnsi="Times New Roman"/>
          <w:noProof/>
          <w:sz w:val="24"/>
        </w:rPr>
        <w:footnoteReference w:id="3"/>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Jau dabar energijos vartojimo efektyvumui ir atsinaujinantiesiems energijos ištekliams ESIF projektuose tenka svarbus vaidmuo. Pavyzdžiui, didžioji dalis iki šiol finansuoti patvirtintų energetikos projektų (kurie sudaro 22 proc. visų 154 mlrd. EUR vertės investicijų) yra susiję su energijos vartojimo efektyvumo sritimi ir atsinaujinančiosios energijos sektoriumi. Atsižvelgdama į ESIF sėkmę Komisija pasiūlė jo galiojimą pratęsti iki 2020 m. pabaigos ir reikalauti, kad </w:t>
      </w:r>
      <w:r>
        <w:rPr>
          <w:rFonts w:ascii="Times New Roman" w:hAnsi="Times New Roman"/>
          <w:b/>
          <w:noProof/>
          <w:sz w:val="24"/>
        </w:rPr>
        <w:t>bent 40 proc. ESIF projektų</w:t>
      </w:r>
      <w:r>
        <w:rPr>
          <w:rFonts w:ascii="Times New Roman" w:hAnsi="Times New Roman"/>
          <w:noProof/>
          <w:sz w:val="24"/>
        </w:rPr>
        <w:t xml:space="preserve">, susijusių su infrastruktūra ir inovacijomis, prisidėtų prie klimato, energetikos ir aplinkosaugos srities veiksmų atsižvelgiant į </w:t>
      </w:r>
      <w:r>
        <w:rPr>
          <w:rFonts w:ascii="Times New Roman" w:hAnsi="Times New Roman"/>
          <w:b/>
          <w:noProof/>
          <w:sz w:val="24"/>
        </w:rPr>
        <w:t>21-osios Klimato kaitos konferencijos tikslus</w:t>
      </w:r>
      <w:r>
        <w:rPr>
          <w:rFonts w:ascii="Times New Roman" w:hAnsi="Times New Roman"/>
          <w:noProof/>
          <w:sz w:val="24"/>
        </w:rPr>
        <w:t xml:space="preserve">. Tai puiki proga konkrečiais veiksmais pritraukti viešųjų ir privačiųjų lėšų siekiant paremti perėjimą prie mažo anglies dioksido kiekio technologijų žiedinės ekonomikos. Parama Europos strateginių investicijų fondo lėšomis gali </w:t>
      </w:r>
      <w:r>
        <w:rPr>
          <w:rFonts w:ascii="Times New Roman" w:hAnsi="Times New Roman"/>
          <w:noProof/>
          <w:sz w:val="24"/>
        </w:rPr>
        <w:lastRenderedPageBreak/>
        <w:t xml:space="preserve">papildyti arba gali būti derinama su kitų ES fondų, be kita ko, Europos struktūrinių ir investicijų fondų, parama </w:t>
      </w:r>
      <w:r>
        <w:rPr>
          <w:rFonts w:ascii="Times New Roman" w:hAnsi="Times New Roman"/>
          <w:b/>
          <w:noProof/>
          <w:sz w:val="24"/>
        </w:rPr>
        <w:t>dotacijų arba finansinių produktų</w:t>
      </w:r>
      <w:r>
        <w:rPr>
          <w:rFonts w:ascii="Times New Roman" w:hAnsi="Times New Roman"/>
          <w:noProof/>
          <w:sz w:val="24"/>
        </w:rPr>
        <w:t xml:space="preserve"> pavidalu.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2014–2020 m. laikotarpiu </w:t>
      </w:r>
      <w:r>
        <w:rPr>
          <w:rFonts w:ascii="Times New Roman" w:hAnsi="Times New Roman"/>
          <w:b/>
          <w:noProof/>
          <w:sz w:val="24"/>
        </w:rPr>
        <w:t xml:space="preserve">Europos regioninės plėtros fondas ir Sanglaudos fondas </w:t>
      </w:r>
      <w:r>
        <w:rPr>
          <w:rFonts w:ascii="Times New Roman" w:hAnsi="Times New Roman"/>
          <w:noProof/>
          <w:sz w:val="24"/>
        </w:rPr>
        <w:t>investuos 17 mlrd. EUR į energijos vartojimo efektyvumą viešuosiuose ir gyvenamuosiuose pastatuose bei įmonėse, ypatingą dėmesį skirdami MVĮ</w:t>
      </w:r>
      <w:r>
        <w:rPr>
          <w:rStyle w:val="FootnoteReference"/>
          <w:rFonts w:ascii="Times New Roman" w:hAnsi="Times New Roman"/>
          <w:noProof/>
          <w:sz w:val="24"/>
        </w:rPr>
        <w:footnoteReference w:id="4"/>
      </w:r>
      <w:r>
        <w:rPr>
          <w:rFonts w:ascii="Times New Roman" w:hAnsi="Times New Roman"/>
          <w:noProof/>
          <w:sz w:val="24"/>
        </w:rPr>
        <w:t>. Tai tris kartus daugiau nei per ankstesnį laikotarpį ir tai patvirtina, jog valstybės narės ir regionai energijos vartojimo efektyvumui teikia didelę svarbą ir įsipareigoja jo siekti. Šios lėšos gali pritraukti daug didesnę nacionalinio viešojo ir privačiojo sektoriaus bendro finansavimo lėšų sumą, kuri galėtų siekti maždaug 27 mlrd. EUR</w:t>
      </w:r>
      <w:r>
        <w:rPr>
          <w:rStyle w:val="FootnoteReference"/>
          <w:rFonts w:ascii="Times New Roman" w:hAnsi="Times New Roman"/>
          <w:noProof/>
          <w:sz w:val="24"/>
        </w:rPr>
        <w:footnoteReference w:id="5"/>
      </w:r>
      <w:r>
        <w:rPr>
          <w:rFonts w:ascii="Times New Roman" w:hAnsi="Times New Roman"/>
          <w:noProof/>
          <w:sz w:val="24"/>
        </w:rPr>
        <w:t>. Vienas iš Investicijų plano Europai tikslų yra bent jau padvigubinti Europos struktūrinių ir investicijų fondų finansinių priemonių naudojimą, siekiant sutelkti papildomą privačiojo sektoriaus finansavimą ir padėti sukurti gerai veikiančias rinkas. Valstybės narės ir regionai jau planuoja investuoti beveik 6,4 mlrd. EUR</w:t>
      </w:r>
      <w:r>
        <w:rPr>
          <w:rStyle w:val="FootnoteReference"/>
          <w:rFonts w:ascii="Times New Roman" w:hAnsi="Times New Roman"/>
          <w:noProof/>
          <w:sz w:val="24"/>
        </w:rPr>
        <w:footnoteReference w:id="6"/>
      </w:r>
      <w:r>
        <w:rPr>
          <w:rFonts w:ascii="Times New Roman" w:hAnsi="Times New Roman"/>
          <w:noProof/>
          <w:sz w:val="24"/>
        </w:rPr>
        <w:t xml:space="preserve"> pagal finansines priemones siekiant anglies dioksido mažinimo tikslų, visų pirma energijos efektyvumo srityje – tai yra daugiau nei aštuonis kartus daugiau, palyginti su 2007–2013 m. laikotarpiu</w:t>
      </w:r>
      <w:r>
        <w:rPr>
          <w:rStyle w:val="FootnoteReference"/>
          <w:rFonts w:ascii="Times New Roman" w:hAnsi="Times New Roman"/>
          <w:noProof/>
          <w:sz w:val="24"/>
        </w:rPr>
        <w:footnoteReference w:id="7"/>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Pagal Investicijų planą Europai ir Europos struktūrinius ir investicijų fondus Komisija pradės iniciatyvą siekdama toliau didinti viešojo sektoriaus subjektų, energetinių paslaugų bendrovių, MVĮ ir vidutinės kapitalizacijos įmonių bei namų ūkių investicijas į energijos vartojimo efektyvumo didinimą ir pažangiuosius pastatus. Glaudžiai bendradarbiaujant su Europos investicijų banku (EIB) ir valstybėmis narėmis pagal šią naują iniciatyvą iki 2020 m. gali būti </w:t>
      </w:r>
      <w:r>
        <w:rPr>
          <w:rFonts w:ascii="Times New Roman" w:hAnsi="Times New Roman"/>
          <w:b/>
          <w:noProof/>
          <w:sz w:val="24"/>
        </w:rPr>
        <w:t>pritraukta dar 10 mlrd. EUR</w:t>
      </w:r>
      <w:r>
        <w:rPr>
          <w:rFonts w:ascii="Times New Roman" w:hAnsi="Times New Roman"/>
          <w:noProof/>
          <w:sz w:val="24"/>
        </w:rPr>
        <w:t xml:space="preserve"> viešųjų ir privačiųjų lėšų</w:t>
      </w:r>
      <w:r>
        <w:rPr>
          <w:rStyle w:val="FootnoteReference"/>
          <w:rFonts w:ascii="Times New Roman" w:hAnsi="Times New Roman"/>
          <w:noProof/>
          <w:sz w:val="24"/>
        </w:rPr>
        <w:footnoteReference w:id="8"/>
      </w:r>
      <w:r>
        <w:rPr>
          <w:rFonts w:ascii="Times New Roman" w:hAnsi="Times New Roman"/>
          <w:noProof/>
          <w:sz w:val="24"/>
        </w:rPr>
        <w:t xml:space="preserve"> energijos vartojimo efektyvumui ir atsinaujinančiųjų energijos išteklių naudojimui didinti. Tai turėtų būti daroma per finansų tarpininkus ir nacionalines investicijų į energijos vartojimo efektyvumą platformas, siekiant sutelkti projektus, sumažinti investicijų į energijos vartojimo efektyvumą riziką ir optimizuoti viešųjų lėšų, įskaitant visų pirma Europos struktūrinių ir investicijų fondų lėšų, jas derinant su Europos strateginių investicijų fondo lėšomis, panaudojimą. Dar palankesnės sąlygos taip derinti lėšas (tai yra įmanoma jau šiuo metu) bus sudarytos siūlomais Finansinio reglamento ir Bendrųjų nuostatų reglamento</w:t>
      </w:r>
      <w:r>
        <w:rPr>
          <w:rStyle w:val="FootnoteReference"/>
          <w:rFonts w:ascii="Times New Roman" w:hAnsi="Times New Roman"/>
          <w:noProof/>
          <w:sz w:val="24"/>
        </w:rPr>
        <w:footnoteReference w:id="9"/>
      </w:r>
      <w:r>
        <w:rPr>
          <w:rFonts w:ascii="Times New Roman" w:hAnsi="Times New Roman"/>
          <w:noProof/>
          <w:sz w:val="24"/>
        </w:rPr>
        <w:t xml:space="preserve"> pakeitimais. Valstybės narės, visų pirma tos, kuriose didesnis energijos intensyvumas ir kurios priklauso nuo išorės energijos, yra raginamos dalyvauti šioje iniciatyvoje ir prie jos prisidėti. Dalijimasis rizika tarp ES ir nacionalinių viešųjų ir privačiųjų lėšų fondų galutiniams paramos gavėjams suteiks patrauklesnių finansavimo galimybių. Be to, problemos sprendimas ES mastu teikia kelis reguliavimo ir administracinius privalumus, pavyzdžiui, susijusius su valstybės pagalba, viešaisiais pirkimais, bendro finansavimo įsipareigojimais, taip pat atskaitomybe ir </w:t>
      </w:r>
      <w:r>
        <w:rPr>
          <w:rFonts w:ascii="Times New Roman" w:hAnsi="Times New Roman"/>
          <w:i/>
          <w:noProof/>
          <w:sz w:val="24"/>
        </w:rPr>
        <w:t>ex ante</w:t>
      </w:r>
      <w:r>
        <w:rPr>
          <w:rFonts w:ascii="Times New Roman" w:hAnsi="Times New Roman"/>
          <w:noProof/>
          <w:sz w:val="24"/>
        </w:rPr>
        <w:t xml:space="preserve"> vertinimais. Svarbu tai, kad, vertindama viešuosius finansus pagal Stabilumo ir augimo paktą, Komisija palankiai vertins ir valstybių narių vienkartinius įnašus į temines ar daugiašales investavimo platformas pagal ESIF</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Didelė dalis šių lėšų bus naudojama miestuose ir regionuose – priimdami sprendimus, susijusius su statybų kodeksais ir miestų planavimu, vietos ir regionų subjektai atlieka labai svarbų vaidmenį remiant švarios energijos vartojimą pastatuose. Tokiomis iniciatyvomis kaip Merų paktas dėl klimato ir energetikos</w:t>
      </w:r>
      <w:r>
        <w:rPr>
          <w:rStyle w:val="FootnoteReference"/>
          <w:rFonts w:ascii="Times New Roman" w:hAnsi="Times New Roman"/>
          <w:noProof/>
          <w:sz w:val="24"/>
        </w:rPr>
        <w:footnoteReference w:id="11"/>
      </w:r>
      <w:r>
        <w:rPr>
          <w:rFonts w:ascii="Times New Roman" w:hAnsi="Times New Roman"/>
          <w:noProof/>
          <w:sz w:val="24"/>
        </w:rPr>
        <w:t xml:space="preserve"> miestai ir regionai raginami imtis veiksmų siekiant sumažinti išmetamų šiltnamio efektą sukeliančių dujų kiekį, didinti atsparumą ir užtikrinti prieigą prie švarios ir visiems įperkamos energijos.</w:t>
      </w:r>
    </w:p>
    <w:p>
      <w:pPr>
        <w:spacing w:after="240" w:line="240" w:lineRule="auto"/>
        <w:jc w:val="both"/>
        <w:rPr>
          <w:rFonts w:ascii="Times New Roman" w:hAnsi="Times New Roman" w:cs="Times New Roman"/>
          <w:b/>
          <w:i/>
          <w:noProof/>
          <w:color w:val="000000"/>
          <w:sz w:val="24"/>
          <w:szCs w:val="24"/>
        </w:rPr>
      </w:pPr>
      <w:r>
        <w:rPr>
          <w:rFonts w:ascii="Times New Roman" w:hAnsi="Times New Roman"/>
          <w:b/>
          <w:i/>
          <w:noProof/>
          <w:color w:val="000000"/>
          <w:sz w:val="24"/>
        </w:rPr>
        <w:t>I kriterijus. Veiksmingesnis viešojo finansavimo lėšų naudojimas</w:t>
      </w:r>
    </w:p>
    <w:p>
      <w:pPr>
        <w:spacing w:after="240" w:line="240" w:lineRule="auto"/>
        <w:jc w:val="both"/>
        <w:rPr>
          <w:rFonts w:ascii="Times New Roman" w:hAnsi="Times New Roman" w:cs="Times New Roman"/>
          <w:noProof/>
          <w:sz w:val="24"/>
          <w:szCs w:val="24"/>
        </w:rPr>
      </w:pPr>
      <w:r>
        <w:rPr>
          <w:rFonts w:ascii="Times New Roman" w:hAnsi="Times New Roman"/>
          <w:noProof/>
          <w:sz w:val="24"/>
        </w:rPr>
        <w:t>Tikslas – kuo geriau išnaudoti turimas viešojo finansavimo lėšas panaudojant finansines priemones, kuriomis šalinamos nustatytos rinkos nepakankamumo problemos, ir geriau skirstant dotacijas pažeidžiamiems vartotojams. Šiuo tikslu Komisija:</w:t>
      </w:r>
    </w:p>
    <w:p>
      <w:pPr>
        <w:numPr>
          <w:ilvl w:val="0"/>
          <w:numId w:val="11"/>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Sukurs</w:t>
      </w:r>
      <w:r>
        <w:rPr>
          <w:rFonts w:ascii="Times New Roman" w:hAnsi="Times New Roman"/>
          <w:noProof/>
          <w:sz w:val="24"/>
        </w:rPr>
        <w:t xml:space="preserve"> nacionalinėmis investavimo platformomis (atsižvelgiant į galimą regioninį aspektą) paremtus </w:t>
      </w:r>
      <w:r>
        <w:rPr>
          <w:rFonts w:ascii="Times New Roman" w:hAnsi="Times New Roman"/>
          <w:b/>
          <w:noProof/>
          <w:sz w:val="24"/>
        </w:rPr>
        <w:t>tvariosios energijos finansavimo modelius</w:t>
      </w:r>
      <w:r>
        <w:rPr>
          <w:rFonts w:ascii="Times New Roman" w:hAnsi="Times New Roman"/>
          <w:noProof/>
          <w:sz w:val="24"/>
        </w:rPr>
        <w:t>, parengtus kaip numatyta ESIF reglamente ir laikantis ES valstybės pagalbos taisyklių, siekiant pritraukti papildomą privatųjį finansavimą pastatams renovuoti.</w:t>
      </w:r>
    </w:p>
    <w:p>
      <w:pPr>
        <w:spacing w:after="240" w:line="240" w:lineRule="auto"/>
        <w:ind w:left="1080"/>
        <w:contextualSpacing/>
        <w:jc w:val="both"/>
        <w:rPr>
          <w:rFonts w:ascii="Times New Roman" w:hAnsi="Times New Roman" w:cs="Times New Roman"/>
          <w:noProof/>
          <w:sz w:val="24"/>
          <w:szCs w:val="24"/>
        </w:rPr>
      </w:pPr>
    </w:p>
    <w:p>
      <w:pPr>
        <w:spacing w:after="240" w:line="240" w:lineRule="auto"/>
        <w:ind w:left="1080"/>
        <w:contextualSpacing/>
        <w:jc w:val="both"/>
        <w:rPr>
          <w:rFonts w:ascii="Times New Roman" w:hAnsi="Times New Roman" w:cs="Times New Roman"/>
          <w:noProof/>
          <w:sz w:val="24"/>
          <w:szCs w:val="24"/>
        </w:rPr>
      </w:pPr>
      <w:r>
        <w:rPr>
          <w:rFonts w:ascii="Times New Roman" w:hAnsi="Times New Roman"/>
          <w:noProof/>
          <w:sz w:val="24"/>
        </w:rPr>
        <w:t>Bankų vaidmuo finansuojant vartotojų ir įmonių investicijas ES yra svarbesnis nei kitose išsivysčiusios ekonomikos šalyse. Nors bankai vis aktyviau veikia naujosiose energetikos rinkose, ypač didelės apimties atsinaujinančios energijos rinkoje, jie retai energijos vartojimo efektyvumą laiko atskiru rinkos segmentu. Dėl to trūksta tinkamų ir prieinamų komercinių finansavimo produktų, skirtų investicijoms į energijos vartojimo efektyvumą ar atsinaujinančiųjų išteklių energijos naudojimą pastatuose didinti</w:t>
      </w:r>
      <w:r>
        <w:rPr>
          <w:rStyle w:val="FootnoteReference"/>
          <w:rFonts w:ascii="Times New Roman" w:hAnsi="Times New Roman"/>
          <w:noProof/>
          <w:sz w:val="24"/>
        </w:rPr>
        <w:footnoteReference w:id="12"/>
      </w:r>
      <w:r>
        <w:rPr>
          <w:rFonts w:ascii="Times New Roman" w:hAnsi="Times New Roman"/>
          <w:noProof/>
          <w:sz w:val="24"/>
        </w:rPr>
        <w:t>. Siekdama išspręsti šią problemą Komisija parengė novatorišką finansavimo schemą – Energijos vartojimo efektyvumo privataus finansavimo priemonę (EVEPFP), finansuojamą pagal programą LIFE ir valdomą EIB. Šios bandomosios schemos sėkmę įrodo daug didesnis, nei planuota iš pradžių, sverto poveikis, ir tai rodo investicijų į energijos vartojimo efektyvumą skatinimo potencialą, jei užtikrinamas dalijimasis rizika, teikiama techninė pagalba, o EIB teikia kredito linijas dalyvaujančioms finansų įstaigoms. Patirtis, įgyta įgyvendinant Energijos vartojimo efektyvumo privataus finansavimo priemonę, dar labiau paskatins per investavimo platformas derinti Europos strateginių investicijų fondo lėšas su kitais viešojo finansavimo šaltiniais, įskaitant, jei tinkama, Europos struktūriniais ir investicijų fondais</w:t>
      </w:r>
      <w:r>
        <w:rPr>
          <w:rStyle w:val="FootnoteReference"/>
          <w:rFonts w:ascii="Times New Roman" w:hAnsi="Times New Roman"/>
          <w:noProof/>
          <w:sz w:val="24"/>
        </w:rPr>
        <w:footnoteReference w:id="13"/>
      </w:r>
      <w:r>
        <w:rPr>
          <w:rFonts w:ascii="Times New Roman" w:hAnsi="Times New Roman"/>
          <w:noProof/>
          <w:sz w:val="24"/>
        </w:rPr>
        <w:t>.</w:t>
      </w:r>
    </w:p>
    <w:p>
      <w:pPr>
        <w:spacing w:after="240" w:line="240" w:lineRule="auto"/>
        <w:ind w:left="1080"/>
        <w:contextualSpacing/>
        <w:jc w:val="both"/>
        <w:rPr>
          <w:rFonts w:ascii="Times New Roman" w:hAnsi="Times New Roman" w:cs="Times New Roman"/>
          <w:noProof/>
          <w:sz w:val="24"/>
          <w:szCs w:val="24"/>
        </w:rPr>
      </w:pPr>
    </w:p>
    <w:p>
      <w:pPr>
        <w:spacing w:after="240" w:line="240" w:lineRule="auto"/>
        <w:ind w:left="1080"/>
        <w:contextualSpacing/>
        <w:jc w:val="both"/>
        <w:rPr>
          <w:rFonts w:ascii="Times New Roman" w:hAnsi="Times New Roman" w:cs="Times New Roman"/>
          <w:noProof/>
          <w:sz w:val="24"/>
          <w:szCs w:val="24"/>
        </w:rPr>
      </w:pPr>
      <w:r>
        <w:rPr>
          <w:rFonts w:ascii="Times New Roman" w:hAnsi="Times New Roman"/>
          <w:noProof/>
          <w:sz w:val="24"/>
        </w:rPr>
        <w:t xml:space="preserve">Remdamasi šia patirtimi Komisija rems </w:t>
      </w:r>
      <w:r>
        <w:rPr>
          <w:rFonts w:ascii="Times New Roman" w:hAnsi="Times New Roman"/>
          <w:b/>
          <w:noProof/>
          <w:sz w:val="24"/>
        </w:rPr>
        <w:t>lanksčių energijos vartojimo efektyvumo ir atsinaujinančiųjų išteklių energijos finansavimo platformų</w:t>
      </w:r>
      <w:r>
        <w:rPr>
          <w:rFonts w:ascii="Times New Roman" w:hAnsi="Times New Roman"/>
          <w:noProof/>
          <w:sz w:val="24"/>
        </w:rPr>
        <w:t xml:space="preserve"> kūrimą nacionaliniu arba regioniniu lygmenimis. Per šias platformas gali būti teikiamos visapusiškos paslaugos ir sudarytos sąlygos vietos bankams, finansų tarpininkams, energetikos paslaugų įmonėms ar kitiems subjektams sutelkti investicijas siekiant daugeliui galutinių paramos gavėjų suteikti patrauklius tvariosios energetikos finansavimo produktus platformos apimamose srityse</w:t>
      </w:r>
      <w:r>
        <w:rPr>
          <w:rStyle w:val="FootnoteReference"/>
          <w:rFonts w:ascii="Times New Roman" w:hAnsi="Times New Roman"/>
          <w:noProof/>
          <w:sz w:val="24"/>
        </w:rPr>
        <w:footnoteReference w:id="14"/>
      </w:r>
      <w:r>
        <w:rPr>
          <w:rFonts w:ascii="Times New Roman" w:hAnsi="Times New Roman"/>
          <w:noProof/>
          <w:sz w:val="24"/>
        </w:rPr>
        <w:t xml:space="preserve">. </w:t>
      </w:r>
      <w:r>
        <w:rPr>
          <w:rFonts w:ascii="Times New Roman" w:hAnsi="Times New Roman"/>
          <w:noProof/>
          <w:sz w:val="24"/>
        </w:rPr>
        <w:lastRenderedPageBreak/>
        <w:t>Visų pirma subjektams, kurie nori finansuoti tvariosios energetikos investicijų portfelius, gali būti siūlomos trys viena kitą papildančios priemonės:</w:t>
      </w:r>
    </w:p>
    <w:p>
      <w:pPr>
        <w:spacing w:after="240" w:line="240" w:lineRule="auto"/>
        <w:ind w:left="1080"/>
        <w:contextualSpacing/>
        <w:jc w:val="both"/>
        <w:rPr>
          <w:rFonts w:ascii="Times New Roman" w:hAnsi="Times New Roman" w:cs="Times New Roman"/>
          <w:noProof/>
          <w:sz w:val="24"/>
          <w:szCs w:val="24"/>
        </w:rPr>
      </w:pPr>
    </w:p>
    <w:p>
      <w:pPr>
        <w:numPr>
          <w:ilvl w:val="0"/>
          <w:numId w:val="12"/>
        </w:numPr>
        <w:tabs>
          <w:tab w:val="left" w:pos="1701"/>
        </w:tabs>
        <w:spacing w:after="240" w:line="240" w:lineRule="auto"/>
        <w:contextualSpacing/>
        <w:jc w:val="both"/>
        <w:rPr>
          <w:rFonts w:ascii="Times New Roman" w:hAnsi="Times New Roman" w:cs="Times New Roman"/>
          <w:bCs/>
          <w:noProof/>
          <w:sz w:val="24"/>
          <w:szCs w:val="24"/>
        </w:rPr>
      </w:pPr>
      <w:r>
        <w:rPr>
          <w:rFonts w:ascii="Times New Roman" w:hAnsi="Times New Roman"/>
          <w:noProof/>
          <w:sz w:val="24"/>
        </w:rPr>
        <w:t>patobulintas EIB skolos finansavimas iš Europos strateginių investicijų fondo, siekiant padidinti tų subjektų finansavimo pajėgumą (tai sustiprintų dėmesį į tvariosios energijos naudojimą pastatuose pagal Europos strateginių investicijų fondą 2.0);</w:t>
      </w:r>
    </w:p>
    <w:p>
      <w:pPr>
        <w:numPr>
          <w:ilvl w:val="0"/>
          <w:numId w:val="12"/>
        </w:numPr>
        <w:tabs>
          <w:tab w:val="left" w:pos="1701"/>
        </w:tabs>
        <w:spacing w:after="240" w:line="240" w:lineRule="auto"/>
        <w:contextualSpacing/>
        <w:jc w:val="both"/>
        <w:rPr>
          <w:rFonts w:ascii="Times New Roman" w:hAnsi="Times New Roman" w:cs="Times New Roman"/>
          <w:bCs/>
          <w:noProof/>
          <w:sz w:val="24"/>
          <w:szCs w:val="24"/>
        </w:rPr>
      </w:pPr>
      <w:r>
        <w:rPr>
          <w:rFonts w:ascii="Times New Roman" w:hAnsi="Times New Roman"/>
          <w:noProof/>
          <w:sz w:val="24"/>
        </w:rPr>
        <w:t>rizikos pasidalijimo mechanizmas, kuriuo siekiama sumažinti portfelinių investicijų į tvariosios energiją naudojimą pastatuose riziką ir sudaryti patrauklesnes skolinimo galutiniams paramos gavėjams sąlygas. Šis mechanizmas galėtų būti naudojamas kartu su vietoje prieinamais fondais, be kita ko, Europos struktūriniais ir investicijų fondais;</w:t>
      </w:r>
    </w:p>
    <w:p>
      <w:pPr>
        <w:numPr>
          <w:ilvl w:val="0"/>
          <w:numId w:val="12"/>
        </w:numPr>
        <w:tabs>
          <w:tab w:val="left" w:pos="1701"/>
        </w:tabs>
        <w:spacing w:after="240" w:line="240" w:lineRule="auto"/>
        <w:ind w:left="1418" w:hanging="284"/>
        <w:contextualSpacing/>
        <w:jc w:val="both"/>
        <w:rPr>
          <w:rFonts w:ascii="Times New Roman" w:hAnsi="Times New Roman" w:cs="Times New Roman"/>
          <w:bCs/>
          <w:noProof/>
          <w:sz w:val="24"/>
          <w:szCs w:val="24"/>
        </w:rPr>
      </w:pPr>
      <w:r>
        <w:rPr>
          <w:rFonts w:ascii="Times New Roman" w:hAnsi="Times New Roman"/>
          <w:noProof/>
          <w:sz w:val="24"/>
        </w:rPr>
        <w:t>techninė patirtis ir pagalba siekiant vykdyti skolinimo programas, parengtas bendradarbiaujant su Europos investavimo konsultacijų centru (be kita ko, pagal tokias priemones kaip ELENA, JASPERS, „fi-compass“</w:t>
      </w:r>
      <w:r>
        <w:rPr>
          <w:rStyle w:val="FootnoteReference"/>
          <w:rFonts w:ascii="Times New Roman" w:hAnsi="Times New Roman"/>
          <w:noProof/>
          <w:sz w:val="24"/>
        </w:rPr>
        <w:footnoteReference w:id="15"/>
      </w:r>
      <w:r>
        <w:rPr>
          <w:rFonts w:ascii="Times New Roman" w:hAnsi="Times New Roman"/>
          <w:noProof/>
          <w:sz w:val="24"/>
        </w:rPr>
        <w:t>), ir naudojant kitus nacionalinius arba regioninius finansavimo šaltinius.</w:t>
      </w:r>
    </w:p>
    <w:p>
      <w:pPr>
        <w:tabs>
          <w:tab w:val="left" w:pos="1701"/>
        </w:tabs>
        <w:spacing w:after="240" w:line="240" w:lineRule="auto"/>
        <w:ind w:left="1134"/>
        <w:contextualSpacing/>
        <w:jc w:val="both"/>
        <w:rPr>
          <w:rFonts w:ascii="Times New Roman" w:hAnsi="Times New Roman" w:cs="Times New Roman"/>
          <w:bCs/>
          <w:noProof/>
          <w:sz w:val="24"/>
          <w:szCs w:val="24"/>
        </w:rPr>
      </w:pPr>
      <w:r>
        <w:rPr>
          <w:rFonts w:ascii="Times New Roman" w:hAnsi="Times New Roman"/>
          <w:noProof/>
          <w:sz w:val="24"/>
        </w:rPr>
        <w:t>Siekdama paremti šio modelio ir kitų susijusių tvariosios energetikos priemonių diegimą Komisija ištirs galimybes perskirstyti turimas ES lėšas, pavyzdžiui, techninei pagalbai.</w:t>
      </w:r>
    </w:p>
    <w:p>
      <w:pPr>
        <w:tabs>
          <w:tab w:val="left" w:pos="1701"/>
        </w:tabs>
        <w:spacing w:after="240" w:line="240" w:lineRule="auto"/>
        <w:ind w:left="1418"/>
        <w:contextualSpacing/>
        <w:jc w:val="both"/>
        <w:rPr>
          <w:rFonts w:ascii="Times New Roman" w:hAnsi="Times New Roman" w:cs="Times New Roman"/>
          <w:bCs/>
          <w:noProof/>
          <w:sz w:val="24"/>
          <w:szCs w:val="24"/>
        </w:rPr>
      </w:pPr>
    </w:p>
    <w:p>
      <w:pPr>
        <w:numPr>
          <w:ilvl w:val="0"/>
          <w:numId w:val="11"/>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Energinio naudingumo principu grindžiamos sutartys.</w:t>
      </w:r>
      <w:r>
        <w:rPr>
          <w:rFonts w:ascii="Times New Roman" w:hAnsi="Times New Roman"/>
          <w:noProof/>
          <w:sz w:val="24"/>
        </w:rPr>
        <w:t xml:space="preserve"> Energinio naudingumo principu grindžiamų sutarčių vaidmuo didinant vartojimo efektyvumą viešuosiuose pastatuose turi didėti, nes jomis kompleksiškai sprendžiami renovacijos klausimai, įskaitant finansavimą, darbų atlikimą ir energijos valdymą. Tam tikromis aplinkybėmis jos taip pat gali sudaryti sąlygas investuoti į energijos vartojimo efektyvumą nedidinant valstybės skolos, o tai yra labai svarbu su biudžeto apribojimais susiduriančioms vyriausybėms ir vietos bei regionų valdžios institucijoms, visų pirma kiek tai susiję su socialiniu būstu, ligoninėmis ar mokyklomis. Viešojo sektoriaus investicijų ir turto renovavimo statistinio vertinimo taisyklės turėtų būti skaidrios ir aiškios, siekiant palengvinti energijos vartojimo efektyvumą didinančias investicijas į viešąjį turtą. Eurostatas išnagrinės, kaip spręsti su energijos vartojimo efektyvumu susijusių investicijų poveikio valstybės skolai ir deficitui klausimą. Komisija, glaudžiai bendradarbiaudama su valstybėmis narėmis, nagrinėja viešojo sektoriaus apskaitos taisyklių poveikį sutarčių dėl energijos vartojimo efektyvumo rinkai ir atitinkamai iki 2017 m. pavasario pabaigos atnaujins savo gaires dėl tokių partnerysčių statistinio vertinimo.</w:t>
      </w:r>
      <w:r>
        <w:rPr>
          <w:rFonts w:ascii="Times New Roman" w:hAnsi="Times New Roman"/>
          <w:b/>
          <w:noProof/>
          <w:sz w:val="24"/>
        </w:rPr>
        <w:t xml:space="preserve"> </w:t>
      </w:r>
    </w:p>
    <w:p>
      <w:pPr>
        <w:spacing w:after="240" w:line="240" w:lineRule="auto"/>
        <w:ind w:left="1080"/>
        <w:contextualSpacing/>
        <w:jc w:val="both"/>
        <w:rPr>
          <w:rFonts w:ascii="Times New Roman" w:hAnsi="Times New Roman" w:cs="Times New Roman"/>
          <w:noProof/>
          <w:sz w:val="24"/>
          <w:szCs w:val="24"/>
        </w:rPr>
      </w:pPr>
    </w:p>
    <w:p>
      <w:pPr>
        <w:numPr>
          <w:ilvl w:val="0"/>
          <w:numId w:val="11"/>
        </w:numPr>
        <w:spacing w:after="240" w:line="240" w:lineRule="auto"/>
        <w:contextualSpacing/>
        <w:jc w:val="both"/>
        <w:rPr>
          <w:rFonts w:ascii="Times New Roman" w:hAnsi="Times New Roman" w:cs="Times New Roman"/>
          <w:b/>
          <w:noProof/>
          <w:sz w:val="24"/>
          <w:szCs w:val="24"/>
        </w:rPr>
      </w:pPr>
      <w:r>
        <w:rPr>
          <w:rFonts w:ascii="Times New Roman" w:hAnsi="Times New Roman"/>
          <w:b/>
          <w:noProof/>
          <w:sz w:val="24"/>
        </w:rPr>
        <w:t>Pagalbos viešųjų fondų valdytojams kuriant ir diegiant finansines priemones teikimas.</w:t>
      </w:r>
      <w:r>
        <w:rPr>
          <w:rFonts w:ascii="Times New Roman" w:hAnsi="Times New Roman"/>
          <w:noProof/>
          <w:sz w:val="24"/>
        </w:rPr>
        <w:t xml:space="preserve"> Be paramos, teikiamos per Europos investavimo konsultacijų centrą, „fi-compass“ arba Energijos ir valdymo institucijų tinklą, Komisija surengs keletą regioninių gebėjimų stiprinimo renginių, kuriuose dalyvaus pagrindiniai sprendimų priėmėjai ir suinteresuotieji subjektai. Pirmasis Baltijos regionui skirtas seminaras įvyko šių metų lapkričio mėn. Rygoje.</w:t>
      </w:r>
    </w:p>
    <w:p>
      <w:pPr>
        <w:spacing w:after="240" w:line="240" w:lineRule="auto"/>
        <w:ind w:left="1080"/>
        <w:contextualSpacing/>
        <w:jc w:val="both"/>
        <w:rPr>
          <w:rFonts w:ascii="Times New Roman" w:hAnsi="Times New Roman" w:cs="Times New Roman"/>
          <w:b/>
          <w:noProof/>
          <w:sz w:val="24"/>
          <w:szCs w:val="24"/>
        </w:rPr>
      </w:pPr>
    </w:p>
    <w:p>
      <w:pPr>
        <w:numPr>
          <w:ilvl w:val="0"/>
          <w:numId w:val="11"/>
        </w:numPr>
        <w:spacing w:after="240" w:line="240" w:lineRule="auto"/>
        <w:contextualSpacing/>
        <w:jc w:val="both"/>
        <w:rPr>
          <w:rFonts w:ascii="Times New Roman" w:hAnsi="Times New Roman" w:cs="Times New Roman"/>
          <w:b/>
          <w:noProof/>
          <w:sz w:val="24"/>
          <w:szCs w:val="24"/>
        </w:rPr>
      </w:pPr>
      <w:r>
        <w:rPr>
          <w:rFonts w:ascii="Times New Roman" w:hAnsi="Times New Roman"/>
          <w:noProof/>
          <w:sz w:val="24"/>
        </w:rPr>
        <w:lastRenderedPageBreak/>
        <w:t xml:space="preserve">Be to, Komisija parengė lengvai pritaikomą </w:t>
      </w:r>
      <w:r>
        <w:rPr>
          <w:rFonts w:ascii="Times New Roman" w:hAnsi="Times New Roman"/>
          <w:b/>
          <w:noProof/>
          <w:sz w:val="24"/>
        </w:rPr>
        <w:t>modelį, skirtą Europos struktūrinių ir investicijų fondų finansinių priemonių daliai didinti</w:t>
      </w:r>
      <w:r>
        <w:rPr>
          <w:rFonts w:ascii="Times New Roman" w:hAnsi="Times New Roman"/>
          <w:noProof/>
          <w:sz w:val="24"/>
        </w:rPr>
        <w:t xml:space="preserve"> – parengtą naudoti energijos vartojimo efektyvumo priemonę. Valstybės narės aktyviai rengė finansines priemones, skirtas energijos vartojimo efektyvumui didinti, visų pirma siekiant įgyvendinti tikslą 20 proc. ESI fondų lėšų skirti investicijoms į mažo anglies dioksido kiekio technologijų ekonomiką, pasitelkiant finansines priemones. Tačiau kai kurios valstybės narės vėluoja šioje srityje ir, jei būtų daugiau naudoti parengtų priemonių, tai galėtų padėti užpildyti šią spragą.</w:t>
      </w:r>
    </w:p>
    <w:p>
      <w:pPr>
        <w:spacing w:after="240" w:line="240" w:lineRule="auto"/>
        <w:ind w:left="1080"/>
        <w:contextualSpacing/>
        <w:jc w:val="both"/>
        <w:rPr>
          <w:rFonts w:ascii="Times New Roman" w:hAnsi="Times New Roman" w:cs="Times New Roman"/>
          <w:b/>
          <w:noProof/>
          <w:sz w:val="24"/>
          <w:szCs w:val="24"/>
        </w:rPr>
      </w:pPr>
    </w:p>
    <w:p>
      <w:pPr>
        <w:spacing w:after="240" w:line="240" w:lineRule="auto"/>
        <w:jc w:val="both"/>
        <w:rPr>
          <w:rFonts w:ascii="Times New Roman" w:hAnsi="Times New Roman" w:cs="Times New Roman"/>
          <w:b/>
          <w:i/>
          <w:noProof/>
          <w:color w:val="000000"/>
          <w:sz w:val="24"/>
          <w:szCs w:val="24"/>
        </w:rPr>
      </w:pPr>
      <w:r>
        <w:rPr>
          <w:rFonts w:ascii="Times New Roman" w:hAnsi="Times New Roman"/>
          <w:noProof/>
          <w:sz w:val="24"/>
        </w:rPr>
        <w:t xml:space="preserve">Kartu teisėkūros procedūra priimamo akto pasiūlyme dėl Pastatų energinio naudingumo direktyvos numatyta priemonių, kuriomis siekiama </w:t>
      </w:r>
      <w:r>
        <w:rPr>
          <w:rFonts w:ascii="Times New Roman" w:hAnsi="Times New Roman"/>
          <w:b/>
          <w:noProof/>
          <w:sz w:val="24"/>
        </w:rPr>
        <w:t>susieti</w:t>
      </w:r>
      <w:r>
        <w:rPr>
          <w:rFonts w:ascii="Times New Roman" w:hAnsi="Times New Roman"/>
          <w:noProof/>
          <w:sz w:val="24"/>
        </w:rPr>
        <w:t xml:space="preserve"> viešosiomis lėšomis teikiamas </w:t>
      </w:r>
      <w:r>
        <w:rPr>
          <w:rFonts w:ascii="Times New Roman" w:hAnsi="Times New Roman"/>
          <w:b/>
          <w:noProof/>
          <w:sz w:val="24"/>
        </w:rPr>
        <w:t>finansines paskatas</w:t>
      </w:r>
      <w:r>
        <w:rPr>
          <w:rFonts w:ascii="Times New Roman" w:hAnsi="Times New Roman"/>
          <w:noProof/>
          <w:sz w:val="24"/>
        </w:rPr>
        <w:t xml:space="preserve"> su sutaupytu energijos kiekiu. </w:t>
      </w:r>
    </w:p>
    <w:p>
      <w:pPr>
        <w:spacing w:after="240" w:line="240" w:lineRule="auto"/>
        <w:jc w:val="both"/>
        <w:rPr>
          <w:rFonts w:ascii="Times New Roman" w:hAnsi="Times New Roman" w:cs="Times New Roman"/>
          <w:b/>
          <w:i/>
          <w:noProof/>
          <w:color w:val="000000"/>
          <w:sz w:val="24"/>
          <w:szCs w:val="24"/>
        </w:rPr>
      </w:pPr>
      <w:r>
        <w:rPr>
          <w:rFonts w:ascii="Times New Roman" w:hAnsi="Times New Roman"/>
          <w:b/>
          <w:i/>
          <w:noProof/>
          <w:color w:val="000000"/>
          <w:sz w:val="24"/>
        </w:rPr>
        <w:t xml:space="preserve">II kriterijus. Projektų telkimas ir pagalba projektams rengti </w:t>
      </w:r>
    </w:p>
    <w:p>
      <w:pPr>
        <w:autoSpaceDE w:val="0"/>
        <w:autoSpaceDN w:val="0"/>
        <w:adjustRightInd w:val="0"/>
        <w:spacing w:after="240" w:line="240" w:lineRule="auto"/>
        <w:jc w:val="both"/>
        <w:rPr>
          <w:rFonts w:ascii="Times New Roman" w:hAnsi="Times New Roman" w:cs="Times New Roman"/>
          <w:bCs/>
          <w:noProof/>
          <w:sz w:val="24"/>
          <w:szCs w:val="24"/>
        </w:rPr>
      </w:pPr>
      <w:r>
        <w:rPr>
          <w:rFonts w:ascii="Times New Roman" w:hAnsi="Times New Roman"/>
          <w:noProof/>
          <w:sz w:val="24"/>
        </w:rPr>
        <w:t>Kad ši iniciatyva būtų sėkminga, būtina sudaryti finansuoti tinkamų didelio masto projektų rezervą, iš kurio projektai būtų finansuojami pasitelkiant investavimo platformas ir finansų priemones. Tačiau daugeliui projektų rengėjų – valdžios institucijų, fizinių asmenų ar įmonių – trūksta gebėjimų ir pajėgumų parengti, įgyvendinti ir finansuoti plataus užmojo projektus, skirtus švarią energiją vartojantiems pastatams. Todėl Komisija:</w:t>
      </w:r>
    </w:p>
    <w:p>
      <w:pPr>
        <w:numPr>
          <w:ilvl w:val="0"/>
          <w:numId w:val="13"/>
        </w:num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bendradarbiaudama su Europos investavimo konsultacijų centru </w:t>
      </w:r>
      <w:r>
        <w:rPr>
          <w:rFonts w:ascii="Times New Roman" w:hAnsi="Times New Roman"/>
          <w:b/>
          <w:noProof/>
          <w:sz w:val="24"/>
        </w:rPr>
        <w:t>sustiprins ES lygmeniu taikomas projektų rengimo pagalbos priemones</w:t>
      </w:r>
      <w:r>
        <w:rPr>
          <w:rFonts w:ascii="Times New Roman" w:hAnsi="Times New Roman"/>
          <w:b/>
          <w:noProof/>
          <w:sz w:val="24"/>
          <w:vertAlign w:val="superscript"/>
        </w:rPr>
        <w:footnoteReference w:id="16"/>
      </w:r>
      <w:r>
        <w:rPr>
          <w:rFonts w:ascii="Times New Roman" w:hAnsi="Times New Roman"/>
          <w:noProof/>
          <w:sz w:val="24"/>
        </w:rPr>
        <w:t>, tokias kaip ELENA. Tuo siekiama didinti investicinių projektų rezervą, remti finansinių priemonių diegimą, priartėti prie projektų rengėjų, visų pirma iš Rytų ir Vidurio Europos, dar labiau įtraukti miestus bei vietos subjektus ir skatinti perspektyvių sprendimų, įskaitant naujoviškas technologijas, finansavimą ir organizavimo strategijas, telkimą ir įsisavinimą rinkoje. Komisija padidins ES projektų rengimo pagalbos priemonių biudžetą nuo 23 mln. EUR 2015 m. iki 38 mln. EUR per metus nuo 2017 m. Numatoma, kad 2016–2017 m. ES projektų rengimo pagalbos biudžetas pritrauks iki 3 mlrd. EUR</w:t>
      </w:r>
      <w:r>
        <w:rPr>
          <w:rStyle w:val="FootnoteReference"/>
          <w:rFonts w:ascii="Times New Roman" w:hAnsi="Times New Roman"/>
          <w:noProof/>
          <w:sz w:val="24"/>
        </w:rPr>
        <w:footnoteReference w:id="17"/>
      </w:r>
      <w:r>
        <w:rPr>
          <w:rFonts w:ascii="Times New Roman" w:hAnsi="Times New Roman"/>
          <w:noProof/>
          <w:sz w:val="24"/>
        </w:rPr>
        <w:t xml:space="preserve"> investicijų į tvariosios energijos naudojimą pastatuose; </w:t>
      </w:r>
    </w:p>
    <w:p>
      <w:pPr>
        <w:spacing w:after="240" w:line="240" w:lineRule="auto"/>
        <w:ind w:left="1080"/>
        <w:contextualSpacing/>
        <w:jc w:val="both"/>
        <w:rPr>
          <w:rFonts w:ascii="Times New Roman" w:hAnsi="Times New Roman" w:cs="Times New Roman"/>
          <w:noProof/>
          <w:sz w:val="24"/>
          <w:szCs w:val="24"/>
        </w:rPr>
      </w:pPr>
    </w:p>
    <w:p>
      <w:pPr>
        <w:numPr>
          <w:ilvl w:val="0"/>
          <w:numId w:val="13"/>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skatins valstybes nares sukurti specialius</w:t>
      </w:r>
      <w:r>
        <w:rPr>
          <w:rFonts w:ascii="Times New Roman" w:hAnsi="Times New Roman"/>
          <w:noProof/>
          <w:sz w:val="24"/>
        </w:rPr>
        <w:t xml:space="preserve"> projektų rengėjams skirtus</w:t>
      </w:r>
      <w:r>
        <w:rPr>
          <w:noProof/>
        </w:rPr>
        <w:t xml:space="preserve"> </w:t>
      </w:r>
      <w:r>
        <w:rPr>
          <w:rFonts w:ascii="Times New Roman" w:hAnsi="Times New Roman"/>
          <w:b/>
          <w:noProof/>
          <w:sz w:val="24"/>
        </w:rPr>
        <w:t>vietos ar regioninius vieno langelio principu veikiančius kontaktinius centrus</w:t>
      </w:r>
      <w:r>
        <w:rPr>
          <w:rFonts w:ascii="Times New Roman" w:hAnsi="Times New Roman"/>
          <w:noProof/>
          <w:sz w:val="24"/>
        </w:rPr>
        <w:t>, kuriuose klientams būtų teikiamos visos paslaugos: nuo informacijos teikimo, techninės pagalbos, finansinės paramos organizavimo ir teikimo iki sutaupytų lėšų stebėsenos. Šios priemonės turėtų padėti sudaryti didesnį vietoje parengtų projektų rezervą ir užmegzti tvirtą bei patikimą partnerystę su vietos subjektais (pvz., MVĮ, finansų įstaigomis ir energetikos agentūromis), o svarbiausia – susieti finansavimo pasiūlą su paklausa. ES rems šių vieno langelio principu veikiančių kontaktinių centrų kūrimą ir pakartotinį diegimą užtikrindama keitimąsi gerąja patirtimi pagal iniciatyvą „Manag'Energy“</w:t>
      </w:r>
      <w:r>
        <w:rPr>
          <w:rStyle w:val="FootnoteReference"/>
          <w:rFonts w:ascii="Times New Roman" w:hAnsi="Times New Roman"/>
          <w:noProof/>
          <w:sz w:val="24"/>
        </w:rPr>
        <w:footnoteReference w:id="18"/>
      </w:r>
      <w:r>
        <w:rPr>
          <w:rFonts w:ascii="Times New Roman" w:hAnsi="Times New Roman"/>
          <w:noProof/>
          <w:sz w:val="24"/>
        </w:rPr>
        <w:t xml:space="preserve">, skirdama finansavimą pagal programą „Horizontas </w:t>
      </w:r>
      <w:r>
        <w:rPr>
          <w:rFonts w:ascii="Times New Roman" w:hAnsi="Times New Roman"/>
          <w:noProof/>
          <w:sz w:val="24"/>
        </w:rPr>
        <w:lastRenderedPageBreak/>
        <w:t>2020“</w:t>
      </w:r>
      <w:r>
        <w:rPr>
          <w:rStyle w:val="FootnoteReference"/>
          <w:rFonts w:ascii="Times New Roman" w:hAnsi="Times New Roman"/>
          <w:noProof/>
          <w:sz w:val="24"/>
        </w:rPr>
        <w:footnoteReference w:id="19"/>
      </w:r>
      <w:r>
        <w:rPr>
          <w:rFonts w:ascii="Times New Roman" w:hAnsi="Times New Roman"/>
          <w:noProof/>
          <w:sz w:val="24"/>
        </w:rPr>
        <w:t xml:space="preserve"> ir ES projektų rengimo pagalbos priemones arba, kai tinkama, teikdama finansavimą iš Europos struktūrinių ir investicijų fondų. </w:t>
      </w:r>
    </w:p>
    <w:p>
      <w:pPr>
        <w:autoSpaceDE w:val="0"/>
        <w:autoSpaceDN w:val="0"/>
        <w:adjustRightInd w:val="0"/>
        <w:spacing w:after="240" w:line="240" w:lineRule="auto"/>
        <w:jc w:val="both"/>
        <w:rPr>
          <w:rFonts w:ascii="Times New Roman" w:hAnsi="Times New Roman" w:cs="Times New Roman"/>
          <w:noProof/>
          <w:sz w:val="24"/>
          <w:szCs w:val="24"/>
        </w:rPr>
      </w:pPr>
    </w:p>
    <w:p>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Kartu papildomą postūmį grupuoti mažos apimties projektus suteiks siūlomas Energijos vartojimo efektyvumo direktyvos 7 straipsnyje valstybėms narėms nustatytų energijos taupymo įpareigojimų pratęsimas. </w:t>
      </w:r>
    </w:p>
    <w:p>
      <w:pPr>
        <w:spacing w:after="240" w:line="240" w:lineRule="auto"/>
        <w:jc w:val="both"/>
        <w:rPr>
          <w:rFonts w:ascii="Times New Roman" w:hAnsi="Times New Roman" w:cs="Times New Roman"/>
          <w:b/>
          <w:i/>
          <w:noProof/>
          <w:color w:val="000000"/>
          <w:sz w:val="24"/>
          <w:szCs w:val="24"/>
        </w:rPr>
      </w:pPr>
      <w:r>
        <w:rPr>
          <w:rFonts w:ascii="Times New Roman" w:hAnsi="Times New Roman"/>
          <w:b/>
          <w:i/>
          <w:noProof/>
          <w:color w:val="000000"/>
          <w:sz w:val="24"/>
        </w:rPr>
        <w:t>III kriterijus. Rizikos mažinimas</w:t>
      </w:r>
    </w:p>
    <w:p>
      <w:pPr>
        <w:autoSpaceDE w:val="0"/>
        <w:autoSpaceDN w:val="0"/>
        <w:adjustRightInd w:val="0"/>
        <w:spacing w:after="240" w:line="240" w:lineRule="auto"/>
        <w:jc w:val="both"/>
        <w:rPr>
          <w:rFonts w:ascii="Times New Roman" w:hAnsi="Times New Roman" w:cs="Times New Roman"/>
          <w:bCs/>
          <w:noProof/>
          <w:sz w:val="24"/>
          <w:szCs w:val="24"/>
        </w:rPr>
      </w:pPr>
      <w:r>
        <w:rPr>
          <w:rFonts w:ascii="Times New Roman" w:hAnsi="Times New Roman"/>
          <w:noProof/>
          <w:color w:val="000000"/>
          <w:sz w:val="24"/>
        </w:rPr>
        <w:t>Finansų įstaigos ragina</w:t>
      </w:r>
      <w:bookmarkStart w:id="2" w:name="_Ref462326186"/>
      <w:r>
        <w:rPr>
          <w:rFonts w:ascii="Times New Roman" w:hAnsi="Times New Roman"/>
          <w:noProof/>
          <w:color w:val="000000"/>
          <w:sz w:val="24"/>
          <w:vertAlign w:val="superscript"/>
        </w:rPr>
        <w:footnoteReference w:id="20"/>
      </w:r>
      <w:bookmarkEnd w:id="2"/>
      <w:r>
        <w:rPr>
          <w:rFonts w:ascii="Times New Roman" w:hAnsi="Times New Roman"/>
          <w:noProof/>
          <w:color w:val="000000"/>
          <w:sz w:val="24"/>
        </w:rPr>
        <w:t xml:space="preserve"> investuotojus ir finansuotojus geriau suvokti tikrąją rinkos duomenimis ir veiklos rezultatais pagrįstą investicijų į tvariosios energijos naudojimą pastatuose riziką ir naudą. Bankai turėtų palaipsniui pripažinti pagrindinius veiksnius, pavyzdžiui, mažesnę energijos taupymo paskolų mokėjimo įsipareigojimų neįvykdymo tikimybę arba turto vertės prieaugį dėl didesnio energijos vartojimo efektyvumo, ir tai turėtų atsispindėti jų finansavimo produktų kainoje. Taip pat svarbu sukurti specialius tvariosios energijos naudojimo pastatuose finansavimo produktus, siekiant skatinti sukurti antrinę (refinansavimo) rinką ir padidinti privataus kapitalo dalyvavimą. </w:t>
      </w:r>
      <w:r>
        <w:rPr>
          <w:rFonts w:ascii="Times New Roman" w:hAnsi="Times New Roman"/>
          <w:noProof/>
          <w:sz w:val="24"/>
        </w:rPr>
        <w:t>Siekdama paremti šį rinkos pokytį Komisija:</w:t>
      </w:r>
    </w:p>
    <w:p>
      <w:pPr>
        <w:numPr>
          <w:ilvl w:val="0"/>
          <w:numId w:val="14"/>
        </w:numPr>
        <w:autoSpaceDE w:val="0"/>
        <w:autoSpaceDN w:val="0"/>
        <w:adjustRightInd w:val="0"/>
        <w:spacing w:after="240" w:line="240" w:lineRule="auto"/>
        <w:ind w:left="709" w:hanging="283"/>
        <w:contextualSpacing/>
        <w:jc w:val="both"/>
        <w:rPr>
          <w:rFonts w:ascii="Times New Roman" w:hAnsi="Times New Roman" w:cs="Times New Roman"/>
          <w:noProof/>
          <w:color w:val="000000"/>
          <w:sz w:val="24"/>
          <w:szCs w:val="24"/>
        </w:rPr>
      </w:pPr>
      <w:r>
        <w:rPr>
          <w:rFonts w:ascii="Times New Roman" w:hAnsi="Times New Roman"/>
          <w:b/>
          <w:noProof/>
          <w:sz w:val="24"/>
        </w:rPr>
        <w:t>sukuria Energijos vartojimo efektyvumo rizikos mažinimo platformą</w:t>
      </w:r>
      <w:r>
        <w:rPr>
          <w:rFonts w:ascii="Times New Roman" w:hAnsi="Times New Roman"/>
          <w:noProof/>
          <w:sz w:val="24"/>
        </w:rPr>
        <w:t>, kurioje galima susipažinti su daugiau nei 5 000 Europos pramonės ir pastatų energijos vartojimo efektyvumo projektų techniniais ir finansiniais veiklos rezultatais. Projektų rengėjai, finansuotojai ir investuotojai raginami toliau pildyti šią atvirą duomenų bazę ir naudotis jos teikiamomis lyginamosios analizės ir tarpusavio mokymosi galimybėmis;</w:t>
      </w:r>
    </w:p>
    <w:p>
      <w:pPr>
        <w:autoSpaceDE w:val="0"/>
        <w:autoSpaceDN w:val="0"/>
        <w:adjustRightInd w:val="0"/>
        <w:spacing w:after="240" w:line="240" w:lineRule="auto"/>
        <w:ind w:left="1134"/>
        <w:contextualSpacing/>
        <w:jc w:val="both"/>
        <w:rPr>
          <w:rFonts w:ascii="Times New Roman" w:hAnsi="Times New Roman" w:cs="Times New Roman"/>
          <w:noProof/>
          <w:color w:val="000000"/>
          <w:sz w:val="24"/>
          <w:szCs w:val="24"/>
        </w:rPr>
      </w:pPr>
    </w:p>
    <w:p>
      <w:pPr>
        <w:numPr>
          <w:ilvl w:val="0"/>
          <w:numId w:val="14"/>
        </w:numPr>
        <w:autoSpaceDE w:val="0"/>
        <w:autoSpaceDN w:val="0"/>
        <w:adjustRightInd w:val="0"/>
        <w:spacing w:after="240" w:line="240" w:lineRule="auto"/>
        <w:contextualSpacing/>
        <w:jc w:val="both"/>
        <w:rPr>
          <w:rFonts w:ascii="Times New Roman" w:hAnsi="Times New Roman" w:cs="Times New Roman"/>
          <w:noProof/>
          <w:color w:val="000000"/>
          <w:sz w:val="24"/>
          <w:szCs w:val="24"/>
        </w:rPr>
      </w:pPr>
      <w:r>
        <w:rPr>
          <w:rFonts w:ascii="Times New Roman" w:hAnsi="Times New Roman"/>
          <w:noProof/>
          <w:sz w:val="24"/>
        </w:rPr>
        <w:t xml:space="preserve">glaudžiai bendradarbiaus su viešosiomis ir privačiosiomis finansų įstaigomis, pramonės atstovais ir sektoriaus ekspertais siekiant parengti </w:t>
      </w:r>
      <w:r>
        <w:rPr>
          <w:rFonts w:ascii="Times New Roman" w:hAnsi="Times New Roman"/>
          <w:b/>
          <w:noProof/>
          <w:sz w:val="24"/>
        </w:rPr>
        <w:t>bendrai sutartą investicijų į tvariosios energijos naudojimą pastatuose garantijų sistemą</w:t>
      </w:r>
      <w:r>
        <w:rPr>
          <w:rFonts w:ascii="Times New Roman" w:hAnsi="Times New Roman"/>
          <w:noProof/>
          <w:sz w:val="24"/>
        </w:rPr>
        <w:t>. Šią iniciatyvą bendrai parengs Energijos vartojimo efektyvumo finansų įstaigų grupė</w:t>
      </w:r>
      <w:r>
        <w:rPr>
          <w:rFonts w:ascii="Times New Roman" w:hAnsi="Times New Roman"/>
          <w:noProof/>
          <w:sz w:val="24"/>
          <w:vertAlign w:val="superscript"/>
        </w:rPr>
        <w:t>11</w:t>
      </w:r>
      <w:r>
        <w:rPr>
          <w:rFonts w:ascii="Times New Roman" w:hAnsi="Times New Roman"/>
          <w:noProof/>
          <w:sz w:val="24"/>
        </w:rPr>
        <w:t xml:space="preserve"> ir ją įgyvendinti numatoma 2017 m. Ji padės finansų įstaigoms į savo verslo praktiką įtraukti svarbiausią su energija susijusių priemonių teikiamą naudą, kartu mažinant sandorių sąnaudas ir didinant investuotojų pasitikėjimą. Šie veiksmai taip pat padės išnaudoti žaliosios hipotekos rinkos potencialą.</w:t>
      </w:r>
    </w:p>
    <w:p>
      <w:pPr>
        <w:autoSpaceDE w:val="0"/>
        <w:autoSpaceDN w:val="0"/>
        <w:adjustRightInd w:val="0"/>
        <w:spacing w:after="240" w:line="240" w:lineRule="auto"/>
        <w:jc w:val="both"/>
        <w:rPr>
          <w:rFonts w:ascii="Times New Roman" w:hAnsi="Times New Roman" w:cs="Times New Roman"/>
          <w:bCs/>
          <w:noProof/>
          <w:sz w:val="24"/>
          <w:szCs w:val="24"/>
        </w:rPr>
      </w:pPr>
    </w:p>
    <w:p>
      <w:pPr>
        <w:autoSpaceDE w:val="0"/>
        <w:autoSpaceDN w:val="0"/>
        <w:adjustRightInd w:val="0"/>
        <w:spacing w:after="240" w:line="240" w:lineRule="auto"/>
        <w:jc w:val="both"/>
        <w:rPr>
          <w:rFonts w:ascii="Times New Roman" w:hAnsi="Times New Roman" w:cs="Times New Roman"/>
          <w:bCs/>
          <w:noProof/>
          <w:sz w:val="24"/>
          <w:szCs w:val="24"/>
        </w:rPr>
      </w:pPr>
      <w:r>
        <w:rPr>
          <w:rFonts w:ascii="Times New Roman" w:hAnsi="Times New Roman"/>
          <w:noProof/>
          <w:sz w:val="24"/>
        </w:rPr>
        <w:t xml:space="preserve">Be to, į teisėkūros pasiūlymą dėl Pastatų energinio naudingumo direktyvos įtraukta priemonių, skirtų privačiojo sektoriaus investuotojams suteikti galimybę gauti daugiau geresnės informacijos, įskaitant patikimesnius pastatų energinio naudingumo sertifikatus, faktinio viešuosiuose pastatuose suvartojamo energijos kiekio duomenų rinkinius, ir toliau kurti ilgalaikių renovacijos veiksmų planus, kuriais būtų galima vadovautis priimant investicinius sprendimus. </w:t>
      </w:r>
    </w:p>
    <w:p>
      <w:pPr>
        <w:spacing w:after="240" w:line="240" w:lineRule="auto"/>
        <w:jc w:val="both"/>
        <w:rPr>
          <w:rFonts w:ascii="Times New Roman" w:hAnsi="Times New Roman" w:cs="Times New Roman"/>
          <w:b/>
          <w:i/>
          <w:noProof/>
          <w:color w:val="000000"/>
          <w:sz w:val="24"/>
          <w:szCs w:val="24"/>
        </w:rPr>
      </w:pPr>
      <w:r>
        <w:rPr>
          <w:rFonts w:ascii="Times New Roman" w:hAnsi="Times New Roman"/>
          <w:noProof/>
          <w:sz w:val="24"/>
        </w:rPr>
        <w:t xml:space="preserve">Komisija taip pat įsteigia </w:t>
      </w:r>
      <w:r>
        <w:rPr>
          <w:rFonts w:ascii="Times New Roman" w:hAnsi="Times New Roman"/>
          <w:b/>
          <w:noProof/>
          <w:sz w:val="24"/>
        </w:rPr>
        <w:t>ES pastatų stebėsenos centrą</w:t>
      </w:r>
      <w:r>
        <w:rPr>
          <w:rFonts w:ascii="Times New Roman" w:hAnsi="Times New Roman"/>
          <w:noProof/>
          <w:sz w:val="24"/>
        </w:rPr>
        <w:t>, skirtą informacijai apie ES pastatus ir jų energinę renovaciją centralizuotai rinkti. Tai suteiks galimybę naudotis parama rengiant, įgyvendinant, stebint ir vertinant politiką ir susijusias finansines priemones.</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lastRenderedPageBreak/>
        <w:t>2.</w:t>
      </w:r>
      <w:r>
        <w:rPr>
          <w:noProof/>
        </w:rPr>
        <w:tab/>
      </w:r>
      <w:r>
        <w:rPr>
          <w:rFonts w:ascii="Times New Roman" w:hAnsi="Times New Roman"/>
          <w:b/>
          <w:noProof/>
          <w:sz w:val="24"/>
        </w:rPr>
        <w:t>Statybų sektorius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paragins statybų sektoriaus suinteresuotuosius subjektus aptarti, kokie yra investicijų į tvariosios energiją naudojimą pastatuose iššūkiai ir tų investicijų teikiamos galimybės ir kaip jas būtų galima dar labiau skatinti. Tai papildo Darnių statybų aukšto lygio trišalio forumo darbą, susijusį su 2020 m. statybų strategija.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Vadovaudamasi Europos įgūdžių darbotvarke</w:t>
      </w:r>
      <w:r>
        <w:rPr>
          <w:rStyle w:val="FootnoteReference"/>
          <w:rFonts w:ascii="Times New Roman" w:hAnsi="Times New Roman"/>
          <w:noProof/>
          <w:sz w:val="24"/>
        </w:rPr>
        <w:footnoteReference w:id="21"/>
      </w:r>
      <w:r>
        <w:rPr>
          <w:rFonts w:ascii="Times New Roman" w:hAnsi="Times New Roman"/>
          <w:noProof/>
          <w:sz w:val="24"/>
        </w:rPr>
        <w:t xml:space="preserve"> Komisija deda pastangas siekdama padėti išspręsti su įgūdžiais susijusias problemas. Atsižvelgdama į patirtį, įgytą vykdant šiais metais pradėtas bandomąsias schemas, 2017 m. Komisija pradės įgyvendinti naujus vadinamuosius sektorių bendradarbiavimo įgūdžių srityje planus, vienas kurių taip pat bus susijęs su statybų sektoriumi ir jame daugiausia dėmesio bus skiriama energijos vartojimo efektyvumui ir skaitmeniniams įgūdžiams. Atsižvelgiant į tai bus kuriamos sąsajos su Komisijos įgūdžių stiprinimo iniciatyva, kuria siekiama pagerinti statybų sektoriaus darbuotojų įgūdžius, susijusius su energijos vartojimo efektyvumo ir atsinaujinančių išteklių energijos technologijomis, jų diegimu ir valdymu</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Naujų pastatų statyba ar pastatų renovavimas siekiant padidinti jų energijos vartojimo efektyvumą teikia galimybę persvarstyti statybų ir griovimo veiklą, siekiant atsižvelgti į platesnius efektyvaus išteklių naudojimo aspektus. Pagal žiedinės ekonomikos teisės aktų rinkinį Europos Komisija kitais metais pateiks ES sistemą, siekiant įvertinti bendrą pastatų aplinkosauginį veiksmingumą. Tokia sistema turėtų būti taikoma siekiant skatinti žiedinę ekonomiką apstatytoje aplinkoje, be kita ko, ją taikant didelio masto taikomuosiuose projektuose, Europos struktūriniuose ir investicijų fonduose ir nacionalinėje politikoje ir teisės aktuose. Be to, Europos Komisija nagrinėja galimybes, kaip paremti iniciatyvas, skirtas investicijoms į naują ir (arba) naujovišką statybų ir griovimo atliekų perdirbimo infrastruktūrą atsiliekančiuose regionuose skatinti, atsižvelgiant į tikslą iki 2020 m. pagal Atliekų pagrindų direktyvą įgyvendinti pakartotinio naudojimo, naudojimo ir perdirbimo 70 proc. tikslą. Tokios investicijos galėtų būti remiamos Europos strateginių investicijų fondo lėšomis. Šiuo metu yra steigiama speciali žiedinės ekonomikos projektams skirta platforma. Be to, Komisija parengė Statybų ir griovimo atliekų tvarkymo protokolą, siekdama padėti suinteresuotiesiems subjektams atliekas tvarkyti aplinkai nekenksmingu būdu ir padidinti jų perdirbimo galimybes. Žvelgiant į ateitį, Europos Komisija šiuo metu taip pat rengia darnaus pastatų projektavimo principus ir taisykles, kad vykdant statybų ir griovimo veiklą susidarytų mažiau atliekų ir būtų skatinamas medžiagų perdirbimas. Visos šios iniciatyvos padės savo ruožtu sumažinti su statybinėmis medžiagomis susijusį energijos suvartojimą ir sąnaudas.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Pagerinus rinkų veikimą reikia išnaudoti statybų sektoriaus augimo ir darbo vietų kūrimo potencialą. Statybų sektoriaus tinkamumo patikros rezultatai bus naudojami siekiant užtikrinti geresnį susijusių vidaus rinkos ir energijos vartojimo efektyvumo teisės aktų derėjimą. Pavyzdžiui, kai tinkama, dėl ekologinio projektavimo reglamentų atsirandantys reikalavimai turėtų būti įtraukti į tiems patiems produktams pagal Statybos produktų reglamentą taikomus suderintus standartus, siekiant gamintojams suteikti vieną bendrą sistemą, pagal kurią jie galėtų bandyti savo produktus. Kadangi statybos produktų vidaus rinka vis dar yra </w:t>
      </w:r>
      <w:r>
        <w:rPr>
          <w:rFonts w:ascii="Times New Roman" w:hAnsi="Times New Roman"/>
          <w:noProof/>
          <w:sz w:val="24"/>
        </w:rPr>
        <w:lastRenderedPageBreak/>
        <w:t>susiskaldžiusi, šiuo metu vyksta konsultacijos su suinteresuotaisiais subjektais</w:t>
      </w:r>
      <w:r>
        <w:rPr>
          <w:rStyle w:val="FootnoteReference"/>
          <w:rFonts w:ascii="Times New Roman" w:hAnsi="Times New Roman"/>
          <w:noProof/>
          <w:sz w:val="24"/>
        </w:rPr>
        <w:footnoteReference w:id="23"/>
      </w:r>
      <w:r>
        <w:rPr>
          <w:rFonts w:ascii="Times New Roman" w:hAnsi="Times New Roman"/>
          <w:noProof/>
          <w:sz w:val="24"/>
        </w:rPr>
        <w:t>, kurios galbūt lems Statybos produktų reglamento peržiūrą per šios Komisijos kadenciją.</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Europos Komisija ir toliau rems inovacijas skatindama pažangių technologinių produktų ir procesų kūrimą vykdant sutartinę viešojo ir privačiojo sektorių partnerystę </w:t>
      </w:r>
      <w:r>
        <w:rPr>
          <w:rFonts w:ascii="Times New Roman" w:hAnsi="Times New Roman"/>
          <w:i/>
          <w:noProof/>
          <w:sz w:val="24"/>
        </w:rPr>
        <w:t>dėl efektyviai energiją vartojančių pastatų</w:t>
      </w:r>
      <w:r>
        <w:rPr>
          <w:rFonts w:ascii="Times New Roman" w:hAnsi="Times New Roman"/>
          <w:noProof/>
          <w:sz w:val="24"/>
        </w:rPr>
        <w:t>. Tikimasi, kad, vykdant šią viešojo ir privačiojo sektorių partnerystę, bus išrastos technologijos, būtinos siekiant padidinti Europos statybų pramonės tvarumą ir konkurencingumą</w:t>
      </w:r>
      <w:r>
        <w:rPr>
          <w:rStyle w:val="FootnoteReference"/>
          <w:rFonts w:ascii="Times New Roman" w:hAnsi="Times New Roman"/>
          <w:noProof/>
          <w:sz w:val="24"/>
        </w:rPr>
        <w:footnoteReference w:id="24"/>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Ši iniciatyva galėtų būti remiama laikantis pažangaus požiūrio į viešuosius pirkimus, kuriuo skatinama priimti novatoriškus mažo anglies dioksido kiekio sprendimus įgyvendinant pramonės inicijuojamas standartizavimo iniciatyvas, tokias kaip „SustSteel“</w:t>
      </w:r>
      <w:r>
        <w:rPr>
          <w:rStyle w:val="FootnoteReference"/>
          <w:rFonts w:ascii="Times New Roman" w:hAnsi="Times New Roman"/>
          <w:noProof/>
          <w:sz w:val="24"/>
        </w:rPr>
        <w:footnoteReference w:id="25"/>
      </w:r>
      <w:r>
        <w:rPr>
          <w:rFonts w:ascii="Times New Roman" w:hAnsi="Times New Roman"/>
          <w:noProof/>
          <w:sz w:val="24"/>
        </w:rPr>
        <w:t>. Kai šie standartai bus parengti, juos galės naudoti statybų sektorius, kad įvykdytų savo tvarumo tikslus. Šis požiūris iš principo gali būti taikomas ir kitiems statybos produktams ir suteiktų galimybę sektoriui įvertinti savo pastangas ir veiksmingiau platinti savo produktus.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Naujosiomis viešųjų pirkimų direktyvomis (galiojančiomis nuo 2016 m. pavasario) sustiprintos ir optimizuotos visos esamos inovacinės priemonės: funkciniai kriterijai, variantai, kokybės aspektai techninėse specifikacijose ir skyrimo kriterijai. ES taip pat prisideda prie inovacijų finansavimo vykdant viešuosius pirkimus iš Europos struktūrinių ir investicijų fondų ir pagal programą „Horizontas 2020“. To rezultatas – įgyvendinama nemažai novatoriškų projektų. Įdomus pavyzdys yra tarpvalstybinis projektas PAPIRUS (apimantis Vokietiją, Ispaniją, Italiją ir Norvegiją), kuriuo siekiama skatinti priimti, įgyvendinti ir patvirtinti novatoriškus tvarios statybos sprendimus, vykdant viešuosius pirkimus ir daugiausia dėmesio skiriant energijos beveik nevartojantiems pastatams. Be to, Komisija paskelbė biuro pastatų projektavimui, statybai ir valdymui skirtų savanoriškų žaliojo viešojo pirkimo kriterijų dokumentą, kuriame pateikiama įvairių rekomendacijų, kaip įsigyti ekologišką, efektyviai energiją vartojantį biurų pastatą</w:t>
      </w:r>
      <w:r>
        <w:rPr>
          <w:rFonts w:ascii="Times New Roman" w:hAnsi="Times New Roman"/>
          <w:noProof/>
          <w:sz w:val="24"/>
          <w:vertAlign w:val="superscript"/>
        </w:rPr>
        <w:footnoteReference w:id="2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Skaitmeninės technologijos gali padėti padidinti statybos procesų ir pastatų eksploatavimo energijos vartojimo efektyvumą, taip prisidedant prie mūsų energijos taupymo tikslų. Todėl Komisija padeda nustatyti bendrus viešųjų pirkimų principus ir taisykles, susijusius su pastatų charakteristikų, įskaitant jų energinį naudingumą (statinio informacinis modeliavimas), skaitmeninimu. Tai prisidėtų prie bendros skaitmeninio pastatų žurnalo sistemos parengimo bei specialių MVĮ skirtų veiksmų ir sudarytų sąlygas gerokai lengviau keistis informacija ir remti sprendimų priėmimą prieš statybos projektų įgyvendinimą, juos įgyvendinant ir įgyvendinus, išvengti konkuruojančių nacionalinių strategijų susiskaidymo ir sumažinti MVĮ sąnaudas. Be to, pagal PPO sutartį dėl viešųjų pirkimų ir dvišalius susitarimus ES užtikrina, kad viešieji pirkimai būtų vykdomi skaidriai ir konkurencingai, nediskriminuojant ES prekių, paslaugų ar tiekėjų.</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109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Europos Komisija, „Europos statybų sektorius – visuotinis partneris“, 2016 m.</w:t>
      </w:r>
    </w:p>
  </w:footnote>
  <w:footnote w:id="2">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Pastatų energetinio naudingumo direktyvos pakeitimo poveikio vertinimas, SWD(2016) 414; taip pat žr. JRC ataskaitą „Energy Renovation: The Trump Card for the New Start for Europe“ („Energinė renovacija: naujos pradžios variklis Europoje“), kurią galima rasti http://iet.jrc.ec.europa.eu/energyefficiency/publication/energy-renovation-trump-card-new-start-europe.</w:t>
      </w:r>
    </w:p>
  </w:footnote>
  <w:footnote w:id="3">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Komunikatas „Europa vėl investuoja. Investicijų plano Europai rezultatų apžvalga ir tolesni veiksmai“, COM(2016) 359. </w:t>
      </w:r>
    </w:p>
  </w:footnote>
  <w:footnote w:id="4">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Pastaba. Be to, iš Europos žemės ūkio fondo kaimo plėtrai (EŽŪFKP) ir Europos jūrų reikalų ir žuvininkystės fondo (EJRŽF), kurie taip pat yra ESI fondų dalis, skirta atitinkamai 870 mln. EUR ir 113 mln. EUR asignavimų. </w:t>
      </w:r>
    </w:p>
  </w:footnote>
  <w:footnote w:id="5">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Sąmata grindžiama 2014–2020 m. veiksmų programų teminio tikslo „remti perėjimą prie mažai anglies dioksido į aplinką išskiriančių technologijų ekonomikos visuose sektoriuose“ finansinėmis lentelėmis.</w:t>
      </w:r>
    </w:p>
  </w:footnote>
  <w:footnote w:id="6">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Įskaitant nacionalinį bendrą finansavimą.</w:t>
      </w:r>
    </w:p>
  </w:footnote>
  <w:footnote w:id="7">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Pirmoji metinė ESI fondų 2014–2020 m. finansinių priemonių pažangos suvestinė bus parengta iki 2016 m. lapkričio mėn. pabaigos.</w:t>
      </w:r>
    </w:p>
  </w:footnote>
  <w:footnote w:id="8">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Per pastaruosius 5 metus EIB energijos vartojimo efektyvumo sektoriui suteikė 10,5 mlrd. EUR.</w:t>
      </w:r>
    </w:p>
  </w:footnote>
  <w:footnote w:id="9">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605, 2016 m. rugsėjo 14 d.</w:t>
      </w:r>
    </w:p>
  </w:footnote>
  <w:footnote w:id="10">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Žr. Komisijos pareiškimą dėl to, kaip ji vertina vienkartinius įnašus pagal ESIF iniciatyvą siekiant įgyvendinti Stabilumo ir augimo paktą, OL L 169, 2015 7 1, p. 38, taip pat žr. komunikatą „Geriausias pasinaudojimas lankstumu, kurį suteikia galiojančios Stabilumo ir augimo pakto taisyklės“, COM(2015) 12.</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http://www.covenantofmayors.eu/index_en.html</w:t>
        </w:r>
      </w:hyperlink>
      <w:r>
        <w:rPr>
          <w:rFonts w:ascii="Times New Roman" w:hAnsi="Times New Roman"/>
        </w:rPr>
        <w:t xml:space="preserve"> </w:t>
      </w:r>
    </w:p>
  </w:footnote>
  <w:footnote w:id="12">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Visų pirma investicijoms į šildymo ir aušinimo sprendimus, saulės baterijų plokštes ant stogų ir šilumos siurblius. </w:t>
      </w:r>
    </w:p>
  </w:footnote>
  <w:footnote w:id="13">
    <w:p>
      <w:pPr>
        <w:pStyle w:val="FootnoteText"/>
        <w:tabs>
          <w:tab w:val="left" w:pos="240"/>
        </w:tabs>
        <w:ind w:left="240" w:hanging="240"/>
        <w:jc w:val="both"/>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Neseniai priimtame Bendrojo reglamento pasiūlyme (COM(2016) 605) Komisija siūlo supaprastinti ESI fondų ir ESIF derinimo taisykles – tai leistų toliau kurti daugiau patogių naudoti modelių ir šablonų. </w:t>
      </w:r>
    </w:p>
  </w:footnote>
  <w:footnote w:id="14">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Šios platformos taip pat suteiks didesnį matomumą jose finansuojamiems projektams, kad būtų galima pasinaudoti atitinkamais ESIF teikiamais reguliavimo ir administraciniais privalumais.</w:t>
      </w:r>
    </w:p>
  </w:footnote>
  <w:footnote w:id="15">
    <w:p>
      <w:pPr>
        <w:pStyle w:val="FootnoteText"/>
        <w:tabs>
          <w:tab w:val="left" w:pos="240"/>
        </w:tabs>
        <w:ind w:left="240" w:hanging="240"/>
        <w:jc w:val="both"/>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Europos struktūrinių ir investicijų fondų (ESI fondų) konsultavimo finansinių priemonių klausimais platforma „fi-compass“ yra skirta padėti ESI fondų valdymo institucijoms ir kitiems suinteresuotiesiems subjektams, jiems teikiant praktinių žinių ir mokymosi apie finansines priemones galimybių. </w:t>
      </w:r>
      <w:hyperlink r:id="rId2">
        <w:r>
          <w:rPr>
            <w:rStyle w:val="Hyperlink"/>
            <w:rFonts w:ascii="Times New Roman" w:hAnsi="Times New Roman"/>
          </w:rPr>
          <w:t>https://www.fi-compass.eu/</w:t>
        </w:r>
      </w:hyperlink>
    </w:p>
  </w:footnote>
  <w:footnote w:id="16">
    <w:p>
      <w:pPr>
        <w:pStyle w:val="FootnoteText"/>
        <w:tabs>
          <w:tab w:val="left" w:pos="240"/>
        </w:tabs>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Priemonės ELENA ir projektų rengimo pagalbos priemonių kvietimas teikti pasiūlymus pagal programą „Horizontas 2020“.</w:t>
      </w:r>
    </w:p>
  </w:footnote>
  <w:footnote w:id="17">
    <w:p>
      <w:pPr>
        <w:pStyle w:val="FootnoteText"/>
        <w:tabs>
          <w:tab w:val="left" w:pos="240"/>
        </w:tabs>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Remiantis anksčiau pagal priemonę ELENA ir EASME projektų rengimo pagalbos priemonių pasiektu sverto koeficientu.</w:t>
      </w:r>
    </w:p>
  </w:footnote>
  <w:footnote w:id="18">
    <w:p>
      <w:pPr>
        <w:pStyle w:val="FootnoteText"/>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„Manag'Energy“ – tai gebėjimų stiprinimo kontaktinis centras, padėsiantis daugiau nei 400 Europos vietos ir regioninių energetikos agentūrų didinti savo pajėgumą finansuoti energijos vartojimo efektyvumo projektus ir sudarysiantis sąlygas agentūroms kurti struktūras laikantis kompleksinio integruoto vietos ir (arba) regionų lygmens požiūrio.</w:t>
      </w:r>
    </w:p>
  </w:footnote>
  <w:footnote w:id="19">
    <w:p>
      <w:pPr>
        <w:pStyle w:val="FootnoteText"/>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Programa „Horizontas 2020“ (EE-23-2017), susijusi su novatoriško finansavimo schemomis, t. y. schemomis, pagrįstomis projektų telkimu arba regioninio arba nacionalinio lygmens koordinavimo centrais.</w:t>
      </w:r>
    </w:p>
  </w:footnote>
  <w:footnote w:id="20">
    <w:p>
      <w:pPr>
        <w:pStyle w:val="FootnoteText"/>
        <w:tabs>
          <w:tab w:val="left" w:pos="240"/>
        </w:tabs>
        <w:jc w:val="both"/>
        <w:rPr>
          <w:rFonts w:ascii="Times New Roman" w:hAnsi="Times New Roman" w:cs="Times New Roman"/>
        </w:rPr>
      </w:pPr>
      <w:r>
        <w:rPr>
          <w:rStyle w:val="FootnoteReference"/>
          <w:rFonts w:ascii="Times New Roman" w:hAnsi="Times New Roman"/>
        </w:rPr>
        <w:footnoteRef/>
      </w:r>
      <w:r>
        <w:tab/>
      </w:r>
      <w:hyperlink r:id="rId3">
        <w:r>
          <w:rPr>
            <w:rStyle w:val="Hyperlink"/>
            <w:rFonts w:ascii="Times New Roman" w:hAnsi="Times New Roman"/>
          </w:rPr>
          <w:t>www.eefig.com</w:t>
        </w:r>
      </w:hyperlink>
    </w:p>
  </w:footnote>
  <w:footnote w:id="21">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Komunikatas „</w:t>
      </w:r>
      <w:r>
        <w:rPr>
          <w:rFonts w:ascii="Times New Roman" w:hAnsi="Times New Roman"/>
          <w:i/>
        </w:rPr>
        <w:t>Nauja Europos įgūdžių darbotvarkė. Dirbti kartu siekiant didinti žmogiškąjį kapitalą, įsidarbinimo galimybes ir konkurencingumą</w:t>
      </w:r>
      <w:r>
        <w:rPr>
          <w:rFonts w:ascii="Times New Roman" w:hAnsi="Times New Roman"/>
        </w:rPr>
        <w:t>“, COM(2016) 381.</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Iniciatyva finansuojama pagal programą „Pažangioji energetika Europai“ ir programos „Horizontas 2020“ 3-iąjį socialinį uždavinį.</w:t>
      </w:r>
    </w:p>
  </w:footnote>
  <w:footnote w:id="23">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Kaip numatyta Statybos produktų reglamento įgyvendinimo ataskaitoje (įrašyti nuorodą).</w:t>
      </w:r>
    </w:p>
  </w:footnote>
  <w:footnote w:id="24">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http://ec.europa.eu/research/industrial_technologies/energy-efficient-buildings_en.html.</w:t>
      </w:r>
    </w:p>
  </w:footnote>
  <w:footnote w:id="25">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Plieno pramonė rengia Europos tvaraus plieno standartus („SustSteel“), kurie sudarys sąlygas įmonėms patvirtinti, kad jų statybų sektoriui skirti plieno gaminiai atitinka nustatytus ekonominių</w:t>
      </w:r>
      <w:r>
        <w:t>, aplinkosauginių ir socialinių tvarumo aspektų reikalavimus.</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SWD(2016) 180 </w:t>
      </w:r>
      <w:r>
        <w:rPr>
          <w:rFonts w:ascii="Times New Roman" w:hAnsi="Times New Roman"/>
          <w:i/>
        </w:rPr>
        <w:t>final</w:t>
      </w:r>
      <w:r>
        <w:rPr>
          <w:rFonts w:ascii="Times New Roman" w:hAnsi="Times New Roman"/>
        </w:rPr>
        <w:t>, „ES ŽVP kriterijai, taikomi biuro pastatų projektavimui, statybai ir valdymui“.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F15"/>
    <w:multiLevelType w:val="hybridMultilevel"/>
    <w:tmpl w:val="D76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D7468"/>
    <w:multiLevelType w:val="hybridMultilevel"/>
    <w:tmpl w:val="0DEA47A6"/>
    <w:lvl w:ilvl="0" w:tplc="BA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22AC8"/>
    <w:multiLevelType w:val="hybridMultilevel"/>
    <w:tmpl w:val="D43CA060"/>
    <w:lvl w:ilvl="0" w:tplc="252ED40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A6AAB"/>
    <w:multiLevelType w:val="hybridMultilevel"/>
    <w:tmpl w:val="D6BC8892"/>
    <w:lvl w:ilvl="0" w:tplc="F8348F44">
      <w:numFmt w:val="bullet"/>
      <w:lvlText w:val="-"/>
      <w:lvlJc w:val="left"/>
      <w:pPr>
        <w:ind w:left="1440" w:hanging="360"/>
      </w:pPr>
      <w:rPr>
        <w:rFonts w:ascii="Times New Roman" w:eastAsiaTheme="minorHAnsi" w:hAnsi="Times New Roman" w:cs="Times New Roman" w:hint="default"/>
        <w:b/>
      </w:rPr>
    </w:lvl>
    <w:lvl w:ilvl="1" w:tplc="F8348F44">
      <w:numFmt w:val="bullet"/>
      <w:lvlText w:val="-"/>
      <w:lvlJc w:val="left"/>
      <w:pPr>
        <w:ind w:left="2160" w:hanging="360"/>
      </w:pPr>
      <w:rPr>
        <w:rFonts w:ascii="Times New Roman" w:eastAsiaTheme="minorHAnsi" w:hAnsi="Times New Roman" w:cs="Times New Roman"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0B0302"/>
    <w:multiLevelType w:val="hybridMultilevel"/>
    <w:tmpl w:val="E764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80264"/>
    <w:multiLevelType w:val="multilevel"/>
    <w:tmpl w:val="E44495E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9E15DE"/>
    <w:multiLevelType w:val="hybridMultilevel"/>
    <w:tmpl w:val="6A9AFEEC"/>
    <w:lvl w:ilvl="0" w:tplc="252ED408">
      <w:start w:val="1"/>
      <w:numFmt w:val="lowerLetter"/>
      <w:lvlText w:val="%1."/>
      <w:lvlJc w:val="left"/>
      <w:pPr>
        <w:ind w:left="108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4AFF"/>
    <w:multiLevelType w:val="hybridMultilevel"/>
    <w:tmpl w:val="B10A6630"/>
    <w:lvl w:ilvl="0" w:tplc="B4387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A76C3"/>
    <w:multiLevelType w:val="hybridMultilevel"/>
    <w:tmpl w:val="6A9AFEEC"/>
    <w:lvl w:ilvl="0" w:tplc="252ED408">
      <w:start w:val="1"/>
      <w:numFmt w:val="lowerLetter"/>
      <w:lvlText w:val="%1."/>
      <w:lvlJc w:val="left"/>
      <w:pPr>
        <w:ind w:left="108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8"/>
  </w:num>
  <w:num w:numId="5">
    <w:abstractNumId w:val="14"/>
  </w:num>
  <w:num w:numId="6">
    <w:abstractNumId w:val="11"/>
  </w:num>
  <w:num w:numId="7">
    <w:abstractNumId w:val="10"/>
  </w:num>
  <w:num w:numId="8">
    <w:abstractNumId w:val="13"/>
  </w:num>
  <w:num w:numId="9">
    <w:abstractNumId w:val="12"/>
  </w:num>
  <w:num w:numId="10">
    <w:abstractNumId w:val="6"/>
  </w:num>
  <w:num w:numId="11">
    <w:abstractNumId w:val="15"/>
  </w:num>
  <w:num w:numId="12">
    <w:abstractNumId w:val="5"/>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ie"/>
    <w:docVar w:name="LW_ANNEX_NBR_FIRST" w:val="1"/>
    <w:docVar w:name="LW_ANNEX_NBR_LAST" w:val="1"/>
    <w:docVar w:name="LW_CONFIDENCE" w:val=" "/>
    <w:docVar w:name="LW_CONST_RESTREINT_UE" w:val="RESTREINT UE"/>
    <w:docVar w:name="LW_CORRIGENDUM" w:val="&lt;UNUSED&gt;"/>
    <w:docVar w:name="LW_COVERPAGE_GUID" w:val="645DEC5655E942C7AD86DC39744A3D63"/>
    <w:docVar w:name="LW_CROSSREFERENCE" w:val="&lt;UNUSED&gt;"/>
    <w:docVar w:name="LW_DocType" w:val="NORMAL"/>
    <w:docVar w:name="LW_EMISSION" w:val="2016 11 30"/>
    <w:docVar w:name="LW_EMISSION_ISODATE" w:val="2016-11-30"/>
    <w:docVar w:name="LW_EMISSION_LOCATION" w:val="BRX"/>
    <w:docVar w:name="LW_EMISSION_PREFIX" w:val="Briuselis, "/>
    <w:docVar w:name="LW_EMISSION_SUFFIX" w:val=" "/>
    <w:docVar w:name="LW_ID_DOCTYPE_NONLW" w:val="CP-039"/>
    <w:docVar w:name="LW_LANGUE" w:val="LT"/>
    <w:docVar w:name="LW_MARKING" w:val="&lt;UNUSED&gt;"/>
    <w:docVar w:name="LW_NOM.INST" w:val="EUROPOS KOMISIJA"/>
    <w:docVar w:name="LW_NOM.INST_JOINTDOC" w:val="&lt;EMPTY&gt;"/>
    <w:docVar w:name="LW_OBJETACTEPRINCIPAL.CP" w:val="\u352?vari energija visiems europie\u269?iams"/>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Spartesnis \u353?varios energijos technologij\u371? diegimas pastatuose"/>
    <w:docVar w:name="LW_TYPE.DOC.CP" w:val="PRIEDAS_x000b_"/>
    <w:docVar w:name="LW_TYPEACTEPRINCIPAL.CP" w:val="EUROPOS KOMISIJOS KOMUNIKATO EUROPOS PARLAMENTUI, TARYBAI, EUROPOS EKONOMIKOS IR SOCIALINI\u370? REIKAL\u370? KOMITETUI, REGION\u370? KOMITETUI IR EUROPOS INVESTICIJ\u370? BANKU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lt-LT"/>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lt-LT"/>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398">
      <w:bodyDiv w:val="1"/>
      <w:marLeft w:val="0"/>
      <w:marRight w:val="0"/>
      <w:marTop w:val="0"/>
      <w:marBottom w:val="0"/>
      <w:divBdr>
        <w:top w:val="none" w:sz="0" w:space="0" w:color="auto"/>
        <w:left w:val="none" w:sz="0" w:space="0" w:color="auto"/>
        <w:bottom w:val="none" w:sz="0" w:space="0" w:color="auto"/>
        <w:right w:val="none" w:sz="0" w:space="0" w:color="auto"/>
      </w:divBdr>
    </w:div>
    <w:div w:id="88044048">
      <w:bodyDiv w:val="1"/>
      <w:marLeft w:val="0"/>
      <w:marRight w:val="0"/>
      <w:marTop w:val="0"/>
      <w:marBottom w:val="0"/>
      <w:divBdr>
        <w:top w:val="none" w:sz="0" w:space="0" w:color="auto"/>
        <w:left w:val="none" w:sz="0" w:space="0" w:color="auto"/>
        <w:bottom w:val="none" w:sz="0" w:space="0" w:color="auto"/>
        <w:right w:val="none" w:sz="0" w:space="0" w:color="auto"/>
      </w:divBdr>
    </w:div>
    <w:div w:id="432014334">
      <w:bodyDiv w:val="1"/>
      <w:marLeft w:val="0"/>
      <w:marRight w:val="0"/>
      <w:marTop w:val="0"/>
      <w:marBottom w:val="0"/>
      <w:divBdr>
        <w:top w:val="none" w:sz="0" w:space="0" w:color="auto"/>
        <w:left w:val="none" w:sz="0" w:space="0" w:color="auto"/>
        <w:bottom w:val="none" w:sz="0" w:space="0" w:color="auto"/>
        <w:right w:val="none" w:sz="0" w:space="0" w:color="auto"/>
      </w:divBdr>
    </w:div>
    <w:div w:id="789395477">
      <w:bodyDiv w:val="1"/>
      <w:marLeft w:val="0"/>
      <w:marRight w:val="0"/>
      <w:marTop w:val="0"/>
      <w:marBottom w:val="0"/>
      <w:divBdr>
        <w:top w:val="none" w:sz="0" w:space="0" w:color="auto"/>
        <w:left w:val="none" w:sz="0" w:space="0" w:color="auto"/>
        <w:bottom w:val="none" w:sz="0" w:space="0" w:color="auto"/>
        <w:right w:val="none" w:sz="0" w:space="0" w:color="auto"/>
      </w:divBdr>
      <w:divsChild>
        <w:div w:id="1640110907">
          <w:marLeft w:val="547"/>
          <w:marRight w:val="0"/>
          <w:marTop w:val="0"/>
          <w:marBottom w:val="0"/>
          <w:divBdr>
            <w:top w:val="none" w:sz="0" w:space="0" w:color="auto"/>
            <w:left w:val="none" w:sz="0" w:space="0" w:color="auto"/>
            <w:bottom w:val="none" w:sz="0" w:space="0" w:color="auto"/>
            <w:right w:val="none" w:sz="0" w:space="0" w:color="auto"/>
          </w:divBdr>
        </w:div>
      </w:divsChild>
    </w:div>
    <w:div w:id="906234086">
      <w:bodyDiv w:val="1"/>
      <w:marLeft w:val="0"/>
      <w:marRight w:val="0"/>
      <w:marTop w:val="0"/>
      <w:marBottom w:val="0"/>
      <w:divBdr>
        <w:top w:val="none" w:sz="0" w:space="0" w:color="auto"/>
        <w:left w:val="none" w:sz="0" w:space="0" w:color="auto"/>
        <w:bottom w:val="none" w:sz="0" w:space="0" w:color="auto"/>
        <w:right w:val="none" w:sz="0" w:space="0" w:color="auto"/>
      </w:divBdr>
    </w:div>
    <w:div w:id="1173569380">
      <w:bodyDiv w:val="1"/>
      <w:marLeft w:val="0"/>
      <w:marRight w:val="0"/>
      <w:marTop w:val="0"/>
      <w:marBottom w:val="0"/>
      <w:divBdr>
        <w:top w:val="none" w:sz="0" w:space="0" w:color="auto"/>
        <w:left w:val="none" w:sz="0" w:space="0" w:color="auto"/>
        <w:bottom w:val="none" w:sz="0" w:space="0" w:color="auto"/>
        <w:right w:val="none" w:sz="0" w:space="0" w:color="auto"/>
      </w:divBdr>
      <w:divsChild>
        <w:div w:id="1196037987">
          <w:marLeft w:val="547"/>
          <w:marRight w:val="0"/>
          <w:marTop w:val="0"/>
          <w:marBottom w:val="0"/>
          <w:divBdr>
            <w:top w:val="none" w:sz="0" w:space="0" w:color="auto"/>
            <w:left w:val="none" w:sz="0" w:space="0" w:color="auto"/>
            <w:bottom w:val="none" w:sz="0" w:space="0" w:color="auto"/>
            <w:right w:val="none" w:sz="0" w:space="0" w:color="auto"/>
          </w:divBdr>
        </w:div>
      </w:divsChild>
    </w:div>
    <w:div w:id="1441341669">
      <w:bodyDiv w:val="1"/>
      <w:marLeft w:val="0"/>
      <w:marRight w:val="0"/>
      <w:marTop w:val="0"/>
      <w:marBottom w:val="0"/>
      <w:divBdr>
        <w:top w:val="none" w:sz="0" w:space="0" w:color="auto"/>
        <w:left w:val="none" w:sz="0" w:space="0" w:color="auto"/>
        <w:bottom w:val="none" w:sz="0" w:space="0" w:color="auto"/>
        <w:right w:val="none" w:sz="0" w:space="0" w:color="auto"/>
      </w:divBdr>
    </w:div>
    <w:div w:id="19294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fig.com/" TargetMode="External"/><Relationship Id="rId2" Type="http://schemas.openxmlformats.org/officeDocument/2006/relationships/hyperlink" Target="https://www.fi-compass.eu/" TargetMode="External"/><Relationship Id="rId1" Type="http://schemas.openxmlformats.org/officeDocument/2006/relationships/hyperlink" Target="http://www.covenantofmayors.eu/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5C97-A746-4041-A8BD-93F4DF0B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3360</Words>
  <Characters>24229</Characters>
  <Application>Microsoft Office Word</Application>
  <DocSecurity>0</DocSecurity>
  <Lines>361</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2016-12-16T09:33:00Z</dcterms:created>
  <dcterms:modified xsi:type="dcterms:W3CDTF">2016-12-19T17:55:00Z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