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40372D8CFDEE45D0A991CD1E11DA231E" style="width:450.75pt;height:44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jc w:val="both"/>
        <w:rPr>
          <w:rFonts w:ascii="Times New Roman" w:eastAsia="Times New Roman" w:hAnsi="Times New Roman" w:cs="Times New Roman"/>
          <w:noProof/>
          <w:sz w:val="24"/>
          <w:szCs w:val="24"/>
          <w:lang w:val="ro-RO"/>
        </w:rPr>
      </w:pPr>
      <w:bookmarkStart w:id="1" w:name="_GoBack"/>
      <w:bookmarkEnd w:id="1"/>
      <w:r>
        <w:rPr>
          <w:rFonts w:ascii="Times New Roman" w:hAnsi="Times New Roman"/>
          <w:noProof/>
          <w:sz w:val="24"/>
          <w:lang w:val="ro-RO"/>
        </w:rPr>
        <w:lastRenderedPageBreak/>
        <w:t xml:space="preserve">Inițiativa lansată astăzi de Comisie tratează clădirile ca o parte esențială a tranziției Europei către energia curată. </w:t>
      </w:r>
    </w:p>
    <w:p>
      <w:p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 xml:space="preserve">Concentrându-se asupra locurilor în care trăim și muncim, obiectivul este de a dezvolta o abordare globală și integrată, care plasează eficiența energetică pe primul loc, contribuie la rolul de lider mondial al UE în domeniul surselor regenerabile de energie și oferă condiții echitabile consumatorilor într-un mod care sprijină statele membre să își îndeplinească obiectivele în materie de energie și de schimbări climatice pentru 2020 și 2030. </w:t>
      </w:r>
    </w:p>
    <w:p>
      <w:p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Beneficiile unei astfel de abordări integrate sunt clare:</w:t>
      </w:r>
    </w:p>
    <w:p>
      <w:pPr>
        <w:pStyle w:val="ListParagraph"/>
        <w:numPr>
          <w:ilvl w:val="0"/>
          <w:numId w:val="16"/>
        </w:num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mobilizarea investițiilor, la nivel național, regional și local, precum și stimularea creșterii economice și crearea de locuri de muncă, promovând totodată inovarea și competențele;</w:t>
      </w:r>
    </w:p>
    <w:p>
      <w:pPr>
        <w:pStyle w:val="ListParagraph"/>
        <w:numPr>
          <w:ilvl w:val="0"/>
          <w:numId w:val="16"/>
        </w:num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 xml:space="preserve">economiile de energie, care conduc la costuri de funcționare mai scăzute, un mediu de viață și lucru mai sănătoase pentru cetățeni; </w:t>
      </w:r>
    </w:p>
    <w:p>
      <w:pPr>
        <w:pStyle w:val="ListParagraph"/>
        <w:numPr>
          <w:ilvl w:val="0"/>
          <w:numId w:val="16"/>
        </w:num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 xml:space="preserve">reducerea sărăciei energetice, punând un accent deosebit pe abordarea clădirilor publice și a locuințelor sociale ineficiente din punct de vedere energetic; </w:t>
      </w:r>
    </w:p>
    <w:p>
      <w:pPr>
        <w:pStyle w:val="ListParagraph"/>
        <w:numPr>
          <w:ilvl w:val="0"/>
          <w:numId w:val="16"/>
        </w:num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descentralizarea progresivă a sistemului energetic al Europei prin utilizarea energiei durabile în clădiri;</w:t>
      </w:r>
    </w:p>
    <w:p>
      <w:pPr>
        <w:pStyle w:val="ListParagraph"/>
        <w:numPr>
          <w:ilvl w:val="0"/>
          <w:numId w:val="16"/>
        </w:num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conectarea clădirilor la un sistem conectat de energie, stocare, digital și de transport, care va contribui la Strategia europeană privind mobilitatea cu emisii scăzute;</w:t>
      </w:r>
    </w:p>
    <w:p>
      <w:pPr>
        <w:pStyle w:val="ListParagraph"/>
        <w:numPr>
          <w:ilvl w:val="0"/>
          <w:numId w:val="16"/>
        </w:num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responsabilizarea gospodăriilor, a întreprinderilor și a comunităților de energie; precum și</w:t>
      </w:r>
    </w:p>
    <w:p>
      <w:pPr>
        <w:pStyle w:val="ListParagraph"/>
        <w:numPr>
          <w:ilvl w:val="0"/>
          <w:numId w:val="16"/>
        </w:num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contribuția la economia circulară.</w:t>
      </w:r>
    </w:p>
    <w:p>
      <w:p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Numai industria construcțiilor oferă 18 milioane de locuri de muncă directe în Europa și creează 9 % din PIB</w:t>
      </w:r>
      <w:r>
        <w:rPr>
          <w:rStyle w:val="FootnoteReference"/>
          <w:rFonts w:ascii="Times New Roman" w:hAnsi="Times New Roman"/>
          <w:noProof/>
          <w:sz w:val="24"/>
          <w:lang w:val="ro-RO"/>
        </w:rPr>
        <w:footnoteReference w:id="1"/>
      </w:r>
      <w:r>
        <w:rPr>
          <w:noProof/>
          <w:lang w:val="ro-RO"/>
        </w:rPr>
        <w:t>.</w:t>
      </w:r>
      <w:r>
        <w:rPr>
          <w:rFonts w:ascii="Times New Roman" w:hAnsi="Times New Roman"/>
          <w:noProof/>
          <w:sz w:val="24"/>
          <w:lang w:val="ro-RO"/>
        </w:rPr>
        <w:t xml:space="preserve"> </w:t>
      </w:r>
    </w:p>
    <w:p>
      <w:p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Industria europeană a construcțiilor are potențialul de a răspunde la o serie de provocări economice și societale, cum ar fi locurile de muncă și creșterea economică, un grad ridicat de urbanizare, comunicarea digitalizată și prin intermediul rețelelor sociale, schimbările demografice și lanțurile valorice globalizate, presiunile ecologice și, în același timp, provocări privind energia și schimbările climatice. Clădirile pot fi unul dintre factorii motori pentru modernizarea sectorului și a forței sale de muncă.</w:t>
      </w:r>
    </w:p>
    <w:p>
      <w:p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UE este deja un lider mondial în ceea ce privește sistemele de inovare pentru clădiri. Integrarea eficienței energetice, a surselor regenerabile de energie, a stocării și conectării la sisteme digitale și de transport prin intermediul clădirilor permite extinderea în continuare a acestei poziții de lider și valorificarea la maximum a cadrului de reglementare favorabil.</w:t>
      </w:r>
    </w:p>
    <w:p>
      <w:p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În prezent, clădirile reprezintă 40 % din consumul total de energie al Europei. Aproximativ 75 % din parcul imobiliar este ineficient din punct de vedere energetic. La rata de renovare anuală actuală de 1 %, ar fi nevoie de aproximativ un secol pentru a decarboniza parcul imobiliar și a-l aduce la niveluri moderne, cu emisii reduse de dioxid de carbon</w:t>
      </w:r>
      <w:r>
        <w:rPr>
          <w:rStyle w:val="FootnoteReference"/>
          <w:rFonts w:ascii="Times New Roman" w:hAnsi="Times New Roman"/>
          <w:noProof/>
          <w:sz w:val="24"/>
          <w:lang w:val="ro-RO"/>
        </w:rPr>
        <w:footnoteReference w:id="2"/>
      </w:r>
      <w:r>
        <w:rPr>
          <w:noProof/>
          <w:lang w:val="ro-RO"/>
        </w:rPr>
        <w:t>.</w:t>
      </w:r>
    </w:p>
    <w:p>
      <w:p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 xml:space="preserve">Pentru a valorifica potențialul de energie durabilă din clădiri, </w:t>
      </w:r>
      <w:r>
        <w:rPr>
          <w:rFonts w:ascii="Times New Roman" w:hAnsi="Times New Roman"/>
          <w:b/>
          <w:noProof/>
          <w:sz w:val="24"/>
          <w:lang w:val="ro-RO"/>
        </w:rPr>
        <w:t>o serie de bariere sociale, financiare, tehnice sau provocări administrative</w:t>
      </w:r>
      <w:r>
        <w:rPr>
          <w:rFonts w:ascii="Times New Roman" w:hAnsi="Times New Roman"/>
          <w:noProof/>
          <w:sz w:val="24"/>
          <w:lang w:val="ro-RO"/>
        </w:rPr>
        <w:t xml:space="preserve"> trebuie depășite. De exemplu, în timp ce clădirile sunt întreținute în mod regulat sau îmbunătățite, investițiile în materie de energie durabilă sunt adesea ignorate, întrucât acestea se confruntă cu concurența pentru capitalul limitat, lipsa de informații fiabile, lipsa lucrătorilor calificați sau îndoielile cu privire la posibilele beneficii.</w:t>
      </w:r>
    </w:p>
    <w:p>
      <w:p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În plus, numeroși dezvoltatori de proiecte se confruntă în continuare cu obstacole în ceea ce privește creșterea costurilor inițiale necesare pentru proiectele acestora și nu au acces la produse de finanțare atractive și adecvate de pe piață. Această disfuncționalitate a pieței se datorează mai ales unei lipse de înțelegere a riscurilor, a beneficiilor multiple și a interesului economic al investițiilor în materie de energie durabilă, în special în ceea ce privește eficiența energetică, de către finanțatori și investitori. În plus, investițiile de mici dimensiuni și lipsa unor soluții de antrepriză conduc la creșterea costului de punere în aplicare; și lipsa capacității și a competențelor necesare pentru a elabora proiecte rentabile mențin cererea financiară scăzută.</w:t>
      </w:r>
    </w:p>
    <w:p>
      <w:p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Rolul politicii energetice durabile este de a-i sprijini pe consumatori să efectueze aceste investiții mai ușor și de a crea condiții mai favorabile pentru investiții. Atunci când își renovează locuințele, consumatorii ar trebui să aibă posibilitatea de a alege soluții mai eficiente pe baza unor informații transparente, clare și oferite în timp util, referitoare la consum și la costurile aferente. În cazul reabilitării clădirilor publice precum spitale, școli, locuințe sociale sau birouri, autoritățile publice ar trebui să aibă posibilitatea de a avea acces la soluții de finanțare atractive și de a beneficia de servicii energetice inovatoare, sub forma, de exemplu, a contractelor de performanță energetică.</w:t>
      </w:r>
    </w:p>
    <w:p>
      <w:p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Pe lângă stabilirea cadrului de reglementare adecvat, în special în ceea ce privește propunerea de revizuire a Directivei privind eficiența energetică și a Directivei europene privind performanța energetică a clădirilor, este nevoie de acțiuni complementare menite să sprijine schimbările rapide din economia reală și să abordeze problema finanțării în prezent.</w:t>
      </w:r>
    </w:p>
    <w:p>
      <w:pPr>
        <w:spacing w:after="240" w:line="240" w:lineRule="auto"/>
        <w:jc w:val="both"/>
        <w:rPr>
          <w:rFonts w:ascii="Times New Roman" w:eastAsia="Times New Roman" w:hAnsi="Times New Roman" w:cs="Times New Roman"/>
          <w:b/>
          <w:noProof/>
          <w:sz w:val="24"/>
          <w:szCs w:val="24"/>
          <w:lang w:val="ro-RO"/>
        </w:rPr>
      </w:pPr>
      <w:r>
        <w:rPr>
          <w:rFonts w:ascii="Times New Roman" w:hAnsi="Times New Roman"/>
          <w:b/>
          <w:noProof/>
          <w:sz w:val="24"/>
          <w:lang w:val="ro-RO"/>
        </w:rPr>
        <w:t xml:space="preserve">1. </w:t>
      </w:r>
      <w:r>
        <w:rPr>
          <w:noProof/>
          <w:lang w:val="ro-RO"/>
        </w:rPr>
        <w:tab/>
      </w:r>
      <w:r>
        <w:rPr>
          <w:rFonts w:ascii="Times New Roman" w:hAnsi="Times New Roman"/>
          <w:b/>
          <w:noProof/>
          <w:sz w:val="24"/>
          <w:lang w:val="ro-RO"/>
        </w:rPr>
        <w:t>Finanțare inteligentă pentru clădiri inteligente</w:t>
      </w:r>
    </w:p>
    <w:p>
      <w:p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Renovarea energetică durabilă a clădirilor constituie un domeniu în care punerea în comun a proiectelor și garanțiile publice pot avea un impact major. Ca parte a Planului de investiții pentru Europa, Fondul european pentru investiții strategice (FEIS) 2.0</w:t>
      </w:r>
      <w:r>
        <w:rPr>
          <w:rStyle w:val="FootnoteReference"/>
          <w:rFonts w:ascii="Times New Roman" w:hAnsi="Times New Roman"/>
          <w:noProof/>
          <w:sz w:val="24"/>
          <w:lang w:val="ro-RO"/>
        </w:rPr>
        <w:footnoteReference w:id="3"/>
      </w:r>
      <w:r>
        <w:rPr>
          <w:rFonts w:ascii="Times New Roman" w:hAnsi="Times New Roman"/>
          <w:noProof/>
          <w:sz w:val="24"/>
          <w:lang w:val="ro-RO"/>
        </w:rPr>
        <w:t xml:space="preserve"> reprezintă cheia necesară pentru a debloca finanțarea privată pentru </w:t>
      </w:r>
      <w:r>
        <w:rPr>
          <w:rFonts w:ascii="Times New Roman" w:hAnsi="Times New Roman"/>
          <w:b/>
          <w:noProof/>
          <w:sz w:val="24"/>
          <w:lang w:val="ro-RO"/>
        </w:rPr>
        <w:t>eficiența energetică și sursele regenerabile de energie în clădiri la o scară mai mare</w:t>
      </w:r>
      <w:r>
        <w:rPr>
          <w:rFonts w:ascii="Times New Roman" w:hAnsi="Times New Roman"/>
          <w:noProof/>
          <w:sz w:val="24"/>
          <w:lang w:val="ro-RO"/>
        </w:rPr>
        <w:t xml:space="preserve">. </w:t>
      </w:r>
    </w:p>
    <w:p>
      <w:p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 xml:space="preserve">În prezent, eficiența energetică și sursele regenerabile de energie ocupă deja un loc important în cadrul proiectelor FEIS. De exemplu, marea majoritate a proiectelor energetice aprobate pentru finanțare deocamdată (reprezentând 22 % din investițiile totale în valoare de 154 de miliarde EUR) se referă la eficiența energetică și la sectorul energiei din surse regenerabile. Pornind de la succesul FEIS, Comisia a propus prelungirea duratei acestuia până la sfârșitul anului 2020 și solicitarea ca </w:t>
      </w:r>
      <w:r>
        <w:rPr>
          <w:rFonts w:ascii="Times New Roman" w:hAnsi="Times New Roman"/>
          <w:b/>
          <w:noProof/>
          <w:sz w:val="24"/>
          <w:lang w:val="ro-RO"/>
        </w:rPr>
        <w:t>cel puțin 40 % din proiectele din cadrul FEIS</w:t>
      </w:r>
      <w:r>
        <w:rPr>
          <w:rFonts w:ascii="Times New Roman" w:hAnsi="Times New Roman"/>
          <w:noProof/>
          <w:sz w:val="24"/>
          <w:lang w:val="ro-RO"/>
        </w:rPr>
        <w:t xml:space="preserve"> destinate infrastructurii și inovației să contribuie la acțiunea climatică, energetică și de mediu, în conformitate cu </w:t>
      </w:r>
      <w:r>
        <w:rPr>
          <w:rFonts w:ascii="Times New Roman" w:hAnsi="Times New Roman"/>
          <w:b/>
          <w:noProof/>
          <w:sz w:val="24"/>
          <w:lang w:val="ro-RO"/>
        </w:rPr>
        <w:t>obiectivele COP21</w:t>
      </w:r>
      <w:r>
        <w:rPr>
          <w:rFonts w:ascii="Times New Roman" w:hAnsi="Times New Roman"/>
          <w:noProof/>
          <w:sz w:val="24"/>
          <w:lang w:val="ro-RO"/>
        </w:rPr>
        <w:t xml:space="preserve">. Aceasta este o oportunitate majoră și o contribuție concretă menită să mobilizeze fonduri publice și private, în vederea susținerii tranziției la o economie circulară cu emisii scăzute de dioxid de carbon. Sprijinul acordat din Fondul european pentru investiții strategice poate completa sau poate fi combinat cu sprijinul sub formă de </w:t>
      </w:r>
      <w:r>
        <w:rPr>
          <w:rFonts w:ascii="Times New Roman" w:hAnsi="Times New Roman"/>
          <w:b/>
          <w:noProof/>
          <w:sz w:val="24"/>
          <w:lang w:val="ro-RO"/>
        </w:rPr>
        <w:t>granturi sau produse financiare,</w:t>
      </w:r>
      <w:r>
        <w:rPr>
          <w:rFonts w:ascii="Times New Roman" w:hAnsi="Times New Roman"/>
          <w:noProof/>
          <w:sz w:val="24"/>
          <w:lang w:val="ro-RO"/>
        </w:rPr>
        <w:t xml:space="preserve"> din alte fonduri ale UE, inclusiv fondurile structurale și de investiții europene. </w:t>
      </w:r>
    </w:p>
    <w:p>
      <w:p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 xml:space="preserve">În perioada 2014-2020, </w:t>
      </w:r>
      <w:r>
        <w:rPr>
          <w:rFonts w:ascii="Times New Roman" w:hAnsi="Times New Roman"/>
          <w:b/>
          <w:noProof/>
          <w:sz w:val="24"/>
          <w:lang w:val="ro-RO"/>
        </w:rPr>
        <w:t>Fondul european de dezvoltare regională și Fondul de coeziune</w:t>
      </w:r>
      <w:r>
        <w:rPr>
          <w:rFonts w:ascii="Times New Roman" w:hAnsi="Times New Roman"/>
          <w:noProof/>
          <w:sz w:val="24"/>
          <w:lang w:val="ro-RO"/>
        </w:rPr>
        <w:t xml:space="preserve"> vor investi 17 miliarde EUR în domeniul eficienței energetice în clădirile publice și rezidențiale și în întreprinderi, cu un accent deosebit pe IMM-uri</w:t>
      </w:r>
      <w:r>
        <w:rPr>
          <w:rStyle w:val="FootnoteReference"/>
          <w:rFonts w:ascii="Times New Roman" w:hAnsi="Times New Roman"/>
          <w:noProof/>
          <w:sz w:val="24"/>
          <w:lang w:val="ro-RO"/>
        </w:rPr>
        <w:footnoteReference w:id="4"/>
      </w:r>
      <w:r>
        <w:rPr>
          <w:rFonts w:ascii="Times New Roman" w:hAnsi="Times New Roman"/>
          <w:noProof/>
          <w:sz w:val="24"/>
          <w:lang w:val="ro-RO"/>
        </w:rPr>
        <w:t>. Această sumă este de trei ori mai mare decât în perioada anterioară, servind drept confirmare a angajamentului și a importanței pe care statele membre și regiunile le acordă eficienței energetice. Aceasta are potențialul de a mobiliza un cuantum mult mai mare de cofinanțare națională publică și privată, ajungând la un total estimat de aproximativ 27 de miliarde EUR</w:t>
      </w:r>
      <w:r>
        <w:rPr>
          <w:rStyle w:val="FootnoteReference"/>
          <w:rFonts w:ascii="Times New Roman" w:hAnsi="Times New Roman"/>
          <w:noProof/>
          <w:sz w:val="24"/>
          <w:lang w:val="ro-RO"/>
        </w:rPr>
        <w:footnoteReference w:id="5"/>
      </w:r>
      <w:r>
        <w:rPr>
          <w:rFonts w:ascii="Times New Roman" w:hAnsi="Times New Roman"/>
          <w:noProof/>
          <w:sz w:val="24"/>
          <w:lang w:val="ro-RO"/>
        </w:rPr>
        <w:t>. Unul dintre obiectivele Planului de investiții pentru Europa este de a dubla cel puțin utilizarea instrumentelor financiare în cadrul fondurilor structurale și de investiții europene pentru a mobiliza finanțarea privată suplimentară și pentru a contribui la instituirea unor piețe viabile. Statele membre și regiunile intenționează deja să investească în jur de aproape 6,4 miliarde EUR</w:t>
      </w:r>
      <w:r>
        <w:rPr>
          <w:rStyle w:val="FootnoteReference"/>
          <w:rFonts w:ascii="Times New Roman" w:hAnsi="Times New Roman"/>
          <w:noProof/>
          <w:sz w:val="24"/>
          <w:lang w:val="ro-RO"/>
        </w:rPr>
        <w:footnoteReference w:id="6"/>
      </w:r>
      <w:r>
        <w:rPr>
          <w:rFonts w:ascii="Times New Roman" w:hAnsi="Times New Roman"/>
          <w:noProof/>
          <w:sz w:val="24"/>
          <w:lang w:val="ro-RO"/>
        </w:rPr>
        <w:t xml:space="preserve"> prin intermediul unor instrumente financiare în obiective privind emisiile reduse de carbon, în principal pentru eficiența energetică; aceasta reprezintă o creștere de peste opt ori comparativ cu perioada 2007-2013</w:t>
      </w:r>
      <w:r>
        <w:rPr>
          <w:rStyle w:val="FootnoteReference"/>
          <w:rFonts w:ascii="Times New Roman" w:hAnsi="Times New Roman"/>
          <w:noProof/>
          <w:sz w:val="24"/>
          <w:lang w:val="ro-RO"/>
        </w:rPr>
        <w:footnoteReference w:id="7"/>
      </w:r>
      <w:r>
        <w:rPr>
          <w:noProof/>
          <w:lang w:val="ro-RO"/>
        </w:rPr>
        <w:t>.</w:t>
      </w:r>
    </w:p>
    <w:p>
      <w:pPr>
        <w:spacing w:after="240" w:line="240" w:lineRule="auto"/>
        <w:jc w:val="both"/>
        <w:rPr>
          <w:rFonts w:ascii="Times New Roman" w:eastAsia="Times New Roman" w:hAnsi="Times New Roman" w:cs="Times New Roman"/>
          <w:noProof/>
          <w:sz w:val="24"/>
          <w:szCs w:val="24"/>
          <w:lang w:val="ro-RO"/>
        </w:rPr>
      </w:pPr>
      <w:r>
        <w:rPr>
          <w:rFonts w:ascii="Times New Roman" w:hAnsi="Times New Roman"/>
          <w:noProof/>
          <w:sz w:val="24"/>
          <w:lang w:val="ro-RO"/>
        </w:rPr>
        <w:t>Pe baza Planului de investiții pentru Europa și a fondurilor structurale și de investiții europene, Comisia va lansa o inițiativă pentru a stimula mai mult investițiile din partea entităților din sectorul public, a societăților de servicii energetice, a IMM</w:t>
      </w:r>
      <w:r>
        <w:rPr>
          <w:rFonts w:ascii="Times New Roman" w:hAnsi="Times New Roman" w:cs="Times New Roman"/>
          <w:noProof/>
          <w:sz w:val="24"/>
          <w:lang w:val="ro-RO"/>
        </w:rPr>
        <w:t>­</w:t>
      </w:r>
      <w:r>
        <w:rPr>
          <w:rFonts w:ascii="Times New Roman" w:hAnsi="Times New Roman"/>
          <w:noProof/>
          <w:sz w:val="24"/>
          <w:lang w:val="ro-RO"/>
        </w:rPr>
        <w:t xml:space="preserve">urilor/întreprinderilor cu capitalizare medie și a gospodăriilor în eficiența energetică și în clădirile inteligente. Această nouă inițiativă, în strânsă cooperare cu Banca Europeană de Investiții (BEI) și cu statele membre, poate </w:t>
      </w:r>
      <w:r>
        <w:rPr>
          <w:rFonts w:ascii="Times New Roman" w:hAnsi="Times New Roman"/>
          <w:b/>
          <w:noProof/>
          <w:sz w:val="24"/>
          <w:lang w:val="ro-RO"/>
        </w:rPr>
        <w:t>debloca o sumă suplimentară de 10 miliarde EUR</w:t>
      </w:r>
      <w:r>
        <w:rPr>
          <w:rFonts w:ascii="Times New Roman" w:hAnsi="Times New Roman"/>
          <w:noProof/>
          <w:sz w:val="24"/>
          <w:lang w:val="ro-RO"/>
        </w:rPr>
        <w:t xml:space="preserve"> provenită din fonduri publice și private</w:t>
      </w:r>
      <w:r>
        <w:rPr>
          <w:rStyle w:val="FootnoteReference"/>
          <w:rFonts w:ascii="Times New Roman" w:hAnsi="Times New Roman"/>
          <w:noProof/>
          <w:sz w:val="24"/>
          <w:lang w:val="ro-RO"/>
        </w:rPr>
        <w:footnoteReference w:id="8"/>
      </w:r>
      <w:r>
        <w:rPr>
          <w:rFonts w:ascii="Times New Roman" w:hAnsi="Times New Roman"/>
          <w:noProof/>
          <w:sz w:val="24"/>
          <w:lang w:val="ro-RO"/>
        </w:rPr>
        <w:t xml:space="preserve"> până în 2020, pentru eficiența energetică și pentru sursele regenerabile de energie. Acest lucru ar trebui să se realizeze prin intermediari financiari și platforme naționale de investiții în eficiența energetică pentru a agrega proiecte, pentru a reduce gradul de risc al investițiilor în eficiența energetică și pentru a optimiza utilizarea fondurilor publice, inclusiv, în special, a fondurilor structurale și de investiții europene în combinație cu finanțarea obținută prin intermediul Fondului european pentru investiții strategice. Astfel de combinații, care sunt deja posibile la momentul actual, vor fi facilitate și mai mult prin modificările propuse cu privire la Regulamentul financiar și Regulamentul privind dispozițiile comune</w:t>
      </w:r>
      <w:r>
        <w:rPr>
          <w:rStyle w:val="FootnoteReference"/>
          <w:rFonts w:ascii="Times New Roman" w:hAnsi="Times New Roman"/>
          <w:noProof/>
          <w:sz w:val="24"/>
          <w:lang w:val="ro-RO"/>
        </w:rPr>
        <w:footnoteReference w:id="9"/>
      </w:r>
      <w:r>
        <w:rPr>
          <w:rFonts w:ascii="Times New Roman" w:hAnsi="Times New Roman"/>
          <w:noProof/>
          <w:sz w:val="24"/>
          <w:lang w:val="ro-RO"/>
        </w:rPr>
        <w:t>. Statele membre, în special cele cu un nivel mai ridicat al intensității energetice și al dependenței de surse energetice externe, sunt încurajate să participe și să contribuie la această inițiativă. Partajarea riscului între UE și fondurile naționale publice și private va pune la dispoziție opțiuni de finanțare mai atractive pentru beneficiarii finali. În plus, o serie de avantaje legislative și administrative vor fi legate de utilizarea unei soluții la nivelul UE, de exemplu în ceea ce privește ajutoarele de stat, achizițiile publice, obligațiile de cofinanțare, precum și raportarea și evaluările ex-ante. Este important de notat că, în contextul evaluării finanțelor publice în cadrul Pactului de stabilitate și de creștere, Comisia va adopta, de asemenea, o poziție favorabilă față de contribuțiile statelor membre la contribuții unice în ceea ce privește platformele de investiții tematice sau multinaționale în cadrul FEIS</w:t>
      </w:r>
      <w:r>
        <w:rPr>
          <w:rStyle w:val="FootnoteReference"/>
          <w:rFonts w:ascii="Times New Roman" w:hAnsi="Times New Roman"/>
          <w:noProof/>
          <w:sz w:val="24"/>
          <w:lang w:val="ro-RO"/>
        </w:rPr>
        <w:footnoteReference w:id="10"/>
      </w:r>
      <w:r>
        <w:rPr>
          <w:rFonts w:ascii="Times New Roman" w:hAnsi="Times New Roman"/>
          <w:noProof/>
          <w:sz w:val="24"/>
          <w:lang w:val="ro-RO"/>
        </w:rPr>
        <w:t xml:space="preserve">. </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O parte semnificativă din aceste fonduri va fi pusă în aplicare în orașe și regiuni: actorii locali și regionali joacă un rol crucial în sprijinirea clădirilor cu consum de energie curată, prin decizii în domenii precum codurile de construcții și planificarea urbană. Prin inițiative precum Convenția primarilor privind clima și energia</w:t>
      </w:r>
      <w:r>
        <w:rPr>
          <w:rStyle w:val="FootnoteReference"/>
          <w:rFonts w:ascii="Times New Roman" w:hAnsi="Times New Roman"/>
          <w:noProof/>
          <w:sz w:val="24"/>
          <w:lang w:val="ro-RO"/>
        </w:rPr>
        <w:footnoteReference w:id="11"/>
      </w:r>
      <w:r>
        <w:rPr>
          <w:rFonts w:ascii="Times New Roman" w:hAnsi="Times New Roman"/>
          <w:noProof/>
          <w:sz w:val="24"/>
          <w:lang w:val="ro-RO"/>
        </w:rPr>
        <w:t>, orașele și regiunile sunt încurajate să pună în aplicare acțiuni în vederea reducerii emisiilor de gaze cu efect de seră, a creșterii rezistenței, precum și a asigurării accesului la energie curată și la un preț accesibil pentru toți.</w:t>
      </w:r>
    </w:p>
    <w:p>
      <w:pPr>
        <w:spacing w:after="240" w:line="240" w:lineRule="auto"/>
        <w:jc w:val="both"/>
        <w:rPr>
          <w:rFonts w:ascii="Times New Roman" w:hAnsi="Times New Roman" w:cs="Times New Roman"/>
          <w:b/>
          <w:i/>
          <w:noProof/>
          <w:color w:val="000000"/>
          <w:sz w:val="24"/>
          <w:szCs w:val="24"/>
          <w:lang w:val="ro-RO"/>
        </w:rPr>
      </w:pPr>
      <w:r>
        <w:rPr>
          <w:rFonts w:ascii="Times New Roman" w:hAnsi="Times New Roman"/>
          <w:b/>
          <w:i/>
          <w:noProof/>
          <w:color w:val="000000"/>
          <w:sz w:val="24"/>
          <w:lang w:val="ro-RO"/>
        </w:rPr>
        <w:t>Pilonul I: Utilizarea mai eficace a fondurilor publice</w:t>
      </w:r>
    </w:p>
    <w:p>
      <w:pPr>
        <w:spacing w:after="240" w:line="240" w:lineRule="auto"/>
        <w:jc w:val="both"/>
        <w:rPr>
          <w:rFonts w:ascii="Times New Roman" w:hAnsi="Times New Roman" w:cs="Times New Roman"/>
          <w:noProof/>
          <w:sz w:val="24"/>
          <w:szCs w:val="24"/>
          <w:lang w:val="ro-RO"/>
        </w:rPr>
      </w:pPr>
      <w:r>
        <w:rPr>
          <w:rFonts w:ascii="Times New Roman" w:hAnsi="Times New Roman"/>
          <w:noProof/>
          <w:color w:val="000000"/>
          <w:sz w:val="24"/>
          <w:lang w:val="ro-RO"/>
        </w:rPr>
        <w:t>Obiectivul este de a maximiza utilizarea fondurilor publice disponibile prin intermediul instrumentelor financiare vizând eșecurile identificate ale pieței și printr-o mai bună direcționare a subvențiilor către consumatorii vulnerabili.</w:t>
      </w:r>
      <w:r>
        <w:rPr>
          <w:rFonts w:ascii="Times New Roman" w:hAnsi="Times New Roman"/>
          <w:noProof/>
          <w:sz w:val="24"/>
          <w:lang w:val="ro-RO"/>
        </w:rPr>
        <w:t xml:space="preserve"> În acest scop, Comisia intenționează:</w:t>
      </w:r>
    </w:p>
    <w:p>
      <w:pPr>
        <w:numPr>
          <w:ilvl w:val="0"/>
          <w:numId w:val="11"/>
        </w:numPr>
        <w:spacing w:after="240" w:line="240" w:lineRule="auto"/>
        <w:contextualSpacing/>
        <w:jc w:val="both"/>
        <w:rPr>
          <w:rFonts w:ascii="Times New Roman" w:hAnsi="Times New Roman" w:cs="Times New Roman"/>
          <w:noProof/>
          <w:sz w:val="24"/>
          <w:szCs w:val="24"/>
          <w:lang w:val="ro-RO"/>
        </w:rPr>
      </w:pPr>
      <w:r>
        <w:rPr>
          <w:rFonts w:ascii="Times New Roman" w:hAnsi="Times New Roman"/>
          <w:b/>
          <w:noProof/>
          <w:sz w:val="24"/>
          <w:lang w:val="ro-RO"/>
        </w:rPr>
        <w:t xml:space="preserve">să dezvolte modele de finanțare pentru energia durabilă </w:t>
      </w:r>
      <w:r>
        <w:rPr>
          <w:rFonts w:ascii="Times New Roman" w:hAnsi="Times New Roman"/>
          <w:noProof/>
          <w:sz w:val="24"/>
          <w:lang w:val="ro-RO"/>
        </w:rPr>
        <w:t>bazate pe platforme naționale de investiții (cu o posibilă dimensiune regională) pentru a atrage finanțare privată suplimentară pentru renovarea clădirilor, concepute astfel cum se prevede în Regulamentul FEIS și în conformitate cu normele UE privind ajutoarele de stat.</w:t>
      </w:r>
    </w:p>
    <w:p>
      <w:pPr>
        <w:spacing w:after="240" w:line="240" w:lineRule="auto"/>
        <w:ind w:left="1080"/>
        <w:contextualSpacing/>
        <w:jc w:val="both"/>
        <w:rPr>
          <w:rFonts w:ascii="Times New Roman" w:hAnsi="Times New Roman" w:cs="Times New Roman"/>
          <w:noProof/>
          <w:sz w:val="24"/>
          <w:szCs w:val="24"/>
          <w:lang w:val="ro-RO"/>
        </w:rPr>
      </w:pPr>
    </w:p>
    <w:p>
      <w:pPr>
        <w:spacing w:after="240" w:line="240" w:lineRule="auto"/>
        <w:ind w:left="1080"/>
        <w:contextualSpacing/>
        <w:jc w:val="both"/>
        <w:rPr>
          <w:rFonts w:ascii="Times New Roman" w:hAnsi="Times New Roman" w:cs="Times New Roman"/>
          <w:noProof/>
          <w:sz w:val="24"/>
          <w:szCs w:val="24"/>
          <w:lang w:val="ro-RO"/>
        </w:rPr>
      </w:pPr>
      <w:r>
        <w:rPr>
          <w:rFonts w:ascii="Times New Roman" w:hAnsi="Times New Roman"/>
          <w:noProof/>
          <w:sz w:val="24"/>
          <w:lang w:val="ro-RO"/>
        </w:rPr>
        <w:t>În UE, mai mult decât în alte economii dezvoltate, băncile joacă un rol central în finanțarea investițiilor realizate de consumatori și întreprinderi. În timp ce băncile sunt din ce în ce mai active pe noile piețe ale energiei, în special în ceea ce privește sursele regenerabile de energie la scară largă, acestea rareori consideră eficiența energetică drept un segment de piață distinct. Aceasta conduce la o lipsă de produse de finanțare cu caracter comercial adecvate și accesibile pentru investițiile privind eficiența energetică sau energia din surse regenerabile în clădiri</w:t>
      </w:r>
      <w:r>
        <w:rPr>
          <w:rStyle w:val="FootnoteReference"/>
          <w:rFonts w:ascii="Times New Roman" w:hAnsi="Times New Roman"/>
          <w:noProof/>
          <w:sz w:val="24"/>
          <w:lang w:val="ro-RO"/>
        </w:rPr>
        <w:footnoteReference w:id="12"/>
      </w:r>
      <w:r>
        <w:rPr>
          <w:rFonts w:ascii="Times New Roman" w:hAnsi="Times New Roman"/>
          <w:noProof/>
          <w:sz w:val="24"/>
          <w:lang w:val="ro-RO"/>
        </w:rPr>
        <w:t>. Pentru a aborda această deficiență, Comisia a elaborat un program de finanțare inovator, instrumentul intitulat Finanțarea privată pentru eficiența energetică (PF4EE), finanțat de programul LIFE și gestionat de BEI. Succesul acestui proiect-pilot, astfel cum este ilustrat de un efect de pârghie semnificativ mai mare decât se planificase inițial, demonstrează potențialul de stimulare a investițiilor în eficiență prin partajarea riscurilor, asistență tehnică și linii de credit de la BEI către instituțiile financiare participante. Lecțiile învățate din Finanțarea privată pentru eficiența energetică (PF4EE) vor contribui la stimularea în continuare a combinației dintre Fondul european pentru investiții strategice și alte surse de finanțare publică, inclusiv fondurile structurale și de investiții europene, după caz, prin intermediul platformelor de investiții</w:t>
      </w:r>
      <w:r>
        <w:rPr>
          <w:rStyle w:val="FootnoteReference"/>
          <w:rFonts w:ascii="Times New Roman" w:hAnsi="Times New Roman"/>
          <w:noProof/>
          <w:sz w:val="24"/>
          <w:lang w:val="ro-RO"/>
        </w:rPr>
        <w:footnoteReference w:id="13"/>
      </w:r>
      <w:r>
        <w:rPr>
          <w:noProof/>
          <w:lang w:val="ro-RO"/>
        </w:rPr>
        <w:t>.</w:t>
      </w:r>
    </w:p>
    <w:p>
      <w:pPr>
        <w:spacing w:after="240" w:line="240" w:lineRule="auto"/>
        <w:ind w:left="1080"/>
        <w:contextualSpacing/>
        <w:jc w:val="both"/>
        <w:rPr>
          <w:rFonts w:ascii="Times New Roman" w:hAnsi="Times New Roman" w:cs="Times New Roman"/>
          <w:noProof/>
          <w:sz w:val="24"/>
          <w:szCs w:val="24"/>
          <w:lang w:val="ro-RO"/>
        </w:rPr>
      </w:pPr>
    </w:p>
    <w:p>
      <w:pPr>
        <w:spacing w:after="240" w:line="240" w:lineRule="auto"/>
        <w:ind w:left="1080"/>
        <w:contextualSpacing/>
        <w:jc w:val="both"/>
        <w:rPr>
          <w:rFonts w:ascii="Times New Roman" w:hAnsi="Times New Roman" w:cs="Times New Roman"/>
          <w:noProof/>
          <w:sz w:val="24"/>
          <w:szCs w:val="24"/>
          <w:lang w:val="ro-RO"/>
        </w:rPr>
      </w:pPr>
      <w:r>
        <w:rPr>
          <w:rFonts w:ascii="Times New Roman" w:hAnsi="Times New Roman"/>
          <w:noProof/>
          <w:sz w:val="24"/>
          <w:lang w:val="ro-RO"/>
        </w:rPr>
        <w:t xml:space="preserve">Pe baza acestei experiențe, Comisia va susține dezvoltarea unor </w:t>
      </w:r>
      <w:r>
        <w:rPr>
          <w:rFonts w:ascii="Times New Roman" w:hAnsi="Times New Roman"/>
          <w:b/>
          <w:noProof/>
          <w:sz w:val="24"/>
          <w:lang w:val="ro-RO"/>
        </w:rPr>
        <w:t>platforme de finanțare flexibile în materie de eficiență energetică și surse regenerabile</w:t>
      </w:r>
      <w:r>
        <w:rPr>
          <w:rFonts w:ascii="Times New Roman" w:hAnsi="Times New Roman"/>
          <w:noProof/>
          <w:sz w:val="24"/>
          <w:lang w:val="ro-RO"/>
        </w:rPr>
        <w:t xml:space="preserve"> la nivel național sau regional. Aceste platforme pot oferi o soluție completă care să permită băncilor locale, intermediarilor financiari, companiilor de servicii energetice sau altor entități punerea în comun a investițiilor cu scopul de a mobiliza produse atractive de finanțare în materie de energie durabilă și de a le direcționa către un număr ridicat de beneficiari finali din zona acoperită de platformă</w:t>
      </w:r>
      <w:r>
        <w:rPr>
          <w:rStyle w:val="FootnoteReference"/>
          <w:rFonts w:ascii="Times New Roman" w:hAnsi="Times New Roman"/>
          <w:noProof/>
          <w:sz w:val="24"/>
          <w:lang w:val="ro-RO"/>
        </w:rPr>
        <w:footnoteReference w:id="14"/>
      </w:r>
      <w:r>
        <w:rPr>
          <w:rFonts w:ascii="Times New Roman" w:hAnsi="Times New Roman"/>
          <w:noProof/>
          <w:sz w:val="24"/>
          <w:lang w:val="ro-RO"/>
        </w:rPr>
        <w:t>. În special, trei elemente care se consolidează reciproc pot fi furnizate entităților care sunt dispuse să finanțeze portofolii de investiții în energia durabilă:</w:t>
      </w:r>
    </w:p>
    <w:p>
      <w:pPr>
        <w:spacing w:after="240" w:line="240" w:lineRule="auto"/>
        <w:ind w:left="1080"/>
        <w:contextualSpacing/>
        <w:jc w:val="both"/>
        <w:rPr>
          <w:rFonts w:ascii="Times New Roman" w:hAnsi="Times New Roman" w:cs="Times New Roman"/>
          <w:noProof/>
          <w:sz w:val="24"/>
          <w:szCs w:val="24"/>
          <w:lang w:val="ro-RO"/>
        </w:rPr>
      </w:pPr>
    </w:p>
    <w:p>
      <w:pPr>
        <w:numPr>
          <w:ilvl w:val="0"/>
          <w:numId w:val="12"/>
        </w:numPr>
        <w:tabs>
          <w:tab w:val="left" w:pos="1701"/>
        </w:tabs>
        <w:spacing w:after="240" w:line="240" w:lineRule="auto"/>
        <w:contextualSpacing/>
        <w:jc w:val="both"/>
        <w:rPr>
          <w:rFonts w:ascii="Times New Roman" w:hAnsi="Times New Roman" w:cs="Times New Roman"/>
          <w:bCs/>
          <w:noProof/>
          <w:sz w:val="24"/>
          <w:szCs w:val="24"/>
          <w:lang w:val="ro-RO"/>
        </w:rPr>
      </w:pPr>
      <w:r>
        <w:rPr>
          <w:rFonts w:ascii="Times New Roman" w:hAnsi="Times New Roman"/>
          <w:noProof/>
          <w:sz w:val="24"/>
          <w:lang w:val="ro-RO"/>
        </w:rPr>
        <w:t>Finanțarea prin împrumut la scară largă din partea BEI prin intermediul Fondului european pentru investiții strategice, cu scopul de a le spori capacitatea de finanțare (contribuind astfel la un accent consolidat asupra clădirilor cu consum de energie durabilă în cadrul Fondului european pentru investiții strategice 2.0);</w:t>
      </w:r>
    </w:p>
    <w:p>
      <w:pPr>
        <w:numPr>
          <w:ilvl w:val="0"/>
          <w:numId w:val="12"/>
        </w:numPr>
        <w:tabs>
          <w:tab w:val="left" w:pos="1701"/>
        </w:tabs>
        <w:spacing w:after="240" w:line="240" w:lineRule="auto"/>
        <w:contextualSpacing/>
        <w:jc w:val="both"/>
        <w:rPr>
          <w:rFonts w:ascii="Times New Roman" w:hAnsi="Times New Roman" w:cs="Times New Roman"/>
          <w:bCs/>
          <w:noProof/>
          <w:sz w:val="24"/>
          <w:szCs w:val="24"/>
          <w:lang w:val="ro-RO"/>
        </w:rPr>
      </w:pPr>
      <w:r>
        <w:rPr>
          <w:rFonts w:ascii="Times New Roman" w:hAnsi="Times New Roman"/>
          <w:noProof/>
          <w:sz w:val="24"/>
          <w:lang w:val="ro-RO"/>
        </w:rPr>
        <w:t>Un mecanism de partajare a riscurilor în vederea atenuării riscului prezentat de portofoliile de investiții în construcția de clădiri cu consum de energie durabilă, precum și pentru a permite condiții de creditare mai atractive pentru beneficiarii finali. Această caracteristică ar putea fi implementată împreună cu fondurile disponibile pe plan local, inclusiv fondurile structurale și de investiții europene;</w:t>
      </w:r>
    </w:p>
    <w:p>
      <w:pPr>
        <w:numPr>
          <w:ilvl w:val="0"/>
          <w:numId w:val="12"/>
        </w:numPr>
        <w:tabs>
          <w:tab w:val="left" w:pos="1701"/>
        </w:tabs>
        <w:spacing w:after="240" w:line="240" w:lineRule="auto"/>
        <w:ind w:left="1418" w:hanging="284"/>
        <w:contextualSpacing/>
        <w:jc w:val="both"/>
        <w:rPr>
          <w:rFonts w:ascii="Times New Roman" w:hAnsi="Times New Roman" w:cs="Times New Roman"/>
          <w:bCs/>
          <w:noProof/>
          <w:sz w:val="24"/>
          <w:szCs w:val="24"/>
          <w:lang w:val="ro-RO"/>
        </w:rPr>
      </w:pPr>
      <w:r>
        <w:rPr>
          <w:rFonts w:ascii="Times New Roman" w:hAnsi="Times New Roman"/>
          <w:noProof/>
          <w:sz w:val="24"/>
          <w:lang w:val="ro-RO"/>
        </w:rPr>
        <w:t>Expertiză și asistență tehnică pentru introducerea programelor de creditare elaborate în cooperare cu Platforma europeană de consiliere în materie de investiții — inclusiv prin facilități precum ELENA, JASPERS, platforma fi-compass</w:t>
      </w:r>
      <w:r>
        <w:rPr>
          <w:rStyle w:val="FootnoteReference"/>
          <w:rFonts w:ascii="Times New Roman" w:hAnsi="Times New Roman"/>
          <w:noProof/>
          <w:sz w:val="24"/>
          <w:lang w:val="ro-RO"/>
        </w:rPr>
        <w:footnoteReference w:id="15"/>
      </w:r>
      <w:r>
        <w:rPr>
          <w:rFonts w:ascii="Times New Roman" w:hAnsi="Times New Roman"/>
          <w:noProof/>
          <w:sz w:val="24"/>
          <w:lang w:val="ro-RO"/>
        </w:rPr>
        <w:t xml:space="preserve"> — și alte surse provenite din fonduri naționale sau regionale.</w:t>
      </w:r>
    </w:p>
    <w:p>
      <w:pPr>
        <w:tabs>
          <w:tab w:val="left" w:pos="1701"/>
        </w:tabs>
        <w:spacing w:after="240" w:line="240" w:lineRule="auto"/>
        <w:ind w:left="1134"/>
        <w:contextualSpacing/>
        <w:jc w:val="both"/>
        <w:rPr>
          <w:rFonts w:ascii="Times New Roman" w:hAnsi="Times New Roman" w:cs="Times New Roman"/>
          <w:bCs/>
          <w:noProof/>
          <w:sz w:val="24"/>
          <w:szCs w:val="24"/>
          <w:lang w:val="ro-RO"/>
        </w:rPr>
      </w:pPr>
      <w:r>
        <w:rPr>
          <w:rFonts w:ascii="Times New Roman" w:hAnsi="Times New Roman"/>
          <w:noProof/>
          <w:sz w:val="24"/>
          <w:lang w:val="ro-RO"/>
        </w:rPr>
        <w:t>Pentru a sprijini implementarea acestui model și a altor instrumente în materie de energie durabilă asociate acestuia, Comisia va investiga posibilitățile de a redistribui fondurile UE existente, de exemplu în ceea ce privește asistența tehnică.</w:t>
      </w:r>
    </w:p>
    <w:p>
      <w:pPr>
        <w:tabs>
          <w:tab w:val="left" w:pos="1701"/>
        </w:tabs>
        <w:spacing w:after="240" w:line="240" w:lineRule="auto"/>
        <w:ind w:left="1418"/>
        <w:contextualSpacing/>
        <w:jc w:val="both"/>
        <w:rPr>
          <w:rFonts w:ascii="Times New Roman" w:hAnsi="Times New Roman" w:cs="Times New Roman"/>
          <w:bCs/>
          <w:noProof/>
          <w:sz w:val="24"/>
          <w:szCs w:val="24"/>
          <w:lang w:val="ro-RO"/>
        </w:rPr>
      </w:pPr>
    </w:p>
    <w:p>
      <w:pPr>
        <w:numPr>
          <w:ilvl w:val="0"/>
          <w:numId w:val="11"/>
        </w:numPr>
        <w:spacing w:after="240" w:line="240" w:lineRule="auto"/>
        <w:contextualSpacing/>
        <w:jc w:val="both"/>
        <w:rPr>
          <w:rFonts w:ascii="Times New Roman" w:hAnsi="Times New Roman" w:cs="Times New Roman"/>
          <w:noProof/>
          <w:sz w:val="24"/>
          <w:szCs w:val="24"/>
          <w:lang w:val="ro-RO"/>
        </w:rPr>
      </w:pPr>
      <w:r>
        <w:rPr>
          <w:rFonts w:ascii="Times New Roman" w:hAnsi="Times New Roman"/>
          <w:b/>
          <w:noProof/>
          <w:sz w:val="24"/>
          <w:lang w:val="ro-RO"/>
        </w:rPr>
        <w:t>Contractul de performanță energetică</w:t>
      </w:r>
      <w:r>
        <w:rPr>
          <w:rFonts w:ascii="Times New Roman" w:hAnsi="Times New Roman"/>
          <w:noProof/>
          <w:sz w:val="24"/>
          <w:lang w:val="ro-RO"/>
        </w:rPr>
        <w:t xml:space="preserve">: Rolul contractelor de performanță energetică în stimularea eficienței clădirilor publice trebuie să crească, întrucât acestea oferă o abordare holistică a renovărilor, inclusiv finanțarea, executarea lucrărilor și gestionarea energiei. De asemenea, acestea pot, în anumite condiții, să permită investiții în materie de eficiență fără a spori datoria publică, ceea ce este de o importanță crucială pentru guverne, precum și pentru autoritățile locale și regionale care se confruntă cu constrângeri bugetare, în special în ceea ce privește locuințele sociale, spitale sau școli. Normele privind investițiile din sectorul public și tratamentul statistic al renovării activelor ar trebui să fie transparente și clare, pentru a facilita investițiile în materie de eficiență energetică în bunurile publice. Eurostat va analiza modul în care poate aborda impactul investițiilor legate de eficiența energetică asupra datoriei și deficitului guvernelor. Comisia analizează, în strânsă cooperare cu statele membre, impactul normelor de contabilitate publică pe piața pentru contractele de performanță energetică și, după caz, va actualiza orientările cu privire la tratamentul statistic al unor astfel de parteneriate înainte de sfârșitul primăverii 2017. </w:t>
      </w:r>
    </w:p>
    <w:p>
      <w:pPr>
        <w:spacing w:after="240" w:line="240" w:lineRule="auto"/>
        <w:ind w:left="1080"/>
        <w:contextualSpacing/>
        <w:jc w:val="both"/>
        <w:rPr>
          <w:rFonts w:ascii="Times New Roman" w:hAnsi="Times New Roman" w:cs="Times New Roman"/>
          <w:noProof/>
          <w:sz w:val="24"/>
          <w:szCs w:val="24"/>
          <w:lang w:val="ro-RO"/>
        </w:rPr>
      </w:pPr>
    </w:p>
    <w:p>
      <w:pPr>
        <w:numPr>
          <w:ilvl w:val="0"/>
          <w:numId w:val="11"/>
        </w:numPr>
        <w:spacing w:after="240" w:line="240" w:lineRule="auto"/>
        <w:contextualSpacing/>
        <w:jc w:val="both"/>
        <w:rPr>
          <w:rFonts w:ascii="Times New Roman" w:hAnsi="Times New Roman" w:cs="Times New Roman"/>
          <w:b/>
          <w:noProof/>
          <w:sz w:val="24"/>
          <w:szCs w:val="24"/>
          <w:lang w:val="ro-RO"/>
        </w:rPr>
      </w:pPr>
      <w:r>
        <w:rPr>
          <w:rFonts w:ascii="Times New Roman" w:hAnsi="Times New Roman"/>
          <w:b/>
          <w:noProof/>
          <w:sz w:val="24"/>
          <w:lang w:val="ro-RO"/>
        </w:rPr>
        <w:t>Să furnizeze asistență administratorilor de fonduri publice în ceea ce privește structurarea și implementarea instrumentelor financiare</w:t>
      </w:r>
      <w:r>
        <w:rPr>
          <w:rFonts w:ascii="Times New Roman" w:hAnsi="Times New Roman"/>
          <w:noProof/>
          <w:sz w:val="24"/>
          <w:lang w:val="ro-RO"/>
        </w:rPr>
        <w:t>: pe lângă sprijinul acordat în cadrul Platformei europene de consiliere în materie de investiții, al fi-compass sau al rețelei energetice și a autorităților de management, Comisia va organiza o serie de evenimente de consolidare a capacității regionale cu implicarea principalilor factori de decizie și a părților interesate. Primul atelier a avut loc în luna noiembrie a acestui an la Riga și a vizat regiunea baltică.</w:t>
      </w:r>
    </w:p>
    <w:p>
      <w:pPr>
        <w:spacing w:after="240" w:line="240" w:lineRule="auto"/>
        <w:ind w:left="1080"/>
        <w:contextualSpacing/>
        <w:jc w:val="both"/>
        <w:rPr>
          <w:rFonts w:ascii="Times New Roman" w:hAnsi="Times New Roman" w:cs="Times New Roman"/>
          <w:b/>
          <w:noProof/>
          <w:sz w:val="24"/>
          <w:szCs w:val="24"/>
          <w:lang w:val="ro-RO"/>
        </w:rPr>
      </w:pPr>
    </w:p>
    <w:p>
      <w:pPr>
        <w:numPr>
          <w:ilvl w:val="0"/>
          <w:numId w:val="11"/>
        </w:numPr>
        <w:spacing w:after="240" w:line="240" w:lineRule="auto"/>
        <w:contextualSpacing/>
        <w:jc w:val="both"/>
        <w:rPr>
          <w:rFonts w:ascii="Times New Roman" w:hAnsi="Times New Roman" w:cs="Times New Roman"/>
          <w:b/>
          <w:noProof/>
          <w:sz w:val="24"/>
          <w:szCs w:val="24"/>
          <w:lang w:val="ro-RO"/>
        </w:rPr>
      </w:pPr>
      <w:r>
        <w:rPr>
          <w:rFonts w:ascii="Times New Roman" w:hAnsi="Times New Roman"/>
          <w:noProof/>
          <w:sz w:val="24"/>
          <w:lang w:val="ro-RO"/>
        </w:rPr>
        <w:t xml:space="preserve">În plus, Comisia a elaborat un </w:t>
      </w:r>
      <w:r>
        <w:rPr>
          <w:rFonts w:ascii="Times New Roman" w:hAnsi="Times New Roman"/>
          <w:b/>
          <w:noProof/>
          <w:sz w:val="24"/>
          <w:lang w:val="ro-RO"/>
        </w:rPr>
        <w:t xml:space="preserve">model </w:t>
      </w:r>
      <w:r>
        <w:rPr>
          <w:rFonts w:ascii="Times New Roman" w:hAnsi="Times New Roman"/>
          <w:noProof/>
          <w:sz w:val="24"/>
          <w:lang w:val="ro-RO"/>
        </w:rPr>
        <w:t xml:space="preserve">accesibil </w:t>
      </w:r>
      <w:r>
        <w:rPr>
          <w:rFonts w:ascii="Times New Roman" w:hAnsi="Times New Roman"/>
          <w:b/>
          <w:noProof/>
          <w:sz w:val="24"/>
          <w:lang w:val="ro-RO"/>
        </w:rPr>
        <w:t>pentru creșterea ponderii instrumentelor financiare în cadrul fondurilor structurale și de investiții europene:</w:t>
      </w:r>
      <w:r>
        <w:rPr>
          <w:rFonts w:ascii="Times New Roman" w:hAnsi="Times New Roman"/>
          <w:noProof/>
          <w:sz w:val="24"/>
          <w:lang w:val="ro-RO"/>
        </w:rPr>
        <w:t xml:space="preserve"> instrumentul de tip „off-the-shelf” pentru eficiență energetică. Statele membre au participat activ la instituirea de instrumente financiare pentru eficiența energetică, în special pentru a atinge obiectivul de a aloca 20 % din fondurile ESI pentru investiții în economia cu emisii scăzute de dioxid de carbon prin intermediul unor instrumente financiare. Cu toate acestea, unele state membre se confruntă cu întârzieri în acest sens și o utilizare sporită a instrumentelor de tip „off-the-shelf“ poate contribui la acoperirea acestui decalaj.</w:t>
      </w:r>
    </w:p>
    <w:p>
      <w:pPr>
        <w:spacing w:after="240" w:line="240" w:lineRule="auto"/>
        <w:ind w:left="1080"/>
        <w:contextualSpacing/>
        <w:jc w:val="both"/>
        <w:rPr>
          <w:rFonts w:ascii="Times New Roman" w:hAnsi="Times New Roman" w:cs="Times New Roman"/>
          <w:b/>
          <w:noProof/>
          <w:sz w:val="24"/>
          <w:szCs w:val="24"/>
          <w:lang w:val="ro-RO"/>
        </w:rPr>
      </w:pPr>
    </w:p>
    <w:p>
      <w:pPr>
        <w:spacing w:after="240" w:line="240" w:lineRule="auto"/>
        <w:jc w:val="both"/>
        <w:rPr>
          <w:rFonts w:ascii="Times New Roman" w:hAnsi="Times New Roman" w:cs="Times New Roman"/>
          <w:b/>
          <w:i/>
          <w:noProof/>
          <w:color w:val="000000"/>
          <w:sz w:val="24"/>
          <w:szCs w:val="24"/>
          <w:lang w:val="ro-RO"/>
        </w:rPr>
      </w:pPr>
      <w:r>
        <w:rPr>
          <w:rFonts w:ascii="Times New Roman" w:hAnsi="Times New Roman"/>
          <w:noProof/>
          <w:sz w:val="24"/>
          <w:lang w:val="ro-RO"/>
        </w:rPr>
        <w:t xml:space="preserve">În paralel, propunerea legislativă referitoare la Directiva europeană privind performanța energetică a clădirilor include măsuri pentru a </w:t>
      </w:r>
      <w:r>
        <w:rPr>
          <w:rFonts w:ascii="Times New Roman" w:hAnsi="Times New Roman"/>
          <w:b/>
          <w:noProof/>
          <w:sz w:val="24"/>
          <w:lang w:val="ro-RO"/>
        </w:rPr>
        <w:t>crea o legătură între stimulentele financiare</w:t>
      </w:r>
      <w:r>
        <w:rPr>
          <w:rFonts w:ascii="Times New Roman" w:hAnsi="Times New Roman"/>
          <w:noProof/>
          <w:sz w:val="24"/>
          <w:lang w:val="ro-RO"/>
        </w:rPr>
        <w:t xml:space="preserve"> obținute din fonduri publice și economiile de energie realizate. </w:t>
      </w:r>
    </w:p>
    <w:p>
      <w:pPr>
        <w:spacing w:after="240" w:line="240" w:lineRule="auto"/>
        <w:jc w:val="both"/>
        <w:rPr>
          <w:rFonts w:ascii="Times New Roman" w:hAnsi="Times New Roman" w:cs="Times New Roman"/>
          <w:b/>
          <w:i/>
          <w:noProof/>
          <w:color w:val="000000"/>
          <w:sz w:val="24"/>
          <w:szCs w:val="24"/>
          <w:lang w:val="ro-RO"/>
        </w:rPr>
      </w:pPr>
      <w:r>
        <w:rPr>
          <w:rFonts w:ascii="Times New Roman" w:hAnsi="Times New Roman"/>
          <w:b/>
          <w:i/>
          <w:noProof/>
          <w:color w:val="000000"/>
          <w:sz w:val="24"/>
          <w:lang w:val="ro-RO"/>
        </w:rPr>
        <w:t>Pilonul II Agregare și asistență pentru dezvoltarea proiectelor</w:t>
      </w:r>
    </w:p>
    <w:p>
      <w:pPr>
        <w:autoSpaceDE w:val="0"/>
        <w:autoSpaceDN w:val="0"/>
        <w:adjustRightInd w:val="0"/>
        <w:spacing w:after="240" w:line="240" w:lineRule="auto"/>
        <w:jc w:val="both"/>
        <w:rPr>
          <w:rFonts w:ascii="Times New Roman" w:hAnsi="Times New Roman" w:cs="Times New Roman"/>
          <w:bCs/>
          <w:noProof/>
          <w:sz w:val="24"/>
          <w:szCs w:val="24"/>
          <w:lang w:val="ro-RO"/>
        </w:rPr>
      </w:pPr>
      <w:r>
        <w:rPr>
          <w:rFonts w:ascii="Times New Roman" w:hAnsi="Times New Roman"/>
          <w:noProof/>
          <w:sz w:val="24"/>
          <w:lang w:val="ro-RO"/>
        </w:rPr>
        <w:t>Disponibilitatea la scară largă a unei rezerve de proiecte rentabile menite să ofere finanțare pentru platformele de investiții și instrumentele financiare este esențială pentru succesul acestei inițiative. Cu toate acestea, mulți inițiatori de proiect — autorități publice, persoane fizice sau întreprinderi — nu au competențele necesare și capacitatea de a institui, a pune în aplicare și a finanța proiecte ambițioase de construcție a clădirilor cu consum de energie curată. În consecință, Comisia:</w:t>
      </w:r>
    </w:p>
    <w:p>
      <w:pPr>
        <w:numPr>
          <w:ilvl w:val="0"/>
          <w:numId w:val="13"/>
        </w:numPr>
        <w:spacing w:after="240" w:line="240" w:lineRule="auto"/>
        <w:contextualSpacing/>
        <w:jc w:val="both"/>
        <w:rPr>
          <w:rFonts w:ascii="Times New Roman" w:hAnsi="Times New Roman" w:cs="Times New Roman"/>
          <w:noProof/>
          <w:sz w:val="24"/>
          <w:szCs w:val="24"/>
          <w:lang w:val="ro-RO"/>
        </w:rPr>
      </w:pPr>
      <w:r>
        <w:rPr>
          <w:rFonts w:ascii="Times New Roman" w:hAnsi="Times New Roman"/>
          <w:b/>
          <w:noProof/>
          <w:sz w:val="24"/>
          <w:lang w:val="ro-RO"/>
        </w:rPr>
        <w:t>va consolida instrumentele de asistență pentru dezvoltarea de proiecte</w:t>
      </w:r>
      <w:r>
        <w:rPr>
          <w:rFonts w:ascii="Times New Roman" w:hAnsi="Times New Roman"/>
          <w:b/>
          <w:noProof/>
          <w:sz w:val="24"/>
          <w:vertAlign w:val="superscript"/>
          <w:lang w:val="ro-RO"/>
        </w:rPr>
        <w:footnoteReference w:id="16"/>
      </w:r>
      <w:r>
        <w:rPr>
          <w:rFonts w:ascii="Times New Roman" w:hAnsi="Times New Roman"/>
          <w:noProof/>
          <w:sz w:val="24"/>
          <w:lang w:val="ro-RO"/>
        </w:rPr>
        <w:t xml:space="preserve"> </w:t>
      </w:r>
      <w:r>
        <w:rPr>
          <w:rFonts w:ascii="Times New Roman" w:hAnsi="Times New Roman"/>
          <w:b/>
          <w:noProof/>
          <w:sz w:val="24"/>
          <w:lang w:val="ro-RO"/>
        </w:rPr>
        <w:t xml:space="preserve">deja existente la nivelul UE, </w:t>
      </w:r>
      <w:r>
        <w:rPr>
          <w:rFonts w:ascii="Times New Roman" w:hAnsi="Times New Roman"/>
          <w:noProof/>
          <w:sz w:val="24"/>
          <w:lang w:val="ro-RO"/>
        </w:rPr>
        <w:t>cum ar fi</w:t>
      </w:r>
      <w:r>
        <w:rPr>
          <w:rFonts w:ascii="Times New Roman" w:hAnsi="Times New Roman"/>
          <w:b/>
          <w:noProof/>
          <w:sz w:val="24"/>
          <w:lang w:val="ro-RO"/>
        </w:rPr>
        <w:t xml:space="preserve"> </w:t>
      </w:r>
      <w:r>
        <w:rPr>
          <w:rFonts w:ascii="Times New Roman" w:hAnsi="Times New Roman"/>
          <w:noProof/>
          <w:sz w:val="24"/>
          <w:lang w:val="ro-RO"/>
        </w:rPr>
        <w:t>ELENA, în cooperare cu Platforma europeană de consiliere în materie de investiții. Obiectivul este de a spori rezerva de investiții, de a sprijini punerea în aplicare a instrumentelor financiare, de a se apropia de inițiatorii de proiecte, în special cei din Europa Centrală și de Est, de a implica mai mult orașele și actorii locali și de a stimula agregarea și adoptarea pe piață a soluțiilor promițătoare, inclusiv a tehnologiilor inovatoare și a strategiilor de finanțare și organizatorice. Comisia va crește bugetul UE de asistență pentru dezvoltarea de proiecte, de la 23 de milioane EUR în 2015 la 38 de milioane EUR pe an începând din 2017. Se preconizează că bugetul UE de asistență pentru dezvoltarea de proiecte pentru perioada 2016-2017 va declanșa investiții în valoare de până la 3 miliarde EUR</w:t>
      </w:r>
      <w:r>
        <w:rPr>
          <w:rStyle w:val="FootnoteReference"/>
          <w:rFonts w:ascii="Times New Roman" w:hAnsi="Times New Roman"/>
          <w:noProof/>
          <w:sz w:val="24"/>
          <w:lang w:val="ro-RO"/>
        </w:rPr>
        <w:footnoteReference w:id="17"/>
      </w:r>
      <w:r>
        <w:rPr>
          <w:rFonts w:ascii="Times New Roman" w:hAnsi="Times New Roman"/>
          <w:noProof/>
          <w:sz w:val="24"/>
          <w:lang w:val="ro-RO"/>
        </w:rPr>
        <w:t xml:space="preserve"> în construcția de clădiri cu consum de energie durabilă. </w:t>
      </w:r>
    </w:p>
    <w:p>
      <w:pPr>
        <w:spacing w:after="240" w:line="240" w:lineRule="auto"/>
        <w:ind w:left="1080"/>
        <w:contextualSpacing/>
        <w:jc w:val="both"/>
        <w:rPr>
          <w:rFonts w:ascii="Times New Roman" w:hAnsi="Times New Roman" w:cs="Times New Roman"/>
          <w:noProof/>
          <w:sz w:val="24"/>
          <w:szCs w:val="24"/>
          <w:lang w:val="ro-RO"/>
        </w:rPr>
      </w:pPr>
    </w:p>
    <w:p>
      <w:pPr>
        <w:numPr>
          <w:ilvl w:val="0"/>
          <w:numId w:val="13"/>
        </w:numPr>
        <w:spacing w:after="240" w:line="240" w:lineRule="auto"/>
        <w:contextualSpacing/>
        <w:jc w:val="both"/>
        <w:rPr>
          <w:rFonts w:ascii="Times New Roman" w:hAnsi="Times New Roman" w:cs="Times New Roman"/>
          <w:noProof/>
          <w:sz w:val="24"/>
          <w:szCs w:val="24"/>
          <w:lang w:val="ro-RO"/>
        </w:rPr>
      </w:pPr>
      <w:r>
        <w:rPr>
          <w:rFonts w:ascii="Times New Roman" w:hAnsi="Times New Roman"/>
          <w:b/>
          <w:noProof/>
          <w:sz w:val="24"/>
          <w:lang w:val="ro-RO"/>
        </w:rPr>
        <w:t xml:space="preserve">va încuraja statele membre să dezvolte ghișee unice locale sau regionale specializate </w:t>
      </w:r>
      <w:r>
        <w:rPr>
          <w:rFonts w:ascii="Times New Roman" w:hAnsi="Times New Roman"/>
          <w:noProof/>
          <w:sz w:val="24"/>
          <w:lang w:val="ro-RO"/>
        </w:rPr>
        <w:t>pentru dezvoltatorii de proiecte, care să acopere întregul demers al clientului de la informații, asistență tehnică, structurare și furnizare de sprijin financiar, până la monitorizarea economiilor. Aceste instrumente ar trebui să conducă la mai multe rezerve de proiecte dezvoltate pe plan local și la parteneriate puternice și de încredere cu actorii locali (de exemplu, IMM-urile, instituțiile financiare și agențiile pentru energie), elementul-cheie constând în a crea o legătură între cererea și oferta de finanțare. Dezvoltarea și multiplicarea acestor ghișee unice vor fi sprijinite la nivelul UE printr-un schimb de bune practici prin intermediul inițiativei Manag'Energy</w:t>
      </w:r>
      <w:r>
        <w:rPr>
          <w:rStyle w:val="FootnoteReference"/>
          <w:rFonts w:ascii="Times New Roman" w:hAnsi="Times New Roman"/>
          <w:noProof/>
          <w:sz w:val="24"/>
          <w:lang w:val="ro-RO"/>
        </w:rPr>
        <w:footnoteReference w:id="18"/>
      </w:r>
      <w:r>
        <w:rPr>
          <w:rFonts w:ascii="Times New Roman" w:hAnsi="Times New Roman"/>
          <w:noProof/>
          <w:sz w:val="24"/>
          <w:lang w:val="ro-RO"/>
        </w:rPr>
        <w:t>, finanțare obținută prin programul „Orizont 2020”</w:t>
      </w:r>
      <w:r>
        <w:rPr>
          <w:rStyle w:val="FootnoteReference"/>
          <w:rFonts w:ascii="Times New Roman" w:hAnsi="Times New Roman"/>
          <w:noProof/>
          <w:sz w:val="24"/>
          <w:lang w:val="ro-RO"/>
        </w:rPr>
        <w:footnoteReference w:id="19"/>
      </w:r>
      <w:r>
        <w:rPr>
          <w:rFonts w:ascii="Times New Roman" w:hAnsi="Times New Roman"/>
          <w:noProof/>
          <w:sz w:val="24"/>
          <w:lang w:val="ro-RO"/>
        </w:rPr>
        <w:t xml:space="preserve">, prin instrumentele UE de asistență pentru dezvoltarea de proiecte, sau prin finanțare din partea fondurilor structurale și de investiții europene, după caz. </w:t>
      </w:r>
    </w:p>
    <w:p>
      <w:pPr>
        <w:autoSpaceDE w:val="0"/>
        <w:autoSpaceDN w:val="0"/>
        <w:adjustRightInd w:val="0"/>
        <w:spacing w:after="240" w:line="240" w:lineRule="auto"/>
        <w:jc w:val="both"/>
        <w:rPr>
          <w:rFonts w:ascii="Times New Roman" w:hAnsi="Times New Roman" w:cs="Times New Roman"/>
          <w:noProof/>
          <w:sz w:val="24"/>
          <w:szCs w:val="24"/>
          <w:lang w:val="ro-RO"/>
        </w:rPr>
      </w:pPr>
    </w:p>
    <w:p>
      <w:pPr>
        <w:autoSpaceDE w:val="0"/>
        <w:autoSpaceDN w:val="0"/>
        <w:adjustRightInd w:val="0"/>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În paralel, propunerea de menținere a obligațiilor statelor membre de a economisi energie prevăzute la articolul 7 din Directiva privind eficiența energetică va stimula în continuare practicile de grupare a proiectelor la scară mică. </w:t>
      </w:r>
    </w:p>
    <w:p>
      <w:pPr>
        <w:spacing w:after="240" w:line="240" w:lineRule="auto"/>
        <w:jc w:val="both"/>
        <w:rPr>
          <w:rFonts w:ascii="Times New Roman" w:hAnsi="Times New Roman" w:cs="Times New Roman"/>
          <w:b/>
          <w:i/>
          <w:noProof/>
          <w:color w:val="000000"/>
          <w:sz w:val="24"/>
          <w:szCs w:val="24"/>
          <w:lang w:val="ro-RO"/>
        </w:rPr>
      </w:pPr>
      <w:r>
        <w:rPr>
          <w:rFonts w:ascii="Times New Roman" w:hAnsi="Times New Roman"/>
          <w:b/>
          <w:i/>
          <w:noProof/>
          <w:color w:val="000000"/>
          <w:sz w:val="24"/>
          <w:lang w:val="ro-RO"/>
        </w:rPr>
        <w:t>Pilonul III: Reducerea riscurilor</w:t>
      </w:r>
    </w:p>
    <w:p>
      <w:pPr>
        <w:autoSpaceDE w:val="0"/>
        <w:autoSpaceDN w:val="0"/>
        <w:adjustRightInd w:val="0"/>
        <w:spacing w:after="240" w:line="240" w:lineRule="auto"/>
        <w:jc w:val="both"/>
        <w:rPr>
          <w:rFonts w:ascii="Times New Roman" w:hAnsi="Times New Roman" w:cs="Times New Roman"/>
          <w:bCs/>
          <w:noProof/>
          <w:sz w:val="24"/>
          <w:szCs w:val="24"/>
          <w:lang w:val="ro-RO"/>
        </w:rPr>
      </w:pPr>
      <w:r>
        <w:rPr>
          <w:rFonts w:ascii="Times New Roman" w:hAnsi="Times New Roman"/>
          <w:noProof/>
          <w:color w:val="000000"/>
          <w:sz w:val="24"/>
          <w:lang w:val="ro-RO"/>
        </w:rPr>
        <w:t>Astfel cum s-a solicitat de către instituțiile financiare</w:t>
      </w:r>
      <w:bookmarkStart w:id="2" w:name="_Ref462326186"/>
      <w:r>
        <w:rPr>
          <w:rFonts w:ascii="Times New Roman" w:hAnsi="Times New Roman"/>
          <w:noProof/>
          <w:color w:val="000000"/>
          <w:sz w:val="24"/>
          <w:vertAlign w:val="superscript"/>
          <w:lang w:val="ro-RO"/>
        </w:rPr>
        <w:footnoteReference w:id="20"/>
      </w:r>
      <w:bookmarkEnd w:id="2"/>
      <w:r>
        <w:rPr>
          <w:rFonts w:ascii="Times New Roman" w:hAnsi="Times New Roman"/>
          <w:noProof/>
          <w:color w:val="000000"/>
          <w:sz w:val="24"/>
          <w:lang w:val="ro-RO"/>
        </w:rPr>
        <w:t xml:space="preserve">, este necesar ca investitorii și finanțatorii să înțeleagă mai bine adevăratele riscuri și beneficii ale investițiilor în construcția de clădiri cu consum de energie durabilă pe baza informațiilor de pe piață și a istoricului de performanță. Elemente fundamentale precum probabilitatea mai scăzută a neîndeplinirii obligațiilor de plată în cazul împrumuturilor de economisire a energiei sau o creștere a valorii activelor ca urmare a creșterii performanței energetice trebuie să fie recunoscute din ce în ce mai mult de către bănci și să se reflecte în procesul de stabilire a prețurilor pentru produsele de finanțare ale acestora. Dezvoltarea de produse de finanțare specifice pentru construcția de clădiri cu consum de energie durabilă este, de asemenea, importantă pentru a sprijini crearea unei piețe secundare (de refinanțare) și pentru a crește participarea capitalului privat. </w:t>
      </w:r>
      <w:r>
        <w:rPr>
          <w:rFonts w:ascii="Times New Roman" w:hAnsi="Times New Roman"/>
          <w:noProof/>
          <w:sz w:val="24"/>
          <w:lang w:val="ro-RO"/>
        </w:rPr>
        <w:t>Pentru a susține această transformare a pieței, Comisia:</w:t>
      </w:r>
    </w:p>
    <w:p>
      <w:pPr>
        <w:numPr>
          <w:ilvl w:val="0"/>
          <w:numId w:val="14"/>
        </w:numPr>
        <w:autoSpaceDE w:val="0"/>
        <w:autoSpaceDN w:val="0"/>
        <w:adjustRightInd w:val="0"/>
        <w:spacing w:after="240" w:line="240" w:lineRule="auto"/>
        <w:ind w:left="709" w:hanging="283"/>
        <w:contextualSpacing/>
        <w:jc w:val="both"/>
        <w:rPr>
          <w:rFonts w:ascii="Times New Roman" w:hAnsi="Times New Roman" w:cs="Times New Roman"/>
          <w:noProof/>
          <w:color w:val="000000"/>
          <w:sz w:val="24"/>
          <w:szCs w:val="24"/>
          <w:lang w:val="ro-RO"/>
        </w:rPr>
      </w:pPr>
      <w:r>
        <w:rPr>
          <w:rFonts w:ascii="Times New Roman" w:hAnsi="Times New Roman"/>
          <w:b/>
          <w:noProof/>
          <w:sz w:val="24"/>
          <w:lang w:val="ro-RO"/>
        </w:rPr>
        <w:t xml:space="preserve">Lansează Platforma pentru reducerea riscului în ceea ce privește eficiența energetică, </w:t>
      </w:r>
      <w:r>
        <w:rPr>
          <w:rFonts w:ascii="Times New Roman" w:hAnsi="Times New Roman"/>
          <w:noProof/>
          <w:sz w:val="24"/>
          <w:lang w:val="ro-RO"/>
        </w:rPr>
        <w:t>divulgând performanțele tehnice și financiare a peste 5 000 de proiecte privind eficiența energetică industrială și a clădirilor europene. Dezvoltatorii de proiecte, finanțatorii și investitorii sunt invitați să contribuie în continuare la această bază de date deschisă și să beneficieze de pe urma elementelor sale de evaluare comparativă și învățare reciprocă.</w:t>
      </w:r>
    </w:p>
    <w:p>
      <w:pPr>
        <w:autoSpaceDE w:val="0"/>
        <w:autoSpaceDN w:val="0"/>
        <w:adjustRightInd w:val="0"/>
        <w:spacing w:after="240" w:line="240" w:lineRule="auto"/>
        <w:ind w:left="1134"/>
        <w:contextualSpacing/>
        <w:jc w:val="both"/>
        <w:rPr>
          <w:rFonts w:ascii="Times New Roman" w:hAnsi="Times New Roman" w:cs="Times New Roman"/>
          <w:noProof/>
          <w:color w:val="000000"/>
          <w:sz w:val="24"/>
          <w:szCs w:val="24"/>
          <w:lang w:val="ro-RO"/>
        </w:rPr>
      </w:pPr>
    </w:p>
    <w:p>
      <w:pPr>
        <w:numPr>
          <w:ilvl w:val="0"/>
          <w:numId w:val="14"/>
        </w:numPr>
        <w:autoSpaceDE w:val="0"/>
        <w:autoSpaceDN w:val="0"/>
        <w:adjustRightInd w:val="0"/>
        <w:spacing w:after="240" w:line="240" w:lineRule="auto"/>
        <w:contextualSpacing/>
        <w:jc w:val="both"/>
        <w:rPr>
          <w:rFonts w:ascii="Times New Roman" w:hAnsi="Times New Roman" w:cs="Times New Roman"/>
          <w:noProof/>
          <w:color w:val="000000"/>
          <w:sz w:val="24"/>
          <w:szCs w:val="24"/>
          <w:lang w:val="ro-RO"/>
        </w:rPr>
      </w:pPr>
      <w:r>
        <w:rPr>
          <w:rFonts w:ascii="Times New Roman" w:hAnsi="Times New Roman"/>
          <w:noProof/>
          <w:sz w:val="24"/>
          <w:lang w:val="ro-RO"/>
        </w:rPr>
        <w:t xml:space="preserve">Va colabora îndeaproape cu instituții financiare publice și private, reprezentanți ai industriei și experți în domeniu pentru a elabora un </w:t>
      </w:r>
      <w:r>
        <w:rPr>
          <w:rFonts w:ascii="Times New Roman" w:hAnsi="Times New Roman"/>
          <w:b/>
          <w:noProof/>
          <w:sz w:val="24"/>
          <w:lang w:val="ro-RO"/>
        </w:rPr>
        <w:t>cadru consensual pentru subscrierea de investiții în construcția de clădiri cu consum de energie durabilă.</w:t>
      </w:r>
      <w:r>
        <w:rPr>
          <w:rFonts w:ascii="Times New Roman" w:hAnsi="Times New Roman"/>
          <w:noProof/>
          <w:sz w:val="24"/>
          <w:lang w:val="ro-RO"/>
        </w:rPr>
        <w:t xml:space="preserve"> Realizată în coproducție cu Grupul instituțiilor financiare pentru eficiența energetică (EEFIG)</w:t>
      </w:r>
      <w:r>
        <w:rPr>
          <w:rFonts w:ascii="Times New Roman" w:hAnsi="Times New Roman"/>
          <w:noProof/>
          <w:sz w:val="24"/>
          <w:vertAlign w:val="superscript"/>
          <w:lang w:val="ro-RO"/>
        </w:rPr>
        <w:t>11</w:t>
      </w:r>
      <w:r>
        <w:rPr>
          <w:rFonts w:ascii="Times New Roman" w:hAnsi="Times New Roman"/>
          <w:noProof/>
          <w:sz w:val="24"/>
          <w:lang w:val="ro-RO"/>
        </w:rPr>
        <w:t xml:space="preserve"> și programată pentru 2017, această inițiativă va sprijini instituțiile financiare să includă beneficiile esențiale în materie de energie în practicile lor comerciale, concomitent cu reducerea costurilor tranzacției și creșterea încrederii investitorilor. Această acțiune va contribui, de asemenea, la deblocarea pieței de credite ipotecare verzi.</w:t>
      </w:r>
    </w:p>
    <w:p>
      <w:pPr>
        <w:autoSpaceDE w:val="0"/>
        <w:autoSpaceDN w:val="0"/>
        <w:adjustRightInd w:val="0"/>
        <w:spacing w:after="240" w:line="240" w:lineRule="auto"/>
        <w:jc w:val="both"/>
        <w:rPr>
          <w:rFonts w:ascii="Times New Roman" w:hAnsi="Times New Roman" w:cs="Times New Roman"/>
          <w:bCs/>
          <w:noProof/>
          <w:sz w:val="24"/>
          <w:szCs w:val="24"/>
          <w:lang w:val="ro-RO"/>
        </w:rPr>
      </w:pPr>
    </w:p>
    <w:p>
      <w:pPr>
        <w:autoSpaceDE w:val="0"/>
        <w:autoSpaceDN w:val="0"/>
        <w:adjustRightInd w:val="0"/>
        <w:spacing w:after="240" w:line="240" w:lineRule="auto"/>
        <w:jc w:val="both"/>
        <w:rPr>
          <w:rFonts w:ascii="Times New Roman" w:hAnsi="Times New Roman" w:cs="Times New Roman"/>
          <w:bCs/>
          <w:noProof/>
          <w:sz w:val="24"/>
          <w:szCs w:val="24"/>
          <w:lang w:val="ro-RO"/>
        </w:rPr>
      </w:pPr>
      <w:r>
        <w:rPr>
          <w:rFonts w:ascii="Times New Roman" w:hAnsi="Times New Roman"/>
          <w:noProof/>
          <w:sz w:val="24"/>
          <w:lang w:val="ro-RO"/>
        </w:rPr>
        <w:t xml:space="preserve">În paralel, propunerea legislativă referitoare la Directiva europeană privind performanța energetică a clădirilor cuprinde măsuri destinate să le ofere investitorilor din sectorul privat acces la informații mai multe și mai bune, inclusiv certificate de performanță energetică a clădirilor mai fiabile, colectarea de date privind consumul real de energie al clădirilor publice și dezvoltarea în continuare a foilor de parcurs privind renovarea pe termen lung, care să orienteze deciziile de investiții. </w:t>
      </w:r>
    </w:p>
    <w:p>
      <w:pPr>
        <w:spacing w:after="240" w:line="240" w:lineRule="auto"/>
        <w:jc w:val="both"/>
        <w:rPr>
          <w:rFonts w:ascii="Times New Roman" w:hAnsi="Times New Roman" w:cs="Times New Roman"/>
          <w:b/>
          <w:i/>
          <w:noProof/>
          <w:color w:val="000000"/>
          <w:sz w:val="24"/>
          <w:szCs w:val="24"/>
          <w:lang w:val="ro-RO"/>
        </w:rPr>
      </w:pPr>
      <w:r>
        <w:rPr>
          <w:rFonts w:ascii="Times New Roman" w:hAnsi="Times New Roman"/>
          <w:noProof/>
          <w:sz w:val="24"/>
          <w:lang w:val="ro-RO"/>
        </w:rPr>
        <w:t xml:space="preserve">De asemenea, Comisia lansează </w:t>
      </w:r>
      <w:r>
        <w:rPr>
          <w:rFonts w:ascii="Times New Roman" w:hAnsi="Times New Roman"/>
          <w:b/>
          <w:noProof/>
          <w:sz w:val="24"/>
          <w:lang w:val="ro-RO"/>
        </w:rPr>
        <w:t>Observatorul parcului imobiliar al UE</w:t>
      </w:r>
      <w:r>
        <w:rPr>
          <w:rFonts w:ascii="Times New Roman" w:hAnsi="Times New Roman"/>
          <w:noProof/>
          <w:sz w:val="24"/>
          <w:lang w:val="ro-RO"/>
        </w:rPr>
        <w:t xml:space="preserve"> pentru a colecta la nivel central toate informațiile relevante în ceea ce privește clădirile din UE și reabilitarea energetică. Aceasta va permite acordarea de sprijin pentru elaborarea, punerea în aplicare, monitorizarea și evaluarea politicilor și a instrumentelor financiare conexe.</w:t>
      </w:r>
    </w:p>
    <w:p>
      <w:pPr>
        <w:spacing w:after="240" w:line="240" w:lineRule="auto"/>
        <w:jc w:val="both"/>
        <w:rPr>
          <w:rFonts w:ascii="Times New Roman" w:eastAsia="Times New Roman" w:hAnsi="Times New Roman" w:cs="Times New Roman"/>
          <w:b/>
          <w:noProof/>
          <w:sz w:val="24"/>
          <w:szCs w:val="24"/>
          <w:lang w:val="ro-RO"/>
        </w:rPr>
      </w:pPr>
      <w:r>
        <w:rPr>
          <w:rFonts w:ascii="Times New Roman" w:hAnsi="Times New Roman"/>
          <w:b/>
          <w:noProof/>
          <w:sz w:val="24"/>
          <w:lang w:val="ro-RO"/>
        </w:rPr>
        <w:t>2.</w:t>
      </w:r>
      <w:r>
        <w:rPr>
          <w:noProof/>
          <w:lang w:val="ro-RO"/>
        </w:rPr>
        <w:tab/>
      </w:r>
      <w:r>
        <w:rPr>
          <w:rFonts w:ascii="Times New Roman" w:hAnsi="Times New Roman"/>
          <w:b/>
          <w:noProof/>
          <w:sz w:val="24"/>
          <w:lang w:val="ro-RO"/>
        </w:rPr>
        <w:t>Sectorul construcțiilor</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Comisia va invita părțile interesate din sectorul construcțiilor să discute provocările și oportunitățile pe care investițiile în construcția de clădiri cu consum de energie durabilă le reprezintă pentru acest sector, precum și modul în care acestea pot fi promovate în continuare. Aceasta vine în completarea activității desfășurate de forumul tripartit de nivel înalt în materie de construcții durabile, care face parte din Strategia „Construcții 2020”.</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În conformitate cu Agenda pentru competențe în Europa</w:t>
      </w:r>
      <w:r>
        <w:rPr>
          <w:rStyle w:val="FootnoteReference"/>
          <w:rFonts w:ascii="Times New Roman" w:hAnsi="Times New Roman"/>
          <w:noProof/>
          <w:sz w:val="24"/>
          <w:lang w:val="ro-RO"/>
        </w:rPr>
        <w:footnoteReference w:id="21"/>
      </w:r>
      <w:r>
        <w:rPr>
          <w:rFonts w:ascii="Times New Roman" w:hAnsi="Times New Roman"/>
          <w:noProof/>
          <w:sz w:val="24"/>
          <w:lang w:val="ro-RO"/>
        </w:rPr>
        <w:t xml:space="preserve"> Comisia a demarat eforturile pentru a contribui la soluționarea provocărilor în materie de competențe. Pe baza experienței cu proiectele-pilot lansate în anul curent, în 2017 Comisia va pune în aplicare o nouă serie de așa-numite „Planuri de cooperare sectorială în domeniul competențelor”, iar unul dintre acestea va viza, de asemenea, sectorul construcțiilor, cu accent pe eficiența energetică și competențele digitale. În acest context, vor fi dezvoltate sinergii cu inițiativa Comisiei intitulată „BUILD UP Skills“, care explorează îmbunătățirea competențelor lucrătorilor din sectorul construcțiilor în ceea ce privește eficiența energetică și tehnologiile privind energia din surse regenerabile, instalarea și gestionarea acestora</w:t>
      </w:r>
      <w:r>
        <w:rPr>
          <w:rStyle w:val="FootnoteReference"/>
          <w:rFonts w:ascii="Times New Roman" w:hAnsi="Times New Roman"/>
          <w:noProof/>
          <w:sz w:val="24"/>
          <w:lang w:val="ro-RO"/>
        </w:rPr>
        <w:footnoteReference w:id="22"/>
      </w:r>
      <w:r>
        <w:rPr>
          <w:noProof/>
          <w:lang w:val="ro-RO"/>
        </w:rPr>
        <w:t>.</w:t>
      </w:r>
      <w:r>
        <w:rPr>
          <w:rFonts w:ascii="Times New Roman" w:hAnsi="Times New Roman"/>
          <w:noProof/>
          <w:sz w:val="24"/>
          <w:lang w:val="ro-RO"/>
        </w:rPr>
        <w:t xml:space="preserve"> </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Construirea unor clădiri noi sau reabilitarea clădirilor pentru ca acestea să fie mai eficiente din punct de vedere energetic oferă o oportunitate de a regândi practicile de construcție și de demolare pentru a lua în considerare aspecte mai ample privind utilizarea eficientă a resurselor. În contextul pachetului privind economia circulară, Comisia Europeană va prezenta anul viitor un cadru UE pentru evaluarea performanței generale de mediu a clădirilor. Un astfel de cadru ar trebui să fie utilizat pentru promovarea economiei circulare în mediul construit, inclusiv prin folosirea acestuia ca referință în proiecte de aplicare la scară largă, în fondurile structurale și de investiții europene și în cadrul politicilor și al legislației naționale. De asemenea, Comisia Europeană analizează opțiuni pentru a susține inițiativele de promovare a investițiilor în noi și/sau inovatoare infrastructuri pentru reciclarea deșeurilor provenite din construcții și demolări în regiunile rămase în urmă având în vedere obiectivul de 70 % de reutilizare, recuperare și reciclare, care trebuie să fie îndeplinit până în 2020 în temeiul Directivei-cadru privind deșeurile. Astfel de investiții ar putea fi sprijinite de Fondul european pentru investiții strategice. O platformă specifică pentru proiecte de economie circulară este în curs de înființare. În plus, Comisia a elaborat un protocol de gestionare a deșeurilor provenite din construcții și demolări, pentru a sprijini părțile interesate să trateze deșeurile într-o manieră ecologică și crescându-le potențialul de reciclare. Privind în perspectivă, Comisia Europeană lucrează, de asemenea, la o serie de principii și norme pentru proiectarea durabilă a clădirilor în scopul de a produce mai puține deșeuri provenite din activități de construcție și demolări și pentru a facilita reciclarea materialelor. Toate aceste inițiative vor contribui, la rândul lor, la reducerea consumului de energie și a costurilor legate de materialele de construcție. </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Potențialul sectorului construcțiilor în materie de creștere și de creare de locuri de muncă trebuie să fie deblocat prin îmbunătățirea funcționării piețelor. Rezultatele verificării adecvării în ceea ce privește construcțiile vor fi utilizate pentru a asigura o mai bună coerență a legislației legate de piața internă și de eficiența energetică. De exemplu, cerințele care decurg din regulamentele privind proiectarea ecologică ar trebui să fie încorporate, după caz, în standardele armonizate în temeiul Regulamentului privind produsele pentru construcții, aplicabile acelorași produse, pentru a le furniza producătorilor un cadru unic pentru testarea produselor. Întrucât piața internă a produselor pentru construcții este încă fragmentată, un proces de consultare cu părțile interesate este în curs de desfășurare</w:t>
      </w:r>
      <w:r>
        <w:rPr>
          <w:rStyle w:val="FootnoteReference"/>
          <w:rFonts w:ascii="Times New Roman" w:hAnsi="Times New Roman"/>
          <w:noProof/>
          <w:sz w:val="24"/>
          <w:lang w:val="ro-RO"/>
        </w:rPr>
        <w:footnoteReference w:id="23"/>
      </w:r>
      <w:r>
        <w:rPr>
          <w:rFonts w:ascii="Times New Roman" w:hAnsi="Times New Roman"/>
          <w:noProof/>
          <w:sz w:val="24"/>
          <w:lang w:val="ro-RO"/>
        </w:rPr>
        <w:t>, ceea ce ar putea conduce la o revizuire a Regulamentului privind produsele pentru construcții în cadrul mandatului actualei Comisii.</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 xml:space="preserve">Comisia Europeană va continua să sprijine inovarea prin stimularea dezvoltării de produse și procese tehnologice avansate în cadrul parteneriatului public-privat contractual (PPPc) privind </w:t>
      </w:r>
      <w:r>
        <w:rPr>
          <w:rFonts w:ascii="Times New Roman" w:hAnsi="Times New Roman"/>
          <w:i/>
          <w:noProof/>
          <w:sz w:val="24"/>
          <w:lang w:val="ro-RO"/>
        </w:rPr>
        <w:t>clădirile eficiente din punct de vedere energetic (EeB).</w:t>
      </w:r>
      <w:r>
        <w:rPr>
          <w:rFonts w:ascii="Times New Roman" w:hAnsi="Times New Roman"/>
          <w:noProof/>
          <w:sz w:val="24"/>
          <w:lang w:val="ro-RO"/>
        </w:rPr>
        <w:t xml:space="preserve"> Se preconizează că acest parteneriat public-privat va furniza tehnologiile necesare pentru a spori durabilitatea și competitivitatea industriei europene a construcțiilor</w:t>
      </w:r>
      <w:r>
        <w:rPr>
          <w:rStyle w:val="FootnoteReference"/>
          <w:rFonts w:ascii="Times New Roman" w:hAnsi="Times New Roman"/>
          <w:noProof/>
          <w:sz w:val="24"/>
          <w:lang w:val="ro-RO"/>
        </w:rPr>
        <w:footnoteReference w:id="24"/>
      </w:r>
      <w:r>
        <w:rPr>
          <w:noProof/>
          <w:lang w:val="ro-RO"/>
        </w:rPr>
        <w:t>.</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Inițiativa ar putea fi însoțită de o abordare inteligentă în ceea ce privește achizițiile publice, care să promoveze soluții inovatoare în materie de emisii scăzute de carbon, prin intermediul inițiativelor de standardizare coordonate de industrie precum SustSteel</w:t>
      </w:r>
      <w:r>
        <w:rPr>
          <w:rStyle w:val="FootnoteReference"/>
          <w:rFonts w:ascii="Times New Roman" w:hAnsi="Times New Roman"/>
          <w:noProof/>
          <w:sz w:val="24"/>
          <w:lang w:val="ro-RO"/>
        </w:rPr>
        <w:footnoteReference w:id="25"/>
      </w:r>
      <w:r>
        <w:rPr>
          <w:rFonts w:ascii="Times New Roman" w:hAnsi="Times New Roman"/>
          <w:noProof/>
          <w:sz w:val="24"/>
          <w:lang w:val="ro-RO"/>
        </w:rPr>
        <w:t>. Odată finalizate, aceste standarde pot fi utilizate de sectorul construcțiilor pentru a-și îndeplini obiectivele în materie de durabilitate. Această abordare ar putea fi reprodusă pentru alte produse de construcții și ar permite sectorului să valorifice eforturile depuse și să își comercializeze mult mai eficient produsele.</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Noile directive privind achizițiile publice (în vigoare începând cu primăvara anului 2016) consolidează și optimizează toate instrumentele de inovare existente: criterii funcționale, variante, considerente privind calitatea în materie de specificații tehnice și criterii de atribuire. UE contribuie, de asemenea, la achizițiile în materie de inovare prin intermediul fondurilor structurale și de investiții europene și al programului „Orizont 2020”. Aceasta a condus la o serie de proiecte inovatoare. Un exemplu interesant îl constituie proiectul transfrontalier PAPIRUS (care include Germania, Spania, Italia și Norvegia) cu scopul de a promova, a pune în aplicare și a valida soluții inovatoare în materie de construcții durabile prin intermediul achizițiilor publice, concentrându-se asupra clădirilor al căror consum de energie este aproape egal cu zero. În plus, Comisia a publicat criterii voluntare pentru achizițiile publice verzi privind proiectarea, construcția și gestionarea de clădiri de birouri, care includ o serie de recomandări privind modalitatea de a achiziționa o clădire de birouri ecologică și eficientă din punct de vedere energetic</w:t>
      </w:r>
      <w:r>
        <w:rPr>
          <w:rFonts w:ascii="Times New Roman" w:hAnsi="Times New Roman"/>
          <w:noProof/>
          <w:sz w:val="24"/>
          <w:vertAlign w:val="superscript"/>
          <w:lang w:val="ro-RO"/>
        </w:rPr>
        <w:footnoteReference w:id="26"/>
      </w:r>
      <w:r>
        <w:rPr>
          <w:rFonts w:ascii="Times New Roman" w:hAnsi="Times New Roman"/>
          <w:noProof/>
          <w:sz w:val="24"/>
          <w:lang w:val="ro-RO"/>
        </w:rPr>
        <w:t>.</w:t>
      </w:r>
    </w:p>
    <w:p>
      <w:pPr>
        <w:spacing w:after="240" w:line="240" w:lineRule="auto"/>
        <w:jc w:val="both"/>
        <w:rPr>
          <w:rFonts w:ascii="Times New Roman" w:hAnsi="Times New Roman" w:cs="Times New Roman"/>
          <w:noProof/>
          <w:sz w:val="24"/>
          <w:szCs w:val="24"/>
          <w:lang w:val="ro-RO"/>
        </w:rPr>
      </w:pPr>
      <w:r>
        <w:rPr>
          <w:rFonts w:ascii="Times New Roman" w:hAnsi="Times New Roman"/>
          <w:noProof/>
          <w:sz w:val="24"/>
          <w:lang w:val="ro-RO"/>
        </w:rPr>
        <w:t>Tehnologiile digitale au potențialul de a spori eficiența proceselor de construcție și funcționarea clădirilor, contribuind astfel la obiectivele noastre de economisire a energiei. Prin urmare, Comisia sprijină definirea unor principii și norme comune în domeniul achizițiilor publice pentru a digitaliza caracteristicile clădirilor, inclusiv performanța energetică a acestora (modelarea informatică a clădirilor). Împreună cu dezvoltarea unui cadru comun pentru un jurnal digital al clădirii și pentru acțiuni specifice care vizează IMM-urile, aceasta facilitează schimbul de informații și susținerea procesului decizional înaintea, în timpul și ulterior proiectelor de construcții, precum și evitarea fragmentării prin strategii naționale concurente și reducerea costurilor pentru IMM-uri. În plus, în conformitate cu Acordul privind achizițiile publice al OMC și în contextul acordurilor bilaterale, UE se asigură că achizițiile publice se realizează într-o manieră transparentă și concurențială, care nu discriminează bunurile, serviciile sau furnizorii din UE.</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91097"/>
      <w:docPartObj>
        <w:docPartGallery w:val="Page Numbers (Bottom of Page)"/>
        <w:docPartUnique/>
      </w:docPartObj>
    </w:sdtPr>
    <w:sdtEndPr>
      <w:rPr>
        <w:rFonts w:ascii="Times New Roman" w:hAnsi="Times New Roman" w:cs="Times New Roman"/>
        <w:noProof/>
        <w:sz w:val="24"/>
        <w:szCs w:val="24"/>
      </w:rPr>
    </w:sdtEndPr>
    <w:sdtContent>
      <w:p>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w:t>
      </w:r>
      <w:r>
        <w:rPr>
          <w:lang w:val="ro-RO"/>
        </w:rPr>
        <w:tab/>
      </w:r>
      <w:r>
        <w:rPr>
          <w:rFonts w:ascii="Times New Roman" w:hAnsi="Times New Roman"/>
          <w:lang w:val="ro-RO"/>
        </w:rPr>
        <w:t>Comisia Europeană, sectorul european al construcțiilor — Partener global, 2016.</w:t>
      </w:r>
    </w:p>
  </w:footnote>
  <w:footnote w:id="2">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w:t>
      </w:r>
      <w:r>
        <w:rPr>
          <w:lang w:val="ro-RO"/>
        </w:rPr>
        <w:tab/>
      </w:r>
      <w:r>
        <w:rPr>
          <w:rFonts w:ascii="Times New Roman" w:hAnsi="Times New Roman"/>
          <w:lang w:val="ro-RO"/>
        </w:rPr>
        <w:t>Evaluarea impactului cu privire la modificarea Directivei europene privind performanța energetică a clădirilor, SWD(2016) 414; a se vedea, de asemenea, raportul JRC „Energy Renovation: The Trump Card for the New Start for Europe”, disponibil la adresa http://iet.jrc.ec.europa.eu/energyefficiency/publication/energy-renovation-trump-card-new-start-europe</w:t>
      </w:r>
    </w:p>
  </w:footnote>
  <w:footnote w:id="3">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w:t>
      </w:r>
      <w:r>
        <w:rPr>
          <w:lang w:val="ro-RO"/>
        </w:rPr>
        <w:tab/>
      </w:r>
      <w:r>
        <w:rPr>
          <w:rFonts w:ascii="Times New Roman" w:hAnsi="Times New Roman"/>
          <w:lang w:val="ro-RO"/>
        </w:rPr>
        <w:t xml:space="preserve">Comunicarea „Europa investește din nou — Bilanțul Planului de investiții pentru Europa și etapele următoare”, COM(2016) 359. </w:t>
      </w:r>
    </w:p>
  </w:footnote>
  <w:footnote w:id="4">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lang w:val="ro-RO"/>
        </w:rPr>
        <w:tab/>
      </w:r>
      <w:r>
        <w:rPr>
          <w:rFonts w:ascii="Times New Roman" w:hAnsi="Times New Roman"/>
          <w:lang w:val="ro-RO"/>
        </w:rPr>
        <w:t xml:space="preserve">Notă: În plus, există alocări de 870 de milioane EUR și, respectiv, 113 milioane EUR din Fondul european agricol pentru dezvoltare rurală (FEADR) și din Fondul european pentru pescuit și afaceri maritime (FEPAM) care fac parte, de asemenea, din fondurile structurale și de investiții europene. </w:t>
      </w:r>
    </w:p>
  </w:footnote>
  <w:footnote w:id="5">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lang w:val="ro-RO"/>
        </w:rPr>
        <w:tab/>
      </w:r>
      <w:r>
        <w:rPr>
          <w:rFonts w:ascii="Times New Roman" w:hAnsi="Times New Roman"/>
          <w:lang w:val="ro-RO"/>
        </w:rPr>
        <w:t>Estimare bazată pe tabelele financiare ale programelor operaționale pentru perioada 2014-2020 în vederea realizării obiectivului tematic „sprijinirea tranziției către o economie cu emisii scăzute de dioxid de carbon” în general.</w:t>
      </w:r>
    </w:p>
  </w:footnote>
  <w:footnote w:id="6">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w:t>
      </w:r>
      <w:r>
        <w:rPr>
          <w:lang w:val="ro-RO"/>
        </w:rPr>
        <w:tab/>
      </w:r>
      <w:r>
        <w:rPr>
          <w:rFonts w:ascii="Times New Roman" w:hAnsi="Times New Roman"/>
          <w:lang w:val="ro-RO"/>
        </w:rPr>
        <w:t>Inclusiv cofinanțarea națională.</w:t>
      </w:r>
    </w:p>
  </w:footnote>
  <w:footnote w:id="7">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w:t>
      </w:r>
      <w:r>
        <w:rPr>
          <w:lang w:val="ro-RO"/>
        </w:rPr>
        <w:tab/>
      </w:r>
      <w:r>
        <w:rPr>
          <w:rFonts w:ascii="Times New Roman" w:hAnsi="Times New Roman"/>
          <w:lang w:val="ro-RO"/>
        </w:rPr>
        <w:t>Prima sinteză anuală a progreselor instrumentelor financiare din fondurile structurale și de investiții europene în perioada 2014-2020 va fi întocmită până la sfârșitul lunii noiembrie 2016.</w:t>
      </w:r>
    </w:p>
  </w:footnote>
  <w:footnote w:id="8">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w:t>
      </w:r>
      <w:r>
        <w:rPr>
          <w:lang w:val="ro-RO"/>
        </w:rPr>
        <w:tab/>
      </w:r>
      <w:r>
        <w:rPr>
          <w:rFonts w:ascii="Times New Roman" w:hAnsi="Times New Roman"/>
          <w:lang w:val="ro-RO"/>
        </w:rPr>
        <w:t>BEI a alocat 10,5 miliarde EUR pentru sectorul eficienței energetice în ultimii 5 ani.</w:t>
      </w:r>
    </w:p>
  </w:footnote>
  <w:footnote w:id="9">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w:t>
      </w:r>
      <w:r>
        <w:rPr>
          <w:lang w:val="ro-RO"/>
        </w:rPr>
        <w:tab/>
      </w:r>
      <w:r>
        <w:rPr>
          <w:rFonts w:ascii="Times New Roman" w:hAnsi="Times New Roman"/>
          <w:lang w:val="ro-RO"/>
        </w:rPr>
        <w:t>COM(2016) 605 din 14 septembrie 2016.</w:t>
      </w:r>
    </w:p>
  </w:footnote>
  <w:footnote w:id="10">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w:t>
      </w:r>
      <w:r>
        <w:rPr>
          <w:lang w:val="ro-RO"/>
        </w:rPr>
        <w:tab/>
      </w:r>
      <w:r>
        <w:rPr>
          <w:rFonts w:ascii="Times New Roman" w:hAnsi="Times New Roman"/>
          <w:lang w:val="ro-RO"/>
        </w:rPr>
        <w:t>A se vedea Declarația Comisiei privind evaluarea contribuțiilor unice în contextul inițiativei FEIS în scopul punerii în aplicare a Pactului de stabilitate și de creștere, JO L 169, 1.7.2015; p. 38, precum și a se vedea Comunicarea Comisiei intitulată „Utilizarea optimă a flexibilității în cadrul normelor prevăzute de Pactul de stabilitate și de creștere”, COM(2015) 12.</w:t>
      </w:r>
    </w:p>
  </w:footnote>
  <w:footnote w:id="11">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w:t>
      </w:r>
      <w:hyperlink r:id="rId1">
        <w:r>
          <w:rPr>
            <w:rStyle w:val="Hyperlink"/>
            <w:rFonts w:ascii="Times New Roman" w:hAnsi="Times New Roman"/>
            <w:lang w:val="ro-RO"/>
          </w:rPr>
          <w:t>http://www.covenantofmayors.eu/index_en.html</w:t>
        </w:r>
      </w:hyperlink>
      <w:r>
        <w:rPr>
          <w:rFonts w:ascii="Times New Roman" w:hAnsi="Times New Roman"/>
          <w:lang w:val="ro-RO"/>
        </w:rPr>
        <w:t xml:space="preserve"> </w:t>
      </w:r>
    </w:p>
  </w:footnote>
  <w:footnote w:id="12">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w:t>
      </w:r>
      <w:r>
        <w:rPr>
          <w:lang w:val="ro-RO"/>
        </w:rPr>
        <w:tab/>
      </w:r>
      <w:r>
        <w:rPr>
          <w:rFonts w:ascii="Times New Roman" w:hAnsi="Times New Roman"/>
          <w:lang w:val="ro-RO"/>
        </w:rPr>
        <w:t xml:space="preserve">În special soluții de încălzire și răcire, panouri solare în acoperișuri și pompe de căldură. </w:t>
      </w:r>
    </w:p>
  </w:footnote>
  <w:footnote w:id="13">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În recent adoptata propunere privind „Regulamentul Omnibus” (COM(2016) 605), Comisia propune simplificarea normelor aplicabile în ceea ce privește combinarea fondurilor structurale și de investiții europene cu FEIS, care ar putea permite dezvoltarea mai multor modele și șabloane ușor de utilizat. </w:t>
      </w:r>
    </w:p>
  </w:footnote>
  <w:footnote w:id="14">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w:t>
      </w:r>
      <w:r>
        <w:rPr>
          <w:lang w:val="ro-RO"/>
        </w:rPr>
        <w:tab/>
      </w:r>
      <w:r>
        <w:rPr>
          <w:rFonts w:ascii="Times New Roman" w:hAnsi="Times New Roman"/>
          <w:lang w:val="ro-RO"/>
        </w:rPr>
        <w:t>Aceste platforme vor oferi, de asemenea, o mai mare vizibilitate a proiectelor finanțate în cadrul respectiv, în scopul aplicării avantajelor legislative și administrative relevante furnizate de FEIS.</w:t>
      </w:r>
    </w:p>
  </w:footnote>
  <w:footnote w:id="15">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fi-compass este o platformă pentru servicii de consiliere privind instrumentele financiare din cadrul fondurilor structurale și de investiții europene (fondurile ESI), destinată să sprijine autoritățile de management pentru fondurile ESI și alte părți interesate, prin furnizarea de cunoștințe practice și de instrumente de învățare cu privire la instrumentele financiare. </w:t>
      </w:r>
      <w:hyperlink r:id="rId2">
        <w:r>
          <w:rPr>
            <w:rStyle w:val="Hyperlink"/>
            <w:rFonts w:ascii="Times New Roman" w:hAnsi="Times New Roman"/>
            <w:lang w:val="ro-RO"/>
          </w:rPr>
          <w:t>https://www.fi-compass.eu/</w:t>
        </w:r>
      </w:hyperlink>
    </w:p>
  </w:footnote>
  <w:footnote w:id="16">
    <w:p>
      <w:pPr>
        <w:pStyle w:val="FootnoteText"/>
        <w:tabs>
          <w:tab w:val="left" w:pos="240"/>
        </w:tabs>
        <w:jc w:val="both"/>
        <w:rPr>
          <w:rFonts w:ascii="Times New Roman" w:hAnsi="Times New Roman" w:cs="Times New Roman"/>
          <w:lang w:val="ro-RO"/>
        </w:rPr>
      </w:pPr>
      <w:r>
        <w:rPr>
          <w:rStyle w:val="FootnoteReference"/>
          <w:rFonts w:ascii="Times New Roman" w:hAnsi="Times New Roman"/>
          <w:lang w:val="ro-RO"/>
        </w:rPr>
        <w:footnoteRef/>
      </w:r>
      <w:r>
        <w:rPr>
          <w:lang w:val="ro-RO"/>
        </w:rPr>
        <w:tab/>
      </w:r>
      <w:r>
        <w:rPr>
          <w:rFonts w:ascii="Times New Roman" w:hAnsi="Times New Roman"/>
          <w:lang w:val="ro-RO"/>
        </w:rPr>
        <w:t>Instrumentul ELENA și cererea de propuneri privind instrumentul de asistență pentru dezvoltarea de proiecte în cadrul programului „Orizont 2020“.</w:t>
      </w:r>
    </w:p>
  </w:footnote>
  <w:footnote w:id="17">
    <w:p>
      <w:pPr>
        <w:pStyle w:val="FootnoteText"/>
        <w:tabs>
          <w:tab w:val="left" w:pos="240"/>
        </w:tabs>
        <w:jc w:val="both"/>
        <w:rPr>
          <w:rFonts w:ascii="Times New Roman" w:hAnsi="Times New Roman" w:cs="Times New Roman"/>
          <w:lang w:val="ro-RO"/>
        </w:rPr>
      </w:pPr>
      <w:r>
        <w:rPr>
          <w:rStyle w:val="FootnoteReference"/>
          <w:rFonts w:ascii="Times New Roman" w:hAnsi="Times New Roman"/>
          <w:lang w:val="ro-RO"/>
        </w:rPr>
        <w:footnoteRef/>
      </w:r>
      <w:r>
        <w:rPr>
          <w:lang w:val="ro-RO"/>
        </w:rPr>
        <w:tab/>
      </w:r>
      <w:r>
        <w:rPr>
          <w:rFonts w:ascii="Times New Roman" w:hAnsi="Times New Roman"/>
          <w:lang w:val="ro-RO"/>
        </w:rPr>
        <w:t>Pe baza efectului de levier obținut anterior în ceea ce privește instrumentul ELENA și instrumentul de asistență pentru dezvoltarea de proiecte al Agenției Executive pentru Întreprinderi Mici și Mijlocii (EASME).</w:t>
      </w:r>
    </w:p>
  </w:footnote>
  <w:footnote w:id="18">
    <w:p>
      <w:pPr>
        <w:pStyle w:val="FootnoteText"/>
        <w:ind w:left="240" w:hanging="240"/>
        <w:jc w:val="both"/>
        <w:rPr>
          <w:rFonts w:ascii="Times New Roman" w:hAnsi="Times New Roman" w:cs="Times New Roman"/>
          <w:lang w:val="ro-RO"/>
        </w:rPr>
      </w:pPr>
      <w:r>
        <w:rPr>
          <w:rStyle w:val="FootnoteReference"/>
          <w:rFonts w:ascii="Times New Roman" w:hAnsi="Times New Roman"/>
          <w:lang w:val="ro-RO"/>
        </w:rPr>
        <w:footnoteRef/>
      </w:r>
      <w:r>
        <w:rPr>
          <w:lang w:val="ro-RO"/>
        </w:rPr>
        <w:tab/>
      </w:r>
      <w:r>
        <w:rPr>
          <w:rFonts w:ascii="Times New Roman" w:hAnsi="Times New Roman"/>
          <w:lang w:val="ro-RO"/>
        </w:rPr>
        <w:t>Manag’Energy va constitui punctul central în ceea ce privește consolidarea capacităților pentru cele peste 400 de agenții pentru energie locale și regionale din Europa, pentru a crește capacitatea acestora în materie de finanțare a eficienței energetice și pentru a împuternici agențiile să dezvolte structuri având în vedere abordări holistice și integrate pe plan local/regional.</w:t>
      </w:r>
    </w:p>
  </w:footnote>
  <w:footnote w:id="19">
    <w:p>
      <w:pPr>
        <w:pStyle w:val="FootnoteText"/>
        <w:ind w:left="240" w:hanging="240"/>
        <w:jc w:val="both"/>
        <w:rPr>
          <w:rFonts w:ascii="Times New Roman" w:hAnsi="Times New Roman" w:cs="Times New Roman"/>
          <w:lang w:val="ro-RO"/>
        </w:rPr>
      </w:pPr>
      <w:r>
        <w:rPr>
          <w:rStyle w:val="FootnoteReference"/>
          <w:rFonts w:ascii="Times New Roman" w:hAnsi="Times New Roman"/>
          <w:lang w:val="ro-RO"/>
        </w:rPr>
        <w:footnoteRef/>
      </w:r>
      <w:r>
        <w:rPr>
          <w:lang w:val="ro-RO"/>
        </w:rPr>
        <w:tab/>
      </w:r>
      <w:r>
        <w:rPr>
          <w:rFonts w:ascii="Times New Roman" w:hAnsi="Times New Roman"/>
          <w:lang w:val="ro-RO"/>
        </w:rPr>
        <w:t>Orizont 2020, EE-23-2017, privind schemele inovatoare de finanțare, mai exact schemele care se bazează pe agregatori de proiect sau pe case de compensare la nivel regional sau național.</w:t>
      </w:r>
    </w:p>
  </w:footnote>
  <w:footnote w:id="20">
    <w:p>
      <w:pPr>
        <w:pStyle w:val="FootnoteText"/>
        <w:tabs>
          <w:tab w:val="left" w:pos="240"/>
        </w:tabs>
        <w:jc w:val="both"/>
        <w:rPr>
          <w:rFonts w:ascii="Times New Roman" w:hAnsi="Times New Roman" w:cs="Times New Roman"/>
          <w:lang w:val="ro-RO"/>
        </w:rPr>
      </w:pPr>
      <w:r>
        <w:rPr>
          <w:rStyle w:val="FootnoteReference"/>
          <w:rFonts w:ascii="Times New Roman" w:hAnsi="Times New Roman"/>
          <w:lang w:val="ro-RO"/>
        </w:rPr>
        <w:footnoteRef/>
      </w:r>
      <w:r>
        <w:rPr>
          <w:lang w:val="ro-RO"/>
        </w:rPr>
        <w:tab/>
      </w:r>
      <w:hyperlink r:id="rId3">
        <w:r>
          <w:rPr>
            <w:rStyle w:val="Hyperlink"/>
            <w:rFonts w:ascii="Times New Roman" w:hAnsi="Times New Roman"/>
            <w:lang w:val="ro-RO"/>
          </w:rPr>
          <w:t>www.eefig.com</w:t>
        </w:r>
      </w:hyperlink>
    </w:p>
  </w:footnote>
  <w:footnote w:id="21">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lang w:val="ro-RO"/>
        </w:rPr>
        <w:tab/>
      </w:r>
      <w:r>
        <w:rPr>
          <w:rFonts w:ascii="Times New Roman" w:hAnsi="Times New Roman"/>
          <w:lang w:val="ro-RO"/>
        </w:rPr>
        <w:t>Comunicarea intitulată „</w:t>
      </w:r>
      <w:r>
        <w:rPr>
          <w:rFonts w:ascii="Times New Roman" w:hAnsi="Times New Roman"/>
          <w:i/>
          <w:lang w:val="ro-RO"/>
        </w:rPr>
        <w:t>O nouă agendă pentru competențe în Europa: Să lucrăm împreună pentru consolidarea capitalului uman, a capacității de inserție profesională și a competitivității“</w:t>
      </w:r>
      <w:r>
        <w:rPr>
          <w:rFonts w:ascii="Times New Roman" w:hAnsi="Times New Roman"/>
          <w:lang w:val="ro-RO"/>
        </w:rPr>
        <w:t>, COM(2016) 381.</w:t>
      </w:r>
    </w:p>
  </w:footnote>
  <w:footnote w:id="22">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Inițiativă finanțată în cadrul programelor: Programul „Energie inteligentă pentru Europa” și Provocarea societală 3 din cadrul programului „Orizont 2020”.</w:t>
      </w:r>
    </w:p>
  </w:footnote>
  <w:footnote w:id="23">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rStyle w:val="FootnoteReference"/>
          <w:rFonts w:ascii="Times New Roman" w:hAnsi="Times New Roman"/>
          <w:lang w:val="ro-RO"/>
        </w:rPr>
        <w:t xml:space="preserve"> </w:t>
      </w:r>
      <w:r>
        <w:rPr>
          <w:lang w:val="ro-RO"/>
        </w:rPr>
        <w:tab/>
      </w:r>
      <w:r>
        <w:rPr>
          <w:rFonts w:ascii="Times New Roman" w:hAnsi="Times New Roman"/>
          <w:lang w:val="ro-RO"/>
        </w:rPr>
        <w:t>Astfel cum se prevede în raportul privind punerea în aplicare a Regulamentului privind produsele pentru construcții (a se adăuga referința)</w:t>
      </w:r>
    </w:p>
  </w:footnote>
  <w:footnote w:id="24">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w:t>
      </w:r>
      <w:r>
        <w:rPr>
          <w:lang w:val="ro-RO"/>
        </w:rPr>
        <w:tab/>
      </w:r>
      <w:r>
        <w:rPr>
          <w:rFonts w:ascii="Times New Roman" w:hAnsi="Times New Roman"/>
          <w:lang w:val="ro-RO"/>
        </w:rPr>
        <w:t>http://ec.europa.eu/research/industrial_technologies/energy-efficient-buildings_en.html.</w:t>
      </w:r>
    </w:p>
  </w:footnote>
  <w:footnote w:id="25">
    <w:p>
      <w:pPr>
        <w:pStyle w:val="FootnoteText"/>
        <w:tabs>
          <w:tab w:val="left" w:pos="240"/>
        </w:tabs>
        <w:ind w:left="240" w:hanging="240"/>
        <w:jc w:val="both"/>
        <w:rPr>
          <w:rFonts w:ascii="Times New Roman" w:hAnsi="Times New Roman" w:cs="Times New Roman"/>
          <w:lang w:val="ro-RO"/>
        </w:rPr>
      </w:pPr>
      <w:r>
        <w:rPr>
          <w:rStyle w:val="FootnoteReference"/>
          <w:rFonts w:ascii="Times New Roman" w:hAnsi="Times New Roman"/>
          <w:lang w:val="ro-RO"/>
        </w:rPr>
        <w:footnoteRef/>
      </w:r>
      <w:r>
        <w:rPr>
          <w:lang w:val="ro-RO"/>
        </w:rPr>
        <w:tab/>
      </w:r>
      <w:r>
        <w:rPr>
          <w:rFonts w:ascii="Times New Roman" w:hAnsi="Times New Roman"/>
          <w:lang w:val="ro-RO"/>
        </w:rPr>
        <w:t>Industria siderurgică se află în procesul de a elabora standarde europene privind oțelul durabil (SustSteel), ceea ce ar permite societăților să certifice faptul că produsele lor din oțel destinate sectorului construcțiilor respectă cerințele definite pentru aspectele economice, de mediu și sociale ale durabilității.</w:t>
      </w:r>
    </w:p>
  </w:footnote>
  <w:footnote w:id="26">
    <w:p>
      <w:pPr>
        <w:pStyle w:val="FootnoteText"/>
        <w:jc w:val="both"/>
        <w:rPr>
          <w:rFonts w:ascii="Times New Roman" w:hAnsi="Times New Roman" w:cs="Times New Roman"/>
          <w:lang w:val="ro-RO"/>
        </w:rPr>
      </w:pPr>
      <w:r>
        <w:rPr>
          <w:rStyle w:val="FootnoteReference"/>
          <w:rFonts w:ascii="Times New Roman" w:hAnsi="Times New Roman"/>
          <w:lang w:val="ro-RO"/>
        </w:rPr>
        <w:footnoteRef/>
      </w:r>
      <w:r>
        <w:rPr>
          <w:rFonts w:ascii="Times New Roman" w:hAnsi="Times New Roman"/>
          <w:lang w:val="ro-RO"/>
        </w:rPr>
        <w:t xml:space="preserve"> SWD(2016) 180 Criteriile finale ale UE pentru achizițiile publice verzi privind proiectarea, construcția și gestionarea de clădiri de birouri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F15"/>
    <w:multiLevelType w:val="hybridMultilevel"/>
    <w:tmpl w:val="D76C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D742C"/>
    <w:multiLevelType w:val="hybridMultilevel"/>
    <w:tmpl w:val="3ED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D7468"/>
    <w:multiLevelType w:val="hybridMultilevel"/>
    <w:tmpl w:val="0DEA47A6"/>
    <w:lvl w:ilvl="0" w:tplc="BA782A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322AC8"/>
    <w:multiLevelType w:val="hybridMultilevel"/>
    <w:tmpl w:val="D43CA060"/>
    <w:lvl w:ilvl="0" w:tplc="252ED40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FB53A3"/>
    <w:multiLevelType w:val="hybridMultilevel"/>
    <w:tmpl w:val="D504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6A6AAB"/>
    <w:multiLevelType w:val="hybridMultilevel"/>
    <w:tmpl w:val="D6BC8892"/>
    <w:lvl w:ilvl="0" w:tplc="F8348F44">
      <w:numFmt w:val="bullet"/>
      <w:lvlText w:val="-"/>
      <w:lvlJc w:val="left"/>
      <w:pPr>
        <w:ind w:left="1440" w:hanging="360"/>
      </w:pPr>
      <w:rPr>
        <w:rFonts w:ascii="Times New Roman" w:eastAsiaTheme="minorHAnsi" w:hAnsi="Times New Roman" w:cs="Times New Roman" w:hint="default"/>
        <w:b/>
      </w:rPr>
    </w:lvl>
    <w:lvl w:ilvl="1" w:tplc="F8348F44">
      <w:numFmt w:val="bullet"/>
      <w:lvlText w:val="-"/>
      <w:lvlJc w:val="left"/>
      <w:pPr>
        <w:ind w:left="2160" w:hanging="360"/>
      </w:pPr>
      <w:rPr>
        <w:rFonts w:ascii="Times New Roman" w:eastAsiaTheme="minorHAnsi" w:hAnsi="Times New Roman" w:cs="Times New Roman" w:hint="default"/>
        <w:b/>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50B0302"/>
    <w:multiLevelType w:val="hybridMultilevel"/>
    <w:tmpl w:val="E764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80264"/>
    <w:multiLevelType w:val="multilevel"/>
    <w:tmpl w:val="E44495E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4EF84E91"/>
    <w:multiLevelType w:val="hybridMultilevel"/>
    <w:tmpl w:val="BDB4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9E15DE"/>
    <w:multiLevelType w:val="hybridMultilevel"/>
    <w:tmpl w:val="6A9AFEEC"/>
    <w:lvl w:ilvl="0" w:tplc="252ED408">
      <w:start w:val="1"/>
      <w:numFmt w:val="lowerLetter"/>
      <w:lvlText w:val="%1."/>
      <w:lvlJc w:val="left"/>
      <w:pPr>
        <w:ind w:left="108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891779A"/>
    <w:multiLevelType w:val="hybridMultilevel"/>
    <w:tmpl w:val="66FC6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E342CA"/>
    <w:multiLevelType w:val="hybridMultilevel"/>
    <w:tmpl w:val="F2AC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624AFF"/>
    <w:multiLevelType w:val="hybridMultilevel"/>
    <w:tmpl w:val="B10A6630"/>
    <w:lvl w:ilvl="0" w:tplc="B4387C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1A26C5"/>
    <w:multiLevelType w:val="hybridMultilevel"/>
    <w:tmpl w:val="3DAE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596816"/>
    <w:multiLevelType w:val="hybridMultilevel"/>
    <w:tmpl w:val="9956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EA76C3"/>
    <w:multiLevelType w:val="hybridMultilevel"/>
    <w:tmpl w:val="6A9AFEEC"/>
    <w:lvl w:ilvl="0" w:tplc="252ED408">
      <w:start w:val="1"/>
      <w:numFmt w:val="lowerLetter"/>
      <w:lvlText w:val="%1."/>
      <w:lvlJc w:val="left"/>
      <w:pPr>
        <w:ind w:left="108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8"/>
  </w:num>
  <w:num w:numId="5">
    <w:abstractNumId w:val="14"/>
  </w:num>
  <w:num w:numId="6">
    <w:abstractNumId w:val="11"/>
  </w:num>
  <w:num w:numId="7">
    <w:abstractNumId w:val="10"/>
  </w:num>
  <w:num w:numId="8">
    <w:abstractNumId w:val="13"/>
  </w:num>
  <w:num w:numId="9">
    <w:abstractNumId w:val="12"/>
  </w:num>
  <w:num w:numId="10">
    <w:abstractNumId w:val="6"/>
  </w:num>
  <w:num w:numId="11">
    <w:abstractNumId w:val="15"/>
  </w:num>
  <w:num w:numId="12">
    <w:abstractNumId w:val="5"/>
  </w:num>
  <w:num w:numId="13">
    <w:abstractNumId w:val="9"/>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a"/>
    <w:docVar w:name="LW_ANNEX_NBR_FIRST" w:val="1"/>
    <w:docVar w:name="LW_ANNEX_NBR_LAST" w:val="1"/>
    <w:docVar w:name="LW_CONFIDENCE" w:val=" "/>
    <w:docVar w:name="LW_CONST_RESTREINT_UE" w:val="RESTREINT UE"/>
    <w:docVar w:name="LW_CORRIGENDUM" w:val="&lt;UNUSED&gt;"/>
    <w:docVar w:name="LW_COVERPAGE_GUID" w:val="40372D8CFDEE45D0A991CD1E11DA231E"/>
    <w:docVar w:name="LW_CROSSREFERENCE" w:val="&lt;UNUSED&gt;"/>
    <w:docVar w:name="LW_DocType" w:val="NORMAL"/>
    <w:docVar w:name="LW_EMISSION" w:val="30.11.2016"/>
    <w:docVar w:name="LW_EMISSION_ISODATE" w:val="2016-11-30"/>
    <w:docVar w:name="LW_EMISSION_LOCATION" w:val="BRX"/>
    <w:docVar w:name="LW_EMISSION_PREFIX" w:val="Bruxelles, "/>
    <w:docVar w:name="LW_EMISSION_SUFFIX" w:val=" "/>
    <w:docVar w:name="LW_ID_DOCTYPE_NONLW" w:val="CP-039"/>
    <w:docVar w:name="LW_LANGUE" w:val="RO"/>
    <w:docVar w:name="LW_MARKING" w:val="&lt;UNUSED&gt;"/>
    <w:docVar w:name="LW_NOM.INST" w:val="COMISIA EUROPEAN\u258?"/>
    <w:docVar w:name="LW_NOM.INST_JOINTDOC" w:val="&lt;EMPTY&gt;"/>
    <w:docVar w:name="LW_OBJETACTEPRINCIPAL.CP" w:val="Energie curat\u259? pentru to\u539?i europenii"/>
    <w:docVar w:name="LW_PART_NBR" w:val="1"/>
    <w:docVar w:name="LW_PART_NBR_TOTAL" w:val="1"/>
    <w:docVar w:name="LW_REF.INST.NEW" w:val="COM"/>
    <w:docVar w:name="LW_REF.INST.NEW_ADOPTED" w:val="final"/>
    <w:docVar w:name="LW_REF.INST.NEW_TEXT" w:val="(2016) 860"/>
    <w:docVar w:name="LW_REF.INTERNE" w:val="&lt;UNUSED&gt;"/>
    <w:docVar w:name="LW_SUPERTITRE" w:val="&lt;UNUSED&gt;"/>
    <w:docVar w:name="LW_TITRE.OBJ.CP" w:val="Accelerarea introducerii energiei curate în cl\u259?diri"/>
    <w:docVar w:name="LW_TYPE.DOC.CP" w:val="ANEX\u258?_x000b_"/>
    <w:docVar w:name="LW_TYPEACTEPRINCIPAL.CP" w:val="COMUNICAREA COMISIEI C\u258?TRE PARLAMENTUL EUROPEAN, CONSILIU, COMITETUL ECONOMIC \u536?I SOCIAL EUROPEAN, COMITETUL REGIUNILOR \u536?I BANCA EUROPEAN\u258? DE INVESTI\u538?I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widowControl w:val="0"/>
      <w:suppressAutoHyphens/>
      <w:overflowPunct w:val="0"/>
      <w:autoSpaceDE w:val="0"/>
      <w:autoSpaceDN w:val="0"/>
      <w:spacing w:after="0" w:line="240" w:lineRule="auto"/>
      <w:textAlignment w:val="baseline"/>
    </w:pPr>
    <w:rPr>
      <w:rFonts w:ascii="Calibri" w:eastAsiaTheme="minorEastAsia" w:hAnsi="Calibri"/>
      <w:kern w:val="3"/>
      <w:sz w:val="20"/>
      <w:szCs w:val="20"/>
      <w:lang w:eastAsia="en-GB"/>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Calibri" w:eastAsiaTheme="minorEastAsia" w:hAnsi="Calibri"/>
      <w:kern w:val="3"/>
      <w:sz w:val="20"/>
      <w:szCs w:val="20"/>
      <w:lang w:eastAsia="en-GB"/>
    </w:rPr>
  </w:style>
  <w:style w:type="character" w:styleId="FootnoteReference">
    <w:name w:val="footnote reference"/>
    <w:aliases w:val="number,SUPERS,Footnote Reference Superscript,Footnote number,-E Fußnotenzeichen,EN Footnote Reference,-E Fuﬂnotenzeichen,-E Fuûnotenzeichen,stylish,Footnote symbol,(Footnote Reference),Footnote reference number,note TESI,BVI fnr,fr,o"/>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Hyperlink">
    <w:name w:val="Hyperlink"/>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widowControl w:val="0"/>
      <w:suppressAutoHyphens/>
      <w:overflowPunct w:val="0"/>
      <w:autoSpaceDE w:val="0"/>
      <w:autoSpaceDN w:val="0"/>
      <w:spacing w:after="0" w:line="240" w:lineRule="auto"/>
      <w:textAlignment w:val="baseline"/>
    </w:pPr>
    <w:rPr>
      <w:rFonts w:ascii="Calibri" w:eastAsiaTheme="minorEastAsia" w:hAnsi="Calibri"/>
      <w:kern w:val="3"/>
      <w:sz w:val="20"/>
      <w:szCs w:val="20"/>
      <w:lang w:eastAsia="en-GB"/>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Calibri" w:eastAsiaTheme="minorEastAsia" w:hAnsi="Calibri"/>
      <w:kern w:val="3"/>
      <w:sz w:val="20"/>
      <w:szCs w:val="20"/>
      <w:lang w:eastAsia="en-GB"/>
    </w:rPr>
  </w:style>
  <w:style w:type="character" w:styleId="FootnoteReference">
    <w:name w:val="footnote reference"/>
    <w:aliases w:val="number,SUPERS,Footnote Reference Superscript,Footnote number,-E Fußnotenzeichen,EN Footnote Reference,-E Fuﬂnotenzeichen,-E Fuûnotenzeichen,stylish,Footnote symbol,(Footnote Reference),Footnote reference number,note TESI,BVI fnr,fr,o"/>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Hyperlink">
    <w:name w:val="Hyperlink"/>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398">
      <w:bodyDiv w:val="1"/>
      <w:marLeft w:val="0"/>
      <w:marRight w:val="0"/>
      <w:marTop w:val="0"/>
      <w:marBottom w:val="0"/>
      <w:divBdr>
        <w:top w:val="none" w:sz="0" w:space="0" w:color="auto"/>
        <w:left w:val="none" w:sz="0" w:space="0" w:color="auto"/>
        <w:bottom w:val="none" w:sz="0" w:space="0" w:color="auto"/>
        <w:right w:val="none" w:sz="0" w:space="0" w:color="auto"/>
      </w:divBdr>
    </w:div>
    <w:div w:id="88044048">
      <w:bodyDiv w:val="1"/>
      <w:marLeft w:val="0"/>
      <w:marRight w:val="0"/>
      <w:marTop w:val="0"/>
      <w:marBottom w:val="0"/>
      <w:divBdr>
        <w:top w:val="none" w:sz="0" w:space="0" w:color="auto"/>
        <w:left w:val="none" w:sz="0" w:space="0" w:color="auto"/>
        <w:bottom w:val="none" w:sz="0" w:space="0" w:color="auto"/>
        <w:right w:val="none" w:sz="0" w:space="0" w:color="auto"/>
      </w:divBdr>
    </w:div>
    <w:div w:id="432014334">
      <w:bodyDiv w:val="1"/>
      <w:marLeft w:val="0"/>
      <w:marRight w:val="0"/>
      <w:marTop w:val="0"/>
      <w:marBottom w:val="0"/>
      <w:divBdr>
        <w:top w:val="none" w:sz="0" w:space="0" w:color="auto"/>
        <w:left w:val="none" w:sz="0" w:space="0" w:color="auto"/>
        <w:bottom w:val="none" w:sz="0" w:space="0" w:color="auto"/>
        <w:right w:val="none" w:sz="0" w:space="0" w:color="auto"/>
      </w:divBdr>
    </w:div>
    <w:div w:id="789395477">
      <w:bodyDiv w:val="1"/>
      <w:marLeft w:val="0"/>
      <w:marRight w:val="0"/>
      <w:marTop w:val="0"/>
      <w:marBottom w:val="0"/>
      <w:divBdr>
        <w:top w:val="none" w:sz="0" w:space="0" w:color="auto"/>
        <w:left w:val="none" w:sz="0" w:space="0" w:color="auto"/>
        <w:bottom w:val="none" w:sz="0" w:space="0" w:color="auto"/>
        <w:right w:val="none" w:sz="0" w:space="0" w:color="auto"/>
      </w:divBdr>
      <w:divsChild>
        <w:div w:id="1640110907">
          <w:marLeft w:val="547"/>
          <w:marRight w:val="0"/>
          <w:marTop w:val="0"/>
          <w:marBottom w:val="0"/>
          <w:divBdr>
            <w:top w:val="none" w:sz="0" w:space="0" w:color="auto"/>
            <w:left w:val="none" w:sz="0" w:space="0" w:color="auto"/>
            <w:bottom w:val="none" w:sz="0" w:space="0" w:color="auto"/>
            <w:right w:val="none" w:sz="0" w:space="0" w:color="auto"/>
          </w:divBdr>
        </w:div>
      </w:divsChild>
    </w:div>
    <w:div w:id="906234086">
      <w:bodyDiv w:val="1"/>
      <w:marLeft w:val="0"/>
      <w:marRight w:val="0"/>
      <w:marTop w:val="0"/>
      <w:marBottom w:val="0"/>
      <w:divBdr>
        <w:top w:val="none" w:sz="0" w:space="0" w:color="auto"/>
        <w:left w:val="none" w:sz="0" w:space="0" w:color="auto"/>
        <w:bottom w:val="none" w:sz="0" w:space="0" w:color="auto"/>
        <w:right w:val="none" w:sz="0" w:space="0" w:color="auto"/>
      </w:divBdr>
    </w:div>
    <w:div w:id="1173569380">
      <w:bodyDiv w:val="1"/>
      <w:marLeft w:val="0"/>
      <w:marRight w:val="0"/>
      <w:marTop w:val="0"/>
      <w:marBottom w:val="0"/>
      <w:divBdr>
        <w:top w:val="none" w:sz="0" w:space="0" w:color="auto"/>
        <w:left w:val="none" w:sz="0" w:space="0" w:color="auto"/>
        <w:bottom w:val="none" w:sz="0" w:space="0" w:color="auto"/>
        <w:right w:val="none" w:sz="0" w:space="0" w:color="auto"/>
      </w:divBdr>
      <w:divsChild>
        <w:div w:id="1196037987">
          <w:marLeft w:val="547"/>
          <w:marRight w:val="0"/>
          <w:marTop w:val="0"/>
          <w:marBottom w:val="0"/>
          <w:divBdr>
            <w:top w:val="none" w:sz="0" w:space="0" w:color="auto"/>
            <w:left w:val="none" w:sz="0" w:space="0" w:color="auto"/>
            <w:bottom w:val="none" w:sz="0" w:space="0" w:color="auto"/>
            <w:right w:val="none" w:sz="0" w:space="0" w:color="auto"/>
          </w:divBdr>
        </w:div>
      </w:divsChild>
    </w:div>
    <w:div w:id="1441341669">
      <w:bodyDiv w:val="1"/>
      <w:marLeft w:val="0"/>
      <w:marRight w:val="0"/>
      <w:marTop w:val="0"/>
      <w:marBottom w:val="0"/>
      <w:divBdr>
        <w:top w:val="none" w:sz="0" w:space="0" w:color="auto"/>
        <w:left w:val="none" w:sz="0" w:space="0" w:color="auto"/>
        <w:bottom w:val="none" w:sz="0" w:space="0" w:color="auto"/>
        <w:right w:val="none" w:sz="0" w:space="0" w:color="auto"/>
      </w:divBdr>
    </w:div>
    <w:div w:id="19294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efig.com/" TargetMode="External"/><Relationship Id="rId2" Type="http://schemas.openxmlformats.org/officeDocument/2006/relationships/hyperlink" Target="https://www.fi-compass.eu/" TargetMode="External"/><Relationship Id="rId1" Type="http://schemas.openxmlformats.org/officeDocument/2006/relationships/hyperlink" Target="http://www.covenantofmayors.eu/index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546C-A4F7-4821-BD05-2C58CE75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4421</Words>
  <Characters>26619</Characters>
  <Application>Microsoft Office Word</Application>
  <DocSecurity>0</DocSecurity>
  <Lines>391</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2016-12-16T15:11:00Z</dcterms:created>
  <dcterms:modified xsi:type="dcterms:W3CDTF">2016-12-19T17:55:00Z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