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984D79FB04D4A4D83FDAF0F3C999F01" style="width:451.4pt;height:443.2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spacing w:after="240"/>
        <w:jc w:val="both"/>
        <w:rPr>
          <w:noProof/>
        </w:rPr>
      </w:pPr>
      <w:bookmarkStart w:id="1" w:name="_GoBack"/>
      <w:bookmarkEnd w:id="1"/>
      <w:r>
        <w:rPr>
          <w:noProof/>
        </w:rPr>
        <w:lastRenderedPageBreak/>
        <w:t xml:space="preserve">Trumpos ir vidutinės trukmės laikotarpiu poveikį turės dauguma šiame dokumente aptariamų veiksmų. Apžvelgdama metinę energetikos sąjungos būklę, Komisija pateiks šių veiksmų įgyvendinimo ataskaitą ir prireikus nustatys naujų veiksmų kryptį. </w:t>
      </w:r>
    </w:p>
    <w:p>
      <w:pPr>
        <w:rPr>
          <w:rFonts w:ascii="Times New Roman" w:hAnsi="Times New Roman" w:cs="Times New Roman"/>
          <w:b/>
          <w:i/>
          <w:noProof/>
          <w:sz w:val="24"/>
          <w:szCs w:val="24"/>
        </w:rPr>
      </w:pPr>
      <w:r>
        <w:rPr>
          <w:rFonts w:ascii="Times New Roman" w:hAnsi="Times New Roman" w:cs="Times New Roman"/>
          <w:b/>
          <w:i/>
          <w:noProof/>
          <w:sz w:val="24"/>
        </w:rPr>
        <w:t>1. Socialiai teisingos permainos ir nauji įgūdžiai</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Energija yra ypač svarbi prekė ir paslauga, kuri absoliučiai būtina norint visapusiškai dalyvauti šiuolaikinės visuomenės gyvenime. Jau įdiegta įvairių priemonių, tačiau nemažai jų taip pat turės būti įgyvendinama siekiant, kad perėjimas prie švarios energijos būtų teisingas ir vyktų atsižvelgiant į jo poveikį, lemiantį sektorių, regionų ar pažeidžiamų visuomenės narių, kuriems pertvarka turėjo neigiamą poveikį, pokyčius.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Šiuo atžvilgiu pagrindinės priemonės yra </w:t>
      </w:r>
      <w:r>
        <w:rPr>
          <w:rFonts w:ascii="Times New Roman" w:hAnsi="Times New Roman" w:cs="Times New Roman"/>
          <w:b/>
          <w:noProof/>
          <w:sz w:val="24"/>
        </w:rPr>
        <w:t>Europos struktūriniai ir investicijų fondai</w:t>
      </w:r>
      <w:r>
        <w:rPr>
          <w:rFonts w:ascii="Times New Roman" w:hAnsi="Times New Roman" w:cs="Times New Roman"/>
          <w:noProof/>
          <w:sz w:val="24"/>
        </w:rPr>
        <w:t>, įskaitant Europos socialinį fondą, kurių lėšomis remiamas sektorių ir regionų, kuriems daromas poveikis, prisitaikymas ir perėjimas prie naujų verslo modelių bei darbo profilių. 2014–2020 m. iš Europos socialinio fondo bus suteikta bent 1,1 mlrd. EUR dydžio parama, skirta tobulinti švietimo ir mokymo sistemoms, kurios yra būtinos įgūdžiams bei kvalifikacijoms pritaikyti ir naujoms darbo vietoms kurti su energetika bei aplinka susijusiuose sektoriuose. Be 5,2 mlrd. EUR dydžio Europos regioninės plėtros fondo ir Sanglaudos fondo paramos, skirtos būsto energijos vartojimo efektyvumo srities investicijoms, Europos socialinis fondas taip pat skirs lėšų kai kurioms valstybėms narėms, kad jos sumažintų energijos nepriteklių. Kai kurios valstybės narės nusprendė šią paramą skirti socialiniam būstui ir sunkumų patiriantiems namų ūkiams ir taip prisidėti prie to, kad būtų įgyvendinamos ilgalaikės priemonės, kuriomis sprendžiama beveik 1 mln. namų ūkių energijos nepritekliaus problema. Pastatų energijos vartojimo efektyvumo didinimas yra viena pagrindinių įperkamesnės energijos užtikrinimo ir kovos su energijos nepritekliumi priemonių. Be teisės aktuose</w:t>
      </w:r>
      <w:r>
        <w:rPr>
          <w:rStyle w:val="FootnoteReference"/>
          <w:rFonts w:ascii="Times New Roman" w:hAnsi="Times New Roman" w:cs="Times New Roman"/>
          <w:noProof/>
          <w:sz w:val="24"/>
        </w:rPr>
        <w:footnoteReference w:id="1"/>
      </w:r>
      <w:r>
        <w:rPr>
          <w:rFonts w:ascii="Times New Roman" w:hAnsi="Times New Roman" w:cs="Times New Roman"/>
          <w:noProof/>
          <w:sz w:val="24"/>
        </w:rPr>
        <w:t xml:space="preserve"> siūlomų priemonių, Komisija taip pat įsteigs Energijos nepritekliaus observatoriją ir jai paves rengti patikimus statistinius duomenis apie energetikos nepriteklių patiriančių namų ūkių skaičių kiekvienoje valstybėje narėje ir prisidėti prie gerosios praktikos sklaidos.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Iš kaimo plėtros politikai skirtų lėšų remiami specialūs žinių perdavimo, įgūdžių įgijimo ir novatoriškų sprendimų priėmimo skatinimo veiksmai, susiję su efektyviu energijos vartojimu ir gamyba. Pavyzdžiui, tikimasi, kad 2014–2020 m. mokymus su energetika susijusiose srityse išklausys 99 000 paramos gavėjų (daugiausia ūkininkų ir miškų ūkio paskirties žemės turėtojų).</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Kaip konkrečią solidarumo paramos pereinant prie švarios energijos priemonę Komisija pasiūlė skirti išteklių tam, kad būtų patenkinti ypač dideli papildomų investicijų poreikiai mažesnes pajamas gaunančiose valstybėse narėse, – tai </w:t>
      </w:r>
      <w:r>
        <w:rPr>
          <w:rFonts w:ascii="Times New Roman" w:hAnsi="Times New Roman" w:cs="Times New Roman"/>
          <w:b/>
          <w:noProof/>
          <w:sz w:val="24"/>
        </w:rPr>
        <w:t>ES prekybos apyvartiniais taršos leidimais sistemos</w:t>
      </w:r>
      <w:r>
        <w:rPr>
          <w:rStyle w:val="FootnoteReference"/>
          <w:rFonts w:ascii="Times New Roman" w:hAnsi="Times New Roman" w:cs="Times New Roman"/>
          <w:b/>
          <w:noProof/>
          <w:sz w:val="24"/>
        </w:rPr>
        <w:footnoteReference w:id="2"/>
      </w:r>
      <w:r>
        <w:rPr>
          <w:rFonts w:ascii="Times New Roman" w:hAnsi="Times New Roman" w:cs="Times New Roman"/>
          <w:noProof/>
          <w:sz w:val="24"/>
        </w:rPr>
        <w:t xml:space="preserve"> peržiūros dalis. Naujojo modernizavimo fondo tikslas – sudaryti palankesnes sąlygas investuoti į energetikos sistemų modernizavimą ir energijos vartojimo efektyvumo didinimą. Be to, siūloma ir toliau platinti 10 % valstybių narių aukcione parduodamų leidimų, – tai bus naudinga kai kurioms mažesnes pajamas gaunančioms valstybėms narėms. Galiausiai, Komisija taip pat siūlo valstybėms narėms, glaudžiai bendradarbiaujant su socialiniais partneriais, iš prekybos apyvartiniais taršos leidimais gautas pajamas panaudoti darbuotojams, kurie vis mažiau nuo iškastinio kuro priklausančios ekonomikos sąlygomis yra priversti keisti profesinę veiklą, perkelti į kitas darbo vietas ir jų įgūdžiams ugdyti.</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Šias priemones turėtų papildyti speciali iniciatyva, kurią įgyvendinant bus skiriama didesnė ir labiau diferencijuota </w:t>
      </w:r>
      <w:r>
        <w:rPr>
          <w:rFonts w:ascii="Times New Roman" w:hAnsi="Times New Roman" w:cs="Times New Roman"/>
          <w:b/>
          <w:noProof/>
          <w:sz w:val="24"/>
        </w:rPr>
        <w:t>parama perėjimui prie švarios energijos daug anglies naudojančiuose ir didelį anglies dioksido kiekį išskiriančiuose pramoniniuose regionuose</w:t>
      </w:r>
      <w:r>
        <w:rPr>
          <w:rFonts w:ascii="Times New Roman" w:hAnsi="Times New Roman" w:cs="Times New Roman"/>
          <w:noProof/>
          <w:sz w:val="24"/>
        </w:rPr>
        <w:t xml:space="preserve">. Ja siekiama pagreitinti su energetikos pertvarka susijusių struktūrinių regiono pokyčių planavimą ir keitimąsi patirtimi su kitais regionais, kuriuose padėtis yra panaši, ir (arba) suteikti papildomą postūmį šiam procesui. Pirmiausia Komisija sutelks šiuos regionus, kad būtų galima aptarti galimus planavimo procesus, būtų sudarytos palankesnės sąlygos keistis geriausios praktikos pavyzdžiais ir išnagrinėta, kurias paramos priemones galima taikyti. </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rPr>
        <w:t>Regionams reikiamą pagalbą galima skirti taikant ES sanglaudos politikoje numatytą pažangiosios specializacijos modelį, visų pirma pasitelkiant specialias platformas</w:t>
      </w:r>
      <w:r>
        <w:rPr>
          <w:rStyle w:val="FootnoteReference"/>
          <w:rFonts w:ascii="Times New Roman" w:hAnsi="Times New Roman" w:cs="Times New Roman"/>
          <w:noProof/>
          <w:sz w:val="24"/>
        </w:rPr>
        <w:footnoteReference w:id="3"/>
      </w:r>
      <w:r>
        <w:rPr>
          <w:rFonts w:ascii="Times New Roman" w:hAnsi="Times New Roman" w:cs="Times New Roman"/>
          <w:noProof/>
          <w:sz w:val="24"/>
        </w:rPr>
        <w:t>. Principu „iš apačios į viršų“ grindžiamas procesas, kuriame dalyvauja pirmiausia pramonės subjektai ir mokslinių tyrimų, technologinės plėtros ir inovacijų srities bendruomenė, taip pat viešosios valdžios institucijos, gali sudaryti sąlygas kiekvienam regionui parengti ir įgyvendinti energetikos pertvarkos strategiją.</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Perėjimas prie švarios energijos suteikia progą kurti tvarias darbo vietas. Vis dėlto tam, kad pertvarka būtų sėkminga, reikia sudaryti sąlygas darbuotojams persikvalifikuoti, tinkamiau planuoti ir numatyti pokyčius bei įgūdžius, be to, tokius įgūdžius geriau derinti su rinkos poreikiais. Europos socialinis fondas gali remti šias pastangas visais asmens gyvenimo etapais, pradedant vaikų informavimu mokyklose ir baigiant parama atitinkamiems įgūdžiams bei švarios energijos srities verslumui ugdyti, taip pat socialine įtrauktimi užtikrinant tinkamą karjerą. </w:t>
      </w:r>
      <w:r>
        <w:rPr>
          <w:rFonts w:ascii="Times New Roman" w:hAnsi="Times New Roman" w:cs="Times New Roman"/>
          <w:b/>
          <w:noProof/>
          <w:sz w:val="24"/>
        </w:rPr>
        <w:t>Europos įgūdžių darbotvarkėje</w:t>
      </w:r>
      <w:r>
        <w:rPr>
          <w:rStyle w:val="FootnoteReference"/>
          <w:rFonts w:ascii="Times New Roman" w:hAnsi="Times New Roman" w:cs="Times New Roman"/>
          <w:noProof/>
          <w:sz w:val="24"/>
        </w:rPr>
        <w:footnoteReference w:id="4"/>
      </w:r>
      <w:r>
        <w:rPr>
          <w:rFonts w:ascii="Times New Roman" w:hAnsi="Times New Roman" w:cs="Times New Roman"/>
          <w:noProof/>
          <w:sz w:val="24"/>
        </w:rPr>
        <w:t xml:space="preserve"> Komisija pristatė iniciatyvą (Sektorių bendradarbiavimo įgūdžių srityje planą), kurią įgyvendinant padedama įveikti tokius su įgūdžiais susijusius iššūkius ir spręsti įgūdžių trūkumo konkrečiuose ekonomikos sektoriuose problemą. Atsižvelgiant į patirtį, susijusią su šiais metais pradėtais įgyvendinti bandomaisiais planais (visų pirma automobilių pramonės ir jūrų technologijų sektoriuose), tokios schemos leidžia spręsti su perėjimu prie švarios energijos susijusių įgūdžių poreikio problemą. Tebetęsiamame jūrų sektoriui skirto Sektorių bendradarbiavimo įgūdžių srityje plane jau numatyta jūros vėjo ir vandenynų energija, o antrajame įgyvendinimo etape jis gali būti ypač svarbus pavyzdys tokiems sektoriams, kaip atsinaujinančiųjų išteklių energija ar statyba.</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Vertinant įgūdžių poreikius ir numatant bei valdant pokyčius esminis vaidmuo tenka socialiniams partneriams. Jie jau dalyvauja ES lygmeniu atliekant su energetikos sąjunga susijusį darbą, bet taip pat reikia, kad jie aktyviai dalyvautų ne tik šiame procese, bet ir diskusijose dėl integruotų nacionalinių energetikos ir klimato planų. </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rPr>
            </w:pPr>
            <w:r>
              <w:rPr>
                <w:rFonts w:ascii="Times New Roman" w:hAnsi="Times New Roman" w:cs="Times New Roman"/>
                <w:i/>
                <w:noProof/>
                <w:sz w:val="24"/>
              </w:rPr>
              <w:t>Siekiant remti socialiai teisingą perėjimą prie švarios energijos ir naujus įgūdžius:</w:t>
            </w:r>
          </w:p>
          <w:p>
            <w:pPr>
              <w:pStyle w:val="ListParagraph"/>
              <w:numPr>
                <w:ilvl w:val="0"/>
                <w:numId w:val="9"/>
              </w:numPr>
              <w:spacing w:after="200"/>
              <w:ind w:left="714" w:hanging="357"/>
              <w:jc w:val="both"/>
              <w:rPr>
                <w:rFonts w:ascii="Times New Roman" w:hAnsi="Times New Roman" w:cs="Times New Roman"/>
                <w:i/>
                <w:noProof/>
                <w:sz w:val="24"/>
                <w:szCs w:val="24"/>
              </w:rPr>
            </w:pPr>
            <w:r>
              <w:rPr>
                <w:rFonts w:ascii="Times New Roman" w:hAnsi="Times New Roman" w:cs="Times New Roman"/>
                <w:i/>
                <w:noProof/>
                <w:sz w:val="24"/>
              </w:rPr>
              <w:t xml:space="preserve">Komisija išnagrinės, kaip geriau paremti prie švarios energijos pereinančius daug anglies naudojančius ir didelį anglies dioksido kiekį išskiriančius regionus. Šiuo tikslu ji plėtos partnerystę su šių regionų subjektais, teiks gaires, visų pirma dėl finansavimo galimybių ir galimybės pasinaudoti esama fondų parama bei programomis, taip pat per tikslines platformas skatins keistis geriausios praktikos pavyzdžiais ir diskutuoti dėl pramonės planų ir persikvalifikavimo poreikių; </w:t>
            </w:r>
          </w:p>
          <w:p>
            <w:pPr>
              <w:pStyle w:val="ListParagraph"/>
              <w:numPr>
                <w:ilvl w:val="0"/>
                <w:numId w:val="9"/>
              </w:numPr>
              <w:spacing w:after="200"/>
              <w:ind w:left="714" w:hanging="357"/>
              <w:jc w:val="both"/>
              <w:rPr>
                <w:rFonts w:ascii="Times New Roman" w:hAnsi="Times New Roman" w:cs="Times New Roman"/>
                <w:i/>
                <w:noProof/>
                <w:sz w:val="24"/>
                <w:szCs w:val="24"/>
              </w:rPr>
            </w:pPr>
            <w:r>
              <w:rPr>
                <w:rFonts w:ascii="Times New Roman" w:hAnsi="Times New Roman" w:cs="Times New Roman"/>
                <w:i/>
                <w:noProof/>
                <w:sz w:val="24"/>
              </w:rPr>
              <w:t>valstybės narės turėtų naudotis integruotais nacionaliniais energetikos ir klimato planais, siekdamos įvertinti perėjimo prie švarios energijos poveikį socialinei sričiai, įgūdžiams ir pramonei;</w:t>
            </w:r>
          </w:p>
          <w:p>
            <w:pPr>
              <w:pStyle w:val="ListParagraph"/>
              <w:numPr>
                <w:ilvl w:val="0"/>
                <w:numId w:val="9"/>
              </w:numPr>
              <w:spacing w:after="200"/>
              <w:ind w:left="714" w:hanging="357"/>
              <w:jc w:val="both"/>
              <w:rPr>
                <w:rFonts w:ascii="Times New Roman" w:hAnsi="Times New Roman" w:cs="Times New Roman"/>
                <w:i/>
                <w:noProof/>
                <w:sz w:val="24"/>
                <w:szCs w:val="24"/>
              </w:rPr>
            </w:pPr>
            <w:r>
              <w:rPr>
                <w:rFonts w:ascii="Times New Roman" w:hAnsi="Times New Roman" w:cs="Times New Roman"/>
                <w:i/>
                <w:noProof/>
                <w:sz w:val="24"/>
              </w:rPr>
              <w:t>atsižvelgdama į patirtį, susijusią su bandomosiomis schemomis, 2017 m. Komisija pradės įgyvendinti du naujus naujųjų technologijų sektoriui skirtus sektorių bendradarbiavimo įgūdžių srityje planus, kurių taikymo sritis apims atsinaujinančių išteklių energiją plačiąja prasme bei statybų sektoriuje ir kuriuose daugiausia dėmesio bus skiriama mažo anglies dioksido kiekio technologijoms;</w:t>
            </w:r>
          </w:p>
          <w:p>
            <w:pPr>
              <w:pStyle w:val="ListParagraph"/>
              <w:numPr>
                <w:ilvl w:val="0"/>
                <w:numId w:val="9"/>
              </w:numPr>
              <w:spacing w:after="200"/>
              <w:ind w:left="714" w:hanging="357"/>
              <w:jc w:val="both"/>
              <w:rPr>
                <w:rFonts w:ascii="Times New Roman" w:hAnsi="Times New Roman" w:cs="Times New Roman"/>
                <w:i/>
                <w:noProof/>
                <w:sz w:val="24"/>
                <w:szCs w:val="24"/>
              </w:rPr>
            </w:pPr>
            <w:r>
              <w:rPr>
                <w:rFonts w:ascii="Times New Roman" w:hAnsi="Times New Roman" w:cs="Times New Roman"/>
                <w:i/>
                <w:noProof/>
                <w:sz w:val="24"/>
              </w:rPr>
              <w:t>Komisija ragina valstybes nares aktyviai įtraukti socialinius partnerius į diskusijas dėl energetikos pertvarkos, visų pirma aptariant integruotus nacionalinius energetikos ir klimato planus.</w:t>
            </w:r>
          </w:p>
        </w:tc>
      </w:tr>
    </w:tbl>
    <w:p>
      <w:pPr>
        <w:jc w:val="both"/>
        <w:rPr>
          <w:rFonts w:ascii="Times New Roman" w:hAnsi="Times New Roman" w:cs="Times New Roman"/>
          <w:b/>
          <w:i/>
          <w:noProof/>
          <w:sz w:val="24"/>
          <w:szCs w:val="24"/>
        </w:rPr>
      </w:pPr>
    </w:p>
    <w:p>
      <w:pPr>
        <w:jc w:val="both"/>
        <w:rPr>
          <w:rFonts w:ascii="Times New Roman" w:hAnsi="Times New Roman" w:cs="Times New Roman"/>
          <w:b/>
          <w:i/>
          <w:noProof/>
          <w:sz w:val="24"/>
          <w:szCs w:val="24"/>
        </w:rPr>
      </w:pPr>
      <w:r>
        <w:rPr>
          <w:rFonts w:ascii="Times New Roman" w:hAnsi="Times New Roman" w:cs="Times New Roman"/>
          <w:b/>
          <w:i/>
          <w:noProof/>
          <w:sz w:val="24"/>
        </w:rPr>
        <w:t>2. ES finansavimas realiosios ekonomikos labui</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Energetikos pertvarka turės būti finansuojama tiek privačiųjų investicijų, tiek viešųjų finansų lėšomis; viešieji finansai pritrauks privačiąsias investicijas, be to, bus šalinama rinkos nepakankamumo problema. Palankesnes sąlygas privačiosioms investicijoms sudarys šį teisės aktų rinkinį sudarantys pasiūlymai dėl teisėkūros procedūra priimamų aktų ir pasiūlymas pertvarkyti ES apyvartinių taršos leidimų prekybos sistemą. Pagrindiniai veiksniai, padėsiantys įveikti investavimo sunkumus, bus veiksmingos energetikos ir anglies dioksido rinkos, taip pat reguliavimo stabilumas ir politikos skaidrumas.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Be to, kaip matyti iš </w:t>
      </w:r>
      <w:r>
        <w:rPr>
          <w:rFonts w:ascii="Times New Roman" w:hAnsi="Times New Roman" w:cs="Times New Roman"/>
          <w:b/>
          <w:noProof/>
          <w:sz w:val="24"/>
        </w:rPr>
        <w:t>Europos strateginių investicijų fondo</w:t>
      </w:r>
      <w:r>
        <w:rPr>
          <w:rFonts w:ascii="Times New Roman" w:hAnsi="Times New Roman" w:cs="Times New Roman"/>
          <w:noProof/>
          <w:sz w:val="24"/>
        </w:rPr>
        <w:t xml:space="preserve"> veiklos, prie to, kad būtų remiamas perėjimas prie švarios energijos, vis daugiau prisidedama pasinaudojant ES finansinėmis priemonėmis. Fondas toliau sėkmingai imasi priemonių, kad iki 2018 m. vidurio į realiąją ekonomiką sutelktų bent 315 mlrd. EUR papildomų investicijų. Paskutiniais duomenimis, jų suma siekė 154 mlrd. EUR. Prasidėjus antram Europos strateginių investicijų fondo etapui, Komisija pasiūlė padidinti ir pratęsti fondo paramą. Siūloma, kad bent 40 % investicijų į infrastruktūrą ir inovacijas sudarytų klimato, energetikos ir aplinkos sritims reikšmingos investicijos ir kad jomis būtų prisidedama prie to, kad būtų pasiekti Paryžiaus susitarimo tikslai.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Atsižvelgiant į ES tikslą klimato politikai skirti bent 20 % </w:t>
      </w:r>
      <w:r>
        <w:rPr>
          <w:rFonts w:ascii="Times New Roman" w:hAnsi="Times New Roman" w:cs="Times New Roman"/>
          <w:b/>
          <w:noProof/>
          <w:sz w:val="24"/>
        </w:rPr>
        <w:t>2014–2020 m. ES biudžeto</w:t>
      </w:r>
      <w:r>
        <w:rPr>
          <w:rFonts w:ascii="Times New Roman" w:hAnsi="Times New Roman" w:cs="Times New Roman"/>
          <w:noProof/>
          <w:sz w:val="24"/>
        </w:rPr>
        <w:t xml:space="preserve"> lėšų, siekiant energetikos sąjungos tikslų didelę reikšmę turi ir pertvarkyta sanglaudos politika</w:t>
      </w:r>
      <w:r>
        <w:rPr>
          <w:rStyle w:val="FootnoteReference"/>
          <w:rFonts w:ascii="Times New Roman" w:hAnsi="Times New Roman" w:cs="Times New Roman"/>
          <w:noProof/>
          <w:sz w:val="24"/>
        </w:rPr>
        <w:footnoteReference w:id="5"/>
      </w:r>
      <w:r>
        <w:rPr>
          <w:rFonts w:ascii="Times New Roman" w:hAnsi="Times New Roman" w:cs="Times New Roman"/>
          <w:noProof/>
          <w:sz w:val="24"/>
        </w:rPr>
        <w:t>, kuriai skirta 68,8 mlrd. EUR finansinių asignavimų. Šiuos asignavimus papildys bendros nacionalinės viešųjų ir privačiųjų finansų lėšos; numatoma bendra jų suma yra 92 mlrd. EUR</w:t>
      </w:r>
      <w:r>
        <w:rPr>
          <w:rStyle w:val="FootnoteReference"/>
          <w:rFonts w:ascii="Times New Roman" w:hAnsi="Times New Roman" w:cs="Times New Roman"/>
          <w:noProof/>
          <w:sz w:val="24"/>
        </w:rPr>
        <w:footnoteReference w:id="6"/>
      </w:r>
      <w:r>
        <w:rPr>
          <w:rFonts w:ascii="Times New Roman" w:hAnsi="Times New Roman" w:cs="Times New Roman"/>
          <w:noProof/>
          <w:sz w:val="24"/>
        </w:rPr>
        <w:t>. Be to, įgyvendinant kaimo plėtros programas remiamos tikslinės investicijos į atsinaujinančiųjų išteklių energiją ir energijos vartojimo efektyvumą (beveik 6 mlrd. EUR). Nors iš pirmųjų sanglaudos politikos fondų veiklos požymių matyti, kad 2016 m. padaryta įgyvendinimo pažanga</w:t>
      </w:r>
      <w:r>
        <w:rPr>
          <w:rStyle w:val="FootnoteReference"/>
          <w:rFonts w:ascii="Times New Roman" w:hAnsi="Times New Roman" w:cs="Times New Roman"/>
          <w:noProof/>
          <w:sz w:val="24"/>
        </w:rPr>
        <w:footnoteReference w:id="7"/>
      </w:r>
      <w:r>
        <w:rPr>
          <w:rFonts w:ascii="Times New Roman" w:hAnsi="Times New Roman" w:cs="Times New Roman"/>
          <w:noProof/>
          <w:sz w:val="24"/>
        </w:rPr>
        <w:t>, dabar reikia imtis skubių veiksmų, kad kai kuriose valstybėse narėse šių fondų parama būtų įgyvendinama greičiau. Komisija valstybės narėms toliau teiks techninę paramą įgyvendinimo klausimais.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Prie tokio finansavimo įgyvendinimo spartinimo taip pat prisidės paprastesnės ir lankstesnės taisyklės, kurias Komisija pasiūlė nustatyti atlikusi 2014–2020 m. daugiametės finansinės programos laikotarpio vidurio peržiūrą. Atlikdama šią peržiūrą Komisija pradėjo labiau paprastinti ES fondus reglamentuojančias taisykles. Ja, be kita ko, sudaromos palankesnės sąlygos derinti Europos strateginių investicijų fondo paramą su ES parama, gauta iš kitų šaltinių, įskaitant Europos struktūrinius ir investicijų fondus. Vienas tikslas – sustiprinti Europos strateginių investicijų fondo lėšų įsisavinimą mažiau išsivysčiusiuose ir pereinamojo laikotarpio regionuose. Pasinaudodamos Europos struktūrinių ir investicijų fondų parama valstybės narės ir regionai jau planuoja pagal anglies dioksido mažinimo srities </w:t>
      </w:r>
      <w:r>
        <w:rPr>
          <w:rFonts w:ascii="Times New Roman" w:hAnsi="Times New Roman" w:cs="Times New Roman"/>
          <w:b/>
          <w:noProof/>
          <w:sz w:val="24"/>
        </w:rPr>
        <w:t>finansines priemones</w:t>
      </w:r>
      <w:r>
        <w:rPr>
          <w:rFonts w:ascii="Times New Roman" w:hAnsi="Times New Roman" w:cs="Times New Roman"/>
          <w:noProof/>
          <w:sz w:val="24"/>
        </w:rPr>
        <w:t xml:space="preserve"> daugiausia energijos vartojimo efektyvumo tikslais investuoti beveik 6,4 mlrd. EUR. Tai daugiau nei aštuonis kartus didesnė išmokų suma nei 2007–2013 m. laikotarpiu, o iš pirmųjų požymių matyti, kad pažanga jau daroma</w:t>
      </w:r>
      <w:r>
        <w:rPr>
          <w:rStyle w:val="FootnoteReference"/>
          <w:rFonts w:ascii="Times New Roman" w:hAnsi="Times New Roman" w:cs="Times New Roman"/>
          <w:noProof/>
          <w:sz w:val="24"/>
        </w:rPr>
        <w:footnoteReference w:id="8"/>
      </w:r>
      <w:r>
        <w:rPr>
          <w:rFonts w:ascii="Times New Roman" w:hAnsi="Times New Roman" w:cs="Times New Roman"/>
          <w:noProof/>
          <w:sz w:val="24"/>
        </w:rPr>
        <w:t xml:space="preserve">. Be to, siekdama didinti naudojimąsi finansinėmis priemonėmis, Komisija teikia valstybėms narėms paramą per konsultacinių paslaugų platformą </w:t>
      </w:r>
      <w:r>
        <w:rPr>
          <w:rFonts w:ascii="Times New Roman" w:hAnsi="Times New Roman" w:cs="Times New Roman"/>
          <w:i/>
          <w:noProof/>
          <w:sz w:val="24"/>
        </w:rPr>
        <w:t>fi-compass</w:t>
      </w:r>
      <w:r>
        <w:rPr>
          <w:rFonts w:ascii="Times New Roman" w:hAnsi="Times New Roman" w:cs="Times New Roman"/>
          <w:noProof/>
          <w:sz w:val="24"/>
        </w:rPr>
        <w:t>, taip pat standartines priemones įprastomis sąlygomis, kurios yra suderinamos su Europos struktūrinių ir investicijų fondų reglamentais ir valstybės pagalbos taisyklėmis ir kuriomis siekiama suderinti viešuosius ir privačiuosius išteklius.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Vienas sėkmingo projekto pasinaudojant Europos strateginių investicijų fondo parama kartu su Europos struktūrinių ir investicijų fondų parama pavyzdys – tai Aukštutinės Prancūzijos regiono investicijų platforma, iš kurios matyti, kaip įvairūs viešieji ir privatieji subjektai gali sutelkti bendrąsias ir ekspertines žinias ir kaip, siekiant paskatinti dideles privačiojo sektoriaus investicijas į mažo anglies dioksido kiekio energijos projektus, galima sutelkti skirtingų fondų paramą. Kitas pavyzdys – Energijos vartojimo efektyvumo privataus finansavimo priemonė (PF4EE)</w:t>
      </w:r>
      <w:r>
        <w:rPr>
          <w:rStyle w:val="FootnoteReference"/>
          <w:rFonts w:ascii="Times New Roman" w:hAnsi="Times New Roman" w:cs="Times New Roman"/>
          <w:noProof/>
          <w:sz w:val="24"/>
        </w:rPr>
        <w:footnoteReference w:id="9"/>
      </w:r>
      <w:r>
        <w:rPr>
          <w:rFonts w:ascii="Times New Roman" w:hAnsi="Times New Roman" w:cs="Times New Roman"/>
          <w:noProof/>
          <w:sz w:val="24"/>
        </w:rPr>
        <w:t xml:space="preserve">, pagal kurią per vietos komercinius bankus teikiamas skolos finansavimas su rizikos užtikrinimu ir taip bankams sudaromos tinkamesnės sąlygos finansuoti efektyvaus energijos vartojimo pastatuose ir MVĮ projektus. Be to, pagal ją teikiama speciali ekspertų pagalba, kuri suteikia galimybę vietos bankams kurti naujus klientų poreikiams pritaikytus efektyvaus energijos vartojimo finansavimo produktus ir jais prekiauti.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Įgyvendinant </w:t>
      </w:r>
      <w:r>
        <w:rPr>
          <w:rFonts w:ascii="Times New Roman" w:hAnsi="Times New Roman" w:cs="Times New Roman"/>
          <w:b/>
          <w:noProof/>
          <w:sz w:val="24"/>
        </w:rPr>
        <w:t>Mažiau taršaus transporto priemonę</w:t>
      </w:r>
      <w:r>
        <w:rPr>
          <w:rFonts w:ascii="Times New Roman" w:hAnsi="Times New Roman" w:cs="Times New Roman"/>
          <w:noProof/>
          <w:sz w:val="24"/>
        </w:rPr>
        <w:t xml:space="preserve"> bus naudojamasi finansinėmis priemonėmis ir bus derinamos dotacijos ir paskolos, siekiant taikyti novatoriškas mažo anglies dioksido kiekio technologijas, kuriomis greitinamas perėjimas prie mažataršio judumo. Galimas miestų ir turistinių autobusų atnaujinimo rinkos potencialas yra apie 3 500 transporto priemonių, arba 875 mln. EUR papildomų investicijų per metus.</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rPr>
            </w:pPr>
            <w:r>
              <w:rPr>
                <w:rFonts w:ascii="Times New Roman" w:hAnsi="Times New Roman" w:cs="Times New Roman"/>
                <w:i/>
                <w:noProof/>
                <w:sz w:val="24"/>
              </w:rPr>
              <w:t>Siekdama dar labiau didinti investicijas, kuriomis remiamas perėjimas prie švarios energijos, ir pereiti prie kitų rūšių investicijų:</w:t>
            </w:r>
          </w:p>
          <w:p>
            <w:pPr>
              <w:pStyle w:val="ListParagraph"/>
              <w:numPr>
                <w:ilvl w:val="0"/>
                <w:numId w:val="9"/>
              </w:numPr>
              <w:spacing w:after="200"/>
              <w:ind w:left="714" w:hanging="357"/>
              <w:jc w:val="both"/>
              <w:rPr>
                <w:rFonts w:ascii="Times New Roman" w:hAnsi="Times New Roman" w:cs="Times New Roman"/>
                <w:i/>
                <w:noProof/>
                <w:sz w:val="24"/>
                <w:szCs w:val="24"/>
              </w:rPr>
            </w:pPr>
            <w:r>
              <w:rPr>
                <w:rFonts w:ascii="Times New Roman" w:hAnsi="Times New Roman" w:cs="Times New Roman"/>
                <w:i/>
                <w:noProof/>
                <w:sz w:val="24"/>
              </w:rPr>
              <w:t>šiandien Komisija pradeda pažangiojo išmaniųjų pastatų finansavimo iniciatyvą (žr. I priedą), skirtą remti investicijoms į švarią energiją naudojančius pastatus. Įgyvendinant šią iniciatyvą 2017 m. visose valstybėse narėse bus remiamas investavimo platformų, kurios leistų derinti viešojo finansavimo lėšas, kūrimas ir rinkos dalyviams patrauklių finansavimo produktų diegimas rinkoje. Be to, bus sustiprinta techninė pagalba, kad būtų toliau plėtojami ir telkiami smulkaus masto projektai, ir bus pradėti įgyvendinti investicijų į efektyvų energijos vartojimą rizikos šalinimo veiksmai;</w:t>
            </w:r>
          </w:p>
          <w:p>
            <w:pPr>
              <w:pStyle w:val="ListParagraph"/>
              <w:numPr>
                <w:ilvl w:val="0"/>
                <w:numId w:val="9"/>
              </w:numPr>
              <w:spacing w:after="200"/>
              <w:ind w:left="714" w:hanging="357"/>
              <w:jc w:val="both"/>
              <w:rPr>
                <w:rFonts w:ascii="Times New Roman" w:hAnsi="Times New Roman" w:cs="Times New Roman"/>
                <w:i/>
                <w:noProof/>
                <w:sz w:val="24"/>
                <w:szCs w:val="24"/>
              </w:rPr>
            </w:pPr>
            <w:r>
              <w:rPr>
                <w:rFonts w:ascii="Times New Roman" w:hAnsi="Times New Roman" w:cs="Times New Roman"/>
                <w:i/>
                <w:noProof/>
                <w:sz w:val="24"/>
              </w:rPr>
              <w:t>vykdydama Investicijų planą Europai, Komisija neseniai pradėjo bandomuosius projektus, kuriais ES lygmeniu siekiama labiau suvienodinti su įvairių strateginių investicijų į infrastruktūrą projektais susijusių procedūrų terminus. Pirmuoju etapu bandomieji projektai įgyvendinami Belgijoje ir Slovakijoje. Remdamasi šių projektų vertinimo rezultatais, 2017 metais Komisija šią patirtį pritaikys ir kitose valstybėse narėse, siekdama visoms valstybėms narėms sukurti veiksmingą vieno langelio principu veikiantį mechanizmą, kuris į vieną bendrą investicijų politikos grupę sutelktų visas atsakingas Komisijos tarnybas, įskaitant jos atstovybes valstybėse narėse;</w:t>
            </w:r>
          </w:p>
          <w:p>
            <w:pPr>
              <w:pStyle w:val="ListParagraph"/>
              <w:numPr>
                <w:ilvl w:val="0"/>
                <w:numId w:val="9"/>
              </w:numPr>
              <w:spacing w:after="200"/>
              <w:ind w:left="714" w:hanging="357"/>
              <w:jc w:val="both"/>
              <w:rPr>
                <w:rFonts w:ascii="Times New Roman" w:hAnsi="Times New Roman" w:cs="Times New Roman"/>
                <w:i/>
                <w:noProof/>
                <w:sz w:val="24"/>
                <w:szCs w:val="24"/>
              </w:rPr>
            </w:pPr>
            <w:r>
              <w:rPr>
                <w:rFonts w:ascii="Times New Roman" w:hAnsi="Times New Roman" w:cs="Times New Roman"/>
                <w:i/>
                <w:noProof/>
                <w:sz w:val="24"/>
              </w:rPr>
              <w:t>Komisija ragina valstybes nares paspartinti Europos struktūrinių ir investicijų fondų lėšų naudojimą, kad būtų remiamas perėjimas prie švarios energijos;</w:t>
            </w:r>
          </w:p>
          <w:p>
            <w:pPr>
              <w:pStyle w:val="ListParagraph"/>
              <w:numPr>
                <w:ilvl w:val="0"/>
                <w:numId w:val="9"/>
              </w:numPr>
              <w:spacing w:after="200"/>
              <w:ind w:left="714" w:hanging="357"/>
              <w:jc w:val="both"/>
              <w:rPr>
                <w:rFonts w:ascii="Times New Roman" w:hAnsi="Times New Roman" w:cs="Times New Roman"/>
                <w:i/>
                <w:noProof/>
                <w:sz w:val="24"/>
                <w:szCs w:val="24"/>
              </w:rPr>
            </w:pPr>
            <w:r>
              <w:rPr>
                <w:rFonts w:ascii="Times New Roman" w:hAnsi="Times New Roman" w:cs="Times New Roman"/>
                <w:i/>
                <w:noProof/>
                <w:sz w:val="24"/>
              </w:rPr>
              <w:t>2016 m. gruodžio 1 d. Komisija kartu su Europos investicijų banku pradeda įgyvendinti Mažiau taršaus transporto priemonę, kuria siekiama remti investicijas į švarų, efektyviai energiją vartojantį transportą ir integruotą energetikos bei transporto infrastruktūrą.</w:t>
            </w:r>
          </w:p>
        </w:tc>
      </w:tr>
    </w:tbl>
    <w:p>
      <w:pPr>
        <w:jc w:val="both"/>
        <w:rPr>
          <w:rFonts w:ascii="Times New Roman" w:hAnsi="Times New Roman" w:cs="Times New Roman"/>
          <w:noProof/>
          <w:sz w:val="24"/>
          <w:szCs w:val="24"/>
        </w:rPr>
      </w:pPr>
    </w:p>
    <w:p>
      <w:pPr>
        <w:jc w:val="both"/>
        <w:rPr>
          <w:rFonts w:ascii="Times New Roman" w:hAnsi="Times New Roman" w:cs="Times New Roman"/>
          <w:b/>
          <w:i/>
          <w:noProof/>
          <w:sz w:val="24"/>
          <w:szCs w:val="24"/>
        </w:rPr>
      </w:pPr>
      <w:r>
        <w:rPr>
          <w:rFonts w:ascii="Times New Roman" w:hAnsi="Times New Roman" w:cs="Times New Roman"/>
          <w:b/>
          <w:i/>
          <w:noProof/>
          <w:sz w:val="24"/>
        </w:rPr>
        <w:t>3. Tinkamų paskatų investuoti į perėjimą prie švarios energijos nustatymas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Atsinaujinančiųjų energijos išteklių arba efektyvaus energijos vartojimo priemonių diegimas yra imlus kapitalui. Kad iš sumažėjusių sąskaitų už energiją būtų galima gauti naudos, o ateityje – pajamų, tam reikia išankstinių investicijų, kurių forma – namų ūkių santaupos, įmonių nuosavas kapitalas arba skolinančiųjų įstaigų teikiamas skolos finansavimas.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Dabartinės ekonomikos sąlygos, kai kapitalo sąnaudos nedidelės, yra palankios didesnio masto privačioms investicijoms skatinti ir kapitalo išlaidoms nukreipti į švarią energiją, energetiškai efektyvius sprendimus ir tvarų turtą. Tai galimybė piliečiams, įmonėms, viešosios valdžios institucijoms ir investuotojams gauti didesnę kapitalo grąžą nei iš santaupų.</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Siekiant remti šį svarbų pokytį, kai pradedama investuoti į perėjimą prie švarios energijos, valstybių narių </w:t>
      </w:r>
      <w:r>
        <w:rPr>
          <w:rFonts w:ascii="Times New Roman" w:hAnsi="Times New Roman" w:cs="Times New Roman"/>
          <w:b/>
          <w:noProof/>
          <w:sz w:val="24"/>
        </w:rPr>
        <w:t>integruoti nacionaliniai energetikos ir klimato planai</w:t>
      </w:r>
      <w:r>
        <w:rPr>
          <w:rFonts w:ascii="Times New Roman" w:hAnsi="Times New Roman" w:cs="Times New Roman"/>
          <w:noProof/>
          <w:sz w:val="24"/>
        </w:rPr>
        <w:t>, kurie sudaro energetikos sąjungos valdymo sistemą, dėl kurios šiandien Komisija teikia pasiūlymą</w:t>
      </w:r>
      <w:r>
        <w:rPr>
          <w:rStyle w:val="FootnoteReference"/>
          <w:rFonts w:ascii="Times New Roman" w:hAnsi="Times New Roman" w:cs="Times New Roman"/>
          <w:noProof/>
          <w:sz w:val="24"/>
        </w:rPr>
        <w:footnoteReference w:id="10"/>
      </w:r>
      <w:r>
        <w:rPr>
          <w:rFonts w:ascii="Times New Roman" w:hAnsi="Times New Roman" w:cs="Times New Roman"/>
          <w:noProof/>
          <w:sz w:val="24"/>
        </w:rPr>
        <w:t xml:space="preserve">, taip pat bus naudojami kaip investicijų planai, kuriuose bus numatytos reikalingos viešosios ir privačiosios investicijos į perėjimą prie švarios energijos.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Dar vienas svarbus veiksnys, skatinantis privačiąsias investicijas į perėjimą prie švarios energijos, – tai palanki ir nuosekli ekonominių paskatų struktūra. Veiksminga </w:t>
      </w:r>
      <w:r>
        <w:rPr>
          <w:rFonts w:ascii="Times New Roman" w:hAnsi="Times New Roman" w:cs="Times New Roman"/>
          <w:b/>
          <w:noProof/>
          <w:sz w:val="24"/>
        </w:rPr>
        <w:t>anglies dioksido kainodara ir laipsniškas iškastinio kuro subsidijų panaikinimas</w:t>
      </w:r>
      <w:r>
        <w:rPr>
          <w:rFonts w:ascii="Times New Roman" w:hAnsi="Times New Roman" w:cs="Times New Roman"/>
          <w:noProof/>
          <w:sz w:val="24"/>
        </w:rPr>
        <w:t xml:space="preserve"> yra labai svarbūs siekiant pašalinti žalingus rinkos iškraipymus, internalizuoti įprastos veiklos sąlygomis atsirandančias aplinkosaugos ir socialines sąnaudas ir padėti įkainoti susijusią įvairių investavimo galimybių riziką.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Komisija jau pateikė pasiūlymą dėl ES apyvartinių taršos leidimų prekybos sistemos reformos laikotarpiu po 2020 m.</w:t>
      </w:r>
      <w:r>
        <w:rPr>
          <w:rStyle w:val="FootnoteReference"/>
          <w:rFonts w:ascii="Times New Roman" w:hAnsi="Times New Roman" w:cs="Times New Roman"/>
          <w:noProof/>
          <w:sz w:val="24"/>
        </w:rPr>
        <w:footnoteReference w:id="11"/>
      </w:r>
      <w:r>
        <w:rPr>
          <w:rFonts w:ascii="Times New Roman" w:hAnsi="Times New Roman" w:cs="Times New Roman"/>
          <w:noProof/>
          <w:sz w:val="24"/>
        </w:rPr>
        <w:t xml:space="preserve"> ES taip pat remia apyvartinių taršos leidimų prekybos sistemų kūrimą dvišalio bendradarbiavimo pagrindu</w:t>
      </w:r>
      <w:r>
        <w:rPr>
          <w:rStyle w:val="FootnoteReference"/>
          <w:rFonts w:ascii="Times New Roman" w:hAnsi="Times New Roman" w:cs="Times New Roman"/>
          <w:noProof/>
          <w:sz w:val="24"/>
        </w:rPr>
        <w:footnoteReference w:id="12"/>
      </w:r>
      <w:r>
        <w:rPr>
          <w:rFonts w:ascii="Times New Roman" w:hAnsi="Times New Roman" w:cs="Times New Roman"/>
          <w:noProof/>
          <w:sz w:val="24"/>
        </w:rPr>
        <w:t>, taip pat dalyvavimą daugiašalėse iniciatyvose su tarptautiniais partneriais</w:t>
      </w:r>
      <w:r>
        <w:rPr>
          <w:rStyle w:val="FootnoteReference"/>
          <w:rFonts w:ascii="Times New Roman" w:hAnsi="Times New Roman" w:cs="Times New Roman"/>
          <w:noProof/>
          <w:sz w:val="24"/>
        </w:rPr>
        <w:footnoteReference w:id="13"/>
      </w:r>
      <w:r>
        <w:rPr>
          <w:rFonts w:ascii="Times New Roman" w:hAnsi="Times New Roman" w:cs="Times New Roman"/>
          <w:noProof/>
          <w:sz w:val="24"/>
        </w:rPr>
        <w:t xml:space="preserve"> ir jų finansavimą.</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Atsižvelgdama į įsipareigojimus pagal Paryžiaus susitarimą dėl klimato kaitos ir į G 7 bei G 20 susitikimuose prisiimtus įsipareigojimus, ES jau ėmėsi keleto konkrečių priemonių </w:t>
      </w:r>
      <w:r>
        <w:rPr>
          <w:rFonts w:ascii="Times New Roman" w:hAnsi="Times New Roman" w:cs="Times New Roman"/>
          <w:b/>
          <w:noProof/>
          <w:sz w:val="24"/>
        </w:rPr>
        <w:t>iškastinio kuro subsidijoms</w:t>
      </w:r>
      <w:r>
        <w:rPr>
          <w:rFonts w:ascii="Times New Roman" w:hAnsi="Times New Roman" w:cs="Times New Roman"/>
          <w:noProof/>
          <w:sz w:val="24"/>
        </w:rPr>
        <w:t xml:space="preserve"> panaikinti; vis dėlto tebeteikiama didelė viešoji pagalba naftai, anglims ir kitų rūšių daugiau anglies dioksido išskiriančiam kurui ir toliau iškraipo energetikos rinką, kelia neveiksmingos ekonomikos problemą ir varžo investicijas į perėjimą prie švarios energijos ir inovacijas.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Remiantis paskiausios šiandien paskelbtos Komisijos ataskaitos dėl energijos kainų ir išlaidų, kuri sudaro šio dokumentų rinkinio dalį, ES tiesioginės iškastinio kuro subsidijos elektrai ir šildymui 2012 m. sudarė 17,2 mlrd. EUR, o atskirai apskaičiuotos iškastinio kuro subsidijos transporto sektoriuje – 24,7 mlrd. EUR</w:t>
      </w:r>
      <w:r>
        <w:rPr>
          <w:rStyle w:val="FootnoteReference"/>
          <w:rFonts w:ascii="Times New Roman" w:hAnsi="Times New Roman" w:cs="Times New Roman"/>
          <w:noProof/>
          <w:sz w:val="24"/>
        </w:rPr>
        <w:footnoteReference w:id="14"/>
      </w:r>
      <w:r>
        <w:rPr>
          <w:rFonts w:ascii="Times New Roman" w:hAnsi="Times New Roman" w:cs="Times New Roman"/>
          <w:noProof/>
          <w:sz w:val="24"/>
        </w:rPr>
        <w:t>. Remiantis 2015 m. Tarptautinio valiutos fondo atliktais skaičiavimais, įskaičius išorės sąnaudas ES iškastinio kuro subsidijos siekia 300 mlrd. EUR. Palyginti su jų suma pasaulio mastu, kuri sudaro daugiau kaip 4,8 trln. EUR</w:t>
      </w:r>
      <w:r>
        <w:rPr>
          <w:rStyle w:val="FootnoteReference"/>
          <w:rFonts w:ascii="Times New Roman" w:hAnsi="Times New Roman" w:cs="Times New Roman"/>
          <w:noProof/>
          <w:sz w:val="24"/>
        </w:rPr>
        <w:footnoteReference w:id="15"/>
      </w:r>
      <w:r>
        <w:rPr>
          <w:rFonts w:ascii="Times New Roman" w:hAnsi="Times New Roman" w:cs="Times New Roman"/>
          <w:noProof/>
          <w:sz w:val="24"/>
        </w:rPr>
        <w:t>, ši dalis yra gana maža, tačiau Europos Sąjungai tai didelė ekonominė našta. Kadangi šiuo metu naftos ir dujų kainos yra žemos, galima laipsniškai panaikinti iškastinio kuro subsidijas ir mokesčių lengvatas nesukeliant neigiamo poveikio socialinei gerovei.</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rPr>
            </w:pPr>
            <w:r>
              <w:rPr>
                <w:rFonts w:ascii="Times New Roman" w:hAnsi="Times New Roman" w:cs="Times New Roman"/>
                <w:i/>
                <w:noProof/>
                <w:sz w:val="24"/>
              </w:rPr>
              <w:t>Siekiant padėti perorientuoti finansinius srautus į perėjimą prie švarios energijos:</w:t>
            </w:r>
          </w:p>
          <w:p>
            <w:pPr>
              <w:pStyle w:val="ListParagraph"/>
              <w:numPr>
                <w:ilvl w:val="0"/>
                <w:numId w:val="15"/>
              </w:numPr>
              <w:spacing w:after="200"/>
              <w:ind w:left="714" w:hanging="357"/>
              <w:jc w:val="both"/>
              <w:rPr>
                <w:rFonts w:ascii="Times New Roman" w:hAnsi="Times New Roman" w:cs="Times New Roman"/>
                <w:i/>
                <w:noProof/>
                <w:sz w:val="24"/>
                <w:szCs w:val="24"/>
              </w:rPr>
            </w:pPr>
            <w:r>
              <w:rPr>
                <w:rFonts w:ascii="Times New Roman" w:hAnsi="Times New Roman" w:cs="Times New Roman"/>
                <w:i/>
                <w:noProof/>
                <w:sz w:val="24"/>
              </w:rPr>
              <w:t xml:space="preserve">kad užtikrintų, jog finansų sistema galėtų ilguoju laikotarpiu tvariai finansuoti ekonomikos augimą ir išvengti susisaistymo su didelį teršalų kiekį išmetančia infrastruktūra ir turtu, Komisija įsteigė aukšto lygio ekspertų grupę ir jai pavedė iki 2017 m. pabaigos pateikti rekomendacijų, kaip plėtoti tvarų finansavimą; </w:t>
            </w:r>
          </w:p>
          <w:p>
            <w:pPr>
              <w:pStyle w:val="ListParagraph"/>
              <w:numPr>
                <w:ilvl w:val="0"/>
                <w:numId w:val="9"/>
              </w:numPr>
              <w:spacing w:after="200"/>
              <w:ind w:left="714" w:hanging="357"/>
              <w:jc w:val="both"/>
              <w:rPr>
                <w:rFonts w:ascii="Times New Roman" w:hAnsi="Times New Roman" w:cs="Times New Roman"/>
                <w:i/>
                <w:noProof/>
                <w:sz w:val="24"/>
                <w:szCs w:val="24"/>
              </w:rPr>
            </w:pPr>
            <w:r>
              <w:rPr>
                <w:rFonts w:ascii="Times New Roman" w:hAnsi="Times New Roman" w:cs="Times New Roman"/>
                <w:i/>
                <w:noProof/>
                <w:sz w:val="24"/>
              </w:rPr>
              <w:t>atsižvelgdama į šiandien paskelbtą ataskaitą dėl energijos kainų ir išlaidų, Komisija didins skaidrumą. Ji toliau kas dvejus metus atidžiai stebės energijos kainas bei išlaidas ir atliks įdėmesnę iškastinio kuro subsidijų stebėseną remiantis G 7 ir G 20 susitikimuose ES prisiimtais įsipareigojimais panaikinti neveiksmingas iškastinio kuro subsidijas;</w:t>
            </w:r>
          </w:p>
          <w:p>
            <w:pPr>
              <w:pStyle w:val="ListParagraph"/>
              <w:numPr>
                <w:ilvl w:val="0"/>
                <w:numId w:val="9"/>
              </w:numPr>
              <w:spacing w:after="200"/>
              <w:ind w:left="714" w:hanging="357"/>
              <w:jc w:val="both"/>
              <w:rPr>
                <w:rFonts w:ascii="Times New Roman" w:hAnsi="Times New Roman" w:cs="Times New Roman"/>
                <w:i/>
                <w:noProof/>
                <w:sz w:val="24"/>
                <w:szCs w:val="24"/>
              </w:rPr>
            </w:pPr>
            <w:r>
              <w:rPr>
                <w:rFonts w:ascii="Times New Roman" w:hAnsi="Times New Roman" w:cs="Times New Roman"/>
                <w:i/>
                <w:noProof/>
                <w:sz w:val="24"/>
              </w:rPr>
              <w:t xml:space="preserve">2017 m. pagal programą REFIT Komisija atliks ES energijos mokesčių srities teisinės bazės vertinimą, kad nustatytų, kokių tolesnių veiksmų reikia imtis, </w:t>
            </w:r>
            <w:r>
              <w:rPr>
                <w:rFonts w:ascii="Times New Roman" w:hAnsi="Times New Roman" w:cs="Times New Roman"/>
                <w:i/>
                <w:noProof/>
              </w:rPr>
              <w:t xml:space="preserve">be kita ko, dedant pastangas panaikinti iškastinio kuro subsidijas; </w:t>
            </w:r>
          </w:p>
          <w:p>
            <w:pPr>
              <w:pStyle w:val="ListParagraph"/>
              <w:numPr>
                <w:ilvl w:val="0"/>
                <w:numId w:val="9"/>
              </w:numPr>
              <w:spacing w:after="200"/>
              <w:ind w:left="714" w:hanging="357"/>
              <w:jc w:val="both"/>
              <w:rPr>
                <w:rFonts w:ascii="Times New Roman" w:hAnsi="Times New Roman" w:cs="Times New Roman"/>
                <w:i/>
                <w:noProof/>
                <w:sz w:val="24"/>
                <w:szCs w:val="24"/>
              </w:rPr>
            </w:pPr>
            <w:r>
              <w:rPr>
                <w:rFonts w:ascii="Times New Roman" w:hAnsi="Times New Roman" w:cs="Times New Roman"/>
                <w:i/>
                <w:noProof/>
                <w:sz w:val="24"/>
              </w:rPr>
              <w:t>remdamosi integruotais nacionaliniais energetikos ir klimato planais, valstybės narės galės nustatyti, kokių reikia investicijų į perėjimą prie švarios energijos. Valstybės narės taip pat turėtų šiuos planus naudoti atlikdamos iškastinio kuro subsidijų laipsniško panaikinimo stebėseną;</w:t>
            </w:r>
          </w:p>
          <w:p>
            <w:pPr>
              <w:pStyle w:val="ListParagraph"/>
              <w:numPr>
                <w:ilvl w:val="0"/>
                <w:numId w:val="9"/>
              </w:numPr>
              <w:spacing w:after="200"/>
              <w:ind w:left="714" w:hanging="357"/>
              <w:jc w:val="both"/>
              <w:rPr>
                <w:rFonts w:ascii="Times New Roman" w:hAnsi="Times New Roman" w:cs="Times New Roman"/>
                <w:i/>
                <w:noProof/>
                <w:sz w:val="24"/>
                <w:szCs w:val="24"/>
              </w:rPr>
            </w:pPr>
            <w:r>
              <w:rPr>
                <w:rFonts w:ascii="Times New Roman" w:hAnsi="Times New Roman" w:cs="Times New Roman"/>
                <w:i/>
                <w:noProof/>
                <w:sz w:val="24"/>
              </w:rPr>
              <w:t>atlikdama 2014–2020 m. Valstybės pagalbos aplinkos apsaugai ir energetikai gairių peržiūrą Komisija taip pat išnagrinės, kaip tos taisyklės kartu su valstybės pagalbos investicijoms į mokslinius tyrimus ir inovacijas taisyklėmis sudaro sąlygas valstybėms narėms skatinti su atsinaujinančiųjų išteklių energijos technologijomis ir sprendimais susijusias inovacijas.</w:t>
            </w:r>
          </w:p>
        </w:tc>
      </w:tr>
    </w:tbl>
    <w:p>
      <w:pPr>
        <w:jc w:val="both"/>
        <w:rPr>
          <w:rFonts w:ascii="Times New Roman" w:hAnsi="Times New Roman" w:cs="Times New Roman"/>
          <w:b/>
          <w:i/>
          <w:noProof/>
          <w:sz w:val="24"/>
          <w:szCs w:val="24"/>
        </w:rPr>
      </w:pPr>
    </w:p>
    <w:p>
      <w:pPr>
        <w:jc w:val="both"/>
        <w:rPr>
          <w:rFonts w:ascii="Times New Roman" w:hAnsi="Times New Roman" w:cs="Times New Roman"/>
          <w:b/>
          <w:i/>
          <w:noProof/>
          <w:sz w:val="24"/>
          <w:szCs w:val="24"/>
        </w:rPr>
      </w:pPr>
      <w:r>
        <w:rPr>
          <w:rFonts w:ascii="Times New Roman" w:hAnsi="Times New Roman" w:cs="Times New Roman"/>
          <w:b/>
          <w:i/>
          <w:noProof/>
          <w:sz w:val="24"/>
        </w:rPr>
        <w:t>4. Moksliniai tyrimai, inovacijos ir konkurencingumas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Moksliniai tyrimai ir inovacijos yra ypač svarbūs remiant Europos konkurencingumą bei pirmaujančią padėtį pasaulyje pažangiųjų atsinaujinančių išteklių energijos technologijų</w:t>
      </w:r>
      <w:r>
        <w:rPr>
          <w:rStyle w:val="FootnoteReference"/>
          <w:rFonts w:ascii="Times New Roman" w:hAnsi="Times New Roman" w:cs="Times New Roman"/>
          <w:noProof/>
          <w:sz w:val="24"/>
        </w:rPr>
        <w:footnoteReference w:id="16"/>
      </w:r>
      <w:r>
        <w:rPr>
          <w:rFonts w:ascii="Times New Roman" w:hAnsi="Times New Roman" w:cs="Times New Roman"/>
          <w:noProof/>
          <w:sz w:val="24"/>
        </w:rPr>
        <w:t xml:space="preserve"> ir efektyvaus energijos vartojimo sprendimų srityje ir suteikia galimybę vėliau juos sėkmingai integruoti į visas ekonomikos sritis. Europos Sąjunga dalyvauja 2015 m. Paryžiaus klimato kaitos konferencijoje pradėtoje iniciatyvoje „Misija – inovacijos“, kuri telkia šalis, įsipareigojusias per 5 metus du kartus padidinti investicijas į švarios energijos mokslinius tyrimus.</w:t>
      </w:r>
    </w:p>
    <w:p>
      <w:pPr>
        <w:spacing w:after="240" w:line="240" w:lineRule="auto"/>
        <w:jc w:val="both"/>
        <w:rPr>
          <w:rFonts w:ascii="Times New Roman" w:hAnsi="Times New Roman" w:cs="Times New Roman"/>
          <w:i/>
          <w:noProof/>
          <w:sz w:val="24"/>
          <w:szCs w:val="24"/>
        </w:rPr>
      </w:pPr>
      <w:r>
        <w:rPr>
          <w:rFonts w:ascii="Times New Roman" w:hAnsi="Times New Roman" w:cs="Times New Roman"/>
          <w:noProof/>
          <w:sz w:val="24"/>
        </w:rPr>
        <w:t xml:space="preserve">Kartu su šiuo dokumentų rinkiniu Komisija teikia pasiūlymą dėl specialios </w:t>
      </w:r>
      <w:r>
        <w:rPr>
          <w:rFonts w:ascii="Times New Roman" w:hAnsi="Times New Roman" w:cs="Times New Roman"/>
          <w:b/>
          <w:noProof/>
          <w:sz w:val="24"/>
        </w:rPr>
        <w:t>spartesnio švarios energetikos inovacijų kūrimo ir diegimo strategijos</w:t>
      </w:r>
      <w:r>
        <w:rPr>
          <w:rStyle w:val="FootnoteReference"/>
          <w:rFonts w:ascii="Times New Roman" w:hAnsi="Times New Roman" w:cs="Times New Roman"/>
          <w:b/>
          <w:noProof/>
          <w:sz w:val="24"/>
        </w:rPr>
        <w:footnoteReference w:id="17"/>
      </w:r>
      <w:r>
        <w:rPr>
          <w:rFonts w:ascii="Times New Roman" w:hAnsi="Times New Roman" w:cs="Times New Roman"/>
          <w:noProof/>
          <w:sz w:val="24"/>
        </w:rPr>
        <w:t>. Šioje strategijoje numatyta tinkamesnė prioritetų nustatymo tvarka ir konkretūs veiksmai, kuriais užtikrinama, kad mažo anglies dioksido kiekio inovacijos būtų įgyvendinamos platesniu mastu ir sparčiau patektų į rinką.</w:t>
      </w:r>
      <w:r>
        <w:rPr>
          <w:rFonts w:ascii="Times New Roman" w:hAnsi="Times New Roman" w:cs="Times New Roman"/>
          <w:noProof/>
        </w:rPr>
        <w:t xml:space="preserve"> </w:t>
      </w:r>
      <w:r>
        <w:rPr>
          <w:rFonts w:ascii="Times New Roman" w:hAnsi="Times New Roman" w:cs="Times New Roman"/>
          <w:noProof/>
          <w:sz w:val="24"/>
        </w:rPr>
        <w:t>Tokiu būdu taikant šią iniciatyvą bus išbandytas bet koks naujas horizontalusis požiūris į inovacijas ir konkurencingumą.</w:t>
      </w:r>
      <w:r>
        <w:rPr>
          <w:rFonts w:ascii="Times New Roman" w:hAnsi="Times New Roman" w:cs="Times New Roman"/>
          <w:i/>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Skatindama švarios energijos inovacijas, iš perėjimo prie mažo anglies dioksido kiekio technologijų ekonomikos Europa gali gauti daugiausia naudos – ji gali sudaryti sąlygas užtikrinti ekonomikos augimą ir kurti darbo vietas dėl intensyvesnio eksporto ir įmonių steigimo, be to, integruodama skaitmeninius sprendimus, suteikti galių piliečiams.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Skatinant ES inovacijas ir didinant konkurencingumą pasaulyje, svarbų vaidmenį atlieka ir </w:t>
      </w:r>
      <w:r>
        <w:rPr>
          <w:rFonts w:ascii="Times New Roman" w:hAnsi="Times New Roman" w:cs="Times New Roman"/>
          <w:b/>
          <w:noProof/>
          <w:sz w:val="24"/>
        </w:rPr>
        <w:t>pramonės iniciatyvos</w:t>
      </w:r>
      <w:r>
        <w:rPr>
          <w:rFonts w:ascii="Times New Roman" w:hAnsi="Times New Roman" w:cs="Times New Roman"/>
          <w:noProof/>
          <w:sz w:val="24"/>
        </w:rPr>
        <w:t>. Jos jau dabar yra svarbus parengto Strateginio energetikos technologijų plano elementas. Keletas gerų tokių pramonės iniciatyvų pavyzdžių yra susiję su saulės energijos</w:t>
      </w:r>
      <w:r>
        <w:rPr>
          <w:rStyle w:val="FootnoteReference"/>
          <w:rFonts w:ascii="Times New Roman" w:hAnsi="Times New Roman" w:cs="Times New Roman"/>
          <w:noProof/>
          <w:sz w:val="24"/>
        </w:rPr>
        <w:footnoteReference w:id="18"/>
      </w:r>
      <w:r>
        <w:rPr>
          <w:rFonts w:ascii="Times New Roman" w:hAnsi="Times New Roman" w:cs="Times New Roman"/>
          <w:noProof/>
          <w:sz w:val="24"/>
        </w:rPr>
        <w:t xml:space="preserve"> ir pažangiųjų elektros energijos tinklų bei kaupimo</w:t>
      </w:r>
      <w:r>
        <w:rPr>
          <w:rStyle w:val="FootnoteReference"/>
          <w:rFonts w:ascii="Times New Roman" w:hAnsi="Times New Roman" w:cs="Times New Roman"/>
          <w:noProof/>
          <w:sz w:val="24"/>
        </w:rPr>
        <w:footnoteReference w:id="19"/>
      </w:r>
      <w:r>
        <w:rPr>
          <w:rFonts w:ascii="Times New Roman" w:hAnsi="Times New Roman" w:cs="Times New Roman"/>
          <w:noProof/>
          <w:sz w:val="24"/>
        </w:rPr>
        <w:t xml:space="preserve"> sektoriais. Kitas geras pavyzdys – Vandenynų energijos strateginis veiksmų planas, kuriuo, kuo labiau mažinant technologijų riziką, siekiama užtikrinti kuo didesnes privačiąsias ir viešąsias investicijas į vandenynų energiją.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Energetikos sąjungos strategijoje</w:t>
      </w:r>
      <w:r>
        <w:rPr>
          <w:rStyle w:val="FootnoteReference"/>
          <w:rFonts w:ascii="Times New Roman" w:hAnsi="Times New Roman" w:cs="Times New Roman"/>
          <w:noProof/>
          <w:sz w:val="24"/>
        </w:rPr>
        <w:footnoteReference w:id="20"/>
      </w:r>
      <w:r>
        <w:rPr>
          <w:rFonts w:ascii="Times New Roman" w:hAnsi="Times New Roman" w:cs="Times New Roman"/>
          <w:noProof/>
          <w:sz w:val="24"/>
        </w:rPr>
        <w:t xml:space="preserve"> Europos Komisija paskelbė iniciatyvą dėl atitinkamų </w:t>
      </w:r>
      <w:r>
        <w:rPr>
          <w:rFonts w:ascii="Times New Roman" w:hAnsi="Times New Roman" w:cs="Times New Roman"/>
          <w:b/>
          <w:noProof/>
          <w:sz w:val="24"/>
        </w:rPr>
        <w:t>duomenų, analizės ir įžvalgų</w:t>
      </w:r>
      <w:r>
        <w:rPr>
          <w:rFonts w:ascii="Times New Roman" w:hAnsi="Times New Roman" w:cs="Times New Roman"/>
          <w:noProof/>
          <w:sz w:val="24"/>
        </w:rPr>
        <w:t xml:space="preserve"> kaupimo ir galimybės jais naudotis. Taip Komisijai pirmiausia būtų suteikta galimybė patikimai įvertinti bendrą ES švarios energijos technologijų veikimą ne tik mokslinių tyrimų ir inovacijų, bet ir rinkos dalies, importo ir eksporto, užimtumo, ekonomikos augimo ir investicijų aspektais. Šis konkurencijos vertinimas turėtų būti atnaujinamas kaskart apžvelgiant energetikos sąjungos būklę ir nustatant pagrindinius prioritetus, o veiksmai turėtų būti atitinkamai peržiūrimi. </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rPr>
            </w:pPr>
            <w:r>
              <w:rPr>
                <w:rFonts w:ascii="Times New Roman" w:hAnsi="Times New Roman" w:cs="Times New Roman"/>
                <w:i/>
                <w:noProof/>
                <w:sz w:val="24"/>
              </w:rPr>
              <w:t>Siekdama skatinti Europos konkurencingumą ir švarios energijos technologijų diegimą:</w:t>
            </w:r>
          </w:p>
          <w:p>
            <w:pPr>
              <w:pStyle w:val="ListParagraph"/>
              <w:numPr>
                <w:ilvl w:val="0"/>
                <w:numId w:val="14"/>
              </w:numPr>
              <w:spacing w:after="200"/>
              <w:jc w:val="both"/>
              <w:rPr>
                <w:rFonts w:ascii="Times New Roman" w:hAnsi="Times New Roman" w:cs="Times New Roman"/>
                <w:i/>
                <w:iCs/>
                <w:noProof/>
                <w:sz w:val="24"/>
                <w:szCs w:val="24"/>
              </w:rPr>
            </w:pPr>
            <w:r>
              <w:rPr>
                <w:rFonts w:ascii="Times New Roman" w:hAnsi="Times New Roman" w:cs="Times New Roman"/>
                <w:i/>
                <w:noProof/>
                <w:sz w:val="24"/>
              </w:rPr>
              <w:t>Komisija šiandien teikia spartesnio švarios energetikos inovacijų kūrimo ir diegimo iniciatyvą kartu su konkrečiomis priemonėmis, kuriomis gerinama su švarios energijos technologijomis bei sistemomis susijusių inovacijų reguliavimo, ekonominė ir investavimo aplinka ir kuriose nustatyti pagrindiniai naudojimosi ES finansinėmis priemonėmis ir programomis, įskaitant programą „Horizontas 2020“, prioritetai;</w:t>
            </w:r>
            <w:r>
              <w:rPr>
                <w:rFonts w:ascii="Times New Roman" w:hAnsi="Times New Roman" w:cs="Times New Roman"/>
                <w:noProof/>
              </w:rPr>
              <w:t xml:space="preserve"> </w:t>
            </w:r>
          </w:p>
          <w:p>
            <w:pPr>
              <w:pStyle w:val="ListParagraph"/>
              <w:numPr>
                <w:ilvl w:val="0"/>
                <w:numId w:val="14"/>
              </w:numPr>
              <w:spacing w:after="200"/>
              <w:jc w:val="both"/>
              <w:rPr>
                <w:rFonts w:ascii="Times New Roman" w:hAnsi="Times New Roman" w:cs="Times New Roman"/>
                <w:i/>
                <w:iCs/>
                <w:noProof/>
                <w:sz w:val="24"/>
                <w:szCs w:val="24"/>
              </w:rPr>
            </w:pPr>
            <w:r>
              <w:rPr>
                <w:rFonts w:ascii="Times New Roman" w:hAnsi="Times New Roman" w:cs="Times New Roman"/>
                <w:i/>
                <w:noProof/>
                <w:color w:val="000000"/>
                <w:sz w:val="24"/>
              </w:rPr>
              <w:t>Komisija rems pramonės iniciatyvas, kuriomis remiama ES pirmaujanti padėtis pasaulyje švarios energijos technologijų srityje, stiprinami pramonės subjektų ryšiai visoje vertės grandinėje ir įtraukiami neekonominiai subjektai, kaip antai socialiniai partneriai ir vartotojų organizacijos. Be to, Komisija su atitinkamais suinteresuotaisiais subjektais aptars poreikį įsteigti švarios energijos pramonės forumą; jis telks įvairių sektorių (energetikos, transporto, gamybos ir skaitmeninių technologijų) subjektus ir optimizuos perėjimo prie švarios energijos naudą ES pramonės subjektams;</w:t>
            </w:r>
          </w:p>
          <w:p>
            <w:pPr>
              <w:pStyle w:val="ListParagraph"/>
              <w:numPr>
                <w:ilvl w:val="0"/>
                <w:numId w:val="14"/>
              </w:numPr>
              <w:spacing w:after="200"/>
              <w:jc w:val="both"/>
              <w:rPr>
                <w:rFonts w:ascii="Times New Roman" w:hAnsi="Times New Roman" w:cs="Times New Roman"/>
                <w:noProof/>
              </w:rPr>
            </w:pPr>
            <w:r>
              <w:rPr>
                <w:rFonts w:ascii="Times New Roman" w:hAnsi="Times New Roman" w:cs="Times New Roman"/>
                <w:i/>
                <w:noProof/>
                <w:sz w:val="24"/>
              </w:rPr>
              <w:t xml:space="preserve">Komisija dirbs kartu su pramonės subjektais, mokslinių tyrimų bendruomene ir kitais pagrindiniais suinteresuotaisiais subjektais, kad surinktų patikimų strateginių duomenų apie ES veiklos rezultatus pasaulyje ir jos konkurencinę padėtį mažo anglies dioksido kiekio energijos ir energetiškai efektyvių sprendimų srityje. Šis konkurencijos vertinimas bus nuolat atnaujinamas. </w:t>
            </w:r>
          </w:p>
        </w:tc>
      </w:tr>
    </w:tbl>
    <w:p>
      <w:pPr>
        <w:jc w:val="both"/>
        <w:rPr>
          <w:rFonts w:ascii="Times New Roman" w:hAnsi="Times New Roman" w:cs="Times New Roman"/>
          <w:b/>
          <w:i/>
          <w:noProof/>
          <w:sz w:val="24"/>
          <w:szCs w:val="24"/>
        </w:rPr>
      </w:pPr>
    </w:p>
    <w:p>
      <w:pPr>
        <w:jc w:val="both"/>
        <w:rPr>
          <w:rFonts w:ascii="Times New Roman" w:hAnsi="Times New Roman" w:cs="Times New Roman"/>
          <w:b/>
          <w:i/>
          <w:noProof/>
          <w:sz w:val="24"/>
          <w:szCs w:val="24"/>
        </w:rPr>
      </w:pPr>
      <w:r>
        <w:rPr>
          <w:rFonts w:ascii="Times New Roman" w:hAnsi="Times New Roman" w:cs="Times New Roman"/>
          <w:b/>
          <w:i/>
          <w:noProof/>
          <w:sz w:val="24"/>
        </w:rPr>
        <w:t>5. Fizinės infrastruktūros, reikalingos laisvam energijos srautui ir perėjimui prie švarios energijos remti, kūrimas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Šiuo metu Europos energetikos sistema yra pereinamajame etape. Kad elektros energijos tinklai galėtų patenkinti elektros paklausą, didėjančią dėl esminių visos energijos vertės grandinės pokyčių ir vis dažniau naudojamo energijos rūšių derinio integruojant iš kintamo pajėgumo atsinaujinančiųjų energijos išteklių pagamintą energiją, juos reikia atnaujinti ir modernizuoti. Be to, mažataršiam judumui remti reikalinga speciali infrastruktūra.</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Nors trumpuoju laikotarpiu pirmenybė teikiama siekiui užtikrinti tinkamą energijos vidaus rinkos veikimą kuriant trūkstamas jungtis, kad būtų pasiektas dabartinis </w:t>
      </w:r>
      <w:r>
        <w:rPr>
          <w:rFonts w:ascii="Times New Roman" w:hAnsi="Times New Roman" w:cs="Times New Roman"/>
          <w:b/>
          <w:noProof/>
          <w:sz w:val="24"/>
        </w:rPr>
        <w:t>tikslas iki 2020 m. sukurti 10 % jungčių</w:t>
      </w:r>
      <w:r>
        <w:rPr>
          <w:rFonts w:ascii="Times New Roman" w:hAnsi="Times New Roman" w:cs="Times New Roman"/>
          <w:noProof/>
          <w:sz w:val="24"/>
        </w:rPr>
        <w:t xml:space="preserve">, sprendžiant keleto valstybių narių izoliacijos problemą ir šalinant vidaus trukdžius, dabar planuojama energetikos infrastruktūra turi būti suderinama ir su ilgesnio laikotarpio politikos sprendimais, įskaitant perėjimą prie mažataršio judumo.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Tai taip pat reiškia, jog reikia užtikrinti, kad į </w:t>
      </w:r>
      <w:r>
        <w:rPr>
          <w:rFonts w:ascii="Times New Roman" w:hAnsi="Times New Roman" w:cs="Times New Roman"/>
          <w:b/>
          <w:noProof/>
          <w:sz w:val="24"/>
        </w:rPr>
        <w:t>energijos vartojimo efektyvumą</w:t>
      </w:r>
      <w:r>
        <w:rPr>
          <w:rStyle w:val="FootnoteReference"/>
          <w:rFonts w:ascii="Times New Roman" w:hAnsi="Times New Roman" w:cs="Times New Roman"/>
          <w:b/>
          <w:noProof/>
          <w:sz w:val="24"/>
        </w:rPr>
        <w:footnoteReference w:id="21"/>
      </w:r>
      <w:r>
        <w:rPr>
          <w:rFonts w:ascii="Times New Roman" w:hAnsi="Times New Roman" w:cs="Times New Roman"/>
          <w:noProof/>
          <w:sz w:val="24"/>
        </w:rPr>
        <w:t xml:space="preserve"> būtų atsižvelgiama planuojant visą energetikos sistemą – būtų aktyviai valdoma paklausa, siekiant sumažinti energijos vartojimą, vartotojams tenkančias išlaidas ir priklausomybę nuo importo, o investicijos į efektyvaus energijos vartojimo infrastuktūrą būtų laikomos ekonomiškai efektyviu būdu siekti mažo anglies dioksido kiekio žiedinės ekonomikos. Nustatyta, kad investicijos į vis išmanesnę ir lankstesnę infrastruktūrą yra viena iš galimybių, kurios neteks gailėtis. </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rPr>
            </w:pPr>
            <w:r>
              <w:rPr>
                <w:rFonts w:ascii="Times New Roman" w:hAnsi="Times New Roman" w:cs="Times New Roman"/>
                <w:i/>
                <w:noProof/>
                <w:sz w:val="24"/>
              </w:rPr>
              <w:t>Siekdama remti fizinės infrastruktūros, reikalingos perėjimui prie švarios energijos ir laisvam energijos srautui užtikrinti, kūrimą:</w:t>
            </w:r>
          </w:p>
          <w:p>
            <w:pPr>
              <w:pStyle w:val="ListParagraph"/>
              <w:numPr>
                <w:ilvl w:val="0"/>
                <w:numId w:val="9"/>
              </w:numPr>
              <w:spacing w:after="200"/>
              <w:ind w:left="714" w:hanging="357"/>
              <w:jc w:val="both"/>
              <w:rPr>
                <w:rFonts w:ascii="Times New Roman" w:hAnsi="Times New Roman" w:cs="Times New Roman"/>
                <w:noProof/>
              </w:rPr>
            </w:pPr>
            <w:r>
              <w:rPr>
                <w:rFonts w:ascii="Times New Roman" w:hAnsi="Times New Roman" w:cs="Times New Roman"/>
                <w:i/>
                <w:noProof/>
                <w:sz w:val="24"/>
              </w:rPr>
              <w:t>apžvelgdama metinę energetikos sąjungos būklę, Komisija įvertins bendro intereso projektus, kuriuos vėluojama įgyvendinti arba kurių vykdymas atidėtas siekiant sudaryti palankesnes sąlygas juos įgyvendinti. Ji tų problemų vertinimą taip pat gali pateikti valstybėms narėms skirtose rekomendacijose, visų pirma susijusiose su energetikos klausimų aukšto lygio darbo grupių nustatytais bendro intereso projektais;</w:t>
            </w:r>
          </w:p>
          <w:p>
            <w:pPr>
              <w:pStyle w:val="ListParagraph"/>
              <w:numPr>
                <w:ilvl w:val="0"/>
                <w:numId w:val="9"/>
              </w:numPr>
              <w:spacing w:after="200"/>
              <w:ind w:left="714" w:hanging="357"/>
              <w:jc w:val="both"/>
              <w:rPr>
                <w:rFonts w:ascii="Times New Roman" w:hAnsi="Times New Roman" w:cs="Times New Roman"/>
                <w:noProof/>
              </w:rPr>
            </w:pPr>
            <w:r>
              <w:rPr>
                <w:rFonts w:ascii="Times New Roman" w:hAnsi="Times New Roman" w:cs="Times New Roman"/>
                <w:i/>
                <w:noProof/>
                <w:sz w:val="24"/>
              </w:rPr>
              <w:t>2017 metais atlikdama numatytą TEN-E reglamento peržiūrą, Komisija įvertins galimybę patobulinti reguliavimo sistemą, kad paskatos užbaigti bendro intereso projektus būtų dar didesnės;</w:t>
            </w:r>
          </w:p>
          <w:p>
            <w:pPr>
              <w:pStyle w:val="ListParagraph"/>
              <w:numPr>
                <w:ilvl w:val="0"/>
                <w:numId w:val="9"/>
              </w:numPr>
              <w:spacing w:after="200"/>
              <w:ind w:left="714" w:hanging="357"/>
              <w:jc w:val="both"/>
              <w:rPr>
                <w:rFonts w:ascii="Times New Roman" w:hAnsi="Times New Roman" w:cs="Times New Roman"/>
                <w:noProof/>
              </w:rPr>
            </w:pPr>
            <w:r>
              <w:rPr>
                <w:rFonts w:ascii="Times New Roman" w:hAnsi="Times New Roman" w:cs="Times New Roman"/>
                <w:i/>
                <w:noProof/>
                <w:sz w:val="24"/>
              </w:rPr>
              <w:t>Komisija įsteigė ekspertų grupę ir jai pavedė teikti technines rekomendacijas, kaip tikslo sukurti 15 % elektros jungčių įgyvendinimą būtų galima ekonomiškai efektyviai pasiskirstyti regiono, šalies ir (arba) pasienio jungčių lygmeniu. 2017 m. rudenį Komisija šiuo klausimu pateiks ataskaitą ir sudarys 3-ią Sąjungos bendro intereso projektų sąrašą.</w:t>
            </w:r>
          </w:p>
        </w:tc>
      </w:tr>
    </w:tbl>
    <w:p>
      <w:pPr>
        <w:jc w:val="both"/>
        <w:rPr>
          <w:rFonts w:ascii="Times New Roman" w:hAnsi="Times New Roman" w:cs="Times New Roman"/>
          <w:b/>
          <w:i/>
          <w:noProof/>
          <w:sz w:val="24"/>
          <w:szCs w:val="24"/>
        </w:rPr>
      </w:pPr>
    </w:p>
    <w:p>
      <w:pPr>
        <w:jc w:val="both"/>
        <w:rPr>
          <w:rFonts w:ascii="Times New Roman" w:hAnsi="Times New Roman" w:cs="Times New Roman"/>
          <w:b/>
          <w:i/>
          <w:noProof/>
          <w:sz w:val="24"/>
          <w:szCs w:val="24"/>
        </w:rPr>
      </w:pPr>
      <w:r>
        <w:rPr>
          <w:rFonts w:ascii="Times New Roman" w:hAnsi="Times New Roman" w:cs="Times New Roman"/>
          <w:b/>
          <w:i/>
          <w:noProof/>
          <w:sz w:val="24"/>
        </w:rPr>
        <w:t>6. Skaitmeninimas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2015 m. gegužės mėn. Komisijos bendrosios skaitmeninės rinkos strategija</w:t>
      </w:r>
      <w:r>
        <w:rPr>
          <w:rStyle w:val="FootnoteReference"/>
          <w:rFonts w:ascii="Times New Roman" w:hAnsi="Times New Roman" w:cs="Times New Roman"/>
          <w:noProof/>
          <w:sz w:val="24"/>
        </w:rPr>
        <w:footnoteReference w:id="22"/>
      </w:r>
      <w:r>
        <w:rPr>
          <w:rFonts w:ascii="Times New Roman" w:hAnsi="Times New Roman" w:cs="Times New Roman"/>
          <w:noProof/>
          <w:sz w:val="24"/>
        </w:rPr>
        <w:t xml:space="preserve"> siekiama sukurti tinkamą aplinką ir sąlygas diegti pažangius skaitmeninius tinklus ir paslaugas, be kita ko, energetikos sektoriuje.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Tam, kad </w:t>
      </w:r>
      <w:r>
        <w:rPr>
          <w:rFonts w:ascii="Times New Roman" w:hAnsi="Times New Roman" w:cs="Times New Roman"/>
          <w:b/>
          <w:noProof/>
          <w:sz w:val="24"/>
        </w:rPr>
        <w:t>vartotojams būtų sudarytos tinkamos sąlygos</w:t>
      </w:r>
      <w:r>
        <w:rPr>
          <w:rFonts w:ascii="Times New Roman" w:hAnsi="Times New Roman" w:cs="Times New Roman"/>
          <w:noProof/>
          <w:sz w:val="24"/>
        </w:rPr>
        <w:t>, reikės novatoriškų įmonių, kurios, siekdamos siūlyti naujų produktų ir paslaugų (decentralizuotą elektros energijos gamybą, energetikos valdymo sistemas, pažangiuosius įrenginius ir pažangiuosius valdiklius, taip pat nedidelio masto saugyklas, įskaitant elektromobilius), kuriais aktyviems vartotojams teikiama parama ir padedama optimizuoti energijos vartojimą (energijos suvartojimo mažinimą ir perėjimą prie kitų rūšių energijos) tokiu būdu sutaupant lėšų, naujas energijos technologijas derintų su skaitmeninėmis technologijomis (dideliais duomenų rinkiniais, debesijos kompiuterija ir pan.) ir judriojo ryšio technologijomis (5G). 2016 m. rugsėjo mėn. Komisija pasiūlė peržiūrėti ES telekomunikacijų taisykles, kad, skatinant investicijas į labai didelio pajėgumo tinklus, būtų tenkinami vis didėjantys europiečių ryšio poreikiai. Be to, Komisija pristatė 5G veiksmų planą</w:t>
      </w:r>
      <w:r>
        <w:rPr>
          <w:rStyle w:val="FootnoteReference"/>
          <w:rFonts w:ascii="Times New Roman" w:hAnsi="Times New Roman" w:cs="Times New Roman"/>
          <w:noProof/>
          <w:sz w:val="24"/>
        </w:rPr>
        <w:footnoteReference w:id="23"/>
      </w:r>
      <w:r>
        <w:rPr>
          <w:rFonts w:ascii="Times New Roman" w:hAnsi="Times New Roman" w:cs="Times New Roman"/>
          <w:noProof/>
          <w:sz w:val="24"/>
        </w:rPr>
        <w:t>, kuriame pateiktas bendras ES grafikas, kaip iki 2020 metų koordinuotai įdiegti komercinius 5G tinklus.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Kartu reikia spręsti klausimus, susijusius su galimybe gauti duomenų, privatumu bei duomenų apsauga ir kibernetiniu saugumu, taip pat atvirųjų standartų bei sąveikumo problemas. Šios problemos jau pradėtos spręsti 2016 m. balandžio mėn. Komisijai priėmus Komunikatą dėl Europos pramonės skaitmeninimo</w:t>
      </w:r>
      <w:r>
        <w:rPr>
          <w:rStyle w:val="FootnoteReference"/>
          <w:rFonts w:ascii="Times New Roman" w:hAnsi="Times New Roman" w:cs="Times New Roman"/>
          <w:noProof/>
          <w:sz w:val="24"/>
        </w:rPr>
        <w:footnoteReference w:id="24"/>
      </w:r>
      <w:r>
        <w:rPr>
          <w:rFonts w:ascii="Times New Roman" w:hAnsi="Times New Roman" w:cs="Times New Roman"/>
          <w:noProof/>
          <w:sz w:val="24"/>
        </w:rPr>
        <w:t xml:space="preserve">. Šiame komunikate taip pat paskelbta nauja Europos debesijos iniciatyva turi potencialą tapti naujosios energetikos duomenų sistemos pagrindu.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Tampa vis svarbiau užtikrinti, kad energijos tiekimo sistemos būtų apsaugotos nuo </w:t>
      </w:r>
      <w:r>
        <w:rPr>
          <w:rFonts w:ascii="Times New Roman" w:hAnsi="Times New Roman" w:cs="Times New Roman"/>
          <w:b/>
          <w:noProof/>
          <w:sz w:val="24"/>
        </w:rPr>
        <w:t>kibernetinės rizikos ir grėsmių</w:t>
      </w:r>
      <w:r>
        <w:rPr>
          <w:rFonts w:ascii="Times New Roman" w:hAnsi="Times New Roman" w:cs="Times New Roman"/>
          <w:noProof/>
          <w:sz w:val="24"/>
        </w:rPr>
        <w:t>, nes energetikos sistemų pagrindinės infrastruktūros veikimas vis labiau grindžiamas informacijos bei ryšių technologijomis ir duomenų srautu. Šiuo metu Energetikos ekspertų kibernetinio saugumo platforma analizuoja konkrečius energetikos infrastruktūros saugumo poreikius ir šiuo klausimu Komisijai pateiks rekomendacijų.</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rPr>
            </w:pPr>
            <w:r>
              <w:rPr>
                <w:rFonts w:ascii="Times New Roman" w:hAnsi="Times New Roman" w:cs="Times New Roman"/>
                <w:i/>
                <w:noProof/>
                <w:sz w:val="24"/>
              </w:rPr>
              <w:t>Įgyvendindama Bendrosios skaitmeninės rinkos strategiją:</w:t>
            </w:r>
          </w:p>
          <w:p>
            <w:pPr>
              <w:pStyle w:val="ListParagraph"/>
              <w:numPr>
                <w:ilvl w:val="0"/>
                <w:numId w:val="9"/>
              </w:numPr>
              <w:spacing w:after="200"/>
              <w:jc w:val="both"/>
              <w:rPr>
                <w:rFonts w:ascii="Times New Roman" w:hAnsi="Times New Roman" w:cs="Times New Roman"/>
                <w:i/>
                <w:noProof/>
                <w:sz w:val="24"/>
                <w:szCs w:val="24"/>
              </w:rPr>
            </w:pPr>
            <w:r>
              <w:rPr>
                <w:rFonts w:ascii="Times New Roman" w:hAnsi="Times New Roman" w:cs="Times New Roman"/>
                <w:i/>
                <w:noProof/>
                <w:sz w:val="24"/>
              </w:rPr>
              <w:t>Komisija rengia iniciatyvą, kuria skatinama Europos duomenimis grindžiamos ekonomikos pažanga. Šioje iniciatyvoje kartu su pasiūlymu dėl energijos rinkos modelio</w:t>
            </w:r>
            <w:r>
              <w:rPr>
                <w:rStyle w:val="FootnoteReference"/>
                <w:rFonts w:ascii="Times New Roman" w:hAnsi="Times New Roman" w:cs="Times New Roman"/>
                <w:i/>
                <w:noProof/>
                <w:sz w:val="24"/>
              </w:rPr>
              <w:footnoteReference w:id="25"/>
            </w:r>
            <w:r>
              <w:rPr>
                <w:rFonts w:ascii="Times New Roman" w:hAnsi="Times New Roman" w:cs="Times New Roman"/>
                <w:i/>
                <w:noProof/>
                <w:sz w:val="24"/>
              </w:rPr>
              <w:t xml:space="preserve"> bus sprendžiami duomenų lokalizavimo klausimai, taip pat tokios naujos problemos, kaip nuosavybė ir atsakomybė, (pakartotinis) panaudojimas, prieiga ir sąveikumas, ir jie bus ypač svarbūs duomenims, kurie reikalingi energetikos procesui vykdyti ir naujoms energetikos paslaugoms teikti;</w:t>
            </w:r>
          </w:p>
          <w:p>
            <w:pPr>
              <w:pStyle w:val="ListParagraph"/>
              <w:numPr>
                <w:ilvl w:val="0"/>
                <w:numId w:val="9"/>
              </w:numPr>
              <w:spacing w:after="200"/>
              <w:jc w:val="both"/>
              <w:rPr>
                <w:rFonts w:ascii="Times New Roman" w:hAnsi="Times New Roman" w:cs="Times New Roman"/>
                <w:i/>
                <w:noProof/>
                <w:sz w:val="24"/>
                <w:szCs w:val="24"/>
              </w:rPr>
            </w:pPr>
            <w:r>
              <w:rPr>
                <w:rFonts w:ascii="Times New Roman" w:hAnsi="Times New Roman" w:cs="Times New Roman"/>
                <w:i/>
                <w:noProof/>
                <w:sz w:val="24"/>
              </w:rPr>
              <w:t>Komisija šiuo metu atlieka e. privatumo direktyvos peržiūrą, kad ją suderintų su priimtomis naujomis duomenų apsaugos taisyklėmis. Ši peržiūra bus svarbi tvarkant su pažangiu energijos vartojimu susijusius duomenis;</w:t>
            </w:r>
          </w:p>
          <w:p>
            <w:pPr>
              <w:pStyle w:val="ListParagraph"/>
              <w:numPr>
                <w:ilvl w:val="0"/>
                <w:numId w:val="9"/>
              </w:numPr>
              <w:spacing w:after="200"/>
              <w:jc w:val="both"/>
              <w:rPr>
                <w:rFonts w:ascii="Times New Roman" w:hAnsi="Times New Roman" w:cs="Times New Roman"/>
                <w:i/>
                <w:noProof/>
                <w:sz w:val="24"/>
                <w:szCs w:val="24"/>
              </w:rPr>
            </w:pPr>
            <w:r>
              <w:rPr>
                <w:rFonts w:ascii="Times New Roman" w:hAnsi="Times New Roman" w:cs="Times New Roman"/>
                <w:i/>
                <w:noProof/>
                <w:sz w:val="24"/>
              </w:rPr>
              <w:t>remdamasi teigiamais pažangiųjų elektros energijos tinklų standartų kūrimo rezultatais, 2017 m. Komisija pradės dvejų metų trukmės projektą, kurį vykdant bus parengti bendri saugių ryšių standartai, atitinkamiems suinteresuotiesiems subjektams užtikrinsiantys laisvą su energija susijusių duomenų srautą. Komisija rezultatus paskelbs iki 2018 metų pabaigos;</w:t>
            </w:r>
          </w:p>
          <w:p>
            <w:pPr>
              <w:pStyle w:val="ListParagraph"/>
              <w:numPr>
                <w:ilvl w:val="0"/>
                <w:numId w:val="9"/>
              </w:numPr>
              <w:spacing w:after="200"/>
              <w:jc w:val="both"/>
              <w:rPr>
                <w:rFonts w:ascii="Times New Roman" w:hAnsi="Times New Roman" w:cs="Times New Roman"/>
                <w:i/>
                <w:noProof/>
                <w:sz w:val="24"/>
                <w:szCs w:val="24"/>
              </w:rPr>
            </w:pPr>
            <w:r>
              <w:rPr>
                <w:rFonts w:ascii="Times New Roman" w:hAnsi="Times New Roman" w:cs="Times New Roman"/>
                <w:i/>
                <w:noProof/>
                <w:sz w:val="24"/>
              </w:rPr>
              <w:t>2017 m. Komisija įsteigs Pažangiųjų elektros energijos tinklų darbo grupei pavaldžias suinteresuotųjų subjektų darbo grupes reguliavimo apkrova, energetikos srities kibernetinio saugumo ir bendro vartotojo duomenų formato tinklų kodeksams parengti. 2017 m. pavasarį Komisija pateiks ataskaitą dėl grupių struktūros, įgaliojimų ir darbo planavimo, o galutiniai rezultatai bus paskelbti iki 2018 m. pabaigos;</w:t>
            </w:r>
          </w:p>
          <w:p>
            <w:pPr>
              <w:pStyle w:val="ListParagraph"/>
              <w:numPr>
                <w:ilvl w:val="0"/>
                <w:numId w:val="9"/>
              </w:numPr>
              <w:spacing w:after="200"/>
              <w:jc w:val="both"/>
              <w:rPr>
                <w:rFonts w:ascii="Times New Roman" w:hAnsi="Times New Roman" w:cs="Times New Roman"/>
                <w:noProof/>
                <w:sz w:val="20"/>
              </w:rPr>
            </w:pPr>
            <w:r>
              <w:rPr>
                <w:rFonts w:ascii="Times New Roman" w:hAnsi="Times New Roman" w:cs="Times New Roman"/>
                <w:i/>
                <w:noProof/>
                <w:sz w:val="24"/>
              </w:rPr>
              <w:t xml:space="preserve">remdamasi Energetikos kibernetinio saugumo ekspertų grupės darbo rezultatais, 2017 metais Komisija sukurs konsultacijų su suinteresuotaisiais subjektais platformą ir prireikus iki 2017 m. pabaigos pasiūlys atitinkamų priemonių; </w:t>
            </w:r>
          </w:p>
          <w:p>
            <w:pPr>
              <w:pStyle w:val="ListParagraph"/>
              <w:numPr>
                <w:ilvl w:val="0"/>
                <w:numId w:val="9"/>
              </w:numPr>
              <w:spacing w:after="200"/>
              <w:ind w:left="714" w:hanging="357"/>
              <w:jc w:val="both"/>
              <w:rPr>
                <w:rFonts w:ascii="Times New Roman" w:hAnsi="Times New Roman" w:cs="Times New Roman"/>
                <w:noProof/>
                <w:sz w:val="24"/>
                <w:szCs w:val="24"/>
              </w:rPr>
            </w:pPr>
            <w:r>
              <w:rPr>
                <w:rFonts w:ascii="Times New Roman" w:hAnsi="Times New Roman" w:cs="Times New Roman"/>
                <w:i/>
                <w:noProof/>
                <w:sz w:val="24"/>
              </w:rPr>
              <w:t>imdamasi tolesnių veiksmų, susijusių su mažataršio judumo strategija, Komisija priims Bendradarbiavimu pagrįstų pažangiųjų transporto sistemų diegimo ES strategiją, kad sudarytų sąlygas tokias sistemas iki 2019 m. įdiegti visoje ES ir pagreitinti perėjimą prie bendradarbiavimu pagrįsto, susieto ir automatizuoto kelių transporto.</w:t>
            </w:r>
          </w:p>
        </w:tc>
      </w:tr>
    </w:tbl>
    <w:p>
      <w:pPr>
        <w:jc w:val="both"/>
        <w:rPr>
          <w:rFonts w:ascii="Times New Roman" w:hAnsi="Times New Roman" w:cs="Times New Roman"/>
          <w:i/>
          <w:noProof/>
          <w:sz w:val="24"/>
          <w:szCs w:val="24"/>
        </w:rPr>
      </w:pPr>
    </w:p>
    <w:p>
      <w:pPr>
        <w:jc w:val="both"/>
        <w:rPr>
          <w:rFonts w:ascii="Times New Roman" w:hAnsi="Times New Roman" w:cs="Times New Roman"/>
          <w:b/>
          <w:i/>
          <w:noProof/>
          <w:sz w:val="24"/>
          <w:szCs w:val="24"/>
        </w:rPr>
      </w:pPr>
      <w:r>
        <w:rPr>
          <w:rFonts w:ascii="Times New Roman" w:hAnsi="Times New Roman" w:cs="Times New Roman"/>
          <w:b/>
          <w:i/>
          <w:noProof/>
          <w:sz w:val="24"/>
        </w:rPr>
        <w:t>7. Išorės matmuo</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Išorės ir vystymosi politika yra svarbios priemonės, kuriomis remiamas perėjimas prie švarios energijos visame pasaulyje ir padedama ES šalims partnerėms bei kaimyninėms šalims įgyvendinti savo įsipareigojimus pagal Paryžiaus susitarimą ir Darnaus vystymosi darbotvarkės iki 2030 m. tikslus.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Tai reiškia aktyvesnį ES dalyvavimą daugiašalėse iniciatyvose ir skatinimą siekti tvirtesnės bei įtraukesnės visuotinės energetikos struktūros pagal </w:t>
      </w:r>
      <w:r>
        <w:rPr>
          <w:rFonts w:ascii="Times New Roman" w:hAnsi="Times New Roman" w:cs="Times New Roman"/>
          <w:b/>
          <w:noProof/>
          <w:sz w:val="24"/>
          <w:szCs w:val="24"/>
        </w:rPr>
        <w:t>ES diplomatijos energetikos srityje veiksmų planą</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xml:space="preserve">. ES yra aktyvi narė daugiašalio aukšto lygio pasaulinio ministrų forumo švarios energijos klausimais, kurio paskirtis – propaguoti švarios energijos technologijos skatinimo politiką ir programas, keistis įgyta patirtimi ir geriausios praktikos pavyzdžiais ir skatinti perėjimą prie pasaulinės švarios energijos ekonomikos. Komisija užtikrins, kad ES dvišaliuose ir daugiašaliuose santykiuose perėjimas prie mažo anglies dioksido kiekio technologijų ekonomikos ir toliau būtų integrali dialogo bei bendradarbiavimo energetikos klausimais dalis. </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Pasiūlyme dėl </w:t>
      </w:r>
      <w:r>
        <w:rPr>
          <w:rFonts w:ascii="Times New Roman" w:hAnsi="Times New Roman" w:cs="Times New Roman"/>
          <w:b/>
          <w:noProof/>
          <w:sz w:val="24"/>
        </w:rPr>
        <w:t>naujojo Europos konsensuso dėl vystymosi</w:t>
      </w:r>
      <w:r>
        <w:rPr>
          <w:rStyle w:val="FootnoteReference"/>
          <w:rFonts w:ascii="Times New Roman" w:hAnsi="Times New Roman" w:cs="Times New Roman"/>
          <w:b/>
          <w:noProof/>
          <w:sz w:val="24"/>
        </w:rPr>
        <w:footnoteReference w:id="27"/>
      </w:r>
      <w:r>
        <w:rPr>
          <w:rFonts w:ascii="Times New Roman" w:hAnsi="Times New Roman" w:cs="Times New Roman"/>
          <w:noProof/>
          <w:sz w:val="24"/>
        </w:rPr>
        <w:t xml:space="preserve"> Komisija nurodė, kad pagrindinė varomoji jėga – tai darnūs veiksmai energetikos ir klimato srityje. Darbotvarkėje iki 2030 m. ir ypač 7 bei 13 darnaus vystymosi tiksluose „Įperkama ir švari energija“ ir „Klimato politika“ pripažįstama, kad energetika yra ypač svarbi sudarant sąlygas vystymuisi ir reikšminga priimant sprendimus dėl tvarios planetos</w:t>
      </w:r>
      <w:r>
        <w:rPr>
          <w:rStyle w:val="FootnoteReference"/>
          <w:rFonts w:ascii="Times New Roman" w:hAnsi="Times New Roman" w:cs="Times New Roman"/>
          <w:noProof/>
          <w:sz w:val="24"/>
        </w:rPr>
        <w:footnoteReference w:id="28"/>
      </w:r>
      <w:r>
        <w:rPr>
          <w:rFonts w:ascii="Times New Roman" w:hAnsi="Times New Roman" w:cs="Times New Roman"/>
          <w:noProof/>
          <w:sz w:val="24"/>
        </w:rPr>
        <w:t>. ES strateginis požiūris į energiją vystomojo bendradarbiavimo politikos srityje grindžiamas trimis pagrindiniais prioritetais: i) spręsti nepakankamos prieigos prie energijos problemą; ii) didinti atsinaujinančiųjų išteklių energijos gamybą ir iii) prisidėti prie kovos su klimato kaita. Atsižvelgdama į reikiamų investicijų dydį, ES suintensyvins bendradarbiavimą su viešojo ir privačiojo sektoriaus partneriais, kad įgyvendintų prieigos prie energijos, efektyvaus energijos vartojimo ir atsinaujinančiųjų išteklių energijos gamybos tikslus. Tai bus daroma kartu trečiosioms šalims teikiant ES paramą kovai su klimato kaita ir mažo anglies dioksido kiekio bei klimato kaitai atspariai ekonomikai kurti, atsižvelgiant į ES pirmaujančią padėtį pasaulyje mažinant išmetamą šiltnamio efektą sukeliančių dujų kiekį.</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Kad būtų skirtas integruotas finansinis paketas investicijoms už ES ribų finansuoti, Komisija pasiūlė </w:t>
      </w:r>
      <w:r>
        <w:rPr>
          <w:rFonts w:ascii="Times New Roman" w:hAnsi="Times New Roman" w:cs="Times New Roman"/>
          <w:b/>
          <w:noProof/>
          <w:sz w:val="24"/>
        </w:rPr>
        <w:t>Europos išorės investicijų planą</w:t>
      </w:r>
      <w:r>
        <w:rPr>
          <w:rStyle w:val="FootnoteReference"/>
          <w:rFonts w:ascii="Times New Roman" w:hAnsi="Times New Roman" w:cs="Times New Roman"/>
          <w:b/>
          <w:noProof/>
          <w:sz w:val="24"/>
        </w:rPr>
        <w:footnoteReference w:id="29"/>
      </w:r>
      <w:r>
        <w:rPr>
          <w:rFonts w:ascii="Times New Roman" w:hAnsi="Times New Roman" w:cs="Times New Roman"/>
          <w:noProof/>
          <w:sz w:val="24"/>
        </w:rPr>
        <w:t>. Įgyvendinant šį planą, būtų sukurtas Europos darnaus vystymosi fondas, teikiama techninė pagalba tvariems projektams rengti ir investuotojams pritraukti, taip pat parengtos įvairios techninės pagalbos programos, skirtos investicijoms didinti ir politikos aplinkai gerinti atitinkamose šalyse, visų pirma didinti privačiąsias ir viešąsias investicijas į mažo anglies dioksido kiekio technologijų ekonomiką.</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Energetika yra vienas pagrindinių </w:t>
      </w:r>
      <w:r>
        <w:rPr>
          <w:rFonts w:ascii="Times New Roman" w:hAnsi="Times New Roman" w:cs="Times New Roman"/>
          <w:b/>
          <w:noProof/>
          <w:sz w:val="24"/>
        </w:rPr>
        <w:t>ES bendradarbiavimo su kaimyninėmis šalimis</w:t>
      </w:r>
      <w:r>
        <w:rPr>
          <w:rFonts w:ascii="Times New Roman" w:hAnsi="Times New Roman" w:cs="Times New Roman"/>
          <w:noProof/>
          <w:sz w:val="24"/>
        </w:rPr>
        <w:t xml:space="preserve"> klausimų, visų pirma daugiausia dėmesio skiriant reguliavimo sistemos reformoms, skatinimui naudoti atsinaujinančiųjų išteklių energiją ir efektyviam energijos vartojimui. Tai taikoma ir energijos bendrijai, kuriai ES padeda kurti regioninę energijos rinką laikantis ES reguliavimo standartų. Pietinėse kaimyninėse šalyse tebekuriama Europos ir Viduržemio jūros regiono elektros energijos ir dujų rinka, o rytinėse kaimyninėse šalyse vykdant projektą </w:t>
      </w:r>
      <w:r>
        <w:rPr>
          <w:rFonts w:ascii="Times New Roman" w:hAnsi="Times New Roman" w:cs="Times New Roman"/>
          <w:i/>
          <w:noProof/>
          <w:sz w:val="24"/>
        </w:rPr>
        <w:t>EU4Energy</w:t>
      </w:r>
      <w:r>
        <w:rPr>
          <w:rFonts w:ascii="Times New Roman" w:hAnsi="Times New Roman" w:cs="Times New Roman"/>
          <w:noProof/>
          <w:sz w:val="24"/>
        </w:rPr>
        <w:t xml:space="preserve"> teikiama parama energetikos sektoriaus reformoms. Kiekviena reforma siekiama sukurti palankią investicijų į atsinaujinančiųjų išteklių energiją ir efektyvų energijos vartojimą aplinką. Visų pirma, teikdama paramą, ES padeda kurti atsinaujinančiųjų išteklių energijos, kuria bus prekiaujama tarpvalstybiniu mastu, reguliavimo sistemą.</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rPr>
        <w:t>Vienas iš sėkmingų projektų pavyzdžių – didžiausia pasaulyje saulės elektrinė Varzazate, kuri iki 2030 m. tieks pusę viso Marokui reikalingo atsinaujinančiųjų išteklių energijos kiekio ir kurios pagamintą elektros energiją galbūt bus galima eksportuoti į ES ir rytines šalis</w:t>
      </w:r>
      <w:r>
        <w:rPr>
          <w:rStyle w:val="FootnoteReference"/>
          <w:rFonts w:ascii="Times New Roman" w:hAnsi="Times New Roman" w:cs="Times New Roman"/>
          <w:noProof/>
          <w:sz w:val="24"/>
        </w:rPr>
        <w:footnoteReference w:id="30"/>
      </w:r>
      <w:r>
        <w:rPr>
          <w:rFonts w:ascii="Times New Roman" w:hAnsi="Times New Roman" w:cs="Times New Roman"/>
          <w:noProof/>
          <w:sz w:val="24"/>
        </w:rPr>
        <w:t>.</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rPr>
        <w:t>Efektyvaus energijos vartojimo srityje ES stiprina bendradarbiavimą su Vakarų Balkanų šalimis, Turkija ir pietinėmis bei rytinėmis kaimyninėmis šalimis. Kartu su tarptautinėmis finansų įstaigomis Komisija statybų sektoriuje padidins investicijas į efektyvų energijos vartojimą, pradedant Ukraina, Gruzija, Serbija ir Tunisu – keturiomis šalimis, kuriose vykdomas bandomasis projektas.</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ES Afriką laiko privilegijuota partnere, o </w:t>
      </w:r>
      <w:r>
        <w:rPr>
          <w:rFonts w:ascii="Times New Roman" w:hAnsi="Times New Roman" w:cs="Times New Roman"/>
          <w:b/>
          <w:noProof/>
          <w:sz w:val="24"/>
        </w:rPr>
        <w:t>Afrikos ir ES energetikos partnerystė</w:t>
      </w:r>
      <w:r>
        <w:rPr>
          <w:rFonts w:ascii="Times New Roman" w:hAnsi="Times New Roman" w:cs="Times New Roman"/>
          <w:noProof/>
          <w:sz w:val="24"/>
        </w:rPr>
        <w:t xml:space="preserve"> yra jungtinio bendradarbiavimo energetikos srityje pagrindas. ES taip pat remia Afrikos atsinaujinančiosios energijos iniciatyvą – tai Afrikos įgyvendinama iniciatyva, kuria siekiama iki 2020 m. Afrikos atsinaujinančiųjų išteklių energijos pajėgumą padidinti 10 GW, o iki 2030 m. sutelkti Afrikos atsinaujinančiųjų išteklių energijos potencialą, kuris siektų 300 GW. Siekiant panaudoti Afrikos turimą tvarios energijos potencialą, daugiausia dėmesio bus skiriama energijos gamybos iš atsinaujinančių išteklių pajėgumų didinimui, tarpvalstybinių jungčių tobulinimui ir energetikos sektoriaus valdymui. </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Būdama </w:t>
      </w:r>
      <w:r>
        <w:rPr>
          <w:rFonts w:ascii="Times New Roman" w:hAnsi="Times New Roman" w:cs="Times New Roman"/>
          <w:b/>
          <w:noProof/>
          <w:sz w:val="24"/>
        </w:rPr>
        <w:t>Pasaulio prekybos organizacijos</w:t>
      </w:r>
      <w:r>
        <w:rPr>
          <w:rFonts w:ascii="Times New Roman" w:hAnsi="Times New Roman" w:cs="Times New Roman"/>
          <w:noProof/>
          <w:sz w:val="24"/>
        </w:rPr>
        <w:t xml:space="preserve"> narė, ES taip pat aktyviai skatina prekybos prekėmis ir paslaugomis liberalizavimą, nes jis gali būti naudingas aplinkai. Siekdama sudaryti plataus užmojo susitarimą dėl aplinkosaugos prekių, ji glaudžiai bendradarbiavo su 16 kitų Pasaulio prekybos organizacijos narių, kurių prekybos aplinkosaugos prekėmis apimtis sudaro didelę dalį pasaulinės prekybos. Be to, dvišaliuose prekybos susitarimuose ES siekia iš pat pradžių liberalizuoti prekybą aplinkosaugos prekėmis ir paslaugomis, taip pat sudaryti palankesnes sąlygas prekybai bei investicijoms į atsinaujinančiųjų išteklių energijos gamybą.</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Manoma, kad dėl padidėjusių prekybos srautų aplinkosaugos prekės, paslaugos ir technologijos sparčiai išplis visame pasaulyje ir padės pereiti prie mažo anglies dioksido kiekio technologijų ekonomikos. ES yra pasaulio lyderė aplinkosaugos prekių importo ir eksporto srityje. 2013 m. ES į „žaliąjį“ sąrašą įtrauktų prekių eksportas siekė 146 mlrd. EUR (maždaug 8 % viso ES eksporto), o importas – 70 mlrd. EUR. Europos įmonės turėtų siekti toliau plėtoti ir eksportuoti savo inovacinį išradingumą ir praktinę patirtį. </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Galiausiai, Komunikate dėl </w:t>
      </w:r>
      <w:r>
        <w:rPr>
          <w:rFonts w:ascii="Times New Roman" w:hAnsi="Times New Roman" w:cs="Times New Roman"/>
          <w:b/>
          <w:noProof/>
          <w:sz w:val="24"/>
        </w:rPr>
        <w:t>vandenynų valdymo</w:t>
      </w:r>
      <w:r>
        <w:rPr>
          <w:rStyle w:val="FootnoteReference"/>
          <w:rFonts w:ascii="Times New Roman" w:hAnsi="Times New Roman" w:cs="Times New Roman"/>
          <w:noProof/>
          <w:sz w:val="24"/>
        </w:rPr>
        <w:footnoteReference w:id="31"/>
      </w:r>
      <w:r>
        <w:rPr>
          <w:rFonts w:ascii="Times New Roman" w:hAnsi="Times New Roman" w:cs="Times New Roman"/>
          <w:noProof/>
          <w:sz w:val="24"/>
        </w:rPr>
        <w:t xml:space="preserve"> išdėstyti veiksmai, kurie padės Europos vandenynų energijos sektoriui konkuruoti visame pasaulyje vienodomis sąlyg</w:t>
      </w:r>
      <w:r>
        <w:rPr>
          <w:rFonts w:ascii="Times New Roman" w:hAnsi="Times New Roman" w:cs="Times New Roman"/>
          <w:noProof/>
        </w:rPr>
        <w:t>omis.</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rPr>
            </w:pPr>
            <w:r>
              <w:rPr>
                <w:rFonts w:ascii="Times New Roman" w:hAnsi="Times New Roman" w:cs="Times New Roman"/>
                <w:i/>
                <w:noProof/>
                <w:sz w:val="24"/>
              </w:rPr>
              <w:t>Įgyvendindama įsipareigojimą padaryti perėjimą prie švarios energijos vienu iš pagrindinių tikslų, kuriais ES prisideda prie Darnaus vystymosi darbotvarkės iki 2030 m. ir Paryžiaus susitarimo įgyvendinimo:</w:t>
            </w:r>
          </w:p>
          <w:p>
            <w:pPr>
              <w:pStyle w:val="ListParagraph"/>
              <w:numPr>
                <w:ilvl w:val="0"/>
                <w:numId w:val="9"/>
              </w:numPr>
              <w:spacing w:after="200"/>
              <w:jc w:val="both"/>
              <w:rPr>
                <w:rFonts w:ascii="Times New Roman" w:hAnsi="Times New Roman" w:cs="Times New Roman"/>
                <w:i/>
                <w:noProof/>
                <w:sz w:val="24"/>
                <w:szCs w:val="24"/>
              </w:rPr>
            </w:pPr>
            <w:r>
              <w:rPr>
                <w:rFonts w:ascii="Times New Roman" w:hAnsi="Times New Roman" w:cs="Times New Roman"/>
                <w:i/>
                <w:noProof/>
                <w:sz w:val="24"/>
              </w:rPr>
              <w:t>Komisija ragina abi teisėkūros institucijas kuo greičiau priimti Išorės investicijų plano teisės aktų rinkinį;</w:t>
            </w:r>
          </w:p>
          <w:p>
            <w:pPr>
              <w:pStyle w:val="ListParagraph"/>
              <w:numPr>
                <w:ilvl w:val="0"/>
                <w:numId w:val="9"/>
              </w:numPr>
              <w:spacing w:after="200"/>
              <w:jc w:val="both"/>
              <w:rPr>
                <w:rFonts w:ascii="Times New Roman" w:hAnsi="Times New Roman" w:cs="Times New Roman"/>
                <w:i/>
                <w:noProof/>
                <w:sz w:val="24"/>
                <w:szCs w:val="24"/>
              </w:rPr>
            </w:pPr>
            <w:r>
              <w:rPr>
                <w:rFonts w:ascii="Times New Roman" w:hAnsi="Times New Roman" w:cs="Times New Roman"/>
                <w:i/>
                <w:noProof/>
                <w:sz w:val="24"/>
              </w:rPr>
              <w:t>Komisija teiks pirmenybę energetikai – tai bus vienas pagrindinių 2017 m. lapkričio mėn. Abidžane vyksiančio 2017 m. Afrikos ir ES aukščiausiojo lygio susitikimo klausimų;</w:t>
            </w:r>
          </w:p>
          <w:p>
            <w:pPr>
              <w:pStyle w:val="ListParagraph"/>
              <w:numPr>
                <w:ilvl w:val="0"/>
                <w:numId w:val="9"/>
              </w:numPr>
              <w:spacing w:after="200"/>
              <w:jc w:val="both"/>
              <w:rPr>
                <w:rFonts w:ascii="Times New Roman" w:hAnsi="Times New Roman" w:cs="Times New Roman"/>
                <w:i/>
                <w:noProof/>
                <w:sz w:val="24"/>
                <w:szCs w:val="24"/>
              </w:rPr>
            </w:pPr>
            <w:r>
              <w:rPr>
                <w:rFonts w:ascii="Times New Roman" w:hAnsi="Times New Roman" w:cs="Times New Roman"/>
                <w:i/>
                <w:noProof/>
                <w:sz w:val="24"/>
              </w:rPr>
              <w:t>2017 m. pavasarį Komisija surengs aukšto lygio apskritojo stalo verslo forumą dėl investicijų į atsinaujinančiųjų išteklių energiją, kad būtų gerinamas supratimas bei informuotumas apie Komisijos pastangas bei privačiojo sektoriaus poreikius, susijusius su investicijomis į atsinaujinančiųjų išteklių energiją Afrikoje;</w:t>
            </w:r>
          </w:p>
          <w:p>
            <w:pPr>
              <w:pStyle w:val="ListParagraph"/>
              <w:numPr>
                <w:ilvl w:val="0"/>
                <w:numId w:val="9"/>
              </w:numPr>
              <w:spacing w:after="200"/>
              <w:jc w:val="both"/>
              <w:rPr>
                <w:rFonts w:ascii="Times New Roman" w:hAnsi="Times New Roman" w:cs="Times New Roman"/>
                <w:i/>
                <w:noProof/>
                <w:sz w:val="24"/>
                <w:szCs w:val="24"/>
              </w:rPr>
            </w:pPr>
            <w:r>
              <w:rPr>
                <w:rFonts w:ascii="Times New Roman" w:hAnsi="Times New Roman" w:cs="Times New Roman"/>
                <w:i/>
                <w:noProof/>
                <w:sz w:val="24"/>
              </w:rPr>
              <w:t>2017 m. pavasarį Komisija, bendradarbiaudama su tarptautinėmis finansų įstaigomis, įvertins keturiose šalyse vykdomus bandomuosius projektus, kuriais siekiama statybų sektoriuje didinti investicijas į efektyvų energijos vartojimą, kad juos su laiku būtų galima pradėti vykdyti ir kitose šalyse;</w:t>
            </w:r>
          </w:p>
          <w:p>
            <w:pPr>
              <w:pStyle w:val="ListParagraph"/>
              <w:numPr>
                <w:ilvl w:val="0"/>
                <w:numId w:val="9"/>
              </w:numPr>
              <w:spacing w:after="200"/>
              <w:jc w:val="both"/>
              <w:rPr>
                <w:rFonts w:ascii="Times New Roman" w:hAnsi="Times New Roman" w:cs="Times New Roman"/>
                <w:i/>
                <w:noProof/>
                <w:sz w:val="24"/>
                <w:szCs w:val="24"/>
              </w:rPr>
            </w:pPr>
            <w:r>
              <w:rPr>
                <w:rFonts w:ascii="Times New Roman" w:hAnsi="Times New Roman" w:cs="Times New Roman"/>
                <w:i/>
                <w:noProof/>
                <w:sz w:val="24"/>
              </w:rPr>
              <w:t>siekiant didėjantį efektyvaus energijos vartojimo pastatuose finansavimą integruoti į energetikos, klimato ir darbo vietų kūrimo investicijas, 2017 m. bus atlikta Europos kaimynystės politikos daugiametės strateginės kaimynystės programos ir Pasirengimo narystei pagalbos priemonės laikotarpio vidurio peržiūra;</w:t>
            </w:r>
          </w:p>
          <w:p>
            <w:pPr>
              <w:pStyle w:val="ListParagraph"/>
              <w:numPr>
                <w:ilvl w:val="0"/>
                <w:numId w:val="9"/>
              </w:numPr>
              <w:spacing w:after="200"/>
              <w:jc w:val="both"/>
              <w:rPr>
                <w:rFonts w:ascii="Times New Roman" w:hAnsi="Times New Roman" w:cs="Times New Roman"/>
                <w:i/>
                <w:noProof/>
                <w:sz w:val="24"/>
                <w:szCs w:val="24"/>
              </w:rPr>
            </w:pPr>
            <w:r>
              <w:rPr>
                <w:rFonts w:ascii="Times New Roman" w:hAnsi="Times New Roman" w:cs="Times New Roman"/>
                <w:i/>
                <w:noProof/>
                <w:sz w:val="24"/>
              </w:rPr>
              <w:t>Komisija toliau dės pastangas, kad siekiant sumažinti prisitaikymo prie klimato kaitos išlaidas būtų sudarytas susitarimas dėl aplinkosaugos prekių ir paslaugų (PPO).</w:t>
            </w:r>
          </w:p>
        </w:tc>
      </w:tr>
    </w:tbl>
    <w:p>
      <w:pPr>
        <w:pStyle w:val="ListParagraph"/>
        <w:spacing w:before="120" w:after="0"/>
        <w:ind w:left="0"/>
        <w:contextualSpacing w:val="0"/>
        <w:jc w:val="both"/>
        <w:rPr>
          <w:rFonts w:ascii="Times New Roman" w:hAnsi="Times New Roman" w:cs="Times New Roman"/>
          <w:noProof/>
          <w:sz w:val="24"/>
          <w:szCs w:val="24"/>
        </w:rPr>
      </w:pPr>
    </w:p>
    <w:p>
      <w:pPr>
        <w:jc w:val="both"/>
        <w:rPr>
          <w:rFonts w:ascii="Times New Roman" w:hAnsi="Times New Roman" w:cs="Times New Roman"/>
          <w:b/>
          <w:i/>
          <w:noProof/>
          <w:sz w:val="24"/>
          <w:szCs w:val="24"/>
        </w:rPr>
      </w:pPr>
      <w:r>
        <w:rPr>
          <w:rFonts w:ascii="Times New Roman" w:hAnsi="Times New Roman" w:cs="Times New Roman"/>
          <w:b/>
          <w:i/>
          <w:noProof/>
          <w:sz w:val="24"/>
        </w:rPr>
        <w:t>8. Valdymas ir partnerystės siekiant veiksmingai įgyvendinti tikslus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Energetikos pertvarka negali būti paremta principu „iš viršaus į apačią“. Jai įgyvendinti reikia, kad politikos veiksmų imtųsi </w:t>
      </w:r>
      <w:r>
        <w:rPr>
          <w:rFonts w:ascii="Times New Roman" w:hAnsi="Times New Roman" w:cs="Times New Roman"/>
          <w:b/>
          <w:noProof/>
          <w:sz w:val="24"/>
        </w:rPr>
        <w:t>įvairių lygmenų</w:t>
      </w:r>
      <w:r>
        <w:rPr>
          <w:rFonts w:ascii="Times New Roman" w:hAnsi="Times New Roman" w:cs="Times New Roman"/>
          <w:noProof/>
          <w:sz w:val="24"/>
        </w:rPr>
        <w:t xml:space="preserve"> (vietos, regionų, nacionalinės, ES ir tarptautinės) </w:t>
      </w:r>
      <w:r>
        <w:rPr>
          <w:rFonts w:ascii="Times New Roman" w:hAnsi="Times New Roman" w:cs="Times New Roman"/>
          <w:b/>
          <w:noProof/>
          <w:sz w:val="24"/>
        </w:rPr>
        <w:t>valdžios institucijos ir kiti suinteresuotieji subjektai</w:t>
      </w:r>
      <w:r>
        <w:rPr>
          <w:rFonts w:ascii="Times New Roman" w:hAnsi="Times New Roman" w:cs="Times New Roman"/>
          <w:noProof/>
          <w:sz w:val="24"/>
        </w:rPr>
        <w:t>. Energetikos sąjungos valdymas padės užtikrinti, kad politika būtų suderinta, o energetikos ir klimato tikslai, visų pirma tikslai iki 2030 m., būtų įgyvendinami visoje ES.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Perėjimas prie švarios energijos nebus sėkmingas, jei įvairūs pilietinės visuomenės ir regionų bei vietos lygmens suinteresuotieji subjektai nesiims veiksmų. Unikali ES padėtis leidžia jai perėjimą prie švarios energijos įtraukti į visų sektorių veiklą ir visus valdymo lygmenis. Todėl bus svarbu, kad miestai, regionai, įmonės, socialiniai partneriai ir kiti suinteresuotieji subjektai įsitrauktų į integruotų nacionalinių energetikos ir klimato planų rengimo ir įgyvendinimo procesą.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Vykdydamos </w:t>
      </w:r>
      <w:r>
        <w:rPr>
          <w:rFonts w:ascii="Times New Roman" w:hAnsi="Times New Roman" w:cs="Times New Roman"/>
          <w:b/>
          <w:noProof/>
          <w:sz w:val="24"/>
        </w:rPr>
        <w:t>regionų bendradarbiavimą</w:t>
      </w:r>
      <w:r>
        <w:rPr>
          <w:rFonts w:ascii="Times New Roman" w:hAnsi="Times New Roman" w:cs="Times New Roman"/>
          <w:noProof/>
          <w:sz w:val="24"/>
        </w:rPr>
        <w:t>, valstybės narės ES energetikos ir klimato tikslus galės įgyvendinti veiksmingai ir ekonomiškai efektyviai. Šį rinkinį sudarantys pasiūlymai dėl teisėkūros procedūra priimamų aktų sudarys palankesnes sąlygas regionams bendradarbiauti. Komisija parengs valstybėms narėms skirtas regionų bendradarbiavimo gaires, kuriose remiamasi esamomis bendradarbiavimo struktūromis ir supaprastinamas regionų bendradarbiavimas, susijęs su penkiais energetikos sąjungos matmenimis.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Atsižvelgdama į tai, kad faktiškai pokyčiai daugiausia vyks </w:t>
      </w:r>
      <w:r>
        <w:rPr>
          <w:rFonts w:ascii="Times New Roman" w:hAnsi="Times New Roman" w:cs="Times New Roman"/>
          <w:b/>
          <w:noProof/>
          <w:sz w:val="24"/>
        </w:rPr>
        <w:t>miestuose ir miestų bendruomenėse</w:t>
      </w:r>
      <w:r>
        <w:rPr>
          <w:rFonts w:ascii="Times New Roman" w:hAnsi="Times New Roman" w:cs="Times New Roman"/>
          <w:noProof/>
          <w:sz w:val="24"/>
        </w:rPr>
        <w:t xml:space="preserve">, ES ypač didelį dėmesį skiria šiuos pokyčius skatinantiems veiksniams. 2016 m. suintensyvėjo veikla, kuria sudaromos palankesnės sąlygos imtis veiksmų miestų lygmeniu: priimtas Amsterdamo paktas, kuriuo nustatoma ES miestų darbotvarkė, pradėta pasaulinio Merų pakto iniciatyva, be to, Komisija sukūrė internetinį vieno langelio principu veikiantį mechanizmą, skirtą vietos valdžios institucijoms, ieškančioms konkrečios informacijos apie ES miestų iniciatyvas, įskaitant informaciją apie perėjimą prie švarios energijos. Merų paktas dėl klimato ir energetikos, ES pavyzdinė miestų kovos su klimato kaita veiksmų iniciatyva, įgauna vis didesnį pagreitį ir dabar į vis platesnę jos taikymo sritį patenka ir klimato kaitos padarinių švelninimas, prisitaikymas prie klimato kaitos ir galimybė gauti švarios ir įperkamos energijos. Šiuo metu Komisija šį sėkmingą pasaulinio Merų pakto modelį bando pritaikyti Šiaurės Amerikoje ir Meksikoje, Lotynų Amerikoje ir Karibų jūros regione, Japonijoje, Kinijoje, Indijoje, Pietryčių Azijoje ir Užsachario Afrikoje. Turėtų būti padidintas miestuose ir regionuose įgyvendinamų plataus užmojo perėjimo prie švarios energijos projektų matomumas, be to, daugiau panašių projektų būtų galima įgyvendinti visoje Sąjungoje, be kita ko, 2017 m. rengiant susitikimus dėl energetikos sąjungos.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Didelį potencialą prisidėti prie šios pertvarkos, pavyzdžiui, efektyvaus energijos vartojimo ir atsinaujinančiųjų išteklių energijos bei tvarios bioenergijos srityse, turi ir </w:t>
      </w:r>
      <w:r>
        <w:rPr>
          <w:rFonts w:ascii="Times New Roman" w:hAnsi="Times New Roman" w:cs="Times New Roman"/>
          <w:b/>
          <w:noProof/>
          <w:sz w:val="24"/>
        </w:rPr>
        <w:t>kaimo vietovės</w:t>
      </w:r>
      <w:r>
        <w:rPr>
          <w:rFonts w:ascii="Times New Roman" w:hAnsi="Times New Roman" w:cs="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Perėjimo prie švarios energijos bandomųjų iniciatyvų platformos ir tarptautiniai pavyzdžiai gali būti </w:t>
      </w:r>
      <w:r>
        <w:rPr>
          <w:rFonts w:ascii="Times New Roman" w:hAnsi="Times New Roman" w:cs="Times New Roman"/>
          <w:b/>
          <w:noProof/>
          <w:sz w:val="24"/>
        </w:rPr>
        <w:t>salos ir salų regionai</w:t>
      </w:r>
      <w:r>
        <w:rPr>
          <w:rFonts w:ascii="Times New Roman" w:hAnsi="Times New Roman" w:cs="Times New Roman"/>
          <w:noProof/>
          <w:sz w:val="24"/>
        </w:rPr>
        <w:t>, kaip antai El Hieras – vieno iš ES atokiausių regionų (Kanarų salų) sala, kurioje visa elektros energija gaminama iš atsinaujinančiųjų išteklių. Komisija norėtų padėti paspartinti geriausių turimų technologijų diegimą ir naudojimą salose ir salų regionuose, įskaitant keitimąsi geriausios praktikos pavyzdžiais, susijusiais su finansavimo ir teisiniu bei reguliavimo režimu, taip pat transportui skirta energija. Pirmiausia reikia sutelkti pačias salas, nepaisant jų dydžio, geografinių sąlygų ar padėties.</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rPr>
            </w:pPr>
            <w:r>
              <w:rPr>
                <w:rFonts w:ascii="Times New Roman" w:hAnsi="Times New Roman" w:cs="Times New Roman"/>
                <w:i/>
                <w:noProof/>
                <w:sz w:val="24"/>
              </w:rPr>
              <w:t>Siekdama remti perėjimo prie švarios energijos paprastinimą:</w:t>
            </w:r>
          </w:p>
          <w:p>
            <w:pPr>
              <w:pStyle w:val="ListParagraph"/>
              <w:numPr>
                <w:ilvl w:val="0"/>
                <w:numId w:val="9"/>
              </w:numPr>
              <w:spacing w:after="200"/>
              <w:jc w:val="both"/>
              <w:rPr>
                <w:rFonts w:ascii="Times New Roman" w:hAnsi="Times New Roman" w:cs="Times New Roman"/>
                <w:i/>
                <w:noProof/>
                <w:sz w:val="24"/>
                <w:szCs w:val="24"/>
              </w:rPr>
            </w:pPr>
            <w:r>
              <w:rPr>
                <w:rFonts w:ascii="Times New Roman" w:hAnsi="Times New Roman" w:cs="Times New Roman"/>
                <w:i/>
                <w:noProof/>
                <w:sz w:val="24"/>
              </w:rPr>
              <w:t>Komisija ragina miestus, regionus, įmones, socialinius partnerius ir kitus suinteresuotuosius subjektus aktyviai įsitraukti į diskusijas dėl energetikos pertvarkos, visų pirma aptariant integruotus nacionalinius energetikos ir klimato planus, kad būtų numatyti sprendimai, kuriais būtų adekvačiai atsižvelgta į įvairių teritorijų poreikius;</w:t>
            </w:r>
          </w:p>
          <w:p>
            <w:pPr>
              <w:pStyle w:val="ListParagraph"/>
              <w:numPr>
                <w:ilvl w:val="0"/>
                <w:numId w:val="9"/>
              </w:numPr>
              <w:spacing w:after="200"/>
              <w:jc w:val="both"/>
              <w:rPr>
                <w:rFonts w:ascii="Times New Roman" w:hAnsi="Times New Roman" w:cs="Times New Roman"/>
                <w:i/>
                <w:noProof/>
                <w:sz w:val="24"/>
                <w:szCs w:val="24"/>
              </w:rPr>
            </w:pPr>
            <w:r>
              <w:rPr>
                <w:rFonts w:ascii="Times New Roman" w:hAnsi="Times New Roman" w:cs="Times New Roman"/>
                <w:i/>
                <w:noProof/>
                <w:sz w:val="24"/>
              </w:rPr>
              <w:t>kad sudarytų palankesnes sąlygas veiksmingai ir rezultatyviai siekti energetikos sąjungos tikslų, 2017 m. Komisija parengs valstybėms narėms skirtas regioninio bendradarbiavimo gaires;</w:t>
            </w:r>
          </w:p>
          <w:p>
            <w:pPr>
              <w:pStyle w:val="ListParagraph"/>
              <w:numPr>
                <w:ilvl w:val="0"/>
                <w:numId w:val="9"/>
              </w:numPr>
              <w:spacing w:after="200"/>
              <w:jc w:val="both"/>
              <w:rPr>
                <w:rFonts w:ascii="Times New Roman" w:hAnsi="Times New Roman" w:cs="Times New Roman"/>
                <w:i/>
                <w:noProof/>
                <w:sz w:val="24"/>
                <w:szCs w:val="24"/>
              </w:rPr>
            </w:pPr>
            <w:r>
              <w:rPr>
                <w:rFonts w:ascii="Times New Roman" w:hAnsi="Times New Roman" w:cs="Times New Roman"/>
                <w:i/>
                <w:noProof/>
                <w:sz w:val="24"/>
              </w:rPr>
              <w:t>2017 m. pirmą pusmetį Komisija Valetoje surengs aukšto lygio susitikimą, kuriame aptars su švaria energija susijusias salų galimybes ir problemas. Juo bus pradėtas paramos saloms pereiti prie švarios energijos procesas.</w:t>
            </w:r>
          </w:p>
        </w:tc>
      </w:tr>
    </w:tbl>
    <w:p>
      <w:pPr>
        <w:spacing w:after="0"/>
        <w:jc w:val="both"/>
        <w:rPr>
          <w:rFonts w:ascii="Times New Roman" w:hAnsi="Times New Roman" w:cs="Times New Roman"/>
          <w:i/>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46214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Žr. pasiūlymą iš dalies pakeisti Direktyvą dėl pastatų energinio naudingumo, COM(2016) 765.</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Pasiūlymas iš dalies pakeisti Direktyvą 2003/87/EB, siekiant ekonomiškai efektyviai dar labiau sumažinti išmetamų teršalų kiekį ir paskatinti investicijas į mažo anglies dioksido kiekio technologijas, COM(2015) 337.</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color w:val="auto"/>
          </w:rPr>
          <w:t>http://s3platform.jrc.ec.europa.eu</w:t>
        </w:r>
      </w:hyperlink>
      <w:r>
        <w:rPr>
          <w:rFonts w:ascii="Times New Roman" w:hAnsi="Times New Roman"/>
        </w:rPr>
        <w:t xml:space="preserve">. </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Komunikatas „Nauja Europos įgūdžių darbotvarkė. Drauge dirbant didinti žmogiškąjį kapitalą, įsidarbinimo galimybes ir konkurencingumą“, COM(2016) 381.</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Sanglaudos politika įgyvendinama Europos regioninės plėtros fondo, sanglaudos fondo ir Europos socialinis fondo – Europos struktūrinių ir investicijų fondų – lėšomis.</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Vertinimas, grindžiamas teminių tikslų „Perėjimo prie mažo anglies dioksido kiekio technologijų ekonomikos rėmimas“ ir „Tvaraus transporto skatinimas ir kliūčių pagrindinėse tinklo infrastruktūros dalyse šalinimas“ 2014–2020 m. veiksmų programų finansinėse lentelėse pateiktu svertiniu bendro finansavimo vidurkiu.</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Projektų atrankos duomenys iki 2016 m. pabaigos bus turimi 2017 m. pradžioje.</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Pirma metinė finansinių priemonių taikymo pasinaudojant 2014–2020 m. Europos struktūrinių ir investicijų fondų parama pažangos ataskaita bus parengta iki 2016 m. lapkričio pabaigos.</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Energijos vartojimo efektyvumo privataus finansavimo priemonė yra Komisijos sukurta ES finansinė priemonė, kuri finansuojama iš programos LIFE lėšų ir kurią įgyvendina Europos investicijų bankas.</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759.</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 337.</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Pavyzdžiui, su Kinija ir Korėja.</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Pagal Paryžiaus susitarimą apie pusę šalių nurodė besinaudosiančios rinkos mechanizmais, kad įgyvendintų prisiimtus įsipareigojimus mažinti išmetamų teršalų kiekį.</w:t>
      </w:r>
    </w:p>
  </w:footnote>
  <w:footnote w:id="1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Į šią sumą patenka subsidijos anglims (9,7 mlrd. EUR) ir dujoms (6,6 mlrd. EUR); šios subsidijos išsirutuliojo iš praeityje taikytų investicijų subsidijų, dotacijų investicijoms į iškastinį kurą, supirkimo tarifų, kuro mokesčio lengvatų, elektros gamybos, eksploatacijos nutraukimo ir atliekų šalinimo. (Šaltinis: 2014 m. energijos išlaidų ir subsidijų tyrimas. Transporto sektoriaus atveju (subsidijos naftai) šaltinis – 2013 m. EBPO aprašas.)</w:t>
      </w:r>
    </w:p>
  </w:footnote>
  <w:footnote w:id="1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Tarptautinis valiutos fondas (TVF), 2015 m.</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Taip pat žr. pasiūlymą dėl Atsinaujinančiųjų energijos išteklių direktyvos išdėstymo nauja redakcija, COM(2016) 767.</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763.</w:t>
      </w:r>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Šia iniciatyva siekiama didinti šio sektoriaus konkurencingumą ir tvarumą, taip pat sudaryti palankesnes sąlygas dideliu mastu ir už prieinamą kainą jį plėsti ir integruoti į elektros tinklą.</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Tai Europos elektros energijos perdavimo ir paskirstymo sistemos iniciatyva, kuri neseniai buvo pertvarkyta į Europos pažangiųjų elektros energijos perdavimo tinklų technologijų ir inovacijų platformą.</w:t>
      </w:r>
    </w:p>
  </w:footnote>
  <w:footnote w:id="2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 80.</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Žr. pasiūlymą iš dalies pakeisti Direktyvą dėl energijos vartojimo efektyvumo, COM(2016) 761.</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 192.</w:t>
      </w:r>
    </w:p>
  </w:footnote>
  <w:footnote w:id="2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588.</w:t>
      </w:r>
    </w:p>
  </w:footnote>
  <w:footnote w:id="2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180.</w:t>
      </w:r>
    </w:p>
  </w:footnote>
  <w:footnote w:id="2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Siūlomą rinkos modelio iniciatyvą sudaro naujos redakcijos Elektros energijos direktyva (COM(2016) 864), naujos redakcijos Elektros energijos reglamentas (COM(2016) 861), naujos redakcijos ACER reglamentas (COM(2016) 863) ir naujos redakcijos Reglamentas dėl rizikos parengties elektros energijos sektoriuje (COM(2016) 862).</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2015 m. liepos 20 d. Užsienio reikalų tarybos priimtos Tarybos išvados dėl diplomatijos energetikos srityje (dok. 10995/15).</w:t>
      </w:r>
    </w:p>
  </w:footnote>
  <w:footnote w:id="2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Komunikatas „Pasiūlymas dėl naujojo Europos konsensuso dėl vystymosi „Mūsų pasaulis, mūsų orumas, mūsų ateitis“, COM(2016) 740.</w:t>
      </w:r>
    </w:p>
  </w:footnote>
  <w:footnote w:id="2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Taip pat žr. komunikatą „Tolesni tvarios Europos ateities užtikrinimo žingsniai. Europos veiksmai siekiant tvarumo“, COM(2016) 739.</w:t>
      </w:r>
    </w:p>
  </w:footnote>
  <w:footnote w:id="2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Komunikatas „</w:t>
      </w:r>
      <w:r>
        <w:rPr>
          <w:rStyle w:val="Emphasis"/>
          <w:rFonts w:ascii="Times New Roman" w:hAnsi="Times New Roman"/>
          <w:i w:val="0"/>
        </w:rPr>
        <w:t>Europos investicijų, skirtų darbo vietoms kurti ir ekonomikos augimui užtikrinti, didinimas. Antrasis Europos strateginių investicijų fondo etapas ir naujasis Europos išorės investicijų planas</w:t>
      </w:r>
      <w:r>
        <w:rPr>
          <w:rFonts w:ascii="Times New Roman" w:hAnsi="Times New Roman"/>
        </w:rPr>
        <w:t>“, COM(2016) 581.</w:t>
      </w:r>
    </w:p>
  </w:footnote>
  <w:footnote w:id="30">
    <w:p/>
  </w:footnote>
  <w:footnote w:id="3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„Tarptautinis vandenynų valdymas. Mūsų vandenynų darnaus valdymo darbotvarkė“, Komisijos ir Sąjungos vyriausiojo įgaliotinio užsienio reikalams ir saugumo politikai bendras komunikatas (2016 m. lapkričio 10 d., JOIN(2016) 49).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94B"/>
    <w:multiLevelType w:val="hybridMultilevel"/>
    <w:tmpl w:val="1B5E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D742C"/>
    <w:multiLevelType w:val="hybridMultilevel"/>
    <w:tmpl w:val="3EDA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F75B65"/>
    <w:multiLevelType w:val="hybridMultilevel"/>
    <w:tmpl w:val="FD30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B53A3"/>
    <w:multiLevelType w:val="hybridMultilevel"/>
    <w:tmpl w:val="D504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76D97"/>
    <w:multiLevelType w:val="hybridMultilevel"/>
    <w:tmpl w:val="F9B2C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D7A139F"/>
    <w:multiLevelType w:val="hybridMultilevel"/>
    <w:tmpl w:val="EF1A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F84E91"/>
    <w:multiLevelType w:val="hybridMultilevel"/>
    <w:tmpl w:val="BDB4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91779A"/>
    <w:multiLevelType w:val="hybridMultilevel"/>
    <w:tmpl w:val="66FC6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E342CA"/>
    <w:multiLevelType w:val="hybridMultilevel"/>
    <w:tmpl w:val="F2AC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D675B0"/>
    <w:multiLevelType w:val="hybridMultilevel"/>
    <w:tmpl w:val="C7721ABC"/>
    <w:lvl w:ilvl="0" w:tplc="30CA036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Symbol"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42D5521"/>
    <w:multiLevelType w:val="hybridMultilevel"/>
    <w:tmpl w:val="1E447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71A26C5"/>
    <w:multiLevelType w:val="hybridMultilevel"/>
    <w:tmpl w:val="3DAE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5706B2"/>
    <w:multiLevelType w:val="hybridMultilevel"/>
    <w:tmpl w:val="75F47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F596816"/>
    <w:multiLevelType w:val="hybridMultilevel"/>
    <w:tmpl w:val="9956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914B18"/>
    <w:multiLevelType w:val="hybridMultilevel"/>
    <w:tmpl w:val="5A249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7AF602D1"/>
    <w:multiLevelType w:val="hybridMultilevel"/>
    <w:tmpl w:val="804A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13"/>
  </w:num>
  <w:num w:numId="6">
    <w:abstractNumId w:val="8"/>
  </w:num>
  <w:num w:numId="7">
    <w:abstractNumId w:val="7"/>
  </w:num>
  <w:num w:numId="8">
    <w:abstractNumId w:val="11"/>
  </w:num>
  <w:num w:numId="9">
    <w:abstractNumId w:val="0"/>
  </w:num>
  <w:num w:numId="10">
    <w:abstractNumId w:val="12"/>
  </w:num>
  <w:num w:numId="11">
    <w:abstractNumId w:val="10"/>
  </w:num>
  <w:num w:numId="12">
    <w:abstractNumId w:val="15"/>
  </w:num>
  <w:num w:numId="13">
    <w:abstractNumId w:val="4"/>
  </w:num>
  <w:num w:numId="14">
    <w:abstractNumId w:val="0"/>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396"/>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rie"/>
    <w:docVar w:name="LW_ANNEX_NBR_FIRST" w:val="2"/>
    <w:docVar w:name="LW_ANNEX_NBR_LAST" w:val="2"/>
    <w:docVar w:name="LW_CONFIDENCE" w:val=" "/>
    <w:docVar w:name="LW_CONST_RESTREINT_UE" w:val="RESTREINT UE"/>
    <w:docVar w:name="LW_CORRIGENDUM" w:val="&lt;UNUSED&gt;"/>
    <w:docVar w:name="LW_COVERPAGE_GUID" w:val="E984D79FB04D4A4D83FDAF0F3C999F01"/>
    <w:docVar w:name="LW_CROSSREFERENCE" w:val="&lt;UNUSED&gt;"/>
    <w:docVar w:name="LW_DocType" w:val="NORMAL"/>
    <w:docVar w:name="LW_EMISSION" w:val="2016 11 30"/>
    <w:docVar w:name="LW_EMISSION_ISODATE" w:val="2016-11-30"/>
    <w:docVar w:name="LW_EMISSION_LOCATION" w:val="BRX"/>
    <w:docVar w:name="LW_EMISSION_PREFIX" w:val="Briuselis, "/>
    <w:docVar w:name="LW_EMISSION_SUFFIX" w:val=" "/>
    <w:docVar w:name="LW_ID_DOCTYPE_NONLW" w:val="CP-039"/>
    <w:docVar w:name="LW_LANGUE" w:val="LT"/>
    <w:docVar w:name="LW_MARKING" w:val="&lt;UNUSED&gt;"/>
    <w:docVar w:name="LW_NOM.INST" w:val="EUROPOS KOMISIJA"/>
    <w:docVar w:name="LW_NOM.INST_JOINTDOC" w:val="&lt;EMPTY&gt;"/>
    <w:docVar w:name="LW_OBJETACTEPRINCIPAL.CP" w:val="\u352?vari energija visiems europie\u269?iams"/>
    <w:docVar w:name="LW_PART_NBR" w:val="1"/>
    <w:docVar w:name="LW_PART_NBR_TOTAL" w:val="1"/>
    <w:docVar w:name="LW_REF.INST.NEW" w:val="COM"/>
    <w:docVar w:name="LW_REF.INST.NEW_ADOPTED" w:val="final"/>
    <w:docVar w:name="LW_REF.INST.NEW_TEXT" w:val="(2016) 860"/>
    <w:docVar w:name="LW_REF.INTERNE" w:val="&lt;UNUSED&gt;"/>
    <w:docVar w:name="LW_SUPERTITRE" w:val="&lt;UNUSED&gt;"/>
    <w:docVar w:name="LW_TITRE.OBJ.CP" w:val="Per\u279?jimo prie \u353?varios energijos skatinimo veiksmai"/>
    <w:docVar w:name="LW_TYPE.DOC.CP" w:val="PRIEDAS_x000b_"/>
    <w:docVar w:name="LW_TYPEACTEPRINCIPAL.CP" w:val="EUROPOS KOMISIJOS KOMUNIKATO EUROPOS PARLAMENTUI, TARYBAI, EUROPOS EKONOMIKOS IR SOCIALINI\u370? REIKAL\u370? KOMITETUI, REGION\u370? KOMITETUI IR EUROPOS INVESTICIJ\u370? BANKUI"/>
  </w:docVar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ellow Bullet,Normal bullet 2,Table/Figure Heading,Listeafsnit,Dot pt,No Spacing1,List Paragraph Char Char Char,Indicator Text,Numbered Para 1,List Paragraph1,Bullet Points,MAIN CONTENT,List Paragraph12,List Paragraph11,OBC Bullet"/>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sz w:val="20"/>
      <w:szCs w:val="20"/>
    </w:rPr>
  </w:style>
  <w:style w:type="character" w:styleId="FootnoteReference">
    <w:name w:val="footnote reference"/>
    <w:aliases w:val="number,SUPERS,Footnote Reference Superscript,Footnote number,-E Fußnotenzeichen,EN Footnote Reference,-E Fuﬂnotenzeichen,-E Fuûnotenzeichen,stylish,Footnote symbol,(Footnote Reference),Footnote reference number,note TESI,BVI fnr,fr,o"/>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ListParagraphChar">
    <w:name w:val="List Paragraph Char"/>
    <w:aliases w:val="Yellow Bullet Char,Normal bullet 2 Char,Table/Figure Heading Char,Listeafsnit Char,Dot pt Char,No Spacing1 Char,List Paragraph Char Char Char Char,Indicator Text Char,Numbered Para 1 Char,List Paragraph1 Char,Bullet Points Char"/>
    <w:link w:val="ListParagraph"/>
    <w:uiPriority w:val="34"/>
    <w:qFormat/>
    <w:lock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character" w:styleId="Hyperlink">
    <w:name w:val="Hyperlink"/>
    <w:basedOn w:val="DefaultParagraphFont"/>
    <w:uiPriority w:val="99"/>
    <w:unhideWhenUsed/>
    <w:rPr>
      <w:rFonts w:ascii="open_sansregular" w:hAnsi="open_sansregular" w:hint="default"/>
      <w:b w:val="0"/>
      <w:bCs w:val="0"/>
      <w:strike w:val="0"/>
      <w:dstrike w:val="0"/>
      <w:color w:val="2873E6"/>
      <w:u w:val="none"/>
      <w:effect w:val="none"/>
      <w:shd w:val="clear" w:color="auto" w:fill="auto"/>
    </w:rPr>
  </w:style>
  <w:style w:type="paragraph" w:customStyle="1" w:styleId="SUPERSChar">
    <w:name w:val="SUPERS Char"/>
    <w:aliases w:val="EN Footnote Reference Char"/>
    <w:basedOn w:val="Normal"/>
    <w:uiPriority w:val="99"/>
    <w:pPr>
      <w:widowControl w:val="0"/>
      <w:adjustRightInd w:val="0"/>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s12">
    <w:name w:val="s12"/>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A">
    <w:name w:val="Body 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ellow Bullet,Normal bullet 2,Table/Figure Heading,Listeafsnit,Dot pt,No Spacing1,List Paragraph Char Char Char,Indicator Text,Numbered Para 1,List Paragraph1,Bullet Points,MAIN CONTENT,List Paragraph12,List Paragraph11,OBC Bullet"/>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sz w:val="20"/>
      <w:szCs w:val="20"/>
    </w:rPr>
  </w:style>
  <w:style w:type="character" w:styleId="FootnoteReference">
    <w:name w:val="footnote reference"/>
    <w:aliases w:val="number,SUPERS,Footnote Reference Superscript,Footnote number,-E Fußnotenzeichen,EN Footnote Reference,-E Fuﬂnotenzeichen,-E Fuûnotenzeichen,stylish,Footnote symbol,(Footnote Reference),Footnote reference number,note TESI,BVI fnr,fr,o"/>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ListParagraphChar">
    <w:name w:val="List Paragraph Char"/>
    <w:aliases w:val="Yellow Bullet Char,Normal bullet 2 Char,Table/Figure Heading Char,Listeafsnit Char,Dot pt Char,No Spacing1 Char,List Paragraph Char Char Char Char,Indicator Text Char,Numbered Para 1 Char,List Paragraph1 Char,Bullet Points Char"/>
    <w:link w:val="ListParagraph"/>
    <w:uiPriority w:val="34"/>
    <w:qFormat/>
    <w:lock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character" w:styleId="Hyperlink">
    <w:name w:val="Hyperlink"/>
    <w:basedOn w:val="DefaultParagraphFont"/>
    <w:uiPriority w:val="99"/>
    <w:unhideWhenUsed/>
    <w:rPr>
      <w:rFonts w:ascii="open_sansregular" w:hAnsi="open_sansregular" w:hint="default"/>
      <w:b w:val="0"/>
      <w:bCs w:val="0"/>
      <w:strike w:val="0"/>
      <w:dstrike w:val="0"/>
      <w:color w:val="2873E6"/>
      <w:u w:val="none"/>
      <w:effect w:val="none"/>
      <w:shd w:val="clear" w:color="auto" w:fill="auto"/>
    </w:rPr>
  </w:style>
  <w:style w:type="paragraph" w:customStyle="1" w:styleId="SUPERSChar">
    <w:name w:val="SUPERS Char"/>
    <w:aliases w:val="EN Footnote Reference Char"/>
    <w:basedOn w:val="Normal"/>
    <w:uiPriority w:val="99"/>
    <w:pPr>
      <w:widowControl w:val="0"/>
      <w:adjustRightInd w:val="0"/>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s12">
    <w:name w:val="s12"/>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A">
    <w:name w:val="Body 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2915">
      <w:bodyDiv w:val="1"/>
      <w:marLeft w:val="0"/>
      <w:marRight w:val="0"/>
      <w:marTop w:val="0"/>
      <w:marBottom w:val="0"/>
      <w:divBdr>
        <w:top w:val="none" w:sz="0" w:space="0" w:color="auto"/>
        <w:left w:val="none" w:sz="0" w:space="0" w:color="auto"/>
        <w:bottom w:val="none" w:sz="0" w:space="0" w:color="auto"/>
        <w:right w:val="none" w:sz="0" w:space="0" w:color="auto"/>
      </w:divBdr>
    </w:div>
    <w:div w:id="155726868">
      <w:bodyDiv w:val="1"/>
      <w:marLeft w:val="0"/>
      <w:marRight w:val="0"/>
      <w:marTop w:val="0"/>
      <w:marBottom w:val="0"/>
      <w:divBdr>
        <w:top w:val="none" w:sz="0" w:space="0" w:color="auto"/>
        <w:left w:val="none" w:sz="0" w:space="0" w:color="auto"/>
        <w:bottom w:val="none" w:sz="0" w:space="0" w:color="auto"/>
        <w:right w:val="none" w:sz="0" w:space="0" w:color="auto"/>
      </w:divBdr>
    </w:div>
    <w:div w:id="340008722">
      <w:bodyDiv w:val="1"/>
      <w:marLeft w:val="0"/>
      <w:marRight w:val="0"/>
      <w:marTop w:val="0"/>
      <w:marBottom w:val="0"/>
      <w:divBdr>
        <w:top w:val="none" w:sz="0" w:space="0" w:color="auto"/>
        <w:left w:val="none" w:sz="0" w:space="0" w:color="auto"/>
        <w:bottom w:val="none" w:sz="0" w:space="0" w:color="auto"/>
        <w:right w:val="none" w:sz="0" w:space="0" w:color="auto"/>
      </w:divBdr>
    </w:div>
    <w:div w:id="347759935">
      <w:bodyDiv w:val="1"/>
      <w:marLeft w:val="0"/>
      <w:marRight w:val="0"/>
      <w:marTop w:val="0"/>
      <w:marBottom w:val="0"/>
      <w:divBdr>
        <w:top w:val="none" w:sz="0" w:space="0" w:color="auto"/>
        <w:left w:val="none" w:sz="0" w:space="0" w:color="auto"/>
        <w:bottom w:val="none" w:sz="0" w:space="0" w:color="auto"/>
        <w:right w:val="none" w:sz="0" w:space="0" w:color="auto"/>
      </w:divBdr>
    </w:div>
    <w:div w:id="825710392">
      <w:bodyDiv w:val="1"/>
      <w:marLeft w:val="0"/>
      <w:marRight w:val="0"/>
      <w:marTop w:val="0"/>
      <w:marBottom w:val="0"/>
      <w:divBdr>
        <w:top w:val="none" w:sz="0" w:space="0" w:color="auto"/>
        <w:left w:val="none" w:sz="0" w:space="0" w:color="auto"/>
        <w:bottom w:val="none" w:sz="0" w:space="0" w:color="auto"/>
        <w:right w:val="none" w:sz="0" w:space="0" w:color="auto"/>
      </w:divBdr>
    </w:div>
    <w:div w:id="847866054">
      <w:bodyDiv w:val="1"/>
      <w:marLeft w:val="0"/>
      <w:marRight w:val="0"/>
      <w:marTop w:val="0"/>
      <w:marBottom w:val="0"/>
      <w:divBdr>
        <w:top w:val="none" w:sz="0" w:space="0" w:color="auto"/>
        <w:left w:val="none" w:sz="0" w:space="0" w:color="auto"/>
        <w:bottom w:val="none" w:sz="0" w:space="0" w:color="auto"/>
        <w:right w:val="none" w:sz="0" w:space="0" w:color="auto"/>
      </w:divBdr>
    </w:div>
    <w:div w:id="1035042271">
      <w:bodyDiv w:val="1"/>
      <w:marLeft w:val="0"/>
      <w:marRight w:val="0"/>
      <w:marTop w:val="0"/>
      <w:marBottom w:val="0"/>
      <w:divBdr>
        <w:top w:val="none" w:sz="0" w:space="0" w:color="auto"/>
        <w:left w:val="none" w:sz="0" w:space="0" w:color="auto"/>
        <w:bottom w:val="none" w:sz="0" w:space="0" w:color="auto"/>
        <w:right w:val="none" w:sz="0" w:space="0" w:color="auto"/>
      </w:divBdr>
    </w:div>
    <w:div w:id="1366298403">
      <w:bodyDiv w:val="1"/>
      <w:marLeft w:val="0"/>
      <w:marRight w:val="0"/>
      <w:marTop w:val="0"/>
      <w:marBottom w:val="0"/>
      <w:divBdr>
        <w:top w:val="none" w:sz="0" w:space="0" w:color="auto"/>
        <w:left w:val="none" w:sz="0" w:space="0" w:color="auto"/>
        <w:bottom w:val="none" w:sz="0" w:space="0" w:color="auto"/>
        <w:right w:val="none" w:sz="0" w:space="0" w:color="auto"/>
      </w:divBdr>
    </w:div>
    <w:div w:id="1370061990">
      <w:bodyDiv w:val="1"/>
      <w:marLeft w:val="0"/>
      <w:marRight w:val="0"/>
      <w:marTop w:val="0"/>
      <w:marBottom w:val="0"/>
      <w:divBdr>
        <w:top w:val="none" w:sz="0" w:space="0" w:color="auto"/>
        <w:left w:val="none" w:sz="0" w:space="0" w:color="auto"/>
        <w:bottom w:val="none" w:sz="0" w:space="0" w:color="auto"/>
        <w:right w:val="none" w:sz="0" w:space="0" w:color="auto"/>
      </w:divBdr>
    </w:div>
    <w:div w:id="1664353811">
      <w:bodyDiv w:val="1"/>
      <w:marLeft w:val="0"/>
      <w:marRight w:val="0"/>
      <w:marTop w:val="0"/>
      <w:marBottom w:val="0"/>
      <w:divBdr>
        <w:top w:val="none" w:sz="0" w:space="0" w:color="auto"/>
        <w:left w:val="none" w:sz="0" w:space="0" w:color="auto"/>
        <w:bottom w:val="none" w:sz="0" w:space="0" w:color="auto"/>
        <w:right w:val="none" w:sz="0" w:space="0" w:color="auto"/>
      </w:divBdr>
    </w:div>
    <w:div w:id="1777678656">
      <w:bodyDiv w:val="1"/>
      <w:marLeft w:val="0"/>
      <w:marRight w:val="0"/>
      <w:marTop w:val="0"/>
      <w:marBottom w:val="0"/>
      <w:divBdr>
        <w:top w:val="none" w:sz="0" w:space="0" w:color="auto"/>
        <w:left w:val="none" w:sz="0" w:space="0" w:color="auto"/>
        <w:bottom w:val="none" w:sz="0" w:space="0" w:color="auto"/>
        <w:right w:val="none" w:sz="0" w:space="0" w:color="auto"/>
      </w:divBdr>
    </w:div>
    <w:div w:id="1787773151">
      <w:bodyDiv w:val="1"/>
      <w:marLeft w:val="0"/>
      <w:marRight w:val="0"/>
      <w:marTop w:val="0"/>
      <w:marBottom w:val="0"/>
      <w:divBdr>
        <w:top w:val="none" w:sz="0" w:space="0" w:color="auto"/>
        <w:left w:val="none" w:sz="0" w:space="0" w:color="auto"/>
        <w:bottom w:val="none" w:sz="0" w:space="0" w:color="auto"/>
        <w:right w:val="none" w:sz="0" w:space="0" w:color="auto"/>
      </w:divBdr>
    </w:div>
    <w:div w:id="1960649293">
      <w:bodyDiv w:val="1"/>
      <w:marLeft w:val="0"/>
      <w:marRight w:val="0"/>
      <w:marTop w:val="0"/>
      <w:marBottom w:val="0"/>
      <w:divBdr>
        <w:top w:val="none" w:sz="0" w:space="0" w:color="auto"/>
        <w:left w:val="none" w:sz="0" w:space="0" w:color="auto"/>
        <w:bottom w:val="none" w:sz="0" w:space="0" w:color="auto"/>
        <w:right w:val="none" w:sz="0" w:space="0" w:color="auto"/>
      </w:divBdr>
    </w:div>
    <w:div w:id="2035839783">
      <w:bodyDiv w:val="1"/>
      <w:marLeft w:val="0"/>
      <w:marRight w:val="0"/>
      <w:marTop w:val="0"/>
      <w:marBottom w:val="0"/>
      <w:divBdr>
        <w:top w:val="none" w:sz="0" w:space="0" w:color="auto"/>
        <w:left w:val="none" w:sz="0" w:space="0" w:color="auto"/>
        <w:bottom w:val="none" w:sz="0" w:space="0" w:color="auto"/>
        <w:right w:val="none" w:sz="0" w:space="0" w:color="auto"/>
      </w:divBdr>
    </w:div>
    <w:div w:id="20562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3platform.jrc.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598A-4526-493A-B2AB-9B93B3F4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5298</Words>
  <Characters>37723</Characters>
  <Application>Microsoft Office Word</Application>
  <DocSecurity>0</DocSecurity>
  <Lines>546</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2016-11-29T07:58:00Z</dcterms:created>
  <dcterms:modified xsi:type="dcterms:W3CDTF">2016-12-19T18:07:00Z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2</vt:lpwstr>
  </property>
  <property fmtid="{D5CDD505-2E9C-101B-9397-08002B2CF9AE}" pid="3" name="Last annex">
    <vt:lpwstr>2</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