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8723F9EAA1C14691A4B0E1A7DE1FCC70" style="width:450.75pt;height:396.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rPr>
          <w:noProof/>
        </w:rPr>
      </w:pPr>
      <w:bookmarkStart w:id="0" w:name="_GoBack"/>
      <w:bookmarkEnd w:id="0"/>
    </w:p>
    <w:p>
      <w:pPr>
        <w:pStyle w:val="Annexetitre"/>
        <w:rPr>
          <w:noProof/>
        </w:rPr>
      </w:pPr>
      <w:r>
        <w:rPr>
          <w:noProof/>
        </w:rPr>
        <w:t>LIITE</w:t>
      </w:r>
    </w:p>
    <w:p>
      <w:pPr>
        <w:pStyle w:val="Annexetitreexpos"/>
        <w:rPr>
          <w:noProof/>
        </w:rPr>
      </w:pPr>
      <w:r>
        <w:rPr>
          <w:noProof/>
        </w:rPr>
        <w:t>Riskeihinvarautumissuunnitelman malli</w:t>
      </w:r>
    </w:p>
    <w:p>
      <w:pPr>
        <w:rPr>
          <w:noProof/>
        </w:rPr>
      </w:pPr>
      <w:r>
        <w:rPr>
          <w:noProof/>
        </w:rPr>
        <w:t>Seuraavat mallit on täytettävä englanniksi.</w:t>
      </w:r>
    </w:p>
    <w:p>
      <w:pPr>
        <w:pStyle w:val="ManualHeading1"/>
        <w:rPr>
          <w:rStyle w:val="Strong"/>
          <w:b/>
          <w:bCs w:val="0"/>
          <w:noProof/>
        </w:rPr>
      </w:pPr>
      <w:r>
        <w:rPr>
          <w:rStyle w:val="Strong"/>
          <w:noProof/>
        </w:rPr>
        <w:t>Yleiset tiedot</w:t>
      </w:r>
    </w:p>
    <w:p>
      <w:pPr>
        <w:pStyle w:val="Tiret0"/>
        <w:numPr>
          <w:ilvl w:val="0"/>
          <w:numId w:val="3"/>
        </w:numPr>
        <w:rPr>
          <w:noProof/>
        </w:rPr>
      </w:pPr>
      <w:r>
        <w:rPr>
          <w:noProof/>
        </w:rPr>
        <w:t>Tämän suunnitelman laadinnasta vastaavan toimivaltaisen viranomaisen nimi</w:t>
      </w:r>
    </w:p>
    <w:p>
      <w:pPr>
        <w:pStyle w:val="Tiret0"/>
        <w:numPr>
          <w:ilvl w:val="0"/>
          <w:numId w:val="3"/>
        </w:numPr>
        <w:rPr>
          <w:noProof/>
        </w:rPr>
      </w:pPr>
      <w:r>
        <w:rPr>
          <w:noProof/>
        </w:rPr>
        <w:t>Alueella sijaitsevat jäsenvaltiot</w:t>
      </w:r>
    </w:p>
    <w:p>
      <w:pPr>
        <w:pStyle w:val="Heading1"/>
        <w:numPr>
          <w:ilvl w:val="0"/>
          <w:numId w:val="1"/>
        </w:numPr>
        <w:rPr>
          <w:noProof/>
        </w:rPr>
      </w:pPr>
      <w:r>
        <w:rPr>
          <w:noProof/>
        </w:rPr>
        <w:t>Yhteenveto sähkökriisiskenaarioista</w:t>
      </w:r>
    </w:p>
    <w:p>
      <w:pPr>
        <w:pStyle w:val="Text1"/>
        <w:rPr>
          <w:noProof/>
        </w:rPr>
      </w:pPr>
      <w:r>
        <w:rPr>
          <w:noProof/>
        </w:rPr>
        <w:t>Kuvailkaa lyhyesti riskiskenaariot, joita on yksilöity 6 ja 7 artiklan mukaisesti alueellisella ja kansallisella tasolla, sekä käytetyt oletukset.</w:t>
      </w:r>
    </w:p>
    <w:p>
      <w:pPr>
        <w:pStyle w:val="Heading1"/>
        <w:numPr>
          <w:ilvl w:val="0"/>
          <w:numId w:val="1"/>
        </w:numPr>
        <w:rPr>
          <w:noProof/>
        </w:rPr>
      </w:pPr>
      <w:r>
        <w:rPr>
          <w:noProof/>
        </w:rPr>
        <w:t>Toimivaltaisten viranomaisten tehtävät ja vastuualueet</w:t>
      </w:r>
    </w:p>
    <w:p>
      <w:pPr>
        <w:pStyle w:val="Text1"/>
        <w:rPr>
          <w:noProof/>
        </w:rPr>
      </w:pPr>
      <w:r>
        <w:rPr>
          <w:noProof/>
        </w:rPr>
        <w:t>Ilmoittakaa toimivaltaisten viranomaisten ja elinten, joille tehtäviä on siirretty, tehtävät ja vastuualueet.</w:t>
      </w:r>
    </w:p>
    <w:p>
      <w:pPr>
        <w:pStyle w:val="Heading1"/>
        <w:numPr>
          <w:ilvl w:val="0"/>
          <w:numId w:val="1"/>
        </w:numPr>
        <w:rPr>
          <w:noProof/>
        </w:rPr>
      </w:pPr>
      <w:r>
        <w:rPr>
          <w:noProof/>
        </w:rPr>
        <w:t>Menettelyt ja toimenpiteet sähkökriisissä</w:t>
      </w:r>
    </w:p>
    <w:p>
      <w:pPr>
        <w:pStyle w:val="Heading2"/>
        <w:numPr>
          <w:ilvl w:val="1"/>
          <w:numId w:val="2"/>
        </w:numPr>
        <w:rPr>
          <w:noProof/>
        </w:rPr>
      </w:pPr>
      <w:r>
        <w:rPr>
          <w:noProof/>
        </w:rPr>
        <w:t>Kansalliset menettelyt ja toimenpiteet</w:t>
      </w:r>
    </w:p>
    <w:p>
      <w:pPr>
        <w:pStyle w:val="Point1"/>
        <w:rPr>
          <w:noProof/>
        </w:rPr>
      </w:pPr>
      <w:r>
        <w:rPr>
          <w:noProof/>
        </w:rPr>
        <w:t>a)</w:t>
      </w:r>
      <w:r>
        <w:rPr>
          <w:noProof/>
        </w:rPr>
        <w:tab/>
        <w:t>Kuvailkaa menettelyt, joita noudatetaan sähkökriisitilanteissa, mukaan lukien vastaavat tiedonkulkua koskevat järjestelyt;</w:t>
      </w:r>
    </w:p>
    <w:p>
      <w:pPr>
        <w:pStyle w:val="Point1"/>
        <w:rPr>
          <w:noProof/>
        </w:rPr>
      </w:pPr>
      <w:r>
        <w:rPr>
          <w:noProof/>
        </w:rPr>
        <w:t>b)</w:t>
      </w:r>
      <w:r>
        <w:rPr>
          <w:noProof/>
        </w:rPr>
        <w:tab/>
        <w:t>Kuvailkaa ennaltaehkäisyä ja varautumista koskevat toimenpiteet;</w:t>
      </w:r>
    </w:p>
    <w:p>
      <w:pPr>
        <w:pStyle w:val="Point1"/>
        <w:rPr>
          <w:noProof/>
        </w:rPr>
      </w:pPr>
      <w:r>
        <w:rPr>
          <w:noProof/>
        </w:rPr>
        <w:t>c)</w:t>
      </w:r>
      <w:r>
        <w:rPr>
          <w:noProof/>
        </w:rPr>
        <w:tab/>
        <w:t>Kuvailkaa toimenpiteet sähkökriisitilanteiden rajoittamiseksi erityisesti kysyntä- ja tarjontapuolella ja ilmoittakaa, missä oloissa näitä toimenpiteitä voi käyttää ja erityisesti, mikä käynnistää kunkin toimenpiteen toteuttamisen. Jos aiotaan ottaa käyttöön muita kuin markkinatoimenpiteitä, ne on perusteltava 15 artiklan vaatimusten mukaisesti;</w:t>
      </w:r>
    </w:p>
    <w:p>
      <w:pPr>
        <w:pStyle w:val="Point1"/>
        <w:rPr>
          <w:noProof/>
        </w:rPr>
      </w:pPr>
      <w:r>
        <w:rPr>
          <w:noProof/>
        </w:rPr>
        <w:t>d)</w:t>
      </w:r>
      <w:r>
        <w:rPr>
          <w:noProof/>
        </w:rPr>
        <w:tab/>
        <w:t>Esittäkää yksityiskohtainen kuormienirrotussuunnitelma, jossa täsmennetään, milloin kuormia irrotetaan, missä olosuhteissa, missä määrin ja kenelle. Täsmentäkää, mitkä sähkön käyttäjäryhmät on erityisesti suojattava irtikytkemiseltä, sekä perustelkaa, miksi näiden ryhmien suojaaminen on tarpeen henkilökohtaisen turvallisuuden vuoksi;</w:t>
      </w:r>
    </w:p>
    <w:p>
      <w:pPr>
        <w:pStyle w:val="Point1"/>
        <w:rPr>
          <w:noProof/>
        </w:rPr>
      </w:pPr>
      <w:r>
        <w:rPr>
          <w:noProof/>
        </w:rPr>
        <w:t>e)</w:t>
      </w:r>
      <w:r>
        <w:rPr>
          <w:noProof/>
        </w:rPr>
        <w:tab/>
        <w:t>Kuvailkaa mekanismit, joilla tiedotetaan yleisölle sähkökriisistä.</w:t>
      </w:r>
    </w:p>
    <w:p>
      <w:pPr>
        <w:pStyle w:val="Heading2"/>
        <w:numPr>
          <w:ilvl w:val="1"/>
          <w:numId w:val="2"/>
        </w:numPr>
        <w:rPr>
          <w:noProof/>
        </w:rPr>
      </w:pPr>
      <w:r>
        <w:rPr>
          <w:noProof/>
        </w:rPr>
        <w:t>Alueelliset menettelyt ja toimenpiteet</w:t>
      </w:r>
    </w:p>
    <w:p>
      <w:pPr>
        <w:pStyle w:val="Point1"/>
        <w:rPr>
          <w:noProof/>
        </w:rPr>
      </w:pPr>
      <w:r>
        <w:rPr>
          <w:noProof/>
        </w:rPr>
        <w:t>a)</w:t>
      </w:r>
      <w:r>
        <w:rPr>
          <w:noProof/>
        </w:rPr>
        <w:tab/>
        <w:t>Kuvailkaa sovitut mekanismit, jotka koskevat yhteistyötä alueella ja joilla varmistetaan asianmukainen koordinointi ennen sähkökriisiä ja sen aikana, mukaan lukien asianmukaiseen alueellisen tason reagointiin liittyvät päätöksentekomenettelyt;</w:t>
      </w:r>
    </w:p>
    <w:p>
      <w:pPr>
        <w:pStyle w:val="Point1"/>
        <w:rPr>
          <w:noProof/>
        </w:rPr>
      </w:pPr>
      <w:r>
        <w:rPr>
          <w:noProof/>
        </w:rPr>
        <w:t>b)</w:t>
      </w:r>
      <w:r>
        <w:rPr>
          <w:noProof/>
        </w:rPr>
        <w:tab/>
        <w:t xml:space="preserve">Kuvailkaa samanaikaisen kriisin tilanteessa käytettävät toimenpiteet, mukaan lukien asiakkaiden ja alueellisten kuormienirrotussuunnitelmien priorisointi </w:t>
      </w:r>
      <w:r>
        <w:rPr>
          <w:noProof/>
        </w:rPr>
        <w:lastRenderedPageBreak/>
        <w:t>sekä rahoitusjärjestelyt sähkökriisin ehkäisemistä tai rajoittamista koskevan avun antamiseksi. Näiden järjestelyjen kuvauksessa on määriteltävä muun muassa mikä käynnistää avunannon, sen laskentakaava tai määrä sekä maksavat ja vastaanottavat osapuolet ja välimiesmenettelysäännöt. Täsmentäkää milloin ja miten alueelliset kuormienirrotussuunnitelmat käynnistyvät;</w:t>
      </w:r>
    </w:p>
    <w:p>
      <w:pPr>
        <w:pStyle w:val="Point1"/>
        <w:rPr>
          <w:noProof/>
        </w:rPr>
      </w:pPr>
      <w:r>
        <w:rPr>
          <w:noProof/>
        </w:rPr>
        <w:t>c)</w:t>
      </w:r>
      <w:r>
        <w:rPr>
          <w:noProof/>
        </w:rPr>
        <w:tab/>
        <w:t>Kuvailkaa käytössä olevat mekanismit, jotka koskevat yhteistyötä ja koordinointia muiden, alueen ulkopuolisten jäsenvaltioiden kanssa sekä samaan synkronialueeseen kuuluvien kolmansien maiden kanssa ennen sähkökriisiä ja sen aikana.</w:t>
      </w:r>
    </w:p>
    <w:p>
      <w:pPr>
        <w:pStyle w:val="Heading1"/>
        <w:numPr>
          <w:ilvl w:val="0"/>
          <w:numId w:val="1"/>
        </w:numPr>
        <w:rPr>
          <w:noProof/>
        </w:rPr>
      </w:pPr>
      <w:r>
        <w:rPr>
          <w:noProof/>
        </w:rPr>
        <w:t>Kriisijohtaja tai kriisijohtoryhmä</w:t>
      </w:r>
    </w:p>
    <w:p>
      <w:pPr>
        <w:pStyle w:val="Text1"/>
        <w:rPr>
          <w:noProof/>
        </w:rPr>
      </w:pPr>
      <w:r>
        <w:rPr>
          <w:noProof/>
        </w:rPr>
        <w:t>Ilmoittakaa kriisijohtaja tai kriisijohtoryhmä ja sen tehtävät. Antakaa yhteystiedot.</w:t>
      </w:r>
    </w:p>
    <w:p>
      <w:pPr>
        <w:pStyle w:val="Heading1"/>
        <w:numPr>
          <w:ilvl w:val="0"/>
          <w:numId w:val="1"/>
        </w:numPr>
        <w:rPr>
          <w:noProof/>
        </w:rPr>
      </w:pPr>
      <w:r>
        <w:rPr>
          <w:noProof/>
        </w:rPr>
        <w:t>Sidosryhmien kuuleminen</w:t>
      </w:r>
    </w:p>
    <w:p>
      <w:pPr>
        <w:pStyle w:val="Text1"/>
        <w:rPr>
          <w:noProof/>
        </w:rPr>
      </w:pPr>
      <w:r>
        <w:rPr>
          <w:noProof/>
        </w:rPr>
        <w:t>Kuvailkaa 10 artiklan 1 kohdan mukaisesti suunnitelman laatimista koskevien seuraavien ryhmien kuulemismekanismit ja kuulemisten tulokset:</w:t>
      </w:r>
    </w:p>
    <w:p>
      <w:pPr>
        <w:pStyle w:val="Point1"/>
        <w:rPr>
          <w:noProof/>
        </w:rPr>
      </w:pPr>
      <w:r>
        <w:rPr>
          <w:noProof/>
        </w:rPr>
        <w:t>a)</w:t>
      </w:r>
      <w:r>
        <w:rPr>
          <w:noProof/>
        </w:rPr>
        <w:tab/>
        <w:t>sähkö- ja kaasualan yritykset;</w:t>
      </w:r>
    </w:p>
    <w:p>
      <w:pPr>
        <w:pStyle w:val="Point1"/>
        <w:rPr>
          <w:noProof/>
        </w:rPr>
      </w:pPr>
      <w:r>
        <w:rPr>
          <w:noProof/>
        </w:rPr>
        <w:t>b)</w:t>
      </w:r>
      <w:r>
        <w:rPr>
          <w:noProof/>
        </w:rPr>
        <w:tab/>
        <w:t>kotitalouksien etujärjestöt;</w:t>
      </w:r>
    </w:p>
    <w:p>
      <w:pPr>
        <w:pStyle w:val="Point1"/>
        <w:rPr>
          <w:noProof/>
        </w:rPr>
      </w:pPr>
      <w:r>
        <w:rPr>
          <w:noProof/>
        </w:rPr>
        <w:t>c)</w:t>
      </w:r>
      <w:r>
        <w:rPr>
          <w:noProof/>
        </w:rPr>
        <w:tab/>
        <w:t>sähkön teollisten kuluttajien, kaasualan yritykset mukaan luettuina, etujärjestöt;</w:t>
      </w:r>
    </w:p>
    <w:p>
      <w:pPr>
        <w:pStyle w:val="Point1"/>
        <w:rPr>
          <w:noProof/>
        </w:rPr>
      </w:pPr>
      <w:r>
        <w:rPr>
          <w:noProof/>
        </w:rPr>
        <w:t>d)</w:t>
      </w:r>
      <w:r>
        <w:rPr>
          <w:noProof/>
        </w:rPr>
        <w:tab/>
        <w:t>kansalliset sääntelyviranomaiset.</w:t>
      </w:r>
    </w:p>
    <w:p>
      <w:pPr>
        <w:pStyle w:val="Heading1"/>
        <w:numPr>
          <w:ilvl w:val="0"/>
          <w:numId w:val="1"/>
        </w:numPr>
        <w:rPr>
          <w:noProof/>
        </w:rPr>
      </w:pPr>
      <w:r>
        <w:rPr>
          <w:noProof/>
        </w:rPr>
        <w:t>Hätätilatestit</w:t>
      </w:r>
    </w:p>
    <w:p>
      <w:pPr>
        <w:pStyle w:val="Point1"/>
        <w:rPr>
          <w:noProof/>
        </w:rPr>
      </w:pPr>
      <w:r>
        <w:rPr>
          <w:noProof/>
        </w:rPr>
        <w:t>a)</w:t>
      </w:r>
      <w:r>
        <w:rPr>
          <w:noProof/>
        </w:rPr>
        <w:tab/>
        <w:t>Ilmoittakaa reaaliaikaista sähkökriisitilanteisiin reagoimista koskevien vuotuisten alueellisten (tarvittaessa myös kansallisten) simulaatioiden aikataulu;</w:t>
      </w:r>
    </w:p>
    <w:p>
      <w:pPr>
        <w:pStyle w:val="Point1"/>
        <w:rPr>
          <w:noProof/>
        </w:rPr>
      </w:pPr>
      <w:r>
        <w:rPr>
          <w:noProof/>
        </w:rPr>
        <w:t>b)</w:t>
      </w:r>
      <w:r>
        <w:rPr>
          <w:noProof/>
        </w:rPr>
        <w:tab/>
        <w:t>Ilmoittakaa 12 artiklan 1 kohdan d alakohdan mukaisesti sovitut menettelyt ja toimijat.</w:t>
      </w:r>
    </w:p>
    <w:p>
      <w:pPr>
        <w:pStyle w:val="Text1"/>
        <w:rPr>
          <w:noProof/>
        </w:rPr>
      </w:pPr>
      <w:r>
        <w:rPr>
          <w:noProof/>
        </w:rPr>
        <w:t>Suunnitelman päivityksen osalta: kuvailkaa lyhyesti testit, joita on suoritettu edellisen suunnitelman hyväksymisen jälkeen, sekä pääasialliset tulokset. Ilmoittakaa, mitä toimenpiteitä on hyväksytty näiden testien tuloksena.</w:t>
      </w:r>
    </w:p>
    <w:p>
      <w:pPr>
        <w:rPr>
          <w:noProof/>
        </w:rPr>
      </w:pPr>
    </w:p>
    <w:p>
      <w:pPr>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A98AA2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1E0D8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5BAA1FB6"/>
    <w:lvl w:ilvl="0">
      <w:start w:val="1"/>
      <w:numFmt w:val="decimal"/>
      <w:pStyle w:val="ListNumber2"/>
      <w:lvlText w:val="%1."/>
      <w:lvlJc w:val="left"/>
      <w:pPr>
        <w:tabs>
          <w:tab w:val="num" w:pos="643"/>
        </w:tabs>
        <w:ind w:left="643" w:hanging="360"/>
      </w:pPr>
    </w:lvl>
  </w:abstractNum>
  <w:abstractNum w:abstractNumId="3">
    <w:nsid w:val="FFFFFF81"/>
    <w:multiLevelType w:val="singleLevel"/>
    <w:tmpl w:val="FE42E16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30040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012A9B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0EC77D0"/>
    <w:lvl w:ilvl="0">
      <w:start w:val="1"/>
      <w:numFmt w:val="decimal"/>
      <w:pStyle w:val="ListNumber"/>
      <w:lvlText w:val="%1."/>
      <w:lvlJc w:val="left"/>
      <w:pPr>
        <w:tabs>
          <w:tab w:val="num" w:pos="360"/>
        </w:tabs>
        <w:ind w:left="360" w:hanging="360"/>
      </w:pPr>
    </w:lvl>
  </w:abstractNum>
  <w:abstractNum w:abstractNumId="7">
    <w:nsid w:val="FFFFFF89"/>
    <w:multiLevelType w:val="singleLevel"/>
    <w:tmpl w:val="669CD23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hideSpellingErrors/>
  <w:hideGrammaticalErrors/>
  <w:attachedTemplate r:id="rId1"/>
  <w:revisionView w:markup="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09 15:29:1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ACCOMPAGNANT.CP" w:val="asiakirjaan"/>
    <w:docVar w:name="LW_ANNEX_NBR_FIRST" w:val="1"/>
    <w:docVar w:name="LW_ANNEX_NBR_LAST" w:val="1"/>
    <w:docVar w:name="LW_CONFIDENCE" w:val=" "/>
    <w:docVar w:name="LW_CONST_RESTREINT_UE" w:val="RESTREINT UE"/>
    <w:docVar w:name="LW_CORRIGENDUM" w:val="&lt;UNUSED&gt;"/>
    <w:docVar w:name="LW_COVERPAGE_GUID" w:val="8723F9EAA1C14691A4B0E1A7DE1FCC70"/>
    <w:docVar w:name="LW_CROSSREFERENCE" w:val="&lt;UNUSED&gt;"/>
    <w:docVar w:name="LW_DocType" w:val="ANNEX"/>
    <w:docVar w:name="LW_EMISSION" w:val="30.11.2016"/>
    <w:docVar w:name="LW_EMISSION_ISODATE" w:val="2016-11-30"/>
    <w:docVar w:name="LW_EMISSION_LOCATION" w:val="BRX"/>
    <w:docVar w:name="LW_EMISSION_PREFIX" w:val="Bryssel "/>
    <w:docVar w:name="LW_EMISSION_SUFFIX" w:val=" "/>
    <w:docVar w:name="LW_ID_DOCSTRUCTURE" w:val="COM/ANNEX"/>
    <w:docVar w:name="LW_ID_DOCTYPE" w:val="SG-017"/>
    <w:docVar w:name="LW_LANGUE" w:val="FI"/>
    <w:docVar w:name="LW_MARKING" w:val="&lt;UNUSED&gt;"/>
    <w:docVar w:name="LW_NOM.INST" w:val="EUROOPAN KOMISSIO"/>
    <w:docVar w:name="LW_NOM.INST_JOINTDOC" w:val="&lt;EMPTY&gt;"/>
    <w:docVar w:name="LW_OBJETACTEPRINCIPAL.CP" w:val="riskeihin varautumisesta sähköalalla ja direktiivin 2005/89/EY kumoamisesta_x000b__x000b_"/>
    <w:docVar w:name="LW_PART_NBR" w:val="1"/>
    <w:docVar w:name="LW_PART_NBR_TOTAL" w:val="1"/>
    <w:docVar w:name="LW_REF.INST.NEW" w:val="COM"/>
    <w:docVar w:name="LW_REF.INST.NEW_ADOPTED" w:val="final"/>
    <w:docVar w:name="LW_REF.INST.NEW_TEXT" w:val="(2016) 862"/>
    <w:docVar w:name="LW_REF.INTERNE" w:val="&lt;UNUSED&gt;"/>
    <w:docVar w:name="LW_SUPERTITRE" w:val="&lt;UNUSED&gt;"/>
    <w:docVar w:name="LW_TITRE.OBJ.CP" w:val="&lt;UNUSED&gt;"/>
    <w:docVar w:name="LW_TYPE.DOC.CP" w:val="LIITE"/>
    <w:docVar w:name="LW_TYPEACTEPRINCIPAL.CP" w:val="EUROOPAN PARLAMENTIN JA NEUVOSTON ASET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9790">
      <w:bodyDiv w:val="1"/>
      <w:marLeft w:val="0"/>
      <w:marRight w:val="0"/>
      <w:marTop w:val="0"/>
      <w:marBottom w:val="0"/>
      <w:divBdr>
        <w:top w:val="none" w:sz="0" w:space="0" w:color="auto"/>
        <w:left w:val="none" w:sz="0" w:space="0" w:color="auto"/>
        <w:bottom w:val="none" w:sz="0" w:space="0" w:color="auto"/>
        <w:right w:val="none" w:sz="0" w:space="0" w:color="auto"/>
      </w:divBdr>
    </w:div>
    <w:div w:id="1745646498">
      <w:bodyDiv w:val="1"/>
      <w:marLeft w:val="0"/>
      <w:marRight w:val="0"/>
      <w:marTop w:val="0"/>
      <w:marBottom w:val="0"/>
      <w:divBdr>
        <w:top w:val="none" w:sz="0" w:space="0" w:color="auto"/>
        <w:left w:val="none" w:sz="0" w:space="0" w:color="auto"/>
        <w:bottom w:val="none" w:sz="0" w:space="0" w:color="auto"/>
        <w:right w:val="none" w:sz="0" w:space="0" w:color="auto"/>
      </w:divBdr>
    </w:div>
    <w:div w:id="181744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BF631-F92E-4675-B2A6-8FAD716C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3</Pages>
  <Words>376</Words>
  <Characters>3233</Characters>
  <Application>Microsoft Office Word</Application>
  <DocSecurity>0</DocSecurity>
  <Lines>67</Lines>
  <Paragraphs>36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VIKSNE Olgerts (ENER)</dc:creator>
  <cp:lastModifiedBy>DIGIT/A3</cp:lastModifiedBy>
  <cp:revision>7</cp:revision>
  <dcterms:created xsi:type="dcterms:W3CDTF">2016-12-16T16:02:00Z</dcterms:created>
  <dcterms:modified xsi:type="dcterms:W3CDTF">2017-01-09T14:29:00Z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