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309AEBA54C549AB920163DF7D69505C" style="width:450.75pt;height:488.2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Annexetitre"/>
        <w:rPr>
          <w:b w:val="0"/>
          <w:i/>
          <w:noProof/>
          <w:u w:val="none"/>
        </w:rPr>
      </w:pPr>
      <w:bookmarkStart w:id="0" w:name="_GoBack"/>
      <w:bookmarkEnd w:id="0"/>
      <w:r>
        <w:rPr>
          <w:b w:val="0"/>
          <w:i/>
          <w:noProof/>
          <w:u w:val="none"/>
        </w:rPr>
        <w:lastRenderedPageBreak/>
        <w:t>PRILOG I.</w:t>
      </w:r>
    </w:p>
    <w:p>
      <w:pPr>
        <w:jc w:val="center"/>
        <w:rPr>
          <w:noProof/>
        </w:rPr>
      </w:pPr>
      <w:r>
        <w:rPr>
          <w:b/>
          <w:noProof/>
        </w:rPr>
        <w:t>OPĆI OKVIR ZA INTEGRIRANE NACIONALNE ENERGETSKE I KLIMATSKE PLANOVE</w:t>
      </w:r>
    </w:p>
    <w:p>
      <w:pPr>
        <w:jc w:val="center"/>
        <w:rPr>
          <w:rFonts w:eastAsia="Times New Roman"/>
          <w:b/>
          <w:noProof/>
          <w:color w:val="000000"/>
          <w:szCs w:val="24"/>
        </w:rPr>
      </w:pPr>
      <w:r>
        <w:rPr>
          <w:b/>
          <w:noProof/>
          <w:color w:val="000000"/>
        </w:rPr>
        <w:t>Dio 1.</w:t>
      </w:r>
    </w:p>
    <w:p>
      <w:pPr>
        <w:jc w:val="center"/>
        <w:rPr>
          <w:i/>
          <w:noProof/>
        </w:rPr>
      </w:pPr>
      <w:r>
        <w:rPr>
          <w:i/>
          <w:noProof/>
          <w:color w:val="000000"/>
        </w:rPr>
        <w:t>Opći okvir</w:t>
      </w:r>
    </w:p>
    <w:tbl>
      <w:tblPr>
        <w:tblStyle w:val="TableGrid"/>
        <w:tblW w:w="0" w:type="auto"/>
        <w:tblInd w:w="360" w:type="dxa"/>
        <w:tblLook w:val="04A0" w:firstRow="1" w:lastRow="0" w:firstColumn="1" w:lastColumn="0" w:noHBand="0" w:noVBand="1"/>
      </w:tblPr>
      <w:tblGrid>
        <w:gridCol w:w="8928"/>
      </w:tblGrid>
      <w:tr>
        <w:trPr>
          <w:trHeight w:val="425"/>
        </w:trPr>
        <w:tc>
          <w:tcPr>
            <w:tcW w:w="8928" w:type="dxa"/>
            <w:shd w:val="clear" w:color="auto" w:fill="A6A6A6" w:themeFill="background1" w:themeFillShade="A6"/>
            <w:vAlign w:val="center"/>
          </w:tcPr>
          <w:p>
            <w:pPr>
              <w:spacing w:before="0"/>
              <w:jc w:val="center"/>
              <w:rPr>
                <w:b/>
                <w:noProof/>
              </w:rPr>
            </w:pPr>
            <w:r>
              <w:rPr>
                <w:b/>
                <w:noProof/>
              </w:rPr>
              <w:t>ODJELJAK A: NACIONALNI PLAN</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PREGLED I PROCES DONOŠENJA PLANA</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Sažetak</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Politički, gospodarski, okolišni i socijalni kontekst plana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Krovna strategija kojom je obuhvaćeno pet dimenzija energetske unije</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Tablični prikaz ključnih ciljeva, politika i mjera plana</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Pregled trenutačnog stanja u pogledu politika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Nacionalni energetski sustav i energetski sustav EU-a te kontekst politika nacionalnog plana </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Trenutačne energetske i klimatske politike i mjere u pet dimenzija energetske unije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Ključna pitanja od prekogranične važnosti</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Administrativne strukture za provedbu nacionalnih energetskih i klimatskih politika</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Savjetovanja i sudjelovanje nacionalnih subjekata i subjekata EU-a te ishod savjetovanja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Sudjelovanje Parlamenta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Sudjelovanje lokalnih i regionalnih tijela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Savjetovanja s dionicima, uključujući socijalne partnere, te uključenost civilnog društva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Savjetovanja s drugim državama članicama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Iterativni postupak s Europskom komisijom </w:t>
            </w:r>
          </w:p>
        </w:tc>
      </w:tr>
      <w:t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Regionalna suradnja u izradi plana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Elementi koji podliježu zajedničkom ili koordiniranom planiranju s drugim državama članicama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Objašnjenje u pogledu toga kako se u planu razmatra regionalna suradnja</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NACIONALNI CILJEVI</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Dimenzija: dekarbonizacija </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Emisije stakleničkih plinova i uklanjanje stakleničkih plinova (za plan kojim je obuhvaćeno razdoblje od 2021. do 2030., cilj okvira za 2030. od najmanje 40 % </w:t>
            </w:r>
            <w:r>
              <w:rPr>
                <w:rFonts w:ascii="Times New Roman" w:hAnsi="Times New Roman"/>
                <w:b/>
                <w:noProof/>
              </w:rPr>
              <w:lastRenderedPageBreak/>
              <w:t>domaćeg smanjenja emisija stakleničkih plinova u cjelokupnom gospodarstvu u odnosu na 1990.)</w:t>
            </w:r>
            <w:r>
              <w:rPr>
                <w:rStyle w:val="FootnoteReference"/>
                <w:rFonts w:ascii="Times New Roman" w:hAnsi="Times New Roman"/>
                <w:noProof/>
              </w:rPr>
              <w:t xml:space="preserve"> </w:t>
            </w:r>
            <w:r>
              <w:rPr>
                <w:rStyle w:val="FootnoteReference"/>
                <w:rFonts w:ascii="Times New Roman" w:hAnsi="Times New Roman"/>
                <w:noProof/>
              </w:rPr>
              <w:footnoteReference w:id="2"/>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Obvezujući nacionalni cilj države članice do 2030. za emisije stakleničkih plinova u sektorima koji nisu dio ETS-a, godišnja obvezujuća nacionalna ograničenja</w:t>
            </w:r>
            <w:r>
              <w:rPr>
                <w:rStyle w:val="FootnoteReference"/>
                <w:rFonts w:ascii="Times New Roman" w:hAnsi="Times New Roman"/>
                <w:noProof/>
              </w:rPr>
              <w:footnoteReference w:id="3"/>
            </w:r>
            <w:r>
              <w:rPr>
                <w:rFonts w:ascii="Times New Roman" w:hAnsi="Times New Roman"/>
                <w:noProof/>
              </w:rPr>
              <w:t xml:space="preserve"> i obveze u skladu s Uredbom LULUCF</w:t>
            </w:r>
            <w:r>
              <w:rPr>
                <w:rStyle w:val="FootnoteReference"/>
                <w:rFonts w:ascii="Times New Roman" w:hAnsi="Times New Roman"/>
                <w:noProof/>
              </w:rPr>
              <w:footnoteReference w:id="4"/>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Ako je primjenjivo, drugi nacionalni ciljevi koji su u skladu s postojećim dugoročnim strategijama za niske emisije.  Ako je primjenjivo, drugi nacionalni ciljevi, uključujući ciljeve sektora i ciljeve prilagodbe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Energija iz obnovljivih izvora (cilj okvira za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Planirani udio energije iz obnovljivih izvora države članice u konačnoj bruto potrošnji energije 2030. kao njezin nacionalni doprinos ostvarivanju obvezujućeg cilja na razini EU-a od barem 27 %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Linearna putanja za ukupni udio energije iz obnovljivih izvora u konačnoj bruto potrošnji energije od 2021. do 2030. kako bi se ostvario obvezujući cilj na razini EU-a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Putanje za sektorski udio energije iz obnovljivih izvora u konačnoj potrošnji energije od 2021. do 2030. u elektroenergetskom sektoru, sektoru grijanja i hlađenja i prometnom sektoru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Putanje tehnologija za dobivanje energije iz obnovljivih izvora, koju države članice planiraju upotrijebiti kako bi ostvarile ukupne i sektorske putanje za energiju iz obnovljivih izvora od 2021. do 2030., uključujući očekivanu konačnu bruto potrošnju energije po tehnologiji i sektoru izraženu u Mtoe i ukupni planirani instalirani kapacitet (raščlanjen na nove i obnovljene kapacitete) po tehnologiji i sektoru izražen u MW</w:t>
            </w:r>
          </w:p>
          <w:p>
            <w:pPr>
              <w:pStyle w:val="ListParagraph"/>
              <w:numPr>
                <w:ilvl w:val="3"/>
                <w:numId w:val="1"/>
              </w:numPr>
              <w:spacing w:after="120" w:line="240" w:lineRule="auto"/>
              <w:contextualSpacing w:val="0"/>
              <w:rPr>
                <w:noProof/>
              </w:rPr>
            </w:pPr>
            <w:r>
              <w:rPr>
                <w:rFonts w:ascii="Times New Roman" w:hAnsi="Times New Roman"/>
                <w:noProof/>
              </w:rPr>
              <w:t>Putanje potražnje za bioenergijom, raščlanjene na toplinsku i električnu energiju i promet, i putanje opskrbe biomasom iz sirovine, domaća proizvodnja nasuprot uvoza  Za šumsku biomasu, ocjena njezinoga izvora i utjecaja na ponor LULUCF-a</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Ako je primjenjivo, druge nacionalne putanje i ciljeve, uključujući one dugoročne i sektorske (npr. udio naprednih biogoriva, udio obnovljive energije u centraliziranom grijanju, upotreba obnovljive energije u zgradama, obnovljiva energija koju su proizveli gradovi, energetske zajednice i potrošači koji sami proizvode i troše svoju energiju).  </w:t>
            </w:r>
          </w:p>
        </w:tc>
      </w:tr>
      <w:tr>
        <w:trPr>
          <w:trHeight w:val="4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Dimenzija: energetska učinkovitost (cilj okvira za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Okvirni nacionalni doprinos povećanju energetske učinkovitosti radi ostvarivanja obvezujućeg Unijina cilja povećanja energetske učinkovitosti od 30 % do 2030. kako je navedeno u članku 1. stavku 1. i članku 3. stavku 4. Direktive 2012/27/EU [kako je izmijenjena prijedlogom COM(2016) 761], na temelju potrošnje primarne energije ili krajnje potrošnje energije, uštede primarne ili krajnje energije ili energetskog intenziteta, iskazan kao apsolutna razina potrošnje primarne energije i krajnja potrošnja energije u 2020. i 2030. </w:t>
            </w:r>
            <w:r>
              <w:rPr>
                <w:rFonts w:ascii="Times New Roman" w:hAnsi="Times New Roman"/>
                <w:noProof/>
              </w:rPr>
              <w:lastRenderedPageBreak/>
              <w:t>uz linearnu putanju za taj doprinos od 2021. nadalje;  uključujući metodologiju upotrijebljenu za izračun i pretvorbene faktore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Kumulativni iznos uštede energije koji treba ostvariti tijekom razdoblja od 2021. do 2030. u skladu s člankom 7. Direktive 2012/27/EU [kako je izmijenjena prijedlogom COM(2016)761], o obvezama u pogledu uštede energije.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Ciljevi za dugoročnu obnovu nacionalnog fonda stambenih i poslovnih zgrada (javnih i privatnih)</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Ukupna površina poda koja će se renovirati ili ekvivalent godišnje uštede energije koja će se ostvariti od 2021. do 2030. na temelju članka 5. Direktive 2012/27/EU obnovom zgrada središnje vlasti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Ako je primjenjivo, drugi nacionalni ciljevi, uključujući dugoročne ciljeve ili strategije i sektorske ciljeve.  Nacionalni ciljevi u područjima kao što su energetska učinkovitost u prometnom sektoru i energetska učinkovitost u odnosu na grijanje i hlađenje</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Dimenzija: energetska sigurnost </w:t>
            </w:r>
          </w:p>
          <w:p>
            <w:pPr>
              <w:pStyle w:val="ListParagraph"/>
              <w:numPr>
                <w:ilvl w:val="3"/>
                <w:numId w:val="1"/>
              </w:numPr>
              <w:rPr>
                <w:rFonts w:ascii="Times New Roman" w:hAnsi="Times New Roman" w:cs="Times New Roman"/>
                <w:noProof/>
              </w:rPr>
            </w:pPr>
            <w:r>
              <w:rPr>
                <w:rFonts w:ascii="Times New Roman" w:hAnsi="Times New Roman"/>
                <w:noProof/>
              </w:rPr>
              <w:t xml:space="preserve">Nacionalni ciljevi za jačanje diversifikacije izvora energije i opskrbe iz trećih zemalja, skladištenja i odgovora na potražnju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Nacionalni ciljevi u pogledu smanjenja ovisnosti o energiji uvezenoj iz trećih zemalja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Nacionalni ciljevi u pogledu spremnosti na suočavanje s ograničenom opskrbom ili prekidom opskrbe iz određenog izvora energije (uključujući plin i električnu energiju) i, ako je primjenjivo, vremenski okvir u kojem će ti ciljevi biti ostvareni</w:t>
            </w:r>
            <w:r>
              <w:rPr>
                <w:rStyle w:val="FootnoteReference"/>
                <w:rFonts w:ascii="Times New Roman" w:hAnsi="Times New Roman"/>
                <w:noProof/>
              </w:rPr>
              <w:footnoteReference w:id="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Nacionalni ciljevi u pogledu uporabe domaćih izvora energije (osobito energije iz obnovljivih izvora)</w:t>
            </w:r>
          </w:p>
        </w:tc>
      </w:tr>
      <w:tr>
        <w:trPr>
          <w:trHeight w:val="8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Dimenzija: unutarnje energetsko tržište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Elektroenergetska povezanost (cilj okvira za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Razina elektroenergetske povezanosti koju država članica planira ostvariti 2030. u odnosu na cilj Europskog vijeća iz listopada 2014. </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Infrastruktura za prijenos energije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Ključni nacionalni ciljevi za infrastrukturu za prijenos električne energije i plina, koji su potrebni za ostvarivanje ciljeva u okviru svih dimenzija navedenih pod točkom 2.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Ako je primjenjivo, glavni infrastrukturni projekti koji su predviđeni, osim projekata od zajedničkog interesa</w:t>
            </w:r>
            <w:r>
              <w:rPr>
                <w:rStyle w:val="FootnoteReference"/>
                <w:rFonts w:ascii="Times New Roman" w:hAnsi="Times New Roman"/>
                <w:noProof/>
              </w:rPr>
              <w:footnoteReference w:id="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Integracija tržišta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Nacionalni ciljevi povezani s drugim aspektima unutarnjeg energetskog tržišta, poput integracije tržišta i uparivanja, ako je primjenjivo, uključujući vremenski okvir tijekom kojeg ciljevi trebaju biti ostvareni.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Nacionalni ciljevi u pogledu osiguranja adekvatnosti elektroenergetskog sustava, ako je primjenjivo, kao i u pogledu fleksibilnosti elektroenergetskog sustava s obzirom na proizvodnju energije iz obnovljivih izvora, uključujući vremenski okvir tijekom kojeg ciljevi trebaju biti ostvareni.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Nacionalni ciljevi za zaštitu potrošača energije i poboljšanje konkurentnosti na maloprodajnom tržištu elektroenergetskog sektora.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Energetsko siromaštvo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Nacionalni ciljevi u pogledu energetskog siromaštva, uključujući vremenski okvir tijekom kojeg ciljevi trebaju biti ostvareni</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Dimenzija: istraživanje, inovacije i konkurentnost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Nacionalni ciljevi i ciljevi za financiranje javnih i privatnih istraživanja i inovacija povezanih s energetskom unijom, uključujući, ako je primjenjivo, vremenski okvir tijekom kojeg ciljevi trebaju biti ostvareni; u kojima se odražavaju prioriteti strategije energetske unije i strateškog plana za energetsku tehnologiju (SET)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Ako je primjenjivo, nacionalne ciljeve , uključujući dugoročne ciljeve (2050.) za uporabu niskougljičnih tehnologija, uključujući ciljeve za dekarbonizaciju energetski intenzivnih industrijskih sektora i industrijskih sektora s velikim udjelom CO</w:t>
            </w:r>
            <w:r>
              <w:rPr>
                <w:rFonts w:ascii="Times New Roman" w:hAnsi="Times New Roman"/>
                <w:noProof/>
                <w:vertAlign w:val="subscript"/>
              </w:rPr>
              <w:t>2</w:t>
            </w:r>
            <w:r>
              <w:rPr>
                <w:rFonts w:ascii="Times New Roman" w:hAnsi="Times New Roman"/>
                <w:noProof/>
              </w:rPr>
              <w:t xml:space="preserve"> i, ako je primjenjivo, ciljeve u pogledu infrastrukture za skladištenje i transport tog CO</w:t>
            </w:r>
            <w:r>
              <w:rPr>
                <w:rFonts w:ascii="Times New Roman" w:hAnsi="Times New Roman"/>
                <w:noProof/>
                <w:vertAlign w:val="subscript"/>
              </w:rPr>
              <w:t>2</w:t>
            </w:r>
            <w:r>
              <w:rPr>
                <w:rFonts w:ascii="Times New Roman" w:hAnsi="Times New Roman"/>
                <w:noProof/>
              </w:rPr>
              <w:t>.</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 xml:space="preserve">Nacionalni ciljevi u pogledu konkurentnosti </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POLITIKE I MJERE</w:t>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Dimenzija: dekarbonizacija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Emisije stakleničkih plinova i uklanjanje stakleničkih plinova (za plan kojim je obuhvaćeno razdoblje od 2021. do 2030., cilj okvira za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Politike i mjere za ostvarivanje cilja utvrđenog na temelju Uredbe [ ] [ESR] kako je navedeno u odjeljku 2.1.1. i politike i mjere u skladu s Uredbom [ ] [LULUCF ], kojima su obuhvaćeni svi ključni sektori koji proizvode velike emisije i sektori za jačanje uklanjanja emisija, uz izglede u pogledu dugoročne vizije i dugoročnog cilja da se postane niskougljično gospodarstvo uz pedesetogodišnju perspektivu i da se ostvari ravnoteža između emisija i uklanjanja u skladu s Pariškim sporazumom.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Regionalna suradnja u ovom području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Ne dovodeći u pitanje primjenjivost pravila o državnoj potpori, financijske mjere u ovom području na nacionalnoj razini, uključujući potporu EU-a i upotrebu sredstava EU-a, ako je primjenjivo.</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Energija iz obnovljivih izvora (cilj okvira za 2030.)</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Politike i mjere za ostvarivanje nacionalnog doprinosa obvezujućem cilju na razini EU-a za 2030. u pogledu energije iz obnovljivih izvora i putanja iz odjeljka 2.1.2., uključujući mjere specifične za sektor i mjere specifične za tehnologiju</w:t>
            </w:r>
            <w:r>
              <w:rPr>
                <w:rStyle w:val="FootnoteReference"/>
                <w:rFonts w:ascii="Times New Roman" w:hAnsi="Times New Roman"/>
                <w:noProof/>
              </w:rPr>
              <w:footnoteReference w:id="7"/>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Posebne mjere za regionalnu suradnju, kao i procijenjeni višak proizvodnje energije iz obnovljivih izvora koji bi se mogao prenijeti na druge države članice kako bi se ostvario nacionalni doprinos i putanje iz odjeljka 2.1.2.</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Posebne mjere za financijsku potporu, uključujući potporu EU-a i uporabu sredstava EU-a, za promicanje proizvodnje i uporabe energije iz obnovljivih izvora u elektroenergetici, grijanju, hlađenju i prometu </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Posebne mjere za uvođenje sustava za pružanje usluga na jednom mjestu, racionalizaciju administrativnih postupaka, davanje informacija i osposobljavanje te jačanje potrošača energije iz obnovljivih izvora koji sami proizvode i troše svoju energiju i energetskih zajednica</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Procjena potrebe za izgradnjom nove infrastrukture za centralizirano grijanje i hlađenje proizvedeno iz obnovljivih izvora energije</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Posebne mjere za poticanje uporabe energije iz biomase, posebno za dobivanje nove biomase pritom uzimajući u obzir:</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raspoloživost biomase: domaći potencijal i uvoz iz trećih zemalja</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druge korisnike biomase u drugim sektorima (sektori poljoprivrede i šumarstva); kao i mjere za održivost proizvodnje i uporabe biomase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Ostali elementi dimenzije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Nacionalne politike i mjere koje utječu na sektor sustava trgovanja emisijama (ETS) i ocjena komplementarnosti sa sustavom trgovanja emisijama EU-a (EU ETS) i utjecaja na njega, ako je primjenjivo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Strategije, planovi i mjere prilagodbe klimatskim promjenama</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Politike i mjere za ostvarivanje drugih nacionalnih ciljeva, ako je primjenjivo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Politike i mjere za postizanje mobilnosti s niskom razinom emisije (uključujući elektrifikaciju prometa)</w:t>
            </w:r>
          </w:p>
        </w:tc>
      </w:tr>
      <w:tr>
        <w:trPr>
          <w:trHeight w:val="566"/>
        </w:trPr>
        <w:tc>
          <w:tcPr>
            <w:tcW w:w="8928" w:type="dxa"/>
          </w:tcPr>
          <w:p>
            <w:pPr>
              <w:pStyle w:val="ListParagraph"/>
              <w:numPr>
                <w:ilvl w:val="1"/>
                <w:numId w:val="1"/>
              </w:numPr>
              <w:spacing w:after="120"/>
              <w:ind w:left="788" w:hanging="431"/>
              <w:contextualSpacing w:val="0"/>
              <w:rPr>
                <w:rFonts w:ascii="Times New Roman" w:hAnsi="Times New Roman" w:cs="Times New Roman"/>
                <w:b/>
                <w:noProof/>
              </w:rPr>
            </w:pPr>
            <w:r>
              <w:rPr>
                <w:rFonts w:ascii="Times New Roman" w:hAnsi="Times New Roman"/>
                <w:b/>
                <w:noProof/>
              </w:rPr>
              <w:lastRenderedPageBreak/>
              <w:t>Dimenzija: energetska učinkovitost (cilj okvira za 2030.)</w:t>
            </w:r>
          </w:p>
          <w:p>
            <w:pPr>
              <w:spacing w:before="0"/>
              <w:rPr>
                <w:noProof/>
                <w:sz w:val="22"/>
              </w:rPr>
            </w:pPr>
            <w:r>
              <w:rPr>
                <w:noProof/>
                <w:sz w:val="22"/>
              </w:rPr>
              <w:t>Planirane politike, mjere i programi za ostvarivanje okvirnog nacionalnog cilja povećanja energetske učinkovitosti za 2030. kao i drugih ciljeva predstavljenih u odjeljku 2.2., uključujući planirane mjere i instrumente (i one financijske prirode) za promicanje energetskih svojstava zgrada, osobito u pogledu sljedećeg:</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Sustava obveze energetske učinkovitosti i alternativnih mjera iz članka 7. Direktive 2012/27/EU [kako je izmijenjena prijedlogom COM(2016)761] (koji </w:t>
            </w:r>
            <w:r>
              <w:rPr>
                <w:rFonts w:ascii="Times New Roman" w:hAnsi="Times New Roman"/>
                <w:noProof/>
              </w:rPr>
              <w:lastRenderedPageBreak/>
              <w:t>će se pripremiti u skladu s Prilogom II.)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Dugoročne strategije za obnovu nacionalnog fonda stambenih i poslovnih zgrada (javnih i privatnih)</w:t>
            </w:r>
            <w:r>
              <w:rPr>
                <w:rStyle w:val="FootnoteReference"/>
                <w:rFonts w:ascii="Times New Roman" w:hAnsi="Times New Roman"/>
                <w:noProof/>
              </w:rPr>
              <w:t xml:space="preserve"> </w:t>
            </w:r>
            <w:r>
              <w:rPr>
                <w:rStyle w:val="FootnoteReference"/>
                <w:rFonts w:ascii="Times New Roman" w:hAnsi="Times New Roman"/>
                <w:noProof/>
              </w:rPr>
              <w:footnoteReference w:id="8"/>
            </w:r>
            <w:r>
              <w:rPr>
                <w:rFonts w:ascii="Times New Roman" w:hAnsi="Times New Roman"/>
                <w:noProof/>
              </w:rPr>
              <w:t>, uključujući politike i mjere za poticanje troškovno učinkovitih velikih radova obnove zgrada i postupnih velikih radova obnove zgrada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Opis politika i mjera za poticanje energetskih usluga u javnom sektoru i mjera za uklanjanje regulatornih i neregulatornih prepreka koje onemogućuju uvođenje ugovora o energetskom učinku i drugih modela usluga energetske učinkovitosti</w:t>
            </w:r>
            <w:r>
              <w:rPr>
                <w:rStyle w:val="FootnoteReference"/>
                <w:rFonts w:ascii="Times New Roman" w:hAnsi="Times New Roman"/>
                <w:noProof/>
              </w:rPr>
              <w:footnoteReference w:id="9"/>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Druge planirane politike, mjere i programi za ostvarivanje okvirnog nacionalnog cilja povećanja energetske učinkovitosti za 2030., kao i drugi ciljevi iz odjeljka 2.2. (primjerice mjere kojima se postiže da javne zgrade i </w:t>
            </w:r>
            <w:r>
              <w:rPr>
                <w:rStyle w:val="Emphasis"/>
                <w:rFonts w:ascii="Times New Roman" w:hAnsi="Times New Roman"/>
                <w:i w:val="0"/>
                <w:noProof/>
              </w:rPr>
              <w:t>energetski</w:t>
            </w:r>
            <w:r>
              <w:rPr>
                <w:rStyle w:val="st"/>
                <w:rFonts w:ascii="Times New Roman" w:hAnsi="Times New Roman"/>
                <w:noProof/>
              </w:rPr>
              <w:t xml:space="preserve"> </w:t>
            </w:r>
            <w:r>
              <w:rPr>
                <w:rStyle w:val="Emphasis"/>
                <w:rFonts w:ascii="Times New Roman" w:hAnsi="Times New Roman"/>
                <w:i w:val="0"/>
                <w:noProof/>
              </w:rPr>
              <w:t>učinkovita javna nabava budu uzor</w:t>
            </w:r>
            <w:r>
              <w:rPr>
                <w:rFonts w:ascii="Times New Roman" w:hAnsi="Times New Roman"/>
                <w:noProof/>
              </w:rPr>
              <w:t>, mjere za promicanje energetskih pregleda i sustava gospodarenja energijom</w:t>
            </w:r>
            <w:r>
              <w:rPr>
                <w:rStyle w:val="FootnoteReference"/>
                <w:rFonts w:ascii="Times New Roman" w:hAnsi="Times New Roman"/>
                <w:noProof/>
              </w:rPr>
              <w:footnoteReference w:id="10"/>
            </w:r>
            <w:r>
              <w:rPr>
                <w:rFonts w:ascii="Times New Roman" w:hAnsi="Times New Roman"/>
                <w:noProof/>
              </w:rPr>
              <w:t>, informiranje potrošača i mjere osposobljavanja</w:t>
            </w:r>
            <w:r>
              <w:rPr>
                <w:rStyle w:val="FootnoteReference"/>
                <w:rFonts w:ascii="Times New Roman" w:hAnsi="Times New Roman"/>
                <w:noProof/>
              </w:rPr>
              <w:footnoteReference w:id="11"/>
            </w:r>
            <w:r>
              <w:rPr>
                <w:rFonts w:ascii="Times New Roman" w:hAnsi="Times New Roman"/>
                <w:noProof/>
              </w:rPr>
              <w:t xml:space="preserve"> te druge mjere za promicanje energetske učinkovitosti</w:t>
            </w:r>
            <w:r>
              <w:rPr>
                <w:rStyle w:val="FootnoteReference"/>
                <w:rFonts w:ascii="Times New Roman" w:hAnsi="Times New Roman"/>
                <w:noProof/>
              </w:rPr>
              <w:footnoteReference w:id="12"/>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Opis mjera za utvrđivanje mjera kojima je cilj iskorištavanje potencijala za povećanje energetske učinkovitosti infrastrukture za plin i električnu energiju</w:t>
            </w:r>
            <w:r>
              <w:rPr>
                <w:rStyle w:val="FootnoteReference"/>
                <w:rFonts w:ascii="Times New Roman" w:hAnsi="Times New Roman"/>
                <w:noProof/>
              </w:rPr>
              <w:footnoteReference w:id="13"/>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Regionalna suradnja u ovom području, ako je primjenjivo.</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Financijske mjere u ovom području na nacionalnoj razini, uključujući potporu EU-a i upotrebu sredstava EU-a.</w:t>
            </w:r>
          </w:p>
        </w:tc>
      </w:tr>
      <w:tr>
        <w:trPr>
          <w:trHeight w:val="27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Dimenzija: energetska sigurnost</w:t>
            </w:r>
            <w:r>
              <w:rPr>
                <w:rStyle w:val="FootnoteReference"/>
                <w:rFonts w:ascii="Times New Roman" w:hAnsi="Times New Roman"/>
                <w:b/>
                <w:noProof/>
              </w:rPr>
              <w:footnoteReference w:id="14"/>
            </w:r>
            <w:r>
              <w:rPr>
                <w:rFonts w:ascii="Times New Roman" w:hAnsi="Times New Roman"/>
                <w:b/>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Politike i mjere za ostvarivanje ciljeva iz odjeljka 2.3.</w:t>
            </w:r>
            <w:r>
              <w:rPr>
                <w:rStyle w:val="FootnoteReference"/>
                <w:rFonts w:ascii="Times New Roman" w:hAnsi="Times New Roman"/>
                <w:noProof/>
              </w:rPr>
              <w:footnoteReference w:id="1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Regionalna suradnja u ovom području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Financijske mjere u ovom području na nacionalnoj razini, uključujući potporu EU-a i upotrebu sredstava EU-a, ako je primjenjivo. </w:t>
            </w:r>
          </w:p>
        </w:tc>
      </w:tr>
      <w:tr>
        <w:trPr>
          <w:trHeight w:val="82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Dimenzija: unutarnje energetsko tržište</w:t>
            </w:r>
            <w:r>
              <w:rPr>
                <w:rStyle w:val="FootnoteReference"/>
                <w:rFonts w:ascii="Times New Roman" w:hAnsi="Times New Roman"/>
                <w:b/>
                <w:noProof/>
              </w:rPr>
              <w:footnoteReference w:id="1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Elektroenergetska infrastruktura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Politike i mjere za ostvarivanje ciljane razine povezanosti iz odjeljka 2.4.1.</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Regionalna suradnja u ovom području</w:t>
            </w:r>
            <w:r>
              <w:rPr>
                <w:rStyle w:val="FootnoteReference"/>
                <w:rFonts w:ascii="Times New Roman" w:hAnsi="Times New Roman"/>
                <w:noProof/>
              </w:rPr>
              <w:footnoteReference w:id="17"/>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Financijske mjere u ovom području na nacionalnoj razini, uključujući potporu EU-a i upotrebu sredstava EU-a, ako je primjenjivo.</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Infrastruktura za prijenos energije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Politike i mjere za ostvarivanje ključnih infrastrukturnih ciljeva predstavljenih u odjeljku 2.4.2., uključujući, ako je primjenjivo, posebne mjere za omogućavanje provedbe projekata od zajedničkog interesa (PCI) i drugih ključnih infrastrukturnih projekata.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Regionalna suradnja u ovom području</w:t>
            </w:r>
            <w:r>
              <w:rPr>
                <w:rStyle w:val="FootnoteReference"/>
                <w:rFonts w:ascii="Times New Roman" w:hAnsi="Times New Roman"/>
                <w:noProof/>
              </w:rPr>
              <w:footnoteReference w:id="18"/>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Financijske mjere u ovom području na nacionalnoj razini, uključujući potporu EU-a i upotrebu sredstava EU-a, ako je primjenjivo.</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Integracija tržišta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Politike i mjere za ostvarivanje ciljeva iz odjeljka 2.4.3.</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Mjere za povećanje fleksibilnosti energetskog sustava s obzirom na proizvodnju energije iz obnovljivih izvora, uključujući uvođenje unutardnevnog uparivanja tržišta i prekograničnih tržišta uravnoteženja</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Mjere za osiguranje prioritetnog pristupa i odašiljanja električne energije proizvedene iz obnovljivih izvora ili visokoučinkovite kogeneracije i sprečavanje ograničavanja ili ponovnog odašiljanja te električne energije</w:t>
            </w:r>
            <w:r>
              <w:rPr>
                <w:rStyle w:val="FootnoteReference"/>
                <w:rFonts w:ascii="Times New Roman" w:hAnsi="Times New Roman"/>
                <w:noProof/>
              </w:rPr>
              <w:footnoteReference w:id="19"/>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Politike i mjere za zaštitu potrošača, osobito ranjivih i energetski siromašnih potrošača, i mjere za jačanje konkurentnosti i neograničenog tržišnog natjecanja na maloprodajnom energetskom tržištu</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Opis mjera za omogućavanje i razvijanje upravljanja potrošnjom, uključujući one koje se odnose na tarife za poticanje dinamičnog određivanja cijena</w:t>
            </w:r>
            <w:r>
              <w:rPr>
                <w:rStyle w:val="FootnoteReference"/>
                <w:rFonts w:ascii="Times New Roman" w:hAnsi="Times New Roman"/>
                <w:noProof/>
              </w:rPr>
              <w:footnoteReference w:id="20"/>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Energetsko siromaštvo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Politike i mjere za ostvarivanje ciljeva iz odjeljka 2.4.4.</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Dimenzija: istraživanje, inovacije i konkurentnost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Politike i mjere, uključujući one za ostvarivanje ciljeva iz odjeljka 2.5.</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Suradnja s drugim državama članicama u ovom području, uključujući podatke o tome kako se ciljevi i politike strateškog plana za energetsku tehnologiju (SET) prenose u nacionalni kontekst.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Financijske mjere u ovom području na nacionalnoj razini, uključujući potporu EU-a i upotrebu sredstava EU-a, ako je primjenjivo.</w:t>
            </w:r>
          </w:p>
        </w:tc>
      </w:tr>
    </w:tbl>
    <w:p>
      <w:pPr>
        <w:rPr>
          <w:noProof/>
        </w:rPr>
      </w:pPr>
    </w:p>
    <w:p>
      <w:pPr>
        <w:rPr>
          <w:noProof/>
        </w:rPr>
      </w:pPr>
      <w:r>
        <w:rPr>
          <w:noProof/>
        </w:rPr>
        <w:br w:type="page"/>
      </w:r>
    </w:p>
    <w:tbl>
      <w:tblPr>
        <w:tblStyle w:val="TableGrid"/>
        <w:tblW w:w="0" w:type="auto"/>
        <w:tblInd w:w="360" w:type="dxa"/>
        <w:tblLook w:val="04A0" w:firstRow="1" w:lastRow="0" w:firstColumn="1" w:lastColumn="0" w:noHBand="0" w:noVBand="1"/>
      </w:tblPr>
      <w:tblGrid>
        <w:gridCol w:w="8928"/>
      </w:tblGrid>
      <w:tr>
        <w:trPr>
          <w:trHeight w:val="456"/>
        </w:trPr>
        <w:tc>
          <w:tcPr>
            <w:tcW w:w="8928" w:type="dxa"/>
            <w:tcBorders>
              <w:bottom w:val="single" w:sz="4" w:space="0" w:color="auto"/>
            </w:tcBorders>
            <w:shd w:val="clear" w:color="auto" w:fill="A6A6A6" w:themeFill="background1" w:themeFillShade="A6"/>
            <w:vAlign w:val="center"/>
          </w:tcPr>
          <w:p>
            <w:pPr>
              <w:spacing w:before="0"/>
              <w:jc w:val="center"/>
              <w:rPr>
                <w:b/>
                <w:noProof/>
              </w:rPr>
            </w:pPr>
            <w:r>
              <w:rPr>
                <w:b/>
                <w:noProof/>
              </w:rPr>
              <w:lastRenderedPageBreak/>
              <w:t>ODJELJAK B: ANALITIČKA BAZA</w:t>
            </w:r>
            <w:r>
              <w:rPr>
                <w:rStyle w:val="FootnoteReference"/>
                <w:b/>
                <w:noProof/>
              </w:rPr>
              <w:footnoteReference w:id="21"/>
            </w:r>
          </w:p>
        </w:tc>
      </w:tr>
      <w:tr>
        <w:trPr>
          <w:trHeight w:val="326"/>
        </w:trPr>
        <w:tc>
          <w:tcPr>
            <w:tcW w:w="8928" w:type="dxa"/>
            <w:tcBorders>
              <w:bottom w:val="single" w:sz="4" w:space="0" w:color="auto"/>
            </w:tcBorders>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TRENUTAČNO STANJE I PROJEKCIJE NA TEMELJU POSTOJEĆIH POLITIKA I MJERA</w:t>
            </w:r>
            <w:r>
              <w:rPr>
                <w:rStyle w:val="FootnoteReference"/>
                <w:rFonts w:ascii="Times New Roman" w:hAnsi="Times New Roman"/>
                <w:b/>
                <w:noProof/>
              </w:rPr>
              <w:footnoteReference w:id="22"/>
            </w:r>
            <w:r>
              <w:rPr>
                <w:rFonts w:ascii="Times New Roman" w:hAnsi="Times New Roman"/>
                <w:b/>
                <w:noProof/>
                <w:vertAlign w:val="superscript"/>
              </w:rPr>
              <w:t>,</w:t>
            </w:r>
            <w:r>
              <w:rPr>
                <w:rStyle w:val="FootnoteReference"/>
                <w:rFonts w:ascii="Times New Roman" w:hAnsi="Times New Roman"/>
                <w:b/>
                <w:noProof/>
              </w:rPr>
              <w:footnoteReference w:id="23"/>
            </w:r>
          </w:p>
        </w:tc>
      </w:tr>
      <w:tr>
        <w:trPr>
          <w:trHeight w:val="56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Predviđeni razvoj glavnih egzogenih čimbenika koji utječu na energetski sustav i trendove u pogledu emisija stakleničkih plinova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Makroekonomske prognoze (BDP i rast stanovništva)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Sektorske promjene za koje se očekuje da će utjecati na energetski sustav i emisije stakleničkih plinova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 xml:space="preserve">Globalni energetski trendovi, međunarodne cijene fosilnih goriva, cijena trgovanja emisijama ugljika </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Promjene u trošku tehnologije</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Dimenzija: dekarbonizacija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Emisije i uklanjanja stakleničkih plinova </w:t>
            </w:r>
            <w:r>
              <w:rPr>
                <w:rFonts w:ascii="Times New Roman" w:hAnsi="Times New Roman" w:cs="Times New Roman"/>
                <w:b/>
                <w:noProof/>
              </w:rPr>
              <w:br/>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Trendovi u trenutačnim emisijama i uklanjanjima stakleničkih plinova u okviru ETS-a, Uredbe o zajedničkom naporu i LULUCF-a i u okviru drugih energetskih sektora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Projekcije sektorskih kretanja uz postojeće nacionalne politike i mjere te politike i mjere EU-a barem do 2040. (uključujući projekcije za 2030.)</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Energija iz obnovljivih izvora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Trenutačni udio energije iz obnovljivih izvora u konačnoj bruto potrošnji energije i u različitim sektorima (grijanje i hlađenje, električna energija i promet) kao i po tehnologiji u svakom od tih sektora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Projekcije kretanja uz postojeće politike i mjere barem do 2040. (uključujući projekcije za 2030.)</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Dimenzija: energetska učinkovitost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Trenutačna primarna i konačna potrošnja energije u gospodarstvu i po sektoru (uključujući industrijski, stambeni, uslužni i prometni)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Trenutačni potencijal za primjenu visokoučinkovite kogeneracije i učinkovitog centraliziranog grijanja i hlađenja</w:t>
            </w:r>
            <w:r>
              <w:rPr>
                <w:rStyle w:val="FootnoteReference"/>
                <w:rFonts w:ascii="Times New Roman" w:hAnsi="Times New Roman"/>
                <w:noProof/>
              </w:rPr>
              <w:footnoteReference w:id="24"/>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Projekcije koje u obzir uzimaju postojeće politike, mjere i programe energetske učinkovitosti, kako su opisani pod točkom 1.2. podtočkom ii., za potrošnju primarne energije i konačnu potrošnju energije za svaki sektor barem do 2040. (uključujući projekcije za 2030. godinu)</w:t>
            </w:r>
            <w:r>
              <w:rPr>
                <w:rStyle w:val="FootnoteReference"/>
                <w:rFonts w:ascii="Times New Roman" w:hAnsi="Times New Roman"/>
                <w:noProof/>
              </w:rPr>
              <w:footnoteReference w:id="2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Troškovno učinkovite razine minimalnih zahtjeva u pogledu energetske učinkovitosti proizašle iz nacionalnih izračuna, u skladu s člankom 5. Direktive 2010/31/EU. </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Dimenzija: energetska sigurnost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Trenutačna mješavina energetskih izvora, domaći izvori energije, ovisnost o uvezenoj energiji, uključujući relevantne rizike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Projekcije kretanja uz postojeće politike i mjere barem do 2040. (uključujući projekcije za 2030.)</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Dimenzija: unutarnje energetsko tržište</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Elektroenergetska povezanost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Trenutačna razina povezanosti i glavni spojni vodovi</w:t>
            </w:r>
            <w:r>
              <w:rPr>
                <w:rStyle w:val="FootnoteReference"/>
                <w:rFonts w:ascii="Times New Roman" w:hAnsi="Times New Roman"/>
                <w:noProof/>
              </w:rPr>
              <w:footnoteReference w:id="26"/>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Projekcije u pogledu zahtjeva za povećanjem broja spojnih vodova barem do 2040. (uključujući projekcije za 2030. godinu)</w:t>
            </w:r>
            <w:r>
              <w:rPr>
                <w:rStyle w:val="FootnoteReference"/>
                <w:rFonts w:ascii="Times New Roman" w:hAnsi="Times New Roman"/>
                <w:noProof/>
              </w:rPr>
              <w:footnoteReference w:id="27"/>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Infrastruktura za prijenos energije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Ključne osobine postojeće infrastrukture za prijenos električne energije i plina</w:t>
            </w:r>
            <w:r>
              <w:rPr>
                <w:rStyle w:val="FootnoteReference"/>
                <w:rFonts w:ascii="Times New Roman" w:hAnsi="Times New Roman"/>
                <w:noProof/>
              </w:rPr>
              <w:footnoteReference w:id="28"/>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Projekcije u pogledu zahtjeva za širenjem mreže barem do 2040. (uključujući projekcije za 2030. godinu)</w:t>
            </w:r>
            <w:r>
              <w:rPr>
                <w:rStyle w:val="FootnoteReference"/>
                <w:rFonts w:ascii="Times New Roman" w:hAnsi="Times New Roman"/>
                <w:noProof/>
              </w:rPr>
              <w:footnoteReference w:id="29"/>
            </w:r>
            <w:r>
              <w:rPr>
                <w:rFonts w:ascii="Times New Roman" w:hAnsi="Times New Roman"/>
                <w:noProof/>
              </w:rPr>
              <w:t xml:space="preserve"> </w:t>
            </w:r>
          </w:p>
          <w:p>
            <w:pPr>
              <w:pStyle w:val="ListParagraph"/>
              <w:numPr>
                <w:ilvl w:val="2"/>
                <w:numId w:val="1"/>
              </w:numPr>
              <w:spacing w:after="120" w:line="240" w:lineRule="auto"/>
              <w:ind w:left="1483" w:hanging="763"/>
              <w:contextualSpacing w:val="0"/>
              <w:rPr>
                <w:rFonts w:ascii="Times New Roman" w:hAnsi="Times New Roman" w:cs="Times New Roman"/>
                <w:b/>
                <w:noProof/>
              </w:rPr>
            </w:pPr>
            <w:r>
              <w:rPr>
                <w:rFonts w:ascii="Times New Roman" w:hAnsi="Times New Roman"/>
                <w:b/>
                <w:noProof/>
              </w:rPr>
              <w:t>Tržišta električne energije i plina, cijene energije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Trenutačno stanje na tržištima električne energije i plina, uključujući cijene energije </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Projekcije kretanja uz postojeće politike i mjere barem do 2040. (uključujući projekcije za 2030.)</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Dimenzija: istraživanje, inovacije i konkurentnost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Trenutačno stanje niskougljičnih tehnologija i njihov položaj na globalnom tržištu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Trenutačna razina javne i privatne potrošnje za istraživanja i inovacije u području niskougljičnih tehnologija, trenutačni broj patenata i trenutačni broj </w:t>
            </w:r>
            <w:r>
              <w:rPr>
                <w:rFonts w:ascii="Times New Roman" w:hAnsi="Times New Roman"/>
                <w:noProof/>
              </w:rPr>
              <w:lastRenderedPageBreak/>
              <w:t>istraživača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Trenutačna razina troškova energije, uključujući razinu u međunarodnom kontekstu</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Projekcije kretanja u točkama i. do iii. uz postojeće politike i mjere barem do 2040. (uključujući projekcije za 2030. godinu)</w:t>
            </w:r>
          </w:p>
        </w:tc>
      </w:tr>
      <w:tr>
        <w:trPr>
          <w:trHeight w:val="406"/>
        </w:trP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PROCJENA UČINAKA PLANIRANIH POLITIKA I MJERA</w:t>
            </w:r>
            <w:r>
              <w:rPr>
                <w:rStyle w:val="FootnoteReference"/>
                <w:rFonts w:ascii="Times New Roman" w:hAnsi="Times New Roman"/>
                <w:b/>
                <w:noProof/>
              </w:rPr>
              <w:footnoteReference w:id="30"/>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noProof/>
              </w:rPr>
            </w:pPr>
            <w:r>
              <w:rPr>
                <w:rFonts w:ascii="Times New Roman" w:hAnsi="Times New Roman"/>
                <w:b/>
                <w:noProof/>
              </w:rPr>
              <w:t>Učinci planiranih politika i mjera opisanih u odjeljku 3. o energetskom sustavu i emisijama stakleničkih plinova</w:t>
            </w:r>
            <w:r>
              <w:rPr>
                <w:rFonts w:ascii="Times New Roman" w:hAnsi="Times New Roman"/>
                <w:noProof/>
              </w:rPr>
              <w:t xml:space="preserve"> i uklanjanju stakleničkih plinova, uključujući usporedbu s projekcijama na temelju postojećih politika i mjera (kako su opisane u odjeljku 4.).</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Projekcije trendova u pogledu energetskog sustava i emisija stakleničkih plinova i uklanjanja stakleničkih plinova, kao i emisija onečišćivača zraka u skladu s Direktivom [kako je predložena u dokumentu COM/2013/0920] </w:t>
            </w:r>
            <w:r>
              <w:rPr>
                <w:rStyle w:val="FootnoteReference"/>
                <w:rFonts w:ascii="Times New Roman" w:hAnsi="Times New Roman"/>
                <w:noProof/>
              </w:rPr>
              <w:footnoteReference w:id="31"/>
            </w:r>
            <w:r>
              <w:rPr>
                <w:rFonts w:ascii="Times New Roman" w:hAnsi="Times New Roman"/>
                <w:noProof/>
              </w:rPr>
              <w:t xml:space="preserve"> u okviru planiranih politika i mjera, uključujući relevantne politike i mjere EU-a, barem do deset godina nakon razdoblja obuhvaćenog planom (uključujući projekcije za posljednju godinu razdoblja obuhvaćenog planom).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Procjena međudjelovanja politika (međudjelovanje između postojećih i planiranih politika i mjera u okviru jedne dimenzije i međudjelovanje između postojećih i planiranih politika i mjera različitih dimenzija) barem do posljednje godine razdoblja obuhvaćenog planom. </w:t>
            </w:r>
          </w:p>
        </w:tc>
      </w:tr>
      <w:tr>
        <w:trPr>
          <w:trHeight w:val="548"/>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Makroekonomski, okolišni i socijalni učinci i učinci na vještine (u smislu troškova i koristi, kao i ekonomičnosti) planiranih politika i mjera opisanih u odjeljku 3.</w:t>
            </w:r>
            <w:r>
              <w:rPr>
                <w:rFonts w:ascii="Times New Roman" w:hAnsi="Times New Roman"/>
                <w:noProof/>
              </w:rPr>
              <w:t xml:space="preserve"> barem do posljednje godine razdoblja obuhvaćenog planom, uključujući usporedbu s projekcijama nastalim na temelju postojećih politika i mjera</w:t>
            </w:r>
            <w:r>
              <w:rPr>
                <w:rFonts w:ascii="Times New Roman" w:hAnsi="Times New Roman"/>
                <w:b/>
                <w:noProof/>
              </w:rPr>
              <w:t xml:space="preserve">  </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Učinci planiranih politika i mjera opisanih u odjeljku 3. na druge države članice i na regionalnu suradnju </w:t>
            </w:r>
            <w:r>
              <w:rPr>
                <w:rFonts w:ascii="Times New Roman" w:hAnsi="Times New Roman"/>
                <w:noProof/>
              </w:rPr>
              <w:t>barem do posljednje godine razdoblja obuhvaćenog planom, uključujući usporedbu s projekcijama nastalim na temelju postojećih politika i mjera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U mjeri u kojoj je to moguće, učinci na energetski sustav susjednih država i drugih država članica u regiji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Učinci na cijene energije, komunalne usluge i integraciju energetskog tržišta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Učinci na regionalnu suradnju</w:t>
            </w:r>
          </w:p>
        </w:tc>
      </w:tr>
    </w:tbl>
    <w:p>
      <w:pPr>
        <w:rPr>
          <w:noProof/>
        </w:rPr>
      </w:pPr>
    </w:p>
    <w:p>
      <w:pPr>
        <w:jc w:val="center"/>
        <w:rPr>
          <w:rFonts w:eastAsia="Times New Roman"/>
          <w:b/>
          <w:noProof/>
          <w:color w:val="000000"/>
          <w:szCs w:val="24"/>
        </w:rPr>
      </w:pPr>
      <w:r>
        <w:rPr>
          <w:b/>
          <w:noProof/>
          <w:color w:val="000000"/>
        </w:rPr>
        <w:t>Dio 2.</w:t>
      </w:r>
    </w:p>
    <w:p>
      <w:pPr>
        <w:jc w:val="center"/>
        <w:rPr>
          <w:rFonts w:eastAsia="Times New Roman"/>
          <w:i/>
          <w:noProof/>
          <w:color w:val="000000"/>
          <w:szCs w:val="24"/>
        </w:rPr>
      </w:pPr>
      <w:r>
        <w:rPr>
          <w:i/>
          <w:noProof/>
          <w:color w:val="000000"/>
        </w:rPr>
        <w:t>Popis parametara i varijabli koje treba navesti u odjeljku B nacionalnih planova</w:t>
      </w:r>
      <w:r>
        <w:rPr>
          <w:rStyle w:val="FootnoteReference"/>
          <w:i/>
          <w:noProof/>
          <w:color w:val="000000"/>
        </w:rPr>
        <w:footnoteReference w:id="32"/>
      </w:r>
      <w:r>
        <w:rPr>
          <w:i/>
          <w:noProof/>
          <w:color w:val="000000"/>
        </w:rPr>
        <w:t xml:space="preserve"> </w:t>
      </w:r>
      <w:r>
        <w:rPr>
          <w:rStyle w:val="FootnoteReference"/>
          <w:i/>
          <w:noProof/>
          <w:color w:val="000000"/>
        </w:rPr>
        <w:footnoteReference w:id="33"/>
      </w:r>
      <w:r>
        <w:rPr>
          <w:i/>
          <w:noProof/>
          <w:color w:val="000000"/>
        </w:rPr>
        <w:t xml:space="preserve"> </w:t>
      </w:r>
      <w:r>
        <w:rPr>
          <w:rStyle w:val="FootnoteReference"/>
          <w:i/>
          <w:noProof/>
          <w:color w:val="000000"/>
        </w:rPr>
        <w:footnoteReference w:id="34"/>
      </w:r>
      <w:r>
        <w:rPr>
          <w:i/>
          <w:noProof/>
          <w:color w:val="000000"/>
        </w:rPr>
        <w:t xml:space="preserve"> </w:t>
      </w:r>
      <w:r>
        <w:rPr>
          <w:rStyle w:val="FootnoteReference"/>
          <w:i/>
          <w:noProof/>
          <w:color w:val="000000"/>
        </w:rPr>
        <w:footnoteReference w:id="35"/>
      </w:r>
    </w:p>
    <w:p>
      <w:pPr>
        <w:rPr>
          <w:rFonts w:eastAsia="Times New Roman"/>
          <w:noProof/>
          <w:szCs w:val="24"/>
          <w:u w:val="single"/>
        </w:rPr>
      </w:pPr>
      <w:r>
        <w:rPr>
          <w:noProof/>
          <w:u w:val="single"/>
        </w:rPr>
        <w:lastRenderedPageBreak/>
        <w:t>Naredne parametre, varijable, energetske ravnoteže i pokazatelje treba navesti u odjeljku B nacionalnih planova pod naslovom „Analitička baza”:</w:t>
      </w:r>
    </w:p>
    <w:p>
      <w:pPr>
        <w:pStyle w:val="NumPar1"/>
        <w:numPr>
          <w:ilvl w:val="0"/>
          <w:numId w:val="36"/>
        </w:numPr>
        <w:rPr>
          <w:b/>
          <w:noProof/>
        </w:rPr>
      </w:pPr>
      <w:r>
        <w:rPr>
          <w:b/>
          <w:noProof/>
        </w:rPr>
        <w:t>Opći parametri i varijable</w:t>
      </w:r>
    </w:p>
    <w:p>
      <w:pPr>
        <w:pStyle w:val="Point0number"/>
        <w:numPr>
          <w:ilvl w:val="0"/>
          <w:numId w:val="37"/>
        </w:numPr>
        <w:rPr>
          <w:rFonts w:eastAsia="Times New Roman"/>
          <w:noProof/>
          <w:szCs w:val="24"/>
        </w:rPr>
      </w:pPr>
      <w:r>
        <w:rPr>
          <w:noProof/>
        </w:rPr>
        <w:t>Broj stanovnika [u milijunima]</w:t>
      </w:r>
    </w:p>
    <w:p>
      <w:pPr>
        <w:pStyle w:val="Point0number"/>
        <w:rPr>
          <w:rFonts w:eastAsia="Times New Roman"/>
          <w:noProof/>
          <w:szCs w:val="24"/>
        </w:rPr>
      </w:pPr>
      <w:r>
        <w:rPr>
          <w:noProof/>
        </w:rPr>
        <w:t>BDP [u milijunima eura]</w:t>
      </w:r>
    </w:p>
    <w:p>
      <w:pPr>
        <w:pStyle w:val="Point0number"/>
        <w:rPr>
          <w:rFonts w:eastAsia="Times New Roman"/>
          <w:noProof/>
          <w:szCs w:val="24"/>
        </w:rPr>
      </w:pPr>
      <w:r>
        <w:rPr>
          <w:noProof/>
        </w:rPr>
        <w:t>Sektorska bruto dodana vrijednost (uključujući glavne industrijske sektore, građevinski, uslužni i poljoprivredni sektor) [u milijunima eura]</w:t>
      </w:r>
    </w:p>
    <w:p>
      <w:pPr>
        <w:pStyle w:val="Point0number"/>
        <w:rPr>
          <w:rFonts w:eastAsia="Times New Roman"/>
          <w:noProof/>
          <w:szCs w:val="24"/>
        </w:rPr>
      </w:pPr>
      <w:r>
        <w:rPr>
          <w:noProof/>
        </w:rPr>
        <w:t>Broj kućanstava [u tisućama]</w:t>
      </w:r>
    </w:p>
    <w:p>
      <w:pPr>
        <w:pStyle w:val="Point0number"/>
        <w:rPr>
          <w:rFonts w:eastAsia="Times New Roman"/>
          <w:noProof/>
          <w:szCs w:val="24"/>
        </w:rPr>
      </w:pPr>
      <w:r>
        <w:rPr>
          <w:noProof/>
        </w:rPr>
        <w:t>Veličina kućanstava [broj stanara po kućanstvu]</w:t>
      </w:r>
    </w:p>
    <w:p>
      <w:pPr>
        <w:pStyle w:val="Point0number"/>
        <w:rPr>
          <w:rFonts w:eastAsia="Times New Roman"/>
          <w:noProof/>
          <w:szCs w:val="24"/>
        </w:rPr>
      </w:pPr>
      <w:r>
        <w:rPr>
          <w:noProof/>
        </w:rPr>
        <w:t>Raspoloživi dohodak kućanstva [u eurima]</w:t>
      </w:r>
    </w:p>
    <w:p>
      <w:pPr>
        <w:pStyle w:val="Point0number"/>
        <w:rPr>
          <w:noProof/>
        </w:rPr>
      </w:pPr>
      <w:r>
        <w:rPr>
          <w:noProof/>
        </w:rPr>
        <w:t>Broj putničkih kilometara (pkm): u svim načinima prijevoza, tj. raščlanjeni na cestovni (ako je moguće, razdvojiti automobile i autobuse), željeznički i zračni promet i unutrašnju plovidbu (prema potrebi) [u milijunima pkm]</w:t>
      </w:r>
    </w:p>
    <w:p>
      <w:pPr>
        <w:pStyle w:val="Point0number"/>
        <w:rPr>
          <w:rFonts w:eastAsia="Times New Roman"/>
          <w:noProof/>
          <w:szCs w:val="24"/>
        </w:rPr>
      </w:pPr>
      <w:r>
        <w:rPr>
          <w:noProof/>
        </w:rPr>
        <w:t>Prijevoz robe u tonskim kilometrima (tkm): svi načini prijevoza osim međunarodnog pomorskog prijevoza, tj. raščlanjeni na cestovni, željeznički i zračni promet i  unutrašnju plovidbu (plovidba unutrašnjim plovnim putovima i nacionalna pomorska plovidba) [u milijunima tkm]</w:t>
      </w:r>
    </w:p>
    <w:p>
      <w:pPr>
        <w:pStyle w:val="Point0number"/>
        <w:rPr>
          <w:rFonts w:eastAsia="Times New Roman"/>
          <w:noProof/>
          <w:szCs w:val="24"/>
        </w:rPr>
      </w:pPr>
      <w:r>
        <w:rPr>
          <w:noProof/>
        </w:rPr>
        <w:t>Međunarodne uvozne cijene nafte, plina i ugljena [euro/GJ ili euro/toe] – usklađene s preporukama Komisije</w:t>
      </w:r>
    </w:p>
    <w:p>
      <w:pPr>
        <w:pStyle w:val="Point0number"/>
        <w:rPr>
          <w:rFonts w:eastAsia="Times New Roman"/>
          <w:noProof/>
          <w:szCs w:val="24"/>
        </w:rPr>
      </w:pPr>
      <w:r>
        <w:rPr>
          <w:noProof/>
        </w:rPr>
        <w:t>Cijena trgovanja emisijama ugljika u EU-u [euro/EUA]</w:t>
      </w:r>
      <w:r>
        <w:rPr>
          <w:rStyle w:val="FootnoteReference"/>
          <w:noProof/>
        </w:rPr>
        <w:t xml:space="preserve"> </w:t>
      </w:r>
      <w:r>
        <w:rPr>
          <w:noProof/>
        </w:rPr>
        <w:t>– usklađena s preporukama Komisije</w:t>
      </w:r>
    </w:p>
    <w:p>
      <w:pPr>
        <w:pStyle w:val="Point0number"/>
        <w:rPr>
          <w:rFonts w:eastAsia="Times New Roman"/>
          <w:noProof/>
          <w:szCs w:val="24"/>
        </w:rPr>
      </w:pPr>
      <w:r>
        <w:rPr>
          <w:noProof/>
        </w:rPr>
        <w:t>Pretpostavke u pogledu deviznog tečaja eura i američkog dolara (ako je primjenjivo) [euro/ valuta i USD/valuta]</w:t>
      </w:r>
    </w:p>
    <w:p>
      <w:pPr>
        <w:pStyle w:val="Point0number"/>
        <w:rPr>
          <w:rFonts w:eastAsia="Times New Roman"/>
          <w:noProof/>
          <w:szCs w:val="24"/>
        </w:rPr>
      </w:pPr>
      <w:r>
        <w:rPr>
          <w:noProof/>
        </w:rPr>
        <w:t>Broj dana u sezoni grijanja (HDD)</w:t>
      </w:r>
    </w:p>
    <w:p>
      <w:pPr>
        <w:pStyle w:val="Point0number"/>
        <w:rPr>
          <w:rFonts w:eastAsia="Times New Roman"/>
          <w:noProof/>
          <w:szCs w:val="24"/>
        </w:rPr>
      </w:pPr>
      <w:r>
        <w:rPr>
          <w:noProof/>
        </w:rPr>
        <w:t>Broj dana u sezoni hlađenja (CDD)</w:t>
      </w:r>
    </w:p>
    <w:p>
      <w:pPr>
        <w:pStyle w:val="Point0number"/>
        <w:rPr>
          <w:rFonts w:eastAsia="Times New Roman"/>
          <w:noProof/>
          <w:szCs w:val="24"/>
        </w:rPr>
      </w:pPr>
      <w:r>
        <w:rPr>
          <w:noProof/>
        </w:rPr>
        <w:t>Pretpostavke u pogledu troškova tehnologije upotrijebljene u modelima za glavne relevantne tehnologije</w:t>
      </w:r>
    </w:p>
    <w:p>
      <w:pPr>
        <w:pStyle w:val="ListParagraph"/>
        <w:spacing w:after="120"/>
        <w:jc w:val="both"/>
        <w:rPr>
          <w:rFonts w:ascii="Times New Roman" w:eastAsia="Times New Roman" w:hAnsi="Times New Roman" w:cs="Times New Roman"/>
          <w:noProof/>
          <w:sz w:val="24"/>
          <w:szCs w:val="24"/>
        </w:rPr>
      </w:pPr>
    </w:p>
    <w:p>
      <w:pPr>
        <w:pStyle w:val="NumPar1"/>
        <w:rPr>
          <w:b/>
          <w:noProof/>
        </w:rPr>
      </w:pPr>
      <w:r>
        <w:rPr>
          <w:b/>
          <w:noProof/>
        </w:rPr>
        <w:t>Energetske ravnoteže i pokazatelji</w:t>
      </w:r>
    </w:p>
    <w:p>
      <w:pPr>
        <w:pStyle w:val="NumPar2"/>
        <w:rPr>
          <w:rFonts w:eastAsia="Times New Roman"/>
          <w:b/>
          <w:noProof/>
          <w:szCs w:val="24"/>
        </w:rPr>
      </w:pPr>
      <w:r>
        <w:rPr>
          <w:b/>
          <w:noProof/>
        </w:rPr>
        <w:t>Opskrba energijom</w:t>
      </w:r>
    </w:p>
    <w:p>
      <w:pPr>
        <w:pStyle w:val="Point0number"/>
        <w:numPr>
          <w:ilvl w:val="0"/>
          <w:numId w:val="2"/>
        </w:numPr>
        <w:rPr>
          <w:rFonts w:eastAsia="Times New Roman"/>
          <w:noProof/>
          <w:szCs w:val="24"/>
        </w:rPr>
      </w:pPr>
      <w:r>
        <w:rPr>
          <w:noProof/>
        </w:rPr>
        <w:lastRenderedPageBreak/>
        <w:t>Domaća proizvodnja po vrsti goriva (svi energetski proizvodi: ugljen, sirova nafta, prirodni plin, nuklearna energija, obnovljivi izvori energije) [ktoe]</w:t>
      </w:r>
    </w:p>
    <w:p>
      <w:pPr>
        <w:pStyle w:val="Point0number"/>
        <w:rPr>
          <w:rFonts w:eastAsia="Times New Roman"/>
          <w:noProof/>
          <w:szCs w:val="24"/>
        </w:rPr>
      </w:pPr>
      <w:r>
        <w:rPr>
          <w:noProof/>
        </w:rPr>
        <w:t xml:space="preserve">Neto uvoz po vrsti goriva (uključujući električnu energiju, raščlanjen na neto uvoz iz Europe i neto uvoz izvan Europe) [ktoe] </w:t>
      </w:r>
    </w:p>
    <w:p>
      <w:pPr>
        <w:pStyle w:val="Point0number"/>
        <w:rPr>
          <w:rFonts w:eastAsia="Times New Roman"/>
          <w:noProof/>
          <w:szCs w:val="24"/>
        </w:rPr>
      </w:pPr>
      <w:r>
        <w:rPr>
          <w:noProof/>
        </w:rPr>
        <w:t>Ovisnost o energiji uvezenoj iz trećih zemalja [%]</w:t>
      </w:r>
    </w:p>
    <w:p>
      <w:pPr>
        <w:pStyle w:val="Point0number"/>
        <w:rPr>
          <w:rFonts w:eastAsia="Times New Roman"/>
          <w:noProof/>
          <w:szCs w:val="24"/>
        </w:rPr>
      </w:pPr>
      <w:r>
        <w:rPr>
          <w:noProof/>
        </w:rPr>
        <w:t>Glavni izvori uvoza (zemlje) za glavne nositelje energije (uključujući plin i električnu energiju)</w:t>
      </w:r>
    </w:p>
    <w:p>
      <w:pPr>
        <w:pStyle w:val="Point0number"/>
        <w:rPr>
          <w:rFonts w:eastAsia="Times New Roman"/>
          <w:noProof/>
          <w:szCs w:val="24"/>
        </w:rPr>
      </w:pPr>
      <w:r>
        <w:rPr>
          <w:noProof/>
        </w:rPr>
        <w:t>Bruto domaća potrošnja po izvoru vrste goriva (uključujući kruta goriva, svi energetski proizvodi: ugljen, sirova nafta i naftni derivati, prirodni plin, nuklearna energija, električna energija, proizvedena toplina, obnovljivi izvori energije, otpad) [ktoe]</w:t>
      </w:r>
    </w:p>
    <w:p>
      <w:pPr>
        <w:pStyle w:val="NumPar2"/>
        <w:rPr>
          <w:rFonts w:eastAsia="Times New Roman"/>
          <w:b/>
          <w:noProof/>
          <w:szCs w:val="24"/>
        </w:rPr>
      </w:pPr>
      <w:r>
        <w:rPr>
          <w:b/>
          <w:noProof/>
        </w:rPr>
        <w:t>Električna energija i toplina</w:t>
      </w:r>
    </w:p>
    <w:p>
      <w:pPr>
        <w:pStyle w:val="Point0number"/>
        <w:numPr>
          <w:ilvl w:val="0"/>
          <w:numId w:val="22"/>
        </w:numPr>
        <w:rPr>
          <w:rFonts w:eastAsia="Times New Roman"/>
          <w:noProof/>
          <w:szCs w:val="24"/>
        </w:rPr>
      </w:pPr>
      <w:r>
        <w:rPr>
          <w:noProof/>
        </w:rPr>
        <w:t>Bruto proizvodnja električne energije [GWhe]</w:t>
      </w:r>
    </w:p>
    <w:p>
      <w:pPr>
        <w:pStyle w:val="Point0number"/>
        <w:numPr>
          <w:ilvl w:val="0"/>
          <w:numId w:val="2"/>
        </w:numPr>
        <w:rPr>
          <w:rFonts w:eastAsia="Times New Roman"/>
          <w:noProof/>
          <w:szCs w:val="24"/>
        </w:rPr>
      </w:pPr>
      <w:r>
        <w:rPr>
          <w:noProof/>
        </w:rPr>
        <w:t>Bruto proizvodnja električne energije po gorivu (svi energetski proizvodi) [GWhe]</w:t>
      </w:r>
    </w:p>
    <w:p>
      <w:pPr>
        <w:pStyle w:val="Point0number"/>
        <w:numPr>
          <w:ilvl w:val="0"/>
          <w:numId w:val="2"/>
        </w:numPr>
        <w:rPr>
          <w:rFonts w:eastAsia="Times New Roman"/>
          <w:noProof/>
          <w:szCs w:val="24"/>
        </w:rPr>
      </w:pPr>
      <w:r>
        <w:rPr>
          <w:noProof/>
        </w:rPr>
        <w:t xml:space="preserve">Udio kombinirane proizvodnje topline i električne energije u ukupnoj proizvodnji električne energije i topline [postotak] </w:t>
      </w:r>
    </w:p>
    <w:p>
      <w:pPr>
        <w:pStyle w:val="Point0number"/>
        <w:numPr>
          <w:ilvl w:val="0"/>
          <w:numId w:val="2"/>
        </w:numPr>
        <w:rPr>
          <w:rFonts w:eastAsia="Times New Roman"/>
          <w:noProof/>
          <w:szCs w:val="24"/>
        </w:rPr>
      </w:pPr>
      <w:r>
        <w:rPr>
          <w:noProof/>
        </w:rPr>
        <w:t>Kapacitet proizvodnje električne energije po izvoru uključujući ugašene kapacitete i nova ulaganja (MW)</w:t>
      </w:r>
    </w:p>
    <w:p>
      <w:pPr>
        <w:pStyle w:val="Point0number"/>
        <w:numPr>
          <w:ilvl w:val="0"/>
          <w:numId w:val="2"/>
        </w:numPr>
        <w:rPr>
          <w:rFonts w:eastAsia="Times New Roman"/>
          <w:noProof/>
          <w:szCs w:val="24"/>
        </w:rPr>
      </w:pPr>
      <w:r>
        <w:rPr>
          <w:noProof/>
        </w:rPr>
        <w:t>Proizvodnja topline u termoelektranama</w:t>
      </w:r>
    </w:p>
    <w:p>
      <w:pPr>
        <w:pStyle w:val="Point0number"/>
        <w:numPr>
          <w:ilvl w:val="0"/>
          <w:numId w:val="2"/>
        </w:numPr>
        <w:rPr>
          <w:rFonts w:eastAsia="Times New Roman"/>
          <w:noProof/>
          <w:szCs w:val="24"/>
        </w:rPr>
      </w:pPr>
      <w:r>
        <w:rPr>
          <w:noProof/>
        </w:rPr>
        <w:t>Proizvodnja topline u postrojenjima za kombiniranu proizvodnju topline i električne energije, uključujući industrijsku otpadnu toplinu</w:t>
      </w:r>
    </w:p>
    <w:p>
      <w:pPr>
        <w:pStyle w:val="Point0number"/>
        <w:rPr>
          <w:rFonts w:eastAsia="Times New Roman"/>
          <w:noProof/>
          <w:szCs w:val="24"/>
        </w:rPr>
      </w:pPr>
      <w:r>
        <w:rPr>
          <w:noProof/>
        </w:rPr>
        <w:t>Prekogranični interkonekcijski kapaciteti za plin i električnu energiju [Definicija za električnu energiju u skladu s ishodom rasprave koja je u tijeku na bazi interkonekcijskog cilja od 15 %] i njihove očekivane stope uporabe</w:t>
      </w:r>
    </w:p>
    <w:p>
      <w:pPr>
        <w:pStyle w:val="NumPar2"/>
        <w:rPr>
          <w:rFonts w:eastAsia="Times New Roman"/>
          <w:b/>
          <w:noProof/>
          <w:szCs w:val="24"/>
        </w:rPr>
      </w:pPr>
      <w:r>
        <w:rPr>
          <w:b/>
          <w:noProof/>
        </w:rPr>
        <w:t>Sektor pretvorbe</w:t>
      </w:r>
    </w:p>
    <w:p>
      <w:pPr>
        <w:pStyle w:val="Point0number"/>
        <w:numPr>
          <w:ilvl w:val="0"/>
          <w:numId w:val="23"/>
        </w:numPr>
        <w:rPr>
          <w:noProof/>
        </w:rPr>
      </w:pPr>
      <w:r>
        <w:rPr>
          <w:noProof/>
        </w:rPr>
        <w:t xml:space="preserve">Gorivo utrošeno u termoelektranama (uključujući kruta goriva, naftu, plin) [ktoe] </w:t>
      </w:r>
    </w:p>
    <w:p>
      <w:pPr>
        <w:pStyle w:val="Point0number"/>
        <w:numPr>
          <w:ilvl w:val="0"/>
          <w:numId w:val="2"/>
        </w:numPr>
        <w:rPr>
          <w:noProof/>
        </w:rPr>
      </w:pPr>
      <w:r>
        <w:rPr>
          <w:noProof/>
        </w:rPr>
        <w:t>Gorivo utrošeno u drugim postupcima pretvorbe [ktoe]</w:t>
      </w:r>
    </w:p>
    <w:p>
      <w:pPr>
        <w:pStyle w:val="NumPar2"/>
        <w:rPr>
          <w:rFonts w:eastAsia="Times New Roman"/>
          <w:b/>
          <w:noProof/>
          <w:szCs w:val="24"/>
        </w:rPr>
      </w:pPr>
      <w:r>
        <w:rPr>
          <w:b/>
          <w:noProof/>
        </w:rPr>
        <w:t>Potrošnja energije</w:t>
      </w:r>
    </w:p>
    <w:p>
      <w:pPr>
        <w:pStyle w:val="Point0number"/>
        <w:numPr>
          <w:ilvl w:val="0"/>
          <w:numId w:val="24"/>
        </w:numPr>
        <w:rPr>
          <w:rFonts w:eastAsia="Times New Roman"/>
          <w:noProof/>
          <w:szCs w:val="24"/>
        </w:rPr>
      </w:pPr>
      <w:r>
        <w:rPr>
          <w:noProof/>
        </w:rPr>
        <w:t>Potrošnja primarne energije i konačna potrošnja energije [ktoe]</w:t>
      </w:r>
    </w:p>
    <w:p>
      <w:pPr>
        <w:pStyle w:val="Point0number"/>
        <w:rPr>
          <w:rFonts w:eastAsia="Times New Roman"/>
          <w:noProof/>
          <w:szCs w:val="24"/>
        </w:rPr>
      </w:pPr>
      <w:r>
        <w:rPr>
          <w:noProof/>
        </w:rPr>
        <w:t xml:space="preserve">Konačna potrošnja energije po sektoru (uključujući industriju, promet (raščlanjen na putnički i teretni promet, prema potrebi), kućanstva, usluge, poljoprivredu) [ktoe] </w:t>
      </w:r>
    </w:p>
    <w:p>
      <w:pPr>
        <w:pStyle w:val="Point0number"/>
        <w:rPr>
          <w:rFonts w:eastAsia="Times New Roman"/>
          <w:noProof/>
          <w:szCs w:val="24"/>
        </w:rPr>
      </w:pPr>
      <w:r>
        <w:rPr>
          <w:noProof/>
        </w:rPr>
        <w:t>Konačna potrošnja energije po gorivu (svi energetski proizvodi) [ktoe]</w:t>
      </w:r>
    </w:p>
    <w:p>
      <w:pPr>
        <w:pStyle w:val="Point0number"/>
        <w:rPr>
          <w:rFonts w:eastAsia="Times New Roman"/>
          <w:noProof/>
          <w:szCs w:val="24"/>
        </w:rPr>
      </w:pPr>
      <w:r>
        <w:rPr>
          <w:noProof/>
        </w:rPr>
        <w:t>Konačna potrošnja za neenergetske namjene [ktoe]</w:t>
      </w:r>
    </w:p>
    <w:p>
      <w:pPr>
        <w:pStyle w:val="Point0number"/>
        <w:rPr>
          <w:rFonts w:eastAsia="Times New Roman"/>
          <w:noProof/>
          <w:szCs w:val="24"/>
        </w:rPr>
      </w:pPr>
      <w:r>
        <w:rPr>
          <w:noProof/>
        </w:rPr>
        <w:t>Intenzitet primarne energije u ukupnom gospodarstvu (potrošnja primarne energije po BDP-u) [toe/euro]</w:t>
      </w:r>
    </w:p>
    <w:p>
      <w:pPr>
        <w:pStyle w:val="Point0number"/>
        <w:rPr>
          <w:rFonts w:eastAsia="Times New Roman"/>
          <w:noProof/>
          <w:szCs w:val="24"/>
        </w:rPr>
      </w:pPr>
      <w:r>
        <w:rPr>
          <w:noProof/>
        </w:rPr>
        <w:t>Intenzitet konačne energije po sektoru (uključujući industriju, stambeni sektor, tercijarni sektor, putnički promet (uključujući, prema potrebi, raščlambu na putnički i teretni promet), teretni promet)</w:t>
      </w:r>
    </w:p>
    <w:p>
      <w:pPr>
        <w:pStyle w:val="NumPar2"/>
        <w:rPr>
          <w:rFonts w:eastAsia="Times New Roman"/>
          <w:b/>
          <w:noProof/>
          <w:szCs w:val="24"/>
        </w:rPr>
      </w:pPr>
      <w:r>
        <w:rPr>
          <w:b/>
          <w:noProof/>
        </w:rPr>
        <w:t>Cijene</w:t>
      </w:r>
    </w:p>
    <w:p>
      <w:pPr>
        <w:pStyle w:val="Point0number"/>
        <w:numPr>
          <w:ilvl w:val="0"/>
          <w:numId w:val="25"/>
        </w:numPr>
        <w:rPr>
          <w:rFonts w:eastAsia="Times New Roman"/>
          <w:noProof/>
          <w:szCs w:val="24"/>
        </w:rPr>
      </w:pPr>
      <w:r>
        <w:rPr>
          <w:noProof/>
        </w:rPr>
        <w:lastRenderedPageBreak/>
        <w:t>Cijene električne energije po vrsti sektora potrošnje (stambeni, industrijski, tercijarni)</w:t>
      </w:r>
    </w:p>
    <w:p>
      <w:pPr>
        <w:pStyle w:val="Point0number"/>
        <w:rPr>
          <w:rFonts w:eastAsia="Times New Roman"/>
          <w:noProof/>
          <w:szCs w:val="24"/>
        </w:rPr>
      </w:pPr>
      <w:r>
        <w:rPr>
          <w:noProof/>
        </w:rPr>
        <w:t>Nacionalne cijene goriva u maloprodaji (uključujući poreze, po izvoru i sektoru) (euro/ktoe)</w:t>
      </w:r>
    </w:p>
    <w:p>
      <w:pPr>
        <w:pStyle w:val="NumPar2"/>
        <w:rPr>
          <w:rFonts w:eastAsia="Times New Roman"/>
          <w:b/>
          <w:noProof/>
          <w:szCs w:val="24"/>
        </w:rPr>
      </w:pPr>
      <w:r>
        <w:rPr>
          <w:b/>
          <w:noProof/>
        </w:rPr>
        <w:t>Ulaganja</w:t>
      </w:r>
    </w:p>
    <w:p>
      <w:pPr>
        <w:pStyle w:val="ListParagraph"/>
        <w:spacing w:after="120"/>
        <w:ind w:left="851"/>
        <w:jc w:val="both"/>
        <w:rPr>
          <w:rFonts w:ascii="Times New Roman" w:eastAsia="Times New Roman" w:hAnsi="Times New Roman" w:cs="Times New Roman"/>
          <w:noProof/>
          <w:sz w:val="24"/>
          <w:szCs w:val="24"/>
        </w:rPr>
      </w:pPr>
      <w:r>
        <w:rPr>
          <w:rFonts w:ascii="Times New Roman" w:hAnsi="Times New Roman"/>
          <w:noProof/>
          <w:sz w:val="24"/>
        </w:rPr>
        <w:t>Troškovi ulaganja povezanih s energijom u usporedbi s BDP-om (i u usporedbi s bruto dodanom vrijednosti za sektor industrije)</w:t>
      </w:r>
    </w:p>
    <w:p>
      <w:pPr>
        <w:pStyle w:val="NumPar2"/>
        <w:rPr>
          <w:rFonts w:eastAsia="Times New Roman"/>
          <w:b/>
          <w:noProof/>
          <w:szCs w:val="24"/>
        </w:rPr>
      </w:pPr>
      <w:r>
        <w:rPr>
          <w:b/>
          <w:noProof/>
        </w:rPr>
        <w:t>Obnovljivi izvori</w:t>
      </w:r>
    </w:p>
    <w:p>
      <w:pPr>
        <w:pStyle w:val="Point0number"/>
        <w:numPr>
          <w:ilvl w:val="0"/>
          <w:numId w:val="26"/>
        </w:numPr>
        <w:rPr>
          <w:rFonts w:eastAsia="Times New Roman"/>
          <w:noProof/>
          <w:szCs w:val="24"/>
        </w:rPr>
      </w:pPr>
      <w:r>
        <w:rPr>
          <w:noProof/>
        </w:rPr>
        <w:t>Bruto konačna potrošnja energije iz obnovljivih izvora i udio energije iz obnovljivih izvora u bruto konačnoj potrošnji energije, i po sektoru (električna energija, grijanje i hlađenje, promet), i po tehnologiji</w:t>
      </w:r>
    </w:p>
    <w:p>
      <w:pPr>
        <w:pStyle w:val="Point0number"/>
        <w:rPr>
          <w:noProof/>
          <w:szCs w:val="24"/>
        </w:rPr>
      </w:pPr>
      <w:r>
        <w:rPr>
          <w:noProof/>
        </w:rPr>
        <w:t>Proizvodnja električne energije i topline iz obnovljive energije u zgradama (kako je definirano u članku 2. stavku 1. Direktive 2010/31/EU; to uključuje podatke razvrstane po proizvedenoj energiji, potrošenoj energiji i energiji stavljenoj u mrežu iz solarnih fotovoltnih sustava, solarnih termalnih sustava, biomase, toplinskih crpki, geotermalnih sustava, kao i iz drugih decentraliziranih sustava obnovljive energije)</w:t>
      </w:r>
    </w:p>
    <w:p>
      <w:pPr>
        <w:pStyle w:val="Point0number"/>
        <w:rPr>
          <w:rFonts w:eastAsia="Times New Roman"/>
          <w:noProof/>
          <w:szCs w:val="24"/>
        </w:rPr>
      </w:pPr>
      <w:r>
        <w:rPr>
          <w:noProof/>
        </w:rPr>
        <w:t>Ako je primjenjivo, druge nacionalne putanje, uključujući one dugoročne ili sektorske (udio biogoriva proizvedenih iz prehrambenih sirovina i naprednih biogoriva, udio energije iz obnovljivih izvora u centraliziranom grijanju, kao i obnovljiva energija koju su proizveli gradovi i energetske zajednice kako su definirane u članku 22. [preinake Direktive 2009/28/EZ kako je predložena u dokumentu COM(2016) 767])</w:t>
      </w:r>
    </w:p>
    <w:p>
      <w:pPr>
        <w:pStyle w:val="NumPar1"/>
        <w:rPr>
          <w:b/>
          <w:noProof/>
        </w:rPr>
      </w:pPr>
      <w:r>
        <w:rPr>
          <w:b/>
          <w:noProof/>
        </w:rPr>
        <w:t xml:space="preserve">Pokazatelji povezani s emisijama i uklanjanjima stakleničkih plinova </w:t>
      </w:r>
    </w:p>
    <w:p>
      <w:pPr>
        <w:pStyle w:val="Point0number"/>
        <w:numPr>
          <w:ilvl w:val="0"/>
          <w:numId w:val="27"/>
        </w:numPr>
        <w:rPr>
          <w:rFonts w:eastAsia="Times New Roman"/>
          <w:noProof/>
        </w:rPr>
      </w:pPr>
      <w:r>
        <w:rPr>
          <w:noProof/>
        </w:rPr>
        <w:t>Emisije stakleničkih plinova po sektoru politike (ETS, Uredba o zajedničkom naporu i LULUCF)</w:t>
      </w:r>
    </w:p>
    <w:p>
      <w:pPr>
        <w:pStyle w:val="Point0number"/>
        <w:rPr>
          <w:rFonts w:eastAsia="Times New Roman"/>
          <w:noProof/>
          <w:szCs w:val="24"/>
        </w:rPr>
      </w:pPr>
      <w:r>
        <w:rPr>
          <w:noProof/>
        </w:rPr>
        <w:t>Emisije stakleničkih plinova po sektoru IPCC i po plinu (prema potrebi razvrstane na ETS i ESD) [tCO</w:t>
      </w:r>
      <w:r>
        <w:rPr>
          <w:noProof/>
          <w:vertAlign w:val="subscript"/>
        </w:rPr>
        <w:t>2</w:t>
      </w:r>
      <w:r>
        <w:rPr>
          <w:noProof/>
        </w:rPr>
        <w:t>eq]</w:t>
      </w:r>
    </w:p>
    <w:p>
      <w:pPr>
        <w:pStyle w:val="Point0number"/>
        <w:rPr>
          <w:rFonts w:eastAsia="Times New Roman"/>
          <w:noProof/>
          <w:szCs w:val="24"/>
        </w:rPr>
      </w:pPr>
      <w:r>
        <w:rPr>
          <w:noProof/>
        </w:rPr>
        <w:t>Emisija ugljika ukupnog gospodarstva [tCO</w:t>
      </w:r>
      <w:r>
        <w:rPr>
          <w:noProof/>
          <w:vertAlign w:val="subscript"/>
        </w:rPr>
        <w:t>2</w:t>
      </w:r>
      <w:r>
        <w:rPr>
          <w:noProof/>
        </w:rPr>
        <w:t>eq/BDP]</w:t>
      </w:r>
    </w:p>
    <w:p>
      <w:pPr>
        <w:pStyle w:val="Point0number"/>
        <w:rPr>
          <w:rFonts w:eastAsia="Times New Roman"/>
          <w:noProof/>
          <w:szCs w:val="24"/>
        </w:rPr>
      </w:pPr>
      <w:r>
        <w:rPr>
          <w:noProof/>
        </w:rPr>
        <w:t>Pokazatelji povezani s emisijom CO</w:t>
      </w:r>
      <w:r>
        <w:rPr>
          <w:noProof/>
          <w:vertAlign w:val="subscript"/>
        </w:rPr>
        <w:t>2</w:t>
      </w:r>
      <w:r>
        <w:rPr>
          <w:noProof/>
        </w:rPr>
        <w:t xml:space="preserve"> </w:t>
      </w:r>
    </w:p>
    <w:p>
      <w:pPr>
        <w:pStyle w:val="Point1letter"/>
        <w:rPr>
          <w:rFonts w:eastAsia="Times New Roman"/>
          <w:noProof/>
          <w:szCs w:val="24"/>
        </w:rPr>
      </w:pPr>
      <w:r>
        <w:rPr>
          <w:noProof/>
        </w:rPr>
        <w:t>emisije ugljika iz proizvodnje električne energije i pare [tCO</w:t>
      </w:r>
      <w:r>
        <w:rPr>
          <w:noProof/>
          <w:vertAlign w:val="subscript"/>
        </w:rPr>
        <w:t>2</w:t>
      </w:r>
      <w:r>
        <w:rPr>
          <w:noProof/>
        </w:rPr>
        <w:t>eq/MWh]</w:t>
      </w:r>
    </w:p>
    <w:p>
      <w:pPr>
        <w:pStyle w:val="Point1letter"/>
        <w:rPr>
          <w:rFonts w:eastAsia="Times New Roman"/>
          <w:noProof/>
          <w:szCs w:val="24"/>
        </w:rPr>
      </w:pPr>
      <w:r>
        <w:rPr>
          <w:noProof/>
        </w:rPr>
        <w:t>emisije ugljika iz konačne potražnje za energijom po sektoru (uključujući industriju, stambeni sektor, tercijarni sektor, putnički promet, teretni promet) [tCO</w:t>
      </w:r>
      <w:r>
        <w:rPr>
          <w:noProof/>
          <w:vertAlign w:val="subscript"/>
        </w:rPr>
        <w:t>2</w:t>
      </w:r>
      <w:r>
        <w:rPr>
          <w:noProof/>
        </w:rPr>
        <w:t xml:space="preserve">eq/toe] </w:t>
      </w:r>
    </w:p>
    <w:p>
      <w:pPr>
        <w:pStyle w:val="Point0number"/>
        <w:rPr>
          <w:rFonts w:eastAsia="Times New Roman"/>
          <w:noProof/>
          <w:szCs w:val="24"/>
        </w:rPr>
      </w:pPr>
      <w:r>
        <w:rPr>
          <w:noProof/>
        </w:rPr>
        <w:t>Pokazatelji povezani s emisijama koje ne sadržavaju CO</w:t>
      </w:r>
      <w:r>
        <w:rPr>
          <w:noProof/>
          <w:vertAlign w:val="subscript"/>
        </w:rPr>
        <w:t>2</w:t>
      </w:r>
    </w:p>
    <w:p>
      <w:pPr>
        <w:pStyle w:val="Point1letter"/>
        <w:rPr>
          <w:rFonts w:eastAsia="Times New Roman"/>
          <w:noProof/>
          <w:szCs w:val="24"/>
        </w:rPr>
      </w:pPr>
      <w:r>
        <w:rPr>
          <w:noProof/>
        </w:rPr>
        <w:t>stoka: mliječne krave (1 000 grla), mesna goveda (1 000 grla), ovce (1 000 grla), svinje (1 000 grla), perad (1 000 komada)</w:t>
      </w:r>
    </w:p>
    <w:p>
      <w:pPr>
        <w:pStyle w:val="Point1letter"/>
        <w:rPr>
          <w:rFonts w:eastAsia="Times New Roman"/>
          <w:noProof/>
          <w:szCs w:val="24"/>
        </w:rPr>
      </w:pPr>
      <w:r>
        <w:rPr>
          <w:noProof/>
        </w:rPr>
        <w:t>unos dušika kroz primjenu umjetnih gnojiva (kt dušika)</w:t>
      </w:r>
    </w:p>
    <w:p>
      <w:pPr>
        <w:pStyle w:val="Point1letter"/>
        <w:rPr>
          <w:rFonts w:eastAsia="Times New Roman"/>
          <w:noProof/>
          <w:szCs w:val="24"/>
        </w:rPr>
      </w:pPr>
      <w:r>
        <w:rPr>
          <w:noProof/>
        </w:rPr>
        <w:t>unos dušika kroz primjenu stajskih gnojiva (kt dušika)</w:t>
      </w:r>
    </w:p>
    <w:p>
      <w:pPr>
        <w:pStyle w:val="Point1letter"/>
        <w:rPr>
          <w:rFonts w:eastAsia="Times New Roman"/>
          <w:noProof/>
          <w:szCs w:val="24"/>
        </w:rPr>
      </w:pPr>
      <w:r>
        <w:rPr>
          <w:noProof/>
        </w:rPr>
        <w:t>dušik vezan preko usjeva koji na sebe vežu dušik (kt dušika)</w:t>
      </w:r>
    </w:p>
    <w:p>
      <w:pPr>
        <w:pStyle w:val="Point1letter"/>
        <w:rPr>
          <w:rFonts w:eastAsia="Times New Roman"/>
          <w:noProof/>
          <w:szCs w:val="24"/>
        </w:rPr>
      </w:pPr>
      <w:r>
        <w:rPr>
          <w:noProof/>
        </w:rPr>
        <w:t>dušik u ostacima usjeva koji se vraćaju u tlo (kt dušika)</w:t>
      </w:r>
    </w:p>
    <w:p>
      <w:pPr>
        <w:pStyle w:val="Point1letter"/>
        <w:rPr>
          <w:rFonts w:eastAsia="Times New Roman"/>
          <w:noProof/>
          <w:szCs w:val="24"/>
        </w:rPr>
      </w:pPr>
      <w:r>
        <w:rPr>
          <w:noProof/>
        </w:rPr>
        <w:lastRenderedPageBreak/>
        <w:t>područje kultiviranih organskih tala (hektari)</w:t>
      </w:r>
    </w:p>
    <w:p>
      <w:pPr>
        <w:pStyle w:val="Point1letter"/>
        <w:rPr>
          <w:rFonts w:eastAsia="Times New Roman"/>
          <w:noProof/>
          <w:szCs w:val="24"/>
        </w:rPr>
      </w:pPr>
      <w:r>
        <w:rPr>
          <w:noProof/>
        </w:rPr>
        <w:t>generiranje krutog komunalnog otpada (MSW)</w:t>
      </w:r>
    </w:p>
    <w:p>
      <w:pPr>
        <w:pStyle w:val="Point1letter"/>
        <w:rPr>
          <w:rFonts w:eastAsia="Times New Roman"/>
          <w:noProof/>
          <w:szCs w:val="24"/>
        </w:rPr>
      </w:pPr>
      <w:r>
        <w:rPr>
          <w:noProof/>
        </w:rPr>
        <w:t>kruti komunalni otpad (MSW) koji završava na odlagalištima otpada</w:t>
      </w:r>
    </w:p>
    <w:p>
      <w:pPr>
        <w:pStyle w:val="Point1letter"/>
        <w:rPr>
          <w:rFonts w:eastAsia="Times New Roman"/>
          <w:noProof/>
          <w:szCs w:val="24"/>
        </w:rPr>
      </w:pPr>
      <w:r>
        <w:rPr>
          <w:noProof/>
        </w:rPr>
        <w:t>udio povrata CH</w:t>
      </w:r>
      <w:r>
        <w:rPr>
          <w:noProof/>
          <w:vertAlign w:val="subscript"/>
        </w:rPr>
        <w:t>4</w:t>
      </w:r>
      <w:r>
        <w:rPr>
          <w:noProof/>
        </w:rPr>
        <w:t xml:space="preserve"> u ukupnom CH</w:t>
      </w:r>
      <w:r>
        <w:rPr>
          <w:noProof/>
          <w:vertAlign w:val="subscript"/>
        </w:rPr>
        <w:t>4</w:t>
      </w:r>
      <w:r>
        <w:rPr>
          <w:noProof/>
        </w:rPr>
        <w:t xml:space="preserve"> nastalom na odlagalištima otpada (%)</w:t>
      </w:r>
    </w:p>
    <w:p>
      <w:pPr>
        <w:rPr>
          <w:b/>
          <w:noProof/>
          <w:szCs w:val="24"/>
        </w:rPr>
      </w:pPr>
      <w:r>
        <w:rPr>
          <w:noProof/>
        </w:rPr>
        <w:br w:type="page"/>
      </w:r>
    </w:p>
    <w:p>
      <w:pPr>
        <w:pStyle w:val="Annexetitre"/>
        <w:rPr>
          <w:b w:val="0"/>
          <w:i/>
          <w:noProof/>
          <w:szCs w:val="24"/>
          <w:u w:val="none"/>
        </w:rPr>
      </w:pPr>
      <w:r>
        <w:rPr>
          <w:b w:val="0"/>
          <w:i/>
          <w:noProof/>
          <w:u w:val="none"/>
        </w:rPr>
        <w:lastRenderedPageBreak/>
        <w:t>PRILOG II.</w:t>
      </w:r>
    </w:p>
    <w:p>
      <w:pPr>
        <w:jc w:val="center"/>
        <w:rPr>
          <w:noProof/>
        </w:rPr>
      </w:pPr>
      <w:r>
        <w:rPr>
          <w:b/>
          <w:noProof/>
        </w:rPr>
        <w:t>DOSTAVLJANJE OBAVIJESTI O MJERAMA I METODOLOGIJAMA DRŽAVA ČLANICA ZA PROVEDBU ČLANKA 7. DIREKTIVE 2012/27/EU [KAKO JE IZMIJENJENA PRIJEDLOGOM COM(2016)761]</w:t>
      </w:r>
    </w:p>
    <w:p>
      <w:pPr>
        <w:pStyle w:val="Text2"/>
        <w:ind w:left="0"/>
        <w:rPr>
          <w:noProof/>
          <w:szCs w:val="24"/>
        </w:rPr>
      </w:pPr>
      <w:r>
        <w:rPr>
          <w:noProof/>
        </w:rPr>
        <w:t xml:space="preserve">Države članice u skladu s Prilogom V. točkom 4. Direktive 2012/27/EU obavješćuju Komisiju o predloženoj detaljnoj metodologiji za rad sustava obveze energetske učinkovitosti i o alternativnim mjerama iz članaka 7.a i 7.b te članka 20. stavka 6. te iste Direktive.  </w:t>
      </w:r>
    </w:p>
    <w:p>
      <w:pPr>
        <w:pStyle w:val="NumPar1"/>
        <w:numPr>
          <w:ilvl w:val="0"/>
          <w:numId w:val="21"/>
        </w:numPr>
        <w:rPr>
          <w:noProof/>
          <w:szCs w:val="24"/>
        </w:rPr>
      </w:pPr>
      <w:r>
        <w:rPr>
          <w:noProof/>
        </w:rPr>
        <w:t xml:space="preserve">Izračun razine propisanih ušteda energije koje se trebaju ostvariti tijekom čitavog razdoblja od 1. siječnja 2021. do 31. prosinca 2030., uz prikaz načina na koji su sljedeći elementi uzeti u obzir: </w:t>
      </w:r>
    </w:p>
    <w:p>
      <w:pPr>
        <w:pStyle w:val="Point1letter"/>
        <w:numPr>
          <w:ilvl w:val="3"/>
          <w:numId w:val="28"/>
        </w:numPr>
        <w:rPr>
          <w:noProof/>
        </w:rPr>
      </w:pPr>
      <w:r>
        <w:rPr>
          <w:noProof/>
        </w:rPr>
        <w:t>godišnja prodaja energije, prema opsegu prodanom krajnjim kupcima svih distributera energije ili svim poduzećima za maloprodaju energije prema prosjeku za zadnje tri godine (2016., 2017., 2018.) prije 1. siječnja 2019. [u ktoe];</w:t>
      </w:r>
    </w:p>
    <w:p>
      <w:pPr>
        <w:pStyle w:val="Point1letter"/>
        <w:rPr>
          <w:noProof/>
          <w:szCs w:val="24"/>
        </w:rPr>
      </w:pPr>
      <w:r>
        <w:rPr>
          <w:noProof/>
        </w:rPr>
        <w:t>iznos prodane energije upotrijebljene u prometu, koja je isključena iz izračuna [u ktoe];</w:t>
      </w:r>
    </w:p>
    <w:p>
      <w:pPr>
        <w:pStyle w:val="Point1letter"/>
        <w:rPr>
          <w:noProof/>
          <w:szCs w:val="24"/>
        </w:rPr>
      </w:pPr>
      <w:r>
        <w:rPr>
          <w:noProof/>
        </w:rPr>
        <w:t>iznos energije proizvedene za vlastite potrebe, koja je isključena iz izračuna [u ktoe];</w:t>
      </w:r>
    </w:p>
    <w:p>
      <w:pPr>
        <w:pStyle w:val="Point1letter"/>
        <w:rPr>
          <w:noProof/>
          <w:szCs w:val="24"/>
        </w:rPr>
      </w:pPr>
      <w:r>
        <w:rPr>
          <w:noProof/>
        </w:rPr>
        <w:t>izvori koji su upotrijebljeni u izračunu podataka o prodanoj energiji, uključujući opravdanje za uporabu alternativnih statističkih izvora i moguće razlike u pogledu izračunatih količina (ako su upotrijebljeni drugi izvori, a ne Eurostat);</w:t>
      </w:r>
    </w:p>
    <w:p>
      <w:pPr>
        <w:pStyle w:val="Point1letter"/>
        <w:rPr>
          <w:noProof/>
          <w:szCs w:val="24"/>
        </w:rPr>
      </w:pPr>
      <w:r>
        <w:rPr>
          <w:noProof/>
        </w:rPr>
        <w:t>kumulativni iznos uštede energije koju treba ostvariti tijekom čitavog razdoblja od 1. siječnja 2021. do 31. prosinca 2030. (prije izuzeća iz stavka 2) [u ktoe];</w:t>
      </w:r>
    </w:p>
    <w:p>
      <w:pPr>
        <w:pStyle w:val="Point1letter"/>
        <w:rPr>
          <w:noProof/>
          <w:szCs w:val="24"/>
        </w:rPr>
      </w:pPr>
      <w:r>
        <w:rPr>
          <w:noProof/>
        </w:rPr>
        <w:t>primjena izuzeća (b), (c), (d) i (e) iz članka 7. stavaka 2. i 3. Direktive 2012/27/EU:</w:t>
      </w:r>
    </w:p>
    <w:p>
      <w:pPr>
        <w:pStyle w:val="Text2"/>
        <w:rPr>
          <w:noProof/>
          <w:szCs w:val="24"/>
        </w:rPr>
      </w:pPr>
      <w:r>
        <w:rPr>
          <w:noProof/>
        </w:rPr>
        <w:t xml:space="preserve">i. iznos prodane energije koja se upotrebljava u industrijskim djelatnostima [u ktoe] navedenima u Prilogu I. Direktivi 2003/87/EZ, koja je isključena iz izračuna u skladu s točkom (b), </w:t>
      </w:r>
    </w:p>
    <w:p>
      <w:pPr>
        <w:pStyle w:val="Text2"/>
        <w:rPr>
          <w:noProof/>
          <w:szCs w:val="24"/>
        </w:rPr>
      </w:pPr>
      <w:r>
        <w:rPr>
          <w:noProof/>
        </w:rPr>
        <w:t>ii. iznos uštede energije [u ktoe] ostvarene u sektorima pretvorbe, distribucije i prijenosa energije u skladu s točkom (c),</w:t>
      </w:r>
    </w:p>
    <w:p>
      <w:pPr>
        <w:pStyle w:val="Text2"/>
        <w:rPr>
          <w:noProof/>
          <w:szCs w:val="24"/>
        </w:rPr>
      </w:pPr>
      <w:r>
        <w:rPr>
          <w:noProof/>
        </w:rPr>
        <w:t>iii. iznos uštede energije [u ktoe] proizišle iz novih pojedinačnih djelovanja koja se provode od 31. prosinca 2008. i nastavljaju ostvarivati učinak 2020. i nakon toga</w:t>
      </w:r>
      <w:r>
        <w:rPr>
          <w:rStyle w:val="CommentReference"/>
          <w:noProof/>
          <w:sz w:val="24"/>
        </w:rPr>
        <w:t xml:space="preserve"> </w:t>
      </w:r>
      <w:r>
        <w:rPr>
          <w:noProof/>
        </w:rPr>
        <w:t xml:space="preserve">i u skladu s točkom (d), </w:t>
      </w:r>
    </w:p>
    <w:p>
      <w:pPr>
        <w:pStyle w:val="Text2"/>
        <w:rPr>
          <w:noProof/>
          <w:szCs w:val="24"/>
        </w:rPr>
      </w:pPr>
      <w:r>
        <w:rPr>
          <w:noProof/>
        </w:rPr>
        <w:t>iv. iznos energije koja je proizvedena na ili u zgradama za vlastite potrebe na temelju mjera politike kojima se promiče novo postavljanje tehnologija obnovljivih izvora energije u skladu s točkom (e) [u ktoe];</w:t>
      </w:r>
    </w:p>
    <w:p>
      <w:pPr>
        <w:pStyle w:val="Point1letter"/>
        <w:rPr>
          <w:noProof/>
          <w:szCs w:val="24"/>
        </w:rPr>
      </w:pPr>
      <w:r>
        <w:rPr>
          <w:noProof/>
        </w:rPr>
        <w:t>ukupna kumulativna količina uštede energije (nakon primjene izuzeća na temelju stavka 2.) [u ktoe].</w:t>
      </w:r>
    </w:p>
    <w:p>
      <w:pPr>
        <w:pStyle w:val="NumPar1"/>
        <w:rPr>
          <w:b/>
          <w:noProof/>
          <w:szCs w:val="24"/>
        </w:rPr>
      </w:pPr>
      <w:r>
        <w:rPr>
          <w:b/>
          <w:noProof/>
        </w:rPr>
        <w:t>Mjere politike u pogledu ostvarivanja propisane uštede iz članka 7. stavka 1. Direktive 2012/27/EU:</w:t>
      </w:r>
    </w:p>
    <w:p>
      <w:pPr>
        <w:pStyle w:val="NumPar2"/>
        <w:rPr>
          <w:b/>
          <w:noProof/>
          <w:szCs w:val="24"/>
        </w:rPr>
      </w:pPr>
      <w:r>
        <w:rPr>
          <w:b/>
          <w:noProof/>
        </w:rPr>
        <w:t>Sustavi obveze energetske učinkovitosti iz članka 7.a Direktive 2012/27/EU:</w:t>
      </w:r>
    </w:p>
    <w:p>
      <w:pPr>
        <w:pStyle w:val="Point1letter"/>
        <w:numPr>
          <w:ilvl w:val="3"/>
          <w:numId w:val="29"/>
        </w:numPr>
        <w:rPr>
          <w:noProof/>
        </w:rPr>
      </w:pPr>
      <w:r>
        <w:rPr>
          <w:noProof/>
        </w:rPr>
        <w:lastRenderedPageBreak/>
        <w:t>opis sustava obveze energetske učinkovitosti;</w:t>
      </w:r>
    </w:p>
    <w:p>
      <w:pPr>
        <w:pStyle w:val="Point1letter"/>
        <w:rPr>
          <w:noProof/>
          <w:szCs w:val="24"/>
        </w:rPr>
      </w:pPr>
      <w:r>
        <w:rPr>
          <w:noProof/>
        </w:rPr>
        <w:t>očekivane kumulativne i godišnje količine uštede i trajanje razdoblja obveze;</w:t>
      </w:r>
    </w:p>
    <w:p>
      <w:pPr>
        <w:pStyle w:val="Point1letter"/>
        <w:rPr>
          <w:noProof/>
          <w:szCs w:val="24"/>
        </w:rPr>
      </w:pPr>
      <w:r>
        <w:rPr>
          <w:noProof/>
        </w:rPr>
        <w:t>stranke obveznice i njihove odgovornosti;</w:t>
      </w:r>
    </w:p>
    <w:p>
      <w:pPr>
        <w:pStyle w:val="Point1letter"/>
        <w:rPr>
          <w:noProof/>
          <w:szCs w:val="24"/>
        </w:rPr>
      </w:pPr>
      <w:r>
        <w:rPr>
          <w:noProof/>
        </w:rPr>
        <w:t>ciljani sektori;</w:t>
      </w:r>
    </w:p>
    <w:p>
      <w:pPr>
        <w:pStyle w:val="Point1letter"/>
        <w:rPr>
          <w:noProof/>
          <w:szCs w:val="24"/>
        </w:rPr>
      </w:pPr>
      <w:r>
        <w:rPr>
          <w:noProof/>
        </w:rPr>
        <w:t>prihvatljive aktivnosti predviđene u okviru mjere;</w:t>
      </w:r>
    </w:p>
    <w:p>
      <w:pPr>
        <w:pStyle w:val="Point1letter"/>
        <w:rPr>
          <w:noProof/>
          <w:szCs w:val="24"/>
        </w:rPr>
      </w:pPr>
      <w:r>
        <w:rPr>
          <w:noProof/>
        </w:rPr>
        <w:t>podaci o primjeni odredaba iz članka 7. stavka 7. Direktive 2012/27/EU;</w:t>
      </w:r>
    </w:p>
    <w:p>
      <w:pPr>
        <w:pStyle w:val="Text2"/>
        <w:rPr>
          <w:noProof/>
          <w:szCs w:val="24"/>
        </w:rPr>
      </w:pPr>
      <w:r>
        <w:rPr>
          <w:noProof/>
        </w:rPr>
        <w:t>i. posebne mjere, da se dio uštede ostvari u kućanstvima koja su pogođena energetskim siromaštvom ili u socijalnim stanovima u skladu s točkom (a);</w:t>
      </w:r>
    </w:p>
    <w:p>
      <w:pPr>
        <w:pStyle w:val="Text2"/>
        <w:rPr>
          <w:noProof/>
          <w:szCs w:val="24"/>
        </w:rPr>
      </w:pPr>
      <w:r>
        <w:rPr>
          <w:noProof/>
        </w:rPr>
        <w:t>ii. uštede energije koje su ostvarili pružatelji energetskih usluga ili druge treće osobe u skladu s točkom (b);</w:t>
      </w:r>
    </w:p>
    <w:p>
      <w:pPr>
        <w:pStyle w:val="Text2"/>
        <w:rPr>
          <w:noProof/>
          <w:szCs w:val="24"/>
        </w:rPr>
      </w:pPr>
      <w:r>
        <w:rPr>
          <w:noProof/>
        </w:rPr>
        <w:t xml:space="preserve">iii. akumuliranje i posuđivanje u skladu s točkom (c); </w:t>
      </w:r>
    </w:p>
    <w:p>
      <w:pPr>
        <w:pStyle w:val="Point1letter"/>
        <w:rPr>
          <w:noProof/>
          <w:szCs w:val="24"/>
        </w:rPr>
      </w:pPr>
      <w:r>
        <w:rPr>
          <w:noProof/>
        </w:rPr>
        <w:t>Podaci o trgovanju uštedama energije (prema potrebi).</w:t>
      </w:r>
    </w:p>
    <w:p>
      <w:pPr>
        <w:pStyle w:val="NumPar2"/>
        <w:rPr>
          <w:b/>
          <w:noProof/>
          <w:szCs w:val="24"/>
        </w:rPr>
      </w:pPr>
      <w:r>
        <w:rPr>
          <w:b/>
          <w:noProof/>
        </w:rPr>
        <w:t>Alternativne mjere iz članka 7.b i članka 20. stavka 6. Direktive 2012/27/EU (osim oporezivanja)</w:t>
      </w:r>
    </w:p>
    <w:p>
      <w:pPr>
        <w:pStyle w:val="Point1letter"/>
        <w:numPr>
          <w:ilvl w:val="3"/>
          <w:numId w:val="30"/>
        </w:numPr>
        <w:rPr>
          <w:noProof/>
          <w:szCs w:val="24"/>
        </w:rPr>
      </w:pPr>
      <w:r>
        <w:rPr>
          <w:noProof/>
        </w:rPr>
        <w:t>vrsta mjere u okviru politike;</w:t>
      </w:r>
    </w:p>
    <w:p>
      <w:pPr>
        <w:pStyle w:val="Point1letter"/>
        <w:rPr>
          <w:noProof/>
          <w:szCs w:val="24"/>
        </w:rPr>
      </w:pPr>
      <w:r>
        <w:rPr>
          <w:noProof/>
        </w:rPr>
        <w:t>kratki opis mjere u okviru politike, uključujući osobine svake mjere o kojoj se dostavlja obavijest;</w:t>
      </w:r>
    </w:p>
    <w:p>
      <w:pPr>
        <w:pStyle w:val="Point1letter"/>
        <w:rPr>
          <w:noProof/>
          <w:szCs w:val="24"/>
        </w:rPr>
      </w:pPr>
      <w:r>
        <w:rPr>
          <w:noProof/>
        </w:rPr>
        <w:t>očekivani ukupni kumulativni i godišnji iznos uštede po svakoj mjeri i/ili iznos uštede energije za bilo koje prijelazno razdoblje;</w:t>
      </w:r>
    </w:p>
    <w:p>
      <w:pPr>
        <w:pStyle w:val="Point1letter"/>
        <w:rPr>
          <w:noProof/>
          <w:szCs w:val="24"/>
        </w:rPr>
      </w:pPr>
      <w:r>
        <w:rPr>
          <w:noProof/>
        </w:rPr>
        <w:t>provedbene stranke, stranke sudionice, ovlaštene stranke i njihove odgovornosti za provedbu mjere ili mjera u okviru politike;</w:t>
      </w:r>
    </w:p>
    <w:p>
      <w:pPr>
        <w:pStyle w:val="Point1letter"/>
        <w:rPr>
          <w:noProof/>
          <w:szCs w:val="24"/>
        </w:rPr>
      </w:pPr>
      <w:r>
        <w:rPr>
          <w:noProof/>
        </w:rPr>
        <w:t>ciljani sektori;</w:t>
      </w:r>
    </w:p>
    <w:p>
      <w:pPr>
        <w:pStyle w:val="Point1letter"/>
        <w:rPr>
          <w:noProof/>
          <w:szCs w:val="24"/>
        </w:rPr>
      </w:pPr>
      <w:r>
        <w:rPr>
          <w:noProof/>
        </w:rPr>
        <w:t>prihvatljive aktivnosti predviđene u okviru mjere;</w:t>
      </w:r>
    </w:p>
    <w:p>
      <w:pPr>
        <w:pStyle w:val="Point1letter"/>
        <w:rPr>
          <w:noProof/>
          <w:szCs w:val="24"/>
        </w:rPr>
      </w:pPr>
      <w:r>
        <w:rPr>
          <w:noProof/>
        </w:rPr>
        <w:t xml:space="preserve">posebne mjere u okviru politike ili pojedinačna djelovanja usmjerena na energetsko siromaštvo. </w:t>
      </w:r>
    </w:p>
    <w:p>
      <w:pPr>
        <w:pStyle w:val="NumPar2"/>
        <w:rPr>
          <w:b/>
          <w:noProof/>
          <w:szCs w:val="24"/>
        </w:rPr>
      </w:pPr>
      <w:r>
        <w:rPr>
          <w:b/>
          <w:noProof/>
        </w:rPr>
        <w:t>Podaci o mjerama oporezivanja:</w:t>
      </w:r>
    </w:p>
    <w:p>
      <w:pPr>
        <w:pStyle w:val="Point1letter"/>
        <w:numPr>
          <w:ilvl w:val="3"/>
          <w:numId w:val="31"/>
        </w:numPr>
        <w:rPr>
          <w:noProof/>
        </w:rPr>
      </w:pPr>
      <w:r>
        <w:rPr>
          <w:noProof/>
        </w:rPr>
        <w:t>kratki opis mjere oporezivanja;</w:t>
      </w:r>
    </w:p>
    <w:p>
      <w:pPr>
        <w:pStyle w:val="Point1letter"/>
        <w:rPr>
          <w:noProof/>
          <w:szCs w:val="24"/>
        </w:rPr>
      </w:pPr>
      <w:r>
        <w:rPr>
          <w:noProof/>
        </w:rPr>
        <w:t>trajanje mjere oporezivanja;</w:t>
      </w:r>
    </w:p>
    <w:p>
      <w:pPr>
        <w:pStyle w:val="Point1letter"/>
        <w:rPr>
          <w:noProof/>
          <w:szCs w:val="24"/>
        </w:rPr>
      </w:pPr>
      <w:r>
        <w:rPr>
          <w:noProof/>
        </w:rPr>
        <w:t>očekivani kumulativni i godišnji iznos uštede po mjeri;</w:t>
      </w:r>
    </w:p>
    <w:p>
      <w:pPr>
        <w:pStyle w:val="Point1letter"/>
        <w:rPr>
          <w:noProof/>
          <w:szCs w:val="24"/>
        </w:rPr>
      </w:pPr>
      <w:r>
        <w:rPr>
          <w:noProof/>
        </w:rPr>
        <w:t>ciljani sektori;</w:t>
      </w:r>
    </w:p>
    <w:p>
      <w:pPr>
        <w:pStyle w:val="Point1letter"/>
        <w:rPr>
          <w:noProof/>
          <w:szCs w:val="24"/>
        </w:rPr>
      </w:pPr>
      <w:r>
        <w:rPr>
          <w:noProof/>
        </w:rPr>
        <w:t xml:space="preserve">aditivnost uštede energije opisom pristupa izračunu uštede, uključujući cjenovnu elastičnost upotrijebljenu u skladu s Prilogom V. točkom 4. </w:t>
      </w:r>
    </w:p>
    <w:p>
      <w:pPr>
        <w:pStyle w:val="NumPar1"/>
        <w:rPr>
          <w:b/>
          <w:noProof/>
          <w:szCs w:val="24"/>
        </w:rPr>
      </w:pPr>
      <w:r>
        <w:rPr>
          <w:b/>
          <w:noProof/>
        </w:rPr>
        <w:t>Metoda izračuna za mjere priopćene u skladu s člancima 7.a, 7.b i člankom 20. stavkom 6. Direktive 2012/27/EU (osim mjera oporezivanja):</w:t>
      </w:r>
    </w:p>
    <w:p>
      <w:pPr>
        <w:pStyle w:val="Point1letter"/>
        <w:numPr>
          <w:ilvl w:val="3"/>
          <w:numId w:val="32"/>
        </w:numPr>
        <w:rPr>
          <w:noProof/>
          <w:szCs w:val="24"/>
        </w:rPr>
      </w:pPr>
      <w:r>
        <w:rPr>
          <w:noProof/>
        </w:rPr>
        <w:t>upotrijebljene metode mjerenja iz Priloga V. točke 1. Direktive 2012/27/EU;</w:t>
      </w:r>
    </w:p>
    <w:p>
      <w:pPr>
        <w:pStyle w:val="Point1letter"/>
        <w:rPr>
          <w:noProof/>
          <w:szCs w:val="24"/>
        </w:rPr>
      </w:pPr>
      <w:r>
        <w:rPr>
          <w:noProof/>
        </w:rPr>
        <w:t>metoda za iskazivanje uštede energije (ušteda primarne ili krajnje energije);</w:t>
      </w:r>
    </w:p>
    <w:p>
      <w:pPr>
        <w:pStyle w:val="Point1letter"/>
        <w:rPr>
          <w:noProof/>
          <w:szCs w:val="24"/>
        </w:rPr>
      </w:pPr>
      <w:r>
        <w:rPr>
          <w:noProof/>
        </w:rPr>
        <w:lastRenderedPageBreak/>
        <w:t>životni vijek pojedinačnih mjera i pristup koji se koristio za uzimanje u obzir životnog vijeka ušteda;</w:t>
      </w:r>
    </w:p>
    <w:p>
      <w:pPr>
        <w:pStyle w:val="Point1letter"/>
        <w:rPr>
          <w:noProof/>
          <w:szCs w:val="24"/>
        </w:rPr>
      </w:pPr>
      <w:r>
        <w:rPr>
          <w:noProof/>
        </w:rPr>
        <w:t>kratki opis metodologije izračunavanja, uključujući kako se osiguravaju aditivnost i značajnost ušteda;</w:t>
      </w:r>
    </w:p>
    <w:p>
      <w:pPr>
        <w:pStyle w:val="Point1letter"/>
        <w:rPr>
          <w:noProof/>
          <w:szCs w:val="24"/>
        </w:rPr>
      </w:pPr>
      <w:r>
        <w:rPr>
          <w:noProof/>
        </w:rPr>
        <w:t>podaci o tome kako se rješavaju moguća preklapanja između mjera politike i pojedinačnih mjera kako bi se izbjeglo dvostruko računanje uštede energije;</w:t>
      </w:r>
    </w:p>
    <w:p>
      <w:pPr>
        <w:pStyle w:val="Point1letter"/>
        <w:rPr>
          <w:noProof/>
          <w:szCs w:val="24"/>
        </w:rPr>
      </w:pPr>
      <w:r>
        <w:rPr>
          <w:noProof/>
        </w:rPr>
        <w:t>klimatske razlike i primijenjeni pristup (prema potrebi).</w:t>
      </w:r>
    </w:p>
    <w:p>
      <w:pPr>
        <w:pStyle w:val="NumPar1"/>
        <w:rPr>
          <w:b/>
          <w:noProof/>
          <w:szCs w:val="24"/>
        </w:rPr>
      </w:pPr>
      <w:r>
        <w:rPr>
          <w:b/>
          <w:noProof/>
        </w:rPr>
        <w:t>Praćenje i provjere</w:t>
      </w:r>
    </w:p>
    <w:p>
      <w:pPr>
        <w:pStyle w:val="Point1letter"/>
        <w:numPr>
          <w:ilvl w:val="3"/>
          <w:numId w:val="33"/>
        </w:numPr>
        <w:rPr>
          <w:noProof/>
        </w:rPr>
      </w:pPr>
      <w:r>
        <w:rPr>
          <w:noProof/>
        </w:rPr>
        <w:t>kratki opis sustava praćenja i provjere i postupka provjere;</w:t>
      </w:r>
    </w:p>
    <w:p>
      <w:pPr>
        <w:pStyle w:val="Point1letter"/>
        <w:rPr>
          <w:noProof/>
          <w:szCs w:val="24"/>
        </w:rPr>
      </w:pPr>
      <w:r>
        <w:rPr>
          <w:noProof/>
        </w:rPr>
        <w:t>provedbeno tijelo javne vlasti i njegove glavne odgovornosti u pogledu sustava praćenja i provjere s obzirom na sustav obveze energetske učinkovitosti i/ili alternativne mjere;</w:t>
      </w:r>
    </w:p>
    <w:p>
      <w:pPr>
        <w:pStyle w:val="Point1letter"/>
        <w:rPr>
          <w:noProof/>
          <w:szCs w:val="24"/>
        </w:rPr>
      </w:pPr>
      <w:r>
        <w:rPr>
          <w:noProof/>
        </w:rPr>
        <w:t>neovisnost praćenja i provjere od stranaka obveznica, stranaka sudionica, ovlaštenih stranaka;</w:t>
      </w:r>
    </w:p>
    <w:p>
      <w:pPr>
        <w:pStyle w:val="Point1letter"/>
        <w:rPr>
          <w:noProof/>
          <w:szCs w:val="24"/>
        </w:rPr>
      </w:pPr>
      <w:r>
        <w:rPr>
          <w:noProof/>
        </w:rPr>
        <w:t>statistički značajan udio mjera za poboljšanje energetske učinkovitosti i udio i kriteriji koji su upotrijebljeni za definiranje i odabir reprezentativnog uzorka;</w:t>
      </w:r>
    </w:p>
    <w:p>
      <w:pPr>
        <w:pStyle w:val="Point1letter"/>
        <w:rPr>
          <w:noProof/>
          <w:szCs w:val="24"/>
        </w:rPr>
      </w:pPr>
      <w:r>
        <w:rPr>
          <w:noProof/>
        </w:rPr>
        <w:t>obveze stranaka obveznica u pogledu izvješćivanja (uštede koje je ostvarila svaka stranka obveznica ili svaka potkategorija stranke obveznice, te ukupne uštede u okviru sustava).</w:t>
      </w:r>
    </w:p>
    <w:p>
      <w:pPr>
        <w:pStyle w:val="Point1letter"/>
        <w:rPr>
          <w:noProof/>
          <w:szCs w:val="24"/>
        </w:rPr>
      </w:pPr>
      <w:r>
        <w:rPr>
          <w:noProof/>
        </w:rPr>
        <w:t>objava ostvarene uštede energije (svake godine) u okviru sustava obveze energetske učinkovitosti i alternativnih mjera;</w:t>
      </w:r>
    </w:p>
    <w:p>
      <w:pPr>
        <w:pStyle w:val="Point1letter"/>
        <w:rPr>
          <w:noProof/>
          <w:szCs w:val="24"/>
        </w:rPr>
      </w:pPr>
      <w:r>
        <w:rPr>
          <w:noProof/>
        </w:rPr>
        <w:t>podaci o sankcijama primijenjenim u slučaju nepoštovanja;</w:t>
      </w:r>
    </w:p>
    <w:p>
      <w:pPr>
        <w:pStyle w:val="Point1letter"/>
        <w:rPr>
          <w:noProof/>
        </w:rPr>
      </w:pPr>
      <w:r>
        <w:rPr>
          <w:noProof/>
        </w:rPr>
        <w:t>Podaci o mjerama koje su predviđene ako napredak nije zadovoljavajući.</w:t>
      </w:r>
    </w:p>
    <w:p>
      <w:pPr>
        <w:rPr>
          <w:noProof/>
          <w:szCs w:val="24"/>
        </w:rPr>
      </w:pPr>
      <w:r>
        <w:rPr>
          <w:noProof/>
        </w:rPr>
        <w:br w:type="page"/>
      </w:r>
    </w:p>
    <w:p>
      <w:pPr>
        <w:pStyle w:val="Annexetitre"/>
        <w:rPr>
          <w:b w:val="0"/>
          <w:i/>
          <w:noProof/>
          <w:szCs w:val="24"/>
          <w:u w:val="none"/>
        </w:rPr>
      </w:pPr>
      <w:r>
        <w:rPr>
          <w:b w:val="0"/>
          <w:i/>
          <w:noProof/>
          <w:u w:val="none"/>
        </w:rPr>
        <w:lastRenderedPageBreak/>
        <w:t>PRILOG III.</w:t>
      </w:r>
    </w:p>
    <w:p>
      <w:pPr>
        <w:jc w:val="center"/>
        <w:rPr>
          <w:noProof/>
        </w:rPr>
      </w:pPr>
      <w:r>
        <w:rPr>
          <w:b/>
          <w:noProof/>
        </w:rPr>
        <w:t>PODACI IZ INVENTARA STAKLENIČKIH PLINOVA</w:t>
      </w:r>
    </w:p>
    <w:p>
      <w:pPr>
        <w:jc w:val="center"/>
        <w:rPr>
          <w:noProof/>
        </w:rPr>
      </w:pPr>
      <w:r>
        <w:rPr>
          <w:b/>
          <w:noProof/>
          <w:color w:val="000000"/>
        </w:rPr>
        <w:t>Dio 1.</w:t>
      </w:r>
    </w:p>
    <w:p>
      <w:pPr>
        <w:spacing w:after="0"/>
        <w:rPr>
          <w:rFonts w:eastAsia="Times New Roman"/>
          <w:noProof/>
          <w:szCs w:val="24"/>
        </w:rPr>
      </w:pPr>
      <w:r>
        <w:rPr>
          <w:noProof/>
        </w:rPr>
        <w:t>Podaci koji se trebaju uključiti u izvješća iz članka 23. stavka 2.:</w:t>
      </w:r>
    </w:p>
    <w:p>
      <w:pPr>
        <w:pStyle w:val="Point0letter"/>
        <w:numPr>
          <w:ilvl w:val="1"/>
          <w:numId w:val="11"/>
        </w:numPr>
        <w:rPr>
          <w:noProof/>
          <w:szCs w:val="24"/>
        </w:rPr>
      </w:pPr>
      <w:r>
        <w:rPr>
          <w:noProof/>
        </w:rPr>
        <w:t>podaci o svojim antropogenim emisijama stakleničkih plinova navedenim u dijelu 2. ovog Priloga i antropogenim emisijama stakleničkih plinova iz članka 2. stavka 1. Uredbe [ ] [ESR] za godinu X-2;</w:t>
      </w:r>
    </w:p>
    <w:p>
      <w:pPr>
        <w:pStyle w:val="Point0letter"/>
        <w:rPr>
          <w:noProof/>
          <w:szCs w:val="24"/>
        </w:rPr>
      </w:pPr>
      <w:r>
        <w:rPr>
          <w:noProof/>
        </w:rPr>
        <w:t>podaci o svojim antropogenim emisijama ugljikovog monoksida (CO), sumporovog dioksida (SO</w:t>
      </w:r>
      <w:r>
        <w:rPr>
          <w:noProof/>
          <w:vertAlign w:val="subscript"/>
        </w:rPr>
        <w:t>2</w:t>
      </w:r>
      <w:r>
        <w:rPr>
          <w:noProof/>
        </w:rPr>
        <w:t>), dušikovih oksida (NOx) i hlapivih organskih spojeva, koji su sukladni podacima koji su već dostavljeni u skladu s člankom 7. Direktive 2001/81/EZ za godinu X-2;</w:t>
      </w:r>
    </w:p>
    <w:p>
      <w:pPr>
        <w:pStyle w:val="Point0letter"/>
        <w:rPr>
          <w:noProof/>
          <w:szCs w:val="24"/>
        </w:rPr>
      </w:pPr>
      <w:r>
        <w:rPr>
          <w:noProof/>
        </w:rPr>
        <w:t>podaci o svojim antropogenim emisijama stakleničkih plinova iz izvora i uklanjanjima CO</w:t>
      </w:r>
      <w:r>
        <w:rPr>
          <w:noProof/>
          <w:vertAlign w:val="subscript"/>
        </w:rPr>
        <w:t>2</w:t>
      </w:r>
      <w:r>
        <w:rPr>
          <w:noProof/>
        </w:rPr>
        <w:t xml:space="preserve"> ponorima koji proizlaze iz sektora LULUCF za godinu X-2, u skladu s metodologijama utvrđenim u dijelu 3. ovog Priloga. Ti su podaci važni i za izvješće o usklađivanju iz članka 12. Uredbe [ ] [LULUCF];</w:t>
      </w:r>
    </w:p>
    <w:p>
      <w:pPr>
        <w:pStyle w:val="Point0letter"/>
        <w:rPr>
          <w:noProof/>
          <w:szCs w:val="24"/>
        </w:rPr>
      </w:pPr>
      <w:r>
        <w:rPr>
          <w:noProof/>
        </w:rPr>
        <w:t xml:space="preserve">podaci o svim promjenama podataka iz točaka od (a) do (c) za godine između odgovarajuće bazne godine ili razdoblja i godine X-3, navodeći razloge za te promjene; </w:t>
      </w:r>
    </w:p>
    <w:p>
      <w:pPr>
        <w:pStyle w:val="Point0letter"/>
        <w:rPr>
          <w:noProof/>
          <w:szCs w:val="24"/>
        </w:rPr>
      </w:pPr>
      <w:r>
        <w:rPr>
          <w:noProof/>
        </w:rPr>
        <w:t xml:space="preserve">podaci o pokazateljima kako su utvrđeni u dijelu 4. ovog Priloga za godinu X-2; </w:t>
      </w:r>
    </w:p>
    <w:p>
      <w:pPr>
        <w:pStyle w:val="Point0letter"/>
        <w:rPr>
          <w:noProof/>
          <w:szCs w:val="24"/>
        </w:rPr>
      </w:pPr>
      <w:r>
        <w:rPr>
          <w:noProof/>
        </w:rPr>
        <w:t xml:space="preserve">sažeti podaci o izvršenim prijenosima u skladu s člankom 5. Uredbe [ ] [ESR] i člankom 11. Uredbe [ ] [LULUCF] za godinu X-1; </w:t>
      </w:r>
    </w:p>
    <w:p>
      <w:pPr>
        <w:pStyle w:val="Point0letter"/>
        <w:rPr>
          <w:noProof/>
          <w:szCs w:val="24"/>
        </w:rPr>
      </w:pPr>
      <w:r>
        <w:rPr>
          <w:noProof/>
        </w:rPr>
        <w:t xml:space="preserve">podaci o koracima poduzetim s ciljem poboljšanja procjena inventara, posebno u područjima inventara koja su podvrgnuta prilagodbama ili preporukama nakon stručnog pregleda; </w:t>
      </w:r>
    </w:p>
    <w:p>
      <w:pPr>
        <w:pStyle w:val="Point0letter"/>
        <w:rPr>
          <w:noProof/>
          <w:szCs w:val="24"/>
        </w:rPr>
      </w:pPr>
      <w:r>
        <w:rPr>
          <w:noProof/>
        </w:rPr>
        <w:t xml:space="preserve">podaci o stvarnoj ili procijenjenoj raspodjeli verificiranih emisija koje dostavljaju postrojenja i operateri na temelju Direktive 2003/87/EZ u kategorije izvora nacionalnog inventara stakleničkih plinova i udjelu tih verificiranih emisija u ukupnim dostavljenim emisijama stakleničkih plinova u tim kategorijama izvora, za godinu X-2; </w:t>
      </w:r>
    </w:p>
    <w:p>
      <w:pPr>
        <w:pStyle w:val="Point0letter"/>
        <w:rPr>
          <w:noProof/>
          <w:szCs w:val="24"/>
        </w:rPr>
      </w:pPr>
      <w:r>
        <w:rPr>
          <w:noProof/>
        </w:rPr>
        <w:t xml:space="preserve">podaci o rezultatima izvršenih provjera sukladnosti dostavljenih podataka iz inventara stakleničkih plinova, za godinu X-2, s verificiranim emisijama dostavljenim na temelju Direktive 2003/87/EZ; </w:t>
      </w:r>
    </w:p>
    <w:p>
      <w:pPr>
        <w:pStyle w:val="Point0letter"/>
        <w:rPr>
          <w:noProof/>
          <w:szCs w:val="24"/>
        </w:rPr>
      </w:pPr>
      <w:r>
        <w:rPr>
          <w:noProof/>
        </w:rPr>
        <w:t>podaci o rezultatima izvršenih provjera sukladnosti podataka korištenih za procjenu emisija u pripremi inventara stakleničkih plinova, za godinu X-2, zajedno s:</w:t>
      </w:r>
    </w:p>
    <w:p>
      <w:pPr>
        <w:pStyle w:val="Point1"/>
        <w:rPr>
          <w:noProof/>
          <w:szCs w:val="24"/>
        </w:rPr>
      </w:pPr>
      <w:r>
        <w:rPr>
          <w:noProof/>
        </w:rPr>
        <w:t>i.</w:t>
      </w:r>
      <w:r>
        <w:rPr>
          <w:noProof/>
        </w:rPr>
        <w:tab/>
        <w:t xml:space="preserve">podacima korištenim za pripremu inventara onečišćivača zraka prema Direktivi 2001/81/EZ; </w:t>
      </w:r>
    </w:p>
    <w:p>
      <w:pPr>
        <w:pStyle w:val="Point1"/>
        <w:rPr>
          <w:noProof/>
          <w:szCs w:val="24"/>
        </w:rPr>
      </w:pPr>
      <w:r>
        <w:rPr>
          <w:noProof/>
        </w:rPr>
        <w:t>ii.</w:t>
      </w:r>
      <w:r>
        <w:rPr>
          <w:noProof/>
        </w:rPr>
        <w:tab/>
        <w:t xml:space="preserve">podacima dostavljenim u skladu s člankom 19. stavkom 1. i Prilogom VII. Uredbe (EU) br. 517/2014; </w:t>
      </w:r>
    </w:p>
    <w:p>
      <w:pPr>
        <w:pStyle w:val="Point1"/>
        <w:rPr>
          <w:noProof/>
          <w:szCs w:val="24"/>
        </w:rPr>
      </w:pPr>
      <w:r>
        <w:rPr>
          <w:noProof/>
        </w:rPr>
        <w:t>iii.</w:t>
      </w:r>
      <w:r>
        <w:rPr>
          <w:noProof/>
        </w:rPr>
        <w:tab/>
        <w:t xml:space="preserve">podacima o energiji, dostavljenim u skladu s člankom 4. i Prilogom B Uredbi (EZ) br. 1099/2008; </w:t>
      </w:r>
    </w:p>
    <w:p>
      <w:pPr>
        <w:pStyle w:val="Point0letter"/>
        <w:rPr>
          <w:noProof/>
          <w:szCs w:val="24"/>
        </w:rPr>
      </w:pPr>
      <w:r>
        <w:rPr>
          <w:noProof/>
        </w:rPr>
        <w:t xml:space="preserve">opis promjena nacionalnog sustava inventara; </w:t>
      </w:r>
    </w:p>
    <w:p>
      <w:pPr>
        <w:pStyle w:val="Point0letter"/>
        <w:rPr>
          <w:noProof/>
          <w:szCs w:val="24"/>
        </w:rPr>
      </w:pPr>
      <w:r>
        <w:rPr>
          <w:noProof/>
        </w:rPr>
        <w:lastRenderedPageBreak/>
        <w:t xml:space="preserve">opis promjena nacionalnog registra; </w:t>
      </w:r>
    </w:p>
    <w:p>
      <w:pPr>
        <w:pStyle w:val="Point0letter"/>
        <w:rPr>
          <w:noProof/>
          <w:szCs w:val="24"/>
        </w:rPr>
      </w:pPr>
      <w:r>
        <w:rPr>
          <w:noProof/>
        </w:rPr>
        <w:t>informacije o svojim planovima osiguranja i kontrole kvalitete, općenitoj ocjeni nesigurnosti, općenitoj ocjeni potpunosti i, ako su dostupni, drugim elementima izvješća o nacionalnim inventarima stakleničkih plinova koji su potrebni za pripremu izvješća o inventaru stakleničkih plinova Unije;</w:t>
      </w:r>
    </w:p>
    <w:p>
      <w:pPr>
        <w:pStyle w:val="Point0letter"/>
        <w:rPr>
          <w:noProof/>
          <w:szCs w:val="24"/>
        </w:rPr>
      </w:pPr>
      <w:r>
        <w:rPr>
          <w:noProof/>
        </w:rPr>
        <w:t>informacije o namjerama države članice da iskoristi fleksibilne mogućnosti iz članka 5. stavaka 4. i 5. Uredbe [ ] [ESR].</w:t>
      </w:r>
    </w:p>
    <w:p>
      <w:pPr>
        <w:spacing w:after="0"/>
        <w:rPr>
          <w:noProof/>
          <w:szCs w:val="24"/>
        </w:rPr>
      </w:pPr>
      <w:r>
        <w:rPr>
          <w:noProof/>
        </w:rPr>
        <w:t xml:space="preserve">Država članica može zatražiti odstupanje od točke (c) radi primjene drukčije metodologije od navedenih u dijelu 3. ovog Priloga ako se potrebno poboljšanje metodologije nije moglo postići na vrijeme da bi se moglo uzeti u obzir u inventarima stakleničkih plinova za razdoblje od 2021. do 2030. ili bi trošak poboljšanja metodologije bio nerazmjerno visok u usporedbi s koristima primjene takve metodologije za poboljšanje obračuna emisija i uklanjanja zbog neznatnog značenja emisija i uklanjanja iz predmetnih spremnika ugljika. Države članice koje žele iskoristiti to odstupanje dostavljaju obrazloženi zahtjev Komisiji do 31. prosinca 2020., u kojem navode vremenski okvir do kojeg bi se moglo provesti poboljšanje metodologije i/ili predložiti alternativna metodologija te procjenu mogućih utjecaja na točnost obračuna. Komisija može zatražiti da država članica dostavi dodatne informacije u utvrđenom razumnom roku. Ako Komisija smatra da je zahtjev opravdan, odobrava odstupanje. Ako je zahtjev odbijen, Komisija mora obrazložiti svoju odluku. </w:t>
      </w:r>
    </w:p>
    <w:p>
      <w:pPr>
        <w:spacing w:after="0"/>
        <w:jc w:val="center"/>
        <w:rPr>
          <w:rFonts w:eastAsia="Times New Roman"/>
          <w:b/>
          <w:noProof/>
          <w:color w:val="000000"/>
          <w:szCs w:val="24"/>
        </w:rPr>
      </w:pPr>
      <w:r>
        <w:rPr>
          <w:b/>
          <w:noProof/>
          <w:color w:val="000000"/>
        </w:rPr>
        <w:t>Dio 2.</w:t>
      </w:r>
    </w:p>
    <w:p>
      <w:pPr>
        <w:spacing w:after="0"/>
        <w:rPr>
          <w:noProof/>
          <w:color w:val="000000"/>
          <w:szCs w:val="24"/>
        </w:rPr>
      </w:pPr>
      <w:r>
        <w:rPr>
          <w:noProof/>
          <w:color w:val="000000"/>
        </w:rPr>
        <w:t xml:space="preserve">Staklenički plinovi koje treba obuhvatiti su: </w:t>
      </w:r>
    </w:p>
    <w:p>
      <w:pPr>
        <w:spacing w:after="0"/>
        <w:rPr>
          <w:rFonts w:eastAsia="Times New Roman"/>
          <w:noProof/>
          <w:color w:val="000000"/>
          <w:szCs w:val="24"/>
        </w:rPr>
      </w:pPr>
      <w:r>
        <w:rPr>
          <w:noProof/>
          <w:color w:val="000000"/>
        </w:rPr>
        <w:t>ugljikov dioksid (CO</w:t>
      </w:r>
      <w:r>
        <w:rPr>
          <w:noProof/>
          <w:color w:val="000000"/>
          <w:vertAlign w:val="subscript"/>
        </w:rPr>
        <w:t>2</w:t>
      </w:r>
      <w:r>
        <w:rPr>
          <w:noProof/>
          <w:color w:val="000000"/>
        </w:rPr>
        <w:t>)</w:t>
      </w:r>
    </w:p>
    <w:p>
      <w:pPr>
        <w:spacing w:after="0"/>
        <w:rPr>
          <w:rFonts w:eastAsia="Times New Roman"/>
          <w:noProof/>
          <w:color w:val="000000"/>
          <w:szCs w:val="24"/>
        </w:rPr>
      </w:pPr>
      <w:r>
        <w:rPr>
          <w:noProof/>
          <w:color w:val="000000"/>
        </w:rPr>
        <w:t>metan (CH</w:t>
      </w:r>
      <w:r>
        <w:rPr>
          <w:noProof/>
          <w:color w:val="000000"/>
          <w:vertAlign w:val="subscript"/>
        </w:rPr>
        <w:t>4</w:t>
      </w:r>
      <w:r>
        <w:rPr>
          <w:noProof/>
          <w:color w:val="000000"/>
        </w:rPr>
        <w:t>)</w:t>
      </w:r>
    </w:p>
    <w:p>
      <w:pPr>
        <w:spacing w:after="0"/>
        <w:rPr>
          <w:rFonts w:eastAsia="Times New Roman"/>
          <w:noProof/>
          <w:color w:val="000000"/>
          <w:szCs w:val="24"/>
        </w:rPr>
      </w:pPr>
      <w:r>
        <w:rPr>
          <w:noProof/>
          <w:color w:val="000000"/>
        </w:rPr>
        <w:t>didušikov oksid (N</w:t>
      </w:r>
      <w:r>
        <w:rPr>
          <w:noProof/>
          <w:color w:val="000000"/>
          <w:vertAlign w:val="subscript"/>
        </w:rPr>
        <w:t>2</w:t>
      </w:r>
      <w:r>
        <w:rPr>
          <w:noProof/>
          <w:color w:val="000000"/>
        </w:rPr>
        <w:t>O)</w:t>
      </w:r>
    </w:p>
    <w:p>
      <w:pPr>
        <w:spacing w:after="0"/>
        <w:rPr>
          <w:rFonts w:eastAsia="Times New Roman"/>
          <w:noProof/>
          <w:color w:val="000000"/>
          <w:szCs w:val="24"/>
        </w:rPr>
      </w:pPr>
      <w:r>
        <w:rPr>
          <w:noProof/>
          <w:color w:val="000000"/>
        </w:rPr>
        <w:t>sumporov heksafluorid (SF</w:t>
      </w:r>
      <w:r>
        <w:rPr>
          <w:noProof/>
          <w:color w:val="000000"/>
          <w:vertAlign w:val="subscript"/>
        </w:rPr>
        <w:t>6</w:t>
      </w:r>
      <w:r>
        <w:rPr>
          <w:noProof/>
          <w:color w:val="000000"/>
        </w:rPr>
        <w:t>)</w:t>
      </w:r>
    </w:p>
    <w:p>
      <w:pPr>
        <w:spacing w:after="0"/>
        <w:rPr>
          <w:rFonts w:eastAsia="Times New Roman"/>
          <w:noProof/>
          <w:color w:val="000000"/>
          <w:szCs w:val="24"/>
        </w:rPr>
      </w:pPr>
      <w:r>
        <w:rPr>
          <w:noProof/>
          <w:color w:val="000000"/>
        </w:rPr>
        <w:t>dušični trifluorid (NF</w:t>
      </w:r>
      <w:r>
        <w:rPr>
          <w:noProof/>
          <w:color w:val="000000"/>
          <w:vertAlign w:val="subscript"/>
        </w:rPr>
        <w:t>3</w:t>
      </w:r>
      <w:r>
        <w:rPr>
          <w:noProof/>
          <w:color w:val="000000"/>
        </w:rPr>
        <w:t>)</w:t>
      </w:r>
    </w:p>
    <w:p>
      <w:pPr>
        <w:spacing w:after="0"/>
        <w:rPr>
          <w:rFonts w:eastAsia="Times New Roman"/>
          <w:noProof/>
          <w:color w:val="000000"/>
          <w:szCs w:val="24"/>
        </w:rPr>
      </w:pPr>
      <w:r>
        <w:rPr>
          <w:noProof/>
          <w:color w:val="000000"/>
        </w:rPr>
        <w:t>fluorougljikovodici (spojevi HFC):</w:t>
      </w:r>
    </w:p>
    <w:tbl>
      <w:tblPr>
        <w:tblW w:w="5000" w:type="pct"/>
        <w:tblCellSpacing w:w="0" w:type="dxa"/>
        <w:tblCellMar>
          <w:left w:w="0" w:type="dxa"/>
          <w:right w:w="0" w:type="dxa"/>
        </w:tblCellMar>
        <w:tblLook w:val="04A0" w:firstRow="1" w:lastRow="0" w:firstColumn="1" w:lastColumn="0" w:noHBand="0" w:noVBand="1"/>
      </w:tblPr>
      <w:tblGrid>
        <w:gridCol w:w="425"/>
        <w:gridCol w:w="8648"/>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 CHF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HFC-32 CH</w:t>
            </w:r>
            <w:r>
              <w:rPr>
                <w:noProof/>
                <w:color w:val="000000"/>
                <w:vertAlign w:val="subscript"/>
              </w:rPr>
              <w:t>2</w:t>
            </w:r>
            <w:r>
              <w:rPr>
                <w:noProof/>
                <w:color w:val="000000"/>
              </w:rPr>
              <w:t>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HFC-41 CH</w:t>
            </w:r>
            <w:r>
              <w:rPr>
                <w:noProof/>
                <w:color w:val="000000"/>
                <w:vertAlign w:val="subscript"/>
              </w:rPr>
              <w:t>3</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HFC-125 CHF</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 CHF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HFC-134a CH</w:t>
            </w:r>
            <w:r>
              <w:rPr>
                <w:noProof/>
                <w:color w:val="000000"/>
                <w:vertAlign w:val="subscript"/>
              </w:rPr>
              <w:t>2</w:t>
            </w:r>
            <w:r>
              <w:rPr>
                <w:noProof/>
                <w:color w:val="000000"/>
              </w:rPr>
              <w:t>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 CH</w:t>
            </w:r>
            <w:r>
              <w:rPr>
                <w:noProof/>
                <w:color w:val="000000"/>
                <w:vertAlign w:val="subscript"/>
              </w:rPr>
              <w:t>2</w:t>
            </w:r>
            <w:r>
              <w:rPr>
                <w:noProof/>
                <w:color w:val="000000"/>
              </w:rPr>
              <w:t>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HFC-143a CH</w:t>
            </w:r>
            <w:r>
              <w:rPr>
                <w:noProof/>
                <w:color w:val="000000"/>
                <w:vertAlign w:val="subscript"/>
              </w:rPr>
              <w:t>3</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 CH</w:t>
            </w:r>
            <w:r>
              <w:rPr>
                <w:noProof/>
                <w:color w:val="000000"/>
                <w:vertAlign w:val="subscript"/>
              </w:rPr>
              <w:t>2</w:t>
            </w:r>
            <w:r>
              <w:rPr>
                <w:noProof/>
                <w:color w:val="000000"/>
              </w:rPr>
              <w:t>FCH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HFC-152a CH</w:t>
            </w:r>
            <w:r>
              <w:rPr>
                <w:noProof/>
                <w:color w:val="000000"/>
                <w:vertAlign w:val="subscript"/>
              </w:rPr>
              <w:t>3</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HFC-161 CH</w:t>
            </w:r>
            <w:r>
              <w:rPr>
                <w:noProof/>
                <w:color w:val="000000"/>
                <w:vertAlign w:val="subscript"/>
              </w:rPr>
              <w:t>3</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HFC-227ea CF</w:t>
            </w:r>
            <w:r>
              <w:rPr>
                <w:noProof/>
                <w:color w:val="000000"/>
                <w:vertAlign w:val="subscript"/>
              </w:rPr>
              <w:t>3</w:t>
            </w:r>
            <w:r>
              <w:rPr>
                <w:noProof/>
                <w:color w:val="000000"/>
              </w:rPr>
              <w:t>CHFCF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lastRenderedPageBreak/>
              <w:t>—</w:t>
            </w:r>
          </w:p>
        </w:tc>
        <w:tc>
          <w:tcPr>
            <w:tcW w:w="0" w:type="auto"/>
            <w:hideMark/>
          </w:tcPr>
          <w:p>
            <w:pPr>
              <w:spacing w:after="0"/>
              <w:rPr>
                <w:rFonts w:eastAsia="Times New Roman"/>
                <w:noProof/>
                <w:color w:val="000000"/>
                <w:szCs w:val="24"/>
              </w:rPr>
            </w:pPr>
            <w:r>
              <w:rPr>
                <w:noProof/>
                <w:color w:val="000000"/>
              </w:rPr>
              <w:t>HFC-236cb CF</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HFC-236ea CF</w:t>
            </w:r>
            <w:r>
              <w:rPr>
                <w:noProof/>
                <w:color w:val="000000"/>
                <w:vertAlign w:val="subscript"/>
              </w:rPr>
              <w:t>3</w:t>
            </w:r>
            <w:r>
              <w:rPr>
                <w:noProof/>
                <w:color w:val="000000"/>
              </w:rPr>
              <w:t>CHFCHF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HFC-236fa CF</w:t>
            </w:r>
            <w:r>
              <w:rPr>
                <w:noProof/>
                <w:color w:val="000000"/>
                <w:vertAlign w:val="subscript"/>
              </w:rPr>
              <w:t>3</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HFC-245fa CHF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HFC-245ca CH</w:t>
            </w:r>
            <w:r>
              <w:rPr>
                <w:noProof/>
                <w:color w:val="000000"/>
                <w:vertAlign w:val="subscript"/>
              </w:rPr>
              <w:t>2</w:t>
            </w:r>
            <w:r>
              <w:rPr>
                <w:noProof/>
                <w:color w:val="000000"/>
              </w:rPr>
              <w:t>FCF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HFC-365mfc CH</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HFC-43-10mee CF</w:t>
            </w:r>
            <w:r>
              <w:rPr>
                <w:noProof/>
                <w:color w:val="000000"/>
                <w:vertAlign w:val="subscript"/>
              </w:rPr>
              <w:t>3</w:t>
            </w:r>
            <w:r>
              <w:rPr>
                <w:noProof/>
                <w:color w:val="000000"/>
              </w:rPr>
              <w:t>CHFCHFCF</w:t>
            </w:r>
            <w:r>
              <w:rPr>
                <w:noProof/>
                <w:color w:val="000000"/>
                <w:vertAlign w:val="subscript"/>
              </w:rPr>
              <w:t>2</w:t>
            </w:r>
            <w:r>
              <w:rPr>
                <w:noProof/>
                <w:color w:val="000000"/>
              </w:rPr>
              <w:t>CF</w:t>
            </w:r>
            <w:r>
              <w:rPr>
                <w:noProof/>
                <w:color w:val="000000"/>
                <w:vertAlign w:val="subscript"/>
              </w:rPr>
              <w:t>3</w:t>
            </w:r>
            <w:r>
              <w:rPr>
                <w:noProof/>
                <w:color w:val="000000"/>
              </w:rPr>
              <w:t xml:space="preserve"> or (C</w:t>
            </w:r>
            <w:r>
              <w:rPr>
                <w:noProof/>
                <w:color w:val="000000"/>
                <w:vertAlign w:val="subscript"/>
              </w:rPr>
              <w:t>5</w:t>
            </w:r>
            <w:r>
              <w:rPr>
                <w:noProof/>
                <w:color w:val="000000"/>
              </w:rPr>
              <w:t>H</w:t>
            </w:r>
            <w:r>
              <w:rPr>
                <w:noProof/>
                <w:color w:val="000000"/>
                <w:vertAlign w:val="subscript"/>
              </w:rPr>
              <w:t>2</w:t>
            </w:r>
            <w:r>
              <w:rPr>
                <w:noProof/>
                <w:color w:val="000000"/>
              </w:rPr>
              <w:t>F</w:t>
            </w:r>
            <w:r>
              <w:rPr>
                <w:noProof/>
                <w:color w:val="000000"/>
                <w:vertAlign w:val="subscript"/>
              </w:rPr>
              <w:t>10</w:t>
            </w:r>
            <w:r>
              <w:rPr>
                <w:noProof/>
                <w:color w:val="000000"/>
              </w:rPr>
              <w:t>)</w:t>
            </w:r>
          </w:p>
        </w:tc>
      </w:tr>
    </w:tbl>
    <w:p>
      <w:pPr>
        <w:spacing w:after="0"/>
        <w:rPr>
          <w:rFonts w:eastAsia="Times New Roman"/>
          <w:noProof/>
          <w:color w:val="000000"/>
          <w:szCs w:val="24"/>
        </w:rPr>
      </w:pPr>
      <w:r>
        <w:rPr>
          <w:noProof/>
          <w:color w:val="000000"/>
        </w:rPr>
        <w:t>Perfluorougljici (spojevi PFC):</w:t>
      </w:r>
    </w:p>
    <w:tbl>
      <w:tblPr>
        <w:tblW w:w="5000" w:type="pct"/>
        <w:tblCellSpacing w:w="0" w:type="dxa"/>
        <w:tblCellMar>
          <w:left w:w="0" w:type="dxa"/>
          <w:right w:w="0" w:type="dxa"/>
        </w:tblCellMar>
        <w:tblLook w:val="04A0" w:firstRow="1" w:lastRow="0" w:firstColumn="1" w:lastColumn="0" w:noHBand="0" w:noVBand="1"/>
      </w:tblPr>
      <w:tblGrid>
        <w:gridCol w:w="551"/>
        <w:gridCol w:w="8522"/>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PFC-14,  perfluorometan, CF</w:t>
            </w:r>
            <w:r>
              <w:rPr>
                <w:noProof/>
                <w:color w:val="000000"/>
                <w:vertAlign w:val="subscript"/>
              </w:rPr>
              <w:t>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PFC-116, perfluoroetan, C</w:t>
            </w:r>
            <w:r>
              <w:rPr>
                <w:noProof/>
                <w:color w:val="000000"/>
                <w:vertAlign w:val="subscript"/>
              </w:rPr>
              <w:t>2</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PFC-218,  perfluoropropan, C</w:t>
            </w:r>
            <w:r>
              <w:rPr>
                <w:noProof/>
                <w:color w:val="000000"/>
                <w:vertAlign w:val="subscript"/>
              </w:rPr>
              <w:t>3</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PFC-318,  perfluorociklobutan, c-C</w:t>
            </w:r>
            <w:r>
              <w:rPr>
                <w:noProof/>
                <w:color w:val="000000"/>
                <w:vertAlign w:val="subscript"/>
              </w:rPr>
              <w:t>4</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perfluorociklopropan c-C</w:t>
            </w:r>
            <w:r>
              <w:rPr>
                <w:noProof/>
                <w:color w:val="000000"/>
                <w:vertAlign w:val="subscript"/>
              </w:rPr>
              <w:t>3</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PFC-3-1-10, perfluorobutan, C</w:t>
            </w:r>
            <w:r>
              <w:rPr>
                <w:noProof/>
                <w:color w:val="000000"/>
                <w:vertAlign w:val="subscript"/>
              </w:rPr>
              <w:t>4</w:t>
            </w:r>
            <w:r>
              <w:rPr>
                <w:noProof/>
                <w:color w:val="000000"/>
              </w:rPr>
              <w:t>F</w:t>
            </w:r>
            <w:r>
              <w:rPr>
                <w:noProof/>
                <w:color w:val="000000"/>
                <w:vertAlign w:val="subscript"/>
              </w:rPr>
              <w:t>10</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PFC-4-1-12, perfluoropentan, C</w:t>
            </w:r>
            <w:r>
              <w:rPr>
                <w:noProof/>
                <w:color w:val="000000"/>
                <w:vertAlign w:val="subscript"/>
              </w:rPr>
              <w:t>5</w:t>
            </w:r>
            <w:r>
              <w:rPr>
                <w:noProof/>
                <w:color w:val="000000"/>
              </w:rPr>
              <w:t>F</w:t>
            </w:r>
            <w:r>
              <w:rPr>
                <w:noProof/>
                <w:color w:val="000000"/>
                <w:vertAlign w:val="subscript"/>
              </w:rPr>
              <w:t>12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PFC-5-1-14, perfluoroheksan, C</w:t>
            </w:r>
            <w:r>
              <w:rPr>
                <w:noProof/>
                <w:color w:val="000000"/>
                <w:vertAlign w:val="subscript"/>
              </w:rPr>
              <w:t>6</w:t>
            </w:r>
            <w:r>
              <w:rPr>
                <w:noProof/>
                <w:color w:val="000000"/>
              </w:rPr>
              <w:t>F</w:t>
            </w:r>
            <w:r>
              <w:rPr>
                <w:noProof/>
                <w:color w:val="000000"/>
                <w:vertAlign w:val="subscript"/>
              </w:rPr>
              <w:t>14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PFC-9-1-18, C</w:t>
            </w:r>
            <w:r>
              <w:rPr>
                <w:noProof/>
                <w:color w:val="000000"/>
                <w:vertAlign w:val="subscript"/>
              </w:rPr>
              <w:t>10</w:t>
            </w:r>
            <w:r>
              <w:rPr>
                <w:noProof/>
                <w:color w:val="000000"/>
              </w:rPr>
              <w:t>F</w:t>
            </w:r>
            <w:r>
              <w:rPr>
                <w:noProof/>
                <w:color w:val="000000"/>
                <w:vertAlign w:val="subscript"/>
              </w:rPr>
              <w:t>18</w:t>
            </w:r>
            <w:r>
              <w:rPr>
                <w:noProof/>
                <w:color w:val="000000"/>
              </w:rPr>
              <w:t xml:space="preserve"> </w:t>
            </w:r>
          </w:p>
        </w:tc>
      </w:tr>
    </w:tbl>
    <w:p>
      <w:pPr>
        <w:rPr>
          <w:rFonts w:eastAsia="Times New Roman"/>
          <w:noProof/>
          <w:color w:val="000000"/>
          <w:szCs w:val="24"/>
        </w:rPr>
      </w:pPr>
    </w:p>
    <w:p>
      <w:pPr>
        <w:spacing w:after="0"/>
        <w:jc w:val="center"/>
        <w:rPr>
          <w:rFonts w:eastAsia="Times New Roman"/>
          <w:b/>
          <w:noProof/>
          <w:color w:val="000000"/>
          <w:szCs w:val="24"/>
        </w:rPr>
      </w:pPr>
      <w:r>
        <w:rPr>
          <w:b/>
          <w:noProof/>
          <w:color w:val="000000"/>
        </w:rPr>
        <w:t>Dio 3. –  Metodologije za praćenje i izvješćivanje u sektoru LULUCF</w:t>
      </w:r>
    </w:p>
    <w:p>
      <w:pPr>
        <w:rPr>
          <w:noProof/>
        </w:rPr>
      </w:pPr>
      <w:r>
        <w:rPr>
          <w:noProof/>
        </w:rPr>
        <w:t xml:space="preserve">Prostorno eksplicitni podaci o prenamjeni zemljišta za identificiranje i praćenje kategorija korištenja zemljišta i konverzije između pojedinih kategorija korištenja zemljišta. </w:t>
      </w:r>
    </w:p>
    <w:p>
      <w:pPr>
        <w:rPr>
          <w:noProof/>
        </w:rPr>
      </w:pPr>
      <w:r>
        <w:rPr>
          <w:noProof/>
        </w:rPr>
        <w:t xml:space="preserve">Metodologija prve razine (Tier 1) uz primjenu globalno kalibriranih standardnih faktora emisija i vrijednosti parametara u skladu sa smjernicama IPPC-a iz 2006. za nacionalne inventare stakleničkih plinova. </w:t>
      </w:r>
    </w:p>
    <w:p>
      <w:pPr>
        <w:rPr>
          <w:noProof/>
        </w:rPr>
      </w:pPr>
      <w:r>
        <w:rPr>
          <w:noProof/>
        </w:rPr>
        <w:t xml:space="preserve">Za emisije i uklanjanja iz spremnika ugljika koji obuhvaća najmanje 25 – 30 % emisija ili uklanjanja u kategoriji izvora ili ponora koja je prioritet u nacionalnom sustavu inventara države članice jer njezina procjena ima znatan utjecaj na ukupan inventar stakleničkih plinova te zemlje u smislu apsolutne razine emisije i uklanjanja, na trend emisija i uklanjanja ili na nesigurnosti u pogledu emisija i uklanjanja u kategorijama korištenja zemljišta, najmanje metodologija druge razine (Tier 2) uz primjenu faktora emisija utvrđenih na nacionalnoj razini i vrijednosti parametara prilagođenih nacionalnim okolnostima u skladu sa smjernicama IPPC-a iz 2006. za nacionalne inventare stakleničkih plinova. </w:t>
      </w:r>
    </w:p>
    <w:p>
      <w:pPr>
        <w:rPr>
          <w:noProof/>
        </w:rPr>
      </w:pPr>
      <w:r>
        <w:rPr>
          <w:noProof/>
        </w:rPr>
        <w:t>Države članice potiču se na primjenu metodologije treće razine (Tier 3) uz primjenu neparametarske izrade modela prilagođene nacionalnim okolnostima pri kojoj se opisuje fizička interakcija biofizičkog sustava u skladu sa smjernicama IPPC-a iz 2006. za nacionalne inventare stakleničkih plinova.</w:t>
      </w:r>
    </w:p>
    <w:p>
      <w:pPr>
        <w:jc w:val="center"/>
        <w:rPr>
          <w:b/>
          <w:noProof/>
        </w:rPr>
      </w:pPr>
      <w:r>
        <w:rPr>
          <w:b/>
          <w:noProof/>
        </w:rPr>
        <w:t>Dio 4. – Pokazatelji inventara</w:t>
      </w:r>
    </w:p>
    <w:tbl>
      <w:tblPr>
        <w:tblW w:w="4516" w:type="pct"/>
        <w:tblLook w:val="04A0" w:firstRow="1" w:lastRow="0" w:firstColumn="1" w:lastColumn="0" w:noHBand="0" w:noVBand="1"/>
      </w:tblPr>
      <w:tblGrid>
        <w:gridCol w:w="2022"/>
        <w:gridCol w:w="6368"/>
      </w:tblGrid>
      <w:tr>
        <w:trPr>
          <w:tblHeader/>
        </w:trPr>
        <w:tc>
          <w:tcPr>
            <w:tcW w:w="1205" w:type="pct"/>
          </w:tcPr>
          <w:p>
            <w:pPr>
              <w:pStyle w:val="AFWTable"/>
              <w:rPr>
                <w:rFonts w:ascii="Times New Roman" w:hAnsi="Times New Roman" w:cs="Times New Roman"/>
                <w:noProof/>
              </w:rPr>
            </w:pPr>
            <w:r>
              <w:rPr>
                <w:rFonts w:ascii="Times New Roman" w:hAnsi="Times New Roman"/>
                <w:noProof/>
              </w:rPr>
              <w:t>Naziv pokazatelja</w:t>
            </w:r>
          </w:p>
        </w:tc>
        <w:tc>
          <w:tcPr>
            <w:tcW w:w="3795" w:type="pct"/>
          </w:tcPr>
          <w:p>
            <w:pPr>
              <w:pStyle w:val="AFWTable"/>
              <w:rPr>
                <w:rFonts w:ascii="Times New Roman" w:hAnsi="Times New Roman" w:cs="Times New Roman"/>
                <w:noProof/>
              </w:rPr>
            </w:pPr>
            <w:r>
              <w:rPr>
                <w:rFonts w:ascii="Times New Roman" w:hAnsi="Times New Roman"/>
                <w:noProof/>
              </w:rPr>
              <w:t>Pokazatelj</w:t>
            </w:r>
          </w:p>
        </w:tc>
      </w:tr>
      <w:tr>
        <w:tc>
          <w:tcPr>
            <w:tcW w:w="1205" w:type="pct"/>
          </w:tcPr>
          <w:p>
            <w:pPr>
              <w:pStyle w:val="AFWTable"/>
              <w:rPr>
                <w:rFonts w:ascii="Times New Roman" w:hAnsi="Times New Roman" w:cs="Times New Roman"/>
                <w:b/>
                <w:noProof/>
              </w:rPr>
            </w:pPr>
            <w:r>
              <w:rPr>
                <w:rFonts w:ascii="Times New Roman" w:hAnsi="Times New Roman"/>
                <w:noProof/>
              </w:rPr>
              <w:lastRenderedPageBreak/>
              <w:t>PRETVORBA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Specifična emisija CO</w:t>
            </w:r>
            <w:r>
              <w:rPr>
                <w:rFonts w:ascii="Times New Roman" w:hAnsi="Times New Roman"/>
                <w:noProof/>
                <w:vertAlign w:val="subscript"/>
              </w:rPr>
              <w:t>2</w:t>
            </w:r>
            <w:r>
              <w:rPr>
                <w:rFonts w:ascii="Times New Roman" w:hAnsi="Times New Roman"/>
                <w:noProof/>
              </w:rPr>
              <w:t xml:space="preserve"> iz javnih elektrana i elektrana s proizvodnjom za vlastite potrebe, t/TJ</w:t>
            </w:r>
          </w:p>
          <w:p>
            <w:pPr>
              <w:pStyle w:val="AFWTable"/>
              <w:rPr>
                <w:rFonts w:ascii="Times New Roman" w:hAnsi="Times New Roman" w:cs="Times New Roman"/>
                <w:noProof/>
              </w:rPr>
            </w:pPr>
            <w:r>
              <w:rPr>
                <w:rFonts w:ascii="Times New Roman" w:hAnsi="Times New Roman"/>
                <w:noProof/>
              </w:rPr>
              <w:t>Emisija CO</w:t>
            </w:r>
            <w:r>
              <w:rPr>
                <w:rFonts w:ascii="Times New Roman" w:hAnsi="Times New Roman"/>
                <w:noProof/>
                <w:vertAlign w:val="subscript"/>
              </w:rPr>
              <w:t>2</w:t>
            </w:r>
            <w:r>
              <w:rPr>
                <w:rFonts w:ascii="Times New Roman" w:hAnsi="Times New Roman"/>
                <w:noProof/>
              </w:rPr>
              <w:t xml:space="preserve"> iz javnih i termoelektrana s proizvodnjom za vlastite potrebe, kt podijeljen na sve proizvode – proizvodnja javnih i termoelektrana s proizvodnjom za vlastite potrebe, PJ</w:t>
            </w:r>
          </w:p>
        </w:tc>
      </w:tr>
      <w:tr>
        <w:tc>
          <w:tcPr>
            <w:tcW w:w="1205" w:type="pct"/>
          </w:tcPr>
          <w:p>
            <w:pPr>
              <w:pStyle w:val="AFWTable"/>
              <w:rPr>
                <w:rFonts w:ascii="Times New Roman" w:hAnsi="Times New Roman" w:cs="Times New Roman"/>
                <w:b/>
                <w:noProof/>
              </w:rPr>
            </w:pPr>
            <w:r>
              <w:rPr>
                <w:rFonts w:ascii="Times New Roman" w:hAnsi="Times New Roman"/>
                <w:noProof/>
              </w:rPr>
              <w:t>PRETVORBA E0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Specifična emisija CO</w:t>
            </w:r>
            <w:r>
              <w:rPr>
                <w:rFonts w:ascii="Times New Roman" w:hAnsi="Times New Roman"/>
                <w:noProof/>
                <w:vertAlign w:val="subscript"/>
              </w:rPr>
              <w:t>2</w:t>
            </w:r>
            <w:r>
              <w:rPr>
                <w:rFonts w:ascii="Times New Roman" w:hAnsi="Times New Roman"/>
                <w:noProof/>
              </w:rPr>
              <w:t xml:space="preserve"> iz postrojenja s proizvodnjom za vlastite potrebe, t/TJ</w:t>
            </w:r>
          </w:p>
          <w:p>
            <w:pPr>
              <w:pStyle w:val="AFWTable"/>
              <w:rPr>
                <w:rFonts w:ascii="Times New Roman" w:hAnsi="Times New Roman" w:cs="Times New Roman"/>
                <w:noProof/>
              </w:rPr>
            </w:pPr>
            <w:r>
              <w:rPr>
                <w:rFonts w:ascii="Times New Roman" w:hAnsi="Times New Roman"/>
                <w:noProof/>
              </w:rPr>
              <w:t>Emisija CO</w:t>
            </w:r>
            <w:r>
              <w:rPr>
                <w:rFonts w:ascii="Times New Roman" w:hAnsi="Times New Roman"/>
                <w:noProof/>
                <w:vertAlign w:val="subscript"/>
              </w:rPr>
              <w:t>2</w:t>
            </w:r>
            <w:r>
              <w:rPr>
                <w:rFonts w:ascii="Times New Roman" w:hAnsi="Times New Roman"/>
                <w:noProof/>
              </w:rPr>
              <w:t xml:space="preserve"> iz postrojenja s proizvodnjom za vlastite potrebe, kt podijeljen na sve proizvode termoelektrana s proizvodnjom za vlastite potrebe, PJ</w:t>
            </w:r>
          </w:p>
        </w:tc>
      </w:tr>
      <w:tr>
        <w:tc>
          <w:tcPr>
            <w:tcW w:w="1205" w:type="pct"/>
          </w:tcPr>
          <w:p>
            <w:pPr>
              <w:pStyle w:val="AFWTable"/>
              <w:rPr>
                <w:rFonts w:ascii="Times New Roman" w:hAnsi="Times New Roman" w:cs="Times New Roman"/>
                <w:b/>
                <w:noProof/>
              </w:rPr>
            </w:pPr>
            <w:r>
              <w:rPr>
                <w:rFonts w:ascii="Times New Roman" w:hAnsi="Times New Roman"/>
                <w:noProof/>
              </w:rPr>
              <w:t>INDUSTRIJA A1.1</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Ukupna emisija CO</w:t>
            </w:r>
            <w:r>
              <w:rPr>
                <w:rFonts w:ascii="Times New Roman" w:hAnsi="Times New Roman"/>
                <w:noProof/>
                <w:vertAlign w:val="subscript"/>
              </w:rPr>
              <w:t>2</w:t>
            </w:r>
            <w:r>
              <w:rPr>
                <w:rFonts w:ascii="Times New Roman" w:hAnsi="Times New Roman"/>
                <w:noProof/>
              </w:rPr>
              <w:t xml:space="preserve"> iz potrošnje energije u industriji željeza i čelika, t/mil. EUR</w:t>
            </w:r>
          </w:p>
          <w:p>
            <w:pPr>
              <w:pStyle w:val="AFWTable"/>
              <w:rPr>
                <w:rFonts w:ascii="Times New Roman" w:hAnsi="Times New Roman" w:cs="Times New Roman"/>
                <w:noProof/>
              </w:rPr>
            </w:pPr>
            <w:r>
              <w:rPr>
                <w:rFonts w:ascii="Times New Roman" w:hAnsi="Times New Roman"/>
                <w:noProof/>
              </w:rPr>
              <w:t>Ukupna emisija CO</w:t>
            </w:r>
            <w:r>
              <w:rPr>
                <w:rFonts w:ascii="Times New Roman" w:hAnsi="Times New Roman"/>
                <w:noProof/>
                <w:vertAlign w:val="subscript"/>
              </w:rPr>
              <w:t>2</w:t>
            </w:r>
            <w:r>
              <w:rPr>
                <w:rFonts w:ascii="Times New Roman" w:hAnsi="Times New Roman"/>
                <w:noProof/>
              </w:rPr>
              <w:t xml:space="preserve"> iz industrije željeza i čelika, kt podijeljen s bruto dodanom vrijednosti industrije željeza i čelika</w:t>
            </w:r>
          </w:p>
        </w:tc>
      </w:tr>
      <w:tr>
        <w:tc>
          <w:tcPr>
            <w:tcW w:w="1205" w:type="pct"/>
          </w:tcPr>
          <w:p>
            <w:pPr>
              <w:pStyle w:val="AFWTable"/>
              <w:rPr>
                <w:rFonts w:ascii="Times New Roman" w:hAnsi="Times New Roman" w:cs="Times New Roman"/>
                <w:b/>
                <w:noProof/>
              </w:rPr>
            </w:pPr>
            <w:r>
              <w:rPr>
                <w:rFonts w:ascii="Times New Roman" w:hAnsi="Times New Roman"/>
                <w:noProof/>
              </w:rPr>
              <w:t>INDUSTRIJA A1.2</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Emisija CO</w:t>
            </w:r>
            <w:r>
              <w:rPr>
                <w:rFonts w:ascii="Times New Roman" w:hAnsi="Times New Roman"/>
                <w:noProof/>
                <w:vertAlign w:val="subscript"/>
              </w:rPr>
              <w:t>2</w:t>
            </w:r>
            <w:r>
              <w:rPr>
                <w:rFonts w:ascii="Times New Roman" w:hAnsi="Times New Roman"/>
                <w:noProof/>
              </w:rPr>
              <w:t xml:space="preserve"> iz potrošnje energije u kemijskoj industriji, t/mil. EUR</w:t>
            </w:r>
          </w:p>
          <w:p>
            <w:pPr>
              <w:pStyle w:val="AFWTable"/>
              <w:rPr>
                <w:rFonts w:ascii="Times New Roman" w:hAnsi="Times New Roman" w:cs="Times New Roman"/>
                <w:noProof/>
              </w:rPr>
            </w:pPr>
            <w:r>
              <w:rPr>
                <w:rFonts w:ascii="Times New Roman" w:hAnsi="Times New Roman"/>
                <w:noProof/>
              </w:rPr>
              <w:t>Emisija CO</w:t>
            </w:r>
            <w:r>
              <w:rPr>
                <w:rFonts w:ascii="Times New Roman" w:hAnsi="Times New Roman"/>
                <w:noProof/>
                <w:vertAlign w:val="subscript"/>
              </w:rPr>
              <w:t>2</w:t>
            </w:r>
            <w:r>
              <w:rPr>
                <w:rFonts w:ascii="Times New Roman" w:hAnsi="Times New Roman"/>
                <w:noProof/>
              </w:rPr>
              <w:t xml:space="preserve"> iz potrošnje energije u kemijskoj industriji, kt podijeljen s bruto dodanom vrijednosti kemijske industrije</w:t>
            </w:r>
          </w:p>
        </w:tc>
      </w:tr>
      <w:tr>
        <w:tc>
          <w:tcPr>
            <w:tcW w:w="1205" w:type="pct"/>
          </w:tcPr>
          <w:p>
            <w:pPr>
              <w:pStyle w:val="AFWTable"/>
              <w:rPr>
                <w:rFonts w:ascii="Times New Roman" w:hAnsi="Times New Roman" w:cs="Times New Roman"/>
                <w:b/>
                <w:noProof/>
              </w:rPr>
            </w:pPr>
            <w:r>
              <w:rPr>
                <w:rFonts w:ascii="Times New Roman" w:hAnsi="Times New Roman"/>
                <w:noProof/>
              </w:rPr>
              <w:t>INDUSTRIJA A1.3</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Emisija CO</w:t>
            </w:r>
            <w:r>
              <w:rPr>
                <w:rFonts w:ascii="Times New Roman" w:hAnsi="Times New Roman"/>
                <w:noProof/>
                <w:vertAlign w:val="subscript"/>
              </w:rPr>
              <w:t>2</w:t>
            </w:r>
            <w:r>
              <w:rPr>
                <w:rFonts w:ascii="Times New Roman" w:hAnsi="Times New Roman"/>
                <w:noProof/>
              </w:rPr>
              <w:t xml:space="preserve"> iz potrošnje energije u industriji stakla, lončarskih proizvoda i građevinskih materijala, t/mil. EUR</w:t>
            </w:r>
          </w:p>
          <w:p>
            <w:pPr>
              <w:pStyle w:val="AFWTable"/>
              <w:rPr>
                <w:rFonts w:ascii="Times New Roman" w:hAnsi="Times New Roman" w:cs="Times New Roman"/>
                <w:noProof/>
              </w:rPr>
            </w:pPr>
            <w:r>
              <w:rPr>
                <w:rFonts w:ascii="Times New Roman" w:hAnsi="Times New Roman"/>
                <w:noProof/>
              </w:rPr>
              <w:t>Emisija CO</w:t>
            </w:r>
            <w:r>
              <w:rPr>
                <w:rFonts w:ascii="Times New Roman" w:hAnsi="Times New Roman"/>
                <w:noProof/>
                <w:vertAlign w:val="subscript"/>
              </w:rPr>
              <w:t>2</w:t>
            </w:r>
            <w:r>
              <w:rPr>
                <w:rFonts w:ascii="Times New Roman" w:hAnsi="Times New Roman"/>
                <w:noProof/>
              </w:rPr>
              <w:t xml:space="preserve"> iz potrošnje energije u industriji stakla, lončarskih proizvoda i građevinskih materijala, kt podijeljen s bruto dodanom vrijednosti industrije stakla, lončarskih proizvoda i građevinskih materijala</w:t>
            </w:r>
          </w:p>
        </w:tc>
      </w:tr>
      <w:tr>
        <w:tc>
          <w:tcPr>
            <w:tcW w:w="1205" w:type="pct"/>
          </w:tcPr>
          <w:p>
            <w:pPr>
              <w:pStyle w:val="AFWTable"/>
              <w:rPr>
                <w:rFonts w:ascii="Times New Roman" w:hAnsi="Times New Roman" w:cs="Times New Roman"/>
                <w:b/>
                <w:noProof/>
              </w:rPr>
            </w:pPr>
            <w:r>
              <w:rPr>
                <w:rFonts w:ascii="Times New Roman" w:hAnsi="Times New Roman"/>
                <w:noProof/>
              </w:rPr>
              <w:t>INDUSTRIJA A1.4</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Emisija CO</w:t>
            </w:r>
            <w:r>
              <w:rPr>
                <w:rFonts w:ascii="Times New Roman" w:hAnsi="Times New Roman"/>
                <w:noProof/>
                <w:vertAlign w:val="subscript"/>
              </w:rPr>
              <w:t>2</w:t>
            </w:r>
            <w:r>
              <w:rPr>
                <w:rFonts w:ascii="Times New Roman" w:hAnsi="Times New Roman"/>
                <w:noProof/>
              </w:rPr>
              <w:t xml:space="preserve"> iz potrošnje energije u industriji hrane, pića i duhana, t/mil. EUR</w:t>
            </w:r>
          </w:p>
          <w:p>
            <w:pPr>
              <w:pStyle w:val="AFWTable"/>
              <w:rPr>
                <w:rFonts w:ascii="Times New Roman" w:hAnsi="Times New Roman" w:cs="Times New Roman"/>
                <w:noProof/>
              </w:rPr>
            </w:pPr>
            <w:r>
              <w:rPr>
                <w:rFonts w:ascii="Times New Roman" w:hAnsi="Times New Roman"/>
                <w:noProof/>
              </w:rPr>
              <w:t>Emisija CO</w:t>
            </w:r>
            <w:r>
              <w:rPr>
                <w:rFonts w:ascii="Times New Roman" w:hAnsi="Times New Roman"/>
                <w:noProof/>
                <w:vertAlign w:val="subscript"/>
              </w:rPr>
              <w:t>2</w:t>
            </w:r>
            <w:r>
              <w:rPr>
                <w:rFonts w:ascii="Times New Roman" w:hAnsi="Times New Roman"/>
                <w:noProof/>
              </w:rPr>
              <w:t xml:space="preserve"> iz potrošnje energije u industriji hrane, pića i duhana, kt podijeljen s bruto dodanom vrijednosti industrije hrane, pića i duhana, mil. EUR. (EC95)</w:t>
            </w:r>
          </w:p>
        </w:tc>
      </w:tr>
      <w:tr>
        <w:tc>
          <w:tcPr>
            <w:tcW w:w="1205" w:type="pct"/>
          </w:tcPr>
          <w:p>
            <w:pPr>
              <w:pStyle w:val="AFWTable"/>
              <w:rPr>
                <w:rFonts w:ascii="Times New Roman" w:hAnsi="Times New Roman" w:cs="Times New Roman"/>
                <w:b/>
                <w:noProof/>
              </w:rPr>
            </w:pPr>
            <w:r>
              <w:rPr>
                <w:rFonts w:ascii="Times New Roman" w:hAnsi="Times New Roman"/>
                <w:noProof/>
              </w:rPr>
              <w:t>INDUSTRIJA A1.5</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Emisija CO</w:t>
            </w:r>
            <w:r>
              <w:rPr>
                <w:rFonts w:ascii="Times New Roman" w:hAnsi="Times New Roman"/>
                <w:noProof/>
                <w:vertAlign w:val="subscript"/>
              </w:rPr>
              <w:t>2</w:t>
            </w:r>
            <w:r>
              <w:rPr>
                <w:rFonts w:ascii="Times New Roman" w:hAnsi="Times New Roman"/>
                <w:noProof/>
              </w:rPr>
              <w:t xml:space="preserve"> u potrošnji energije u papirnoj i tiskarskoj industriji, t/mil. EUR Emisija CO</w:t>
            </w:r>
            <w:r>
              <w:rPr>
                <w:rFonts w:ascii="Times New Roman" w:hAnsi="Times New Roman"/>
                <w:noProof/>
                <w:vertAlign w:val="subscript"/>
              </w:rPr>
              <w:t>2</w:t>
            </w:r>
            <w:r>
              <w:rPr>
                <w:rFonts w:ascii="Times New Roman" w:hAnsi="Times New Roman"/>
                <w:noProof/>
              </w:rPr>
              <w:t xml:space="preserve"> u potrošnji energije u papirnoj i tiskarskoj industriji, kt – Bruto dodana vrijednost – papirna i tiskarska industrija, mil. EUR (EC95)</w:t>
            </w:r>
          </w:p>
        </w:tc>
      </w:tr>
      <w:tr>
        <w:tc>
          <w:tcPr>
            <w:tcW w:w="1205" w:type="pct"/>
          </w:tcPr>
          <w:p>
            <w:pPr>
              <w:pStyle w:val="AFWTable"/>
              <w:rPr>
                <w:rFonts w:ascii="Times New Roman" w:hAnsi="Times New Roman" w:cs="Times New Roman"/>
                <w:b/>
                <w:noProof/>
              </w:rPr>
            </w:pPr>
            <w:r>
              <w:rPr>
                <w:rFonts w:ascii="Times New Roman" w:hAnsi="Times New Roman"/>
                <w:noProof/>
              </w:rPr>
              <w:t>KUĆANSTVA A0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Specifična emisija CO</w:t>
            </w:r>
            <w:r>
              <w:rPr>
                <w:rFonts w:ascii="Times New Roman" w:hAnsi="Times New Roman"/>
                <w:noProof/>
                <w:vertAlign w:val="subscript"/>
              </w:rPr>
              <w:t>2</w:t>
            </w:r>
            <w:r>
              <w:rPr>
                <w:rFonts w:ascii="Times New Roman" w:hAnsi="Times New Roman"/>
                <w:noProof/>
              </w:rPr>
              <w:t xml:space="preserve"> iz kućanstava za grijanje prostora, t/m2</w:t>
            </w:r>
          </w:p>
          <w:p>
            <w:pPr>
              <w:pStyle w:val="AFWTable"/>
              <w:rPr>
                <w:rFonts w:ascii="Times New Roman" w:hAnsi="Times New Roman" w:cs="Times New Roman"/>
                <w:noProof/>
              </w:rPr>
            </w:pPr>
            <w:r>
              <w:rPr>
                <w:rFonts w:ascii="Times New Roman" w:hAnsi="Times New Roman"/>
                <w:noProof/>
              </w:rPr>
              <w:t>Specifična emisija CO</w:t>
            </w:r>
            <w:r>
              <w:rPr>
                <w:rFonts w:ascii="Times New Roman" w:hAnsi="Times New Roman"/>
                <w:noProof/>
                <w:vertAlign w:val="subscript"/>
              </w:rPr>
              <w:t>2</w:t>
            </w:r>
            <w:r>
              <w:rPr>
                <w:rFonts w:ascii="Times New Roman" w:hAnsi="Times New Roman"/>
                <w:noProof/>
              </w:rPr>
              <w:t xml:space="preserve"> iz kućanstava za grijanje prostora podijeljena s površinom stalno nastanjenih stambenih prostora, mil. m</w:t>
            </w:r>
            <w:r>
              <w:rPr>
                <w:rFonts w:ascii="Times New Roman" w:hAnsi="Times New Roman"/>
                <w:noProof/>
                <w:vertAlign w:val="superscript"/>
              </w:rPr>
              <w:t>2</w:t>
            </w:r>
          </w:p>
        </w:tc>
      </w:tr>
      <w:tr>
        <w:tc>
          <w:tcPr>
            <w:tcW w:w="1205" w:type="pct"/>
          </w:tcPr>
          <w:p>
            <w:pPr>
              <w:pStyle w:val="AFWTable"/>
              <w:rPr>
                <w:rFonts w:ascii="Times New Roman" w:hAnsi="Times New Roman" w:cs="Times New Roman"/>
                <w:b/>
                <w:noProof/>
              </w:rPr>
            </w:pPr>
            <w:r>
              <w:rPr>
                <w:rFonts w:ascii="Times New Roman" w:hAnsi="Times New Roman"/>
                <w:noProof/>
              </w:rPr>
              <w:t>USLUGE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Specifična emisija CO</w:t>
            </w:r>
            <w:r>
              <w:rPr>
                <w:rFonts w:ascii="Times New Roman" w:hAnsi="Times New Roman"/>
                <w:noProof/>
                <w:vertAlign w:val="subscript"/>
              </w:rPr>
              <w:t>2</w:t>
            </w:r>
            <w:r>
              <w:rPr>
                <w:rFonts w:ascii="Times New Roman" w:hAnsi="Times New Roman"/>
                <w:noProof/>
              </w:rPr>
              <w:t xml:space="preserve"> iz komercijalnog i institucionalnog sektora za grijanje prostora, kg/m</w:t>
            </w:r>
            <w:r>
              <w:rPr>
                <w:rFonts w:ascii="Times New Roman" w:hAnsi="Times New Roman"/>
                <w:noProof/>
                <w:vertAlign w:val="superscript"/>
              </w:rPr>
              <w:t>2</w:t>
            </w:r>
          </w:p>
          <w:p>
            <w:pPr>
              <w:pStyle w:val="AFWTable"/>
              <w:rPr>
                <w:rFonts w:ascii="Times New Roman" w:hAnsi="Times New Roman" w:cs="Times New Roman"/>
                <w:noProof/>
              </w:rPr>
            </w:pPr>
            <w:r>
              <w:rPr>
                <w:rFonts w:ascii="Times New Roman" w:hAnsi="Times New Roman"/>
                <w:noProof/>
              </w:rPr>
              <w:t>Specifična emisija CO</w:t>
            </w:r>
            <w:r>
              <w:rPr>
                <w:rFonts w:ascii="Times New Roman" w:hAnsi="Times New Roman"/>
                <w:noProof/>
                <w:vertAlign w:val="subscript"/>
              </w:rPr>
              <w:t>2</w:t>
            </w:r>
            <w:r>
              <w:rPr>
                <w:rFonts w:ascii="Times New Roman" w:hAnsi="Times New Roman"/>
                <w:noProof/>
              </w:rPr>
              <w:t xml:space="preserve"> iz komercijalnog i institucionalnog sektora za grijanje prostora, kt podijeljen s površinom uslužnih prostora, mil. m</w:t>
            </w:r>
            <w:r>
              <w:rPr>
                <w:rFonts w:ascii="Times New Roman" w:hAnsi="Times New Roman"/>
                <w:noProof/>
                <w:vertAlign w:val="superscript"/>
              </w:rPr>
              <w:t>2</w:t>
            </w:r>
          </w:p>
        </w:tc>
      </w:tr>
      <w:tr>
        <w:tc>
          <w:tcPr>
            <w:tcW w:w="1205" w:type="pct"/>
          </w:tcPr>
          <w:p>
            <w:pPr>
              <w:pStyle w:val="AFWTable"/>
              <w:rPr>
                <w:rFonts w:ascii="Times New Roman" w:hAnsi="Times New Roman" w:cs="Times New Roman"/>
                <w:b/>
                <w:noProof/>
              </w:rPr>
            </w:pPr>
            <w:r>
              <w:rPr>
                <w:rFonts w:ascii="Times New Roman" w:hAnsi="Times New Roman"/>
                <w:noProof/>
              </w:rPr>
              <w:t>PROMET B0</w:t>
            </w:r>
          </w:p>
        </w:tc>
        <w:tc>
          <w:tcPr>
            <w:tcW w:w="3795" w:type="pct"/>
          </w:tcPr>
          <w:p>
            <w:pPr>
              <w:pStyle w:val="AFWTable"/>
              <w:rPr>
                <w:rFonts w:ascii="Times New Roman" w:hAnsi="Times New Roman" w:cs="Times New Roman"/>
                <w:noProof/>
              </w:rPr>
            </w:pPr>
            <w:r>
              <w:rPr>
                <w:rFonts w:ascii="Times New Roman" w:hAnsi="Times New Roman"/>
                <w:noProof/>
              </w:rPr>
              <w:t>Specifična emisija CO</w:t>
            </w:r>
            <w:r>
              <w:rPr>
                <w:rFonts w:ascii="Times New Roman" w:hAnsi="Times New Roman"/>
                <w:noProof/>
                <w:vertAlign w:val="subscript"/>
              </w:rPr>
              <w:t>2</w:t>
            </w:r>
            <w:r>
              <w:rPr>
                <w:rFonts w:ascii="Times New Roman" w:hAnsi="Times New Roman"/>
                <w:noProof/>
              </w:rPr>
              <w:t xml:space="preserve"> iz putničkih vozila na dizelski pogon, g/100 km</w:t>
            </w:r>
          </w:p>
        </w:tc>
      </w:tr>
      <w:tr>
        <w:tc>
          <w:tcPr>
            <w:tcW w:w="1205" w:type="pct"/>
          </w:tcPr>
          <w:p>
            <w:pPr>
              <w:pStyle w:val="AFWTable"/>
              <w:rPr>
                <w:rFonts w:ascii="Times New Roman" w:hAnsi="Times New Roman" w:cs="Times New Roman"/>
                <w:b/>
                <w:noProof/>
              </w:rPr>
            </w:pPr>
            <w:r>
              <w:rPr>
                <w:rFonts w:ascii="Times New Roman" w:hAnsi="Times New Roman"/>
                <w:noProof/>
              </w:rPr>
              <w:t>PROMET B0</w:t>
            </w:r>
          </w:p>
        </w:tc>
        <w:tc>
          <w:tcPr>
            <w:tcW w:w="3795" w:type="pct"/>
          </w:tcPr>
          <w:p>
            <w:pPr>
              <w:pStyle w:val="AFWTable"/>
              <w:rPr>
                <w:rFonts w:ascii="Times New Roman" w:hAnsi="Times New Roman" w:cs="Times New Roman"/>
                <w:noProof/>
              </w:rPr>
            </w:pPr>
            <w:r>
              <w:rPr>
                <w:rFonts w:ascii="Times New Roman" w:hAnsi="Times New Roman"/>
                <w:noProof/>
              </w:rPr>
              <w:t>Specifična emisija CO</w:t>
            </w:r>
            <w:r>
              <w:rPr>
                <w:rFonts w:ascii="Times New Roman" w:hAnsi="Times New Roman"/>
                <w:noProof/>
                <w:vertAlign w:val="subscript"/>
              </w:rPr>
              <w:t>2</w:t>
            </w:r>
            <w:r>
              <w:rPr>
                <w:rFonts w:ascii="Times New Roman" w:hAnsi="Times New Roman"/>
                <w:noProof/>
              </w:rPr>
              <w:t xml:space="preserve"> iz putničkih vozila na benzinski pogon, g/100 km</w:t>
            </w:r>
          </w:p>
        </w:tc>
      </w:tr>
    </w:tbl>
    <w:p>
      <w:pPr>
        <w:rPr>
          <w:rFonts w:eastAsia="Times New Roman"/>
          <w:noProof/>
          <w:color w:val="000000"/>
          <w:szCs w:val="24"/>
        </w:rPr>
      </w:pPr>
    </w:p>
    <w:p>
      <w:pPr>
        <w:pStyle w:val="Annexetitre"/>
        <w:rPr>
          <w:b w:val="0"/>
          <w:i/>
          <w:noProof/>
          <w:u w:val="none"/>
        </w:rPr>
      </w:pPr>
      <w:r>
        <w:rPr>
          <w:b w:val="0"/>
          <w:i/>
          <w:noProof/>
          <w:u w:val="none"/>
        </w:rPr>
        <w:t>PRILOG IV.</w:t>
      </w:r>
    </w:p>
    <w:p>
      <w:pPr>
        <w:jc w:val="center"/>
        <w:rPr>
          <w:noProof/>
        </w:rPr>
      </w:pPr>
      <w:r>
        <w:rPr>
          <w:b/>
          <w:noProof/>
        </w:rPr>
        <w:t>PODACI O POLITIKAMA I MJERAMA U PODRUČJU EMISIJA STAKLENIČKIH PLINOVA</w:t>
      </w:r>
    </w:p>
    <w:p>
      <w:pPr>
        <w:rPr>
          <w:noProof/>
        </w:rPr>
      </w:pPr>
      <w:r>
        <w:rPr>
          <w:noProof/>
        </w:rPr>
        <w:t>Podaci koji se trebaju uključiti u izvješća iz članka 16.</w:t>
      </w:r>
    </w:p>
    <w:p>
      <w:pPr>
        <w:pStyle w:val="Point0letter"/>
        <w:numPr>
          <w:ilvl w:val="1"/>
          <w:numId w:val="4"/>
        </w:numPr>
        <w:rPr>
          <w:noProof/>
        </w:rPr>
      </w:pPr>
      <w:r>
        <w:rPr>
          <w:noProof/>
        </w:rPr>
        <w:t xml:space="preserve">opis svojeg nacionalnog sustava za izvješćivanje o politikama i mjerama i za izvješćivanje o projekcijama antropogenih emisija iz izvora i uklanjanja ponorima stakleničkih plinova u skladu s člankom 32. stavkom 1. ili informacije o mogućim promjenama tog sustava, ako je takav opis već dostavljen; </w:t>
      </w:r>
    </w:p>
    <w:p>
      <w:pPr>
        <w:pStyle w:val="Point0letter"/>
        <w:rPr>
          <w:noProof/>
        </w:rPr>
      </w:pPr>
      <w:r>
        <w:rPr>
          <w:noProof/>
        </w:rPr>
        <w:t>ažuriranja vezana uz svoje dugoročne strategije za niske emisije iz članka 14. i napredak u provedbi tih strategija;</w:t>
      </w:r>
    </w:p>
    <w:p>
      <w:pPr>
        <w:pStyle w:val="Point0letter"/>
        <w:rPr>
          <w:noProof/>
        </w:rPr>
      </w:pPr>
      <w:r>
        <w:rPr>
          <w:noProof/>
        </w:rPr>
        <w:t xml:space="preserve">informacije o nacionalnim politikama i mjerama, ili skupinama mjera, te o provedbi politika i mjera ili skupina mjera Unije koja ograničavaju ili smanjuju emisije iz izvora i povećavaju uklanjanje ponorima stakleničkih plinova, razvrstane po sektorima i plinovima ili skupini plinova (HFC i PFC) iz dijela 2. Priloga III. Te informacije odnose se na primjenljive i odgovarajuće nacionalne politike ili politike Unije i uključuju: </w:t>
      </w:r>
    </w:p>
    <w:p>
      <w:pPr>
        <w:pStyle w:val="Point1"/>
        <w:rPr>
          <w:noProof/>
        </w:rPr>
      </w:pPr>
      <w:r>
        <w:rPr>
          <w:noProof/>
        </w:rPr>
        <w:t>i.</w:t>
      </w:r>
      <w:r>
        <w:rPr>
          <w:noProof/>
        </w:rPr>
        <w:tab/>
        <w:t>cilj politike ili mjere i kratki opis politike ili mjere;</w:t>
      </w:r>
    </w:p>
    <w:p>
      <w:pPr>
        <w:pStyle w:val="Point1"/>
        <w:rPr>
          <w:noProof/>
        </w:rPr>
      </w:pPr>
      <w:r>
        <w:rPr>
          <w:noProof/>
        </w:rPr>
        <w:t>ii.</w:t>
      </w:r>
      <w:r>
        <w:rPr>
          <w:noProof/>
        </w:rPr>
        <w:tab/>
        <w:t>vrstu instrumenta politike;</w:t>
      </w:r>
    </w:p>
    <w:p>
      <w:pPr>
        <w:pStyle w:val="Point1"/>
        <w:rPr>
          <w:noProof/>
        </w:rPr>
      </w:pPr>
      <w:r>
        <w:rPr>
          <w:noProof/>
        </w:rPr>
        <w:t>iii.</w:t>
      </w:r>
      <w:r>
        <w:rPr>
          <w:noProof/>
        </w:rPr>
        <w:tab/>
        <w:t>stanje provedbe politike ili mjere ili skupine mjera;</w:t>
      </w:r>
    </w:p>
    <w:p>
      <w:pPr>
        <w:pStyle w:val="Point1"/>
        <w:rPr>
          <w:noProof/>
        </w:rPr>
      </w:pPr>
      <w:r>
        <w:rPr>
          <w:noProof/>
        </w:rPr>
        <w:t>iv.</w:t>
      </w:r>
      <w:r>
        <w:rPr>
          <w:noProof/>
        </w:rPr>
        <w:tab/>
        <w:t>pokazatelje za praćenje i ocjenu napretka tijekom vremena;</w:t>
      </w:r>
    </w:p>
    <w:p>
      <w:pPr>
        <w:pStyle w:val="Point1"/>
        <w:rPr>
          <w:noProof/>
        </w:rPr>
      </w:pPr>
      <w:r>
        <w:rPr>
          <w:noProof/>
        </w:rPr>
        <w:lastRenderedPageBreak/>
        <w:t>v.</w:t>
      </w:r>
      <w:r>
        <w:rPr>
          <w:noProof/>
        </w:rPr>
        <w:tab/>
        <w:t xml:space="preserve">kvantitativne procjene učinaka na emisije iz izvora i uklanjanja ponorima stakleničkih plinova razvrstanih u: </w:t>
      </w:r>
    </w:p>
    <w:p>
      <w:pPr>
        <w:pStyle w:val="Tiret2"/>
        <w:numPr>
          <w:ilvl w:val="0"/>
          <w:numId w:val="12"/>
        </w:numPr>
        <w:rPr>
          <w:noProof/>
        </w:rPr>
      </w:pPr>
      <w:r>
        <w:rPr>
          <w:noProof/>
        </w:rPr>
        <w:t>rezultate ex ante ocjena učinaka pojedinačnih politika ili skupina politika i mjera o ublažavanju klimatskih promjena. Procjene se dostavljaju za niz od četiri buduće godine koje završavaju s 0 ili 5 i dolaze neposredno nakon izvještajne godine, uz razlikovanje emisija stakleničkih plinova iz Direktive 2003/87/EZ, Uredbe [ ] [ESR] i Uredbe [ ] [LULUCF];</w:t>
      </w:r>
    </w:p>
    <w:p>
      <w:pPr>
        <w:pStyle w:val="Tiret2"/>
        <w:rPr>
          <w:noProof/>
        </w:rPr>
      </w:pPr>
      <w:r>
        <w:rPr>
          <w:noProof/>
        </w:rPr>
        <w:t>rezultate ex post ocjena učinaka pojedinačnih politika ili skupina politika i mjera o ublažavanju klimatskih promjena, ako su dostupni, uz razlikovanje emisija stakleničkih plinova iz Direktive 2003/87/EZ, Uredbe [ ] [ESR] i Uredbe [ ] [LULUCF];</w:t>
      </w:r>
    </w:p>
    <w:p>
      <w:pPr>
        <w:pStyle w:val="Point1"/>
        <w:rPr>
          <w:noProof/>
        </w:rPr>
      </w:pPr>
      <w:r>
        <w:rPr>
          <w:noProof/>
        </w:rPr>
        <w:t>vi.</w:t>
      </w:r>
      <w:r>
        <w:rPr>
          <w:noProof/>
        </w:rPr>
        <w:tab/>
        <w:t>procjene predviđenih troškova i koristi politika i mjera, kao i procjene stvarnih troškova i koristi politika i mjera;</w:t>
      </w:r>
    </w:p>
    <w:p>
      <w:pPr>
        <w:pStyle w:val="Point1"/>
        <w:rPr>
          <w:noProof/>
        </w:rPr>
      </w:pPr>
      <w:r>
        <w:rPr>
          <w:noProof/>
        </w:rPr>
        <w:t>vii.</w:t>
      </w:r>
      <w:r>
        <w:rPr>
          <w:noProof/>
        </w:rPr>
        <w:tab/>
        <w:t xml:space="preserve">sva upućivanja na ocjene troškova i učinaka nacionalnih politika i mjera, na informacije u provedbi politika i mjera Unije, koje ograničavaju ili smanjuju emisije stakleničkih plinova iz izvora ili jačaju uklanjanja ponorima te na popratna tehnička izvješća;  </w:t>
      </w:r>
    </w:p>
    <w:p>
      <w:pPr>
        <w:pStyle w:val="Point1"/>
        <w:rPr>
          <w:noProof/>
        </w:rPr>
      </w:pPr>
      <w:r>
        <w:rPr>
          <w:noProof/>
        </w:rPr>
        <w:t>viii.</w:t>
      </w:r>
      <w:r>
        <w:rPr>
          <w:noProof/>
        </w:rPr>
        <w:tab/>
        <w:t xml:space="preserve">ocjenu doprinosa politike ili mjere ostvarivanju dugoročne strategije za niske emisije iz članka 14.; </w:t>
      </w:r>
    </w:p>
    <w:p>
      <w:pPr>
        <w:pStyle w:val="Point0letter"/>
        <w:rPr>
          <w:noProof/>
        </w:rPr>
      </w:pPr>
      <w:r>
        <w:rPr>
          <w:noProof/>
        </w:rPr>
        <w:t>informacije o planiranim dodatnim nacionalnim politikama i mjerama predviđenim s ciljem ograničavanja emisija stakleničkih plinova povrh svojih obaveza na temelju Uredbe [ ] [ESR] i Uredbe [ ] [LULUCF];</w:t>
      </w:r>
    </w:p>
    <w:p>
      <w:pPr>
        <w:pStyle w:val="Point0letter"/>
        <w:rPr>
          <w:noProof/>
        </w:rPr>
      </w:pPr>
      <w:r>
        <w:rPr>
          <w:noProof/>
        </w:rPr>
        <w:t>informacije u pogledu poveznica između različitih politika i mjera o kojima se izvještava u skladu s točkom (c) i načina na koji takve politike i mjere pridonose različitim scenarijima projekcija.</w:t>
      </w:r>
    </w:p>
    <w:p>
      <w:pPr>
        <w:pStyle w:val="Annexetitre"/>
        <w:rPr>
          <w:b w:val="0"/>
          <w:i/>
          <w:noProof/>
          <w:u w:val="none"/>
        </w:rPr>
      </w:pPr>
      <w:r>
        <w:rPr>
          <w:b w:val="0"/>
          <w:i/>
          <w:noProof/>
          <w:u w:val="none"/>
        </w:rPr>
        <w:t>PRILOG V.</w:t>
      </w:r>
    </w:p>
    <w:p>
      <w:pPr>
        <w:jc w:val="center"/>
        <w:rPr>
          <w:noProof/>
        </w:rPr>
      </w:pPr>
      <w:r>
        <w:rPr>
          <w:b/>
          <w:noProof/>
        </w:rPr>
        <w:t>PODACI O PROJEKCIJAMA U PODRUČJU EMISIJA STAKLENIČKIH PLINOVA</w:t>
      </w:r>
    </w:p>
    <w:p>
      <w:pPr>
        <w:rPr>
          <w:rFonts w:eastAsia="Times New Roman"/>
          <w:noProof/>
          <w:color w:val="000000"/>
          <w:sz w:val="19"/>
          <w:szCs w:val="19"/>
        </w:rPr>
      </w:pPr>
      <w:r>
        <w:rPr>
          <w:noProof/>
        </w:rPr>
        <w:t>Podaci koji se trebaju uključiti u izvješća iz članka 16.</w:t>
      </w:r>
    </w:p>
    <w:p>
      <w:pPr>
        <w:pStyle w:val="Point0letter"/>
        <w:numPr>
          <w:ilvl w:val="1"/>
          <w:numId w:val="3"/>
        </w:numPr>
        <w:rPr>
          <w:noProof/>
        </w:rPr>
      </w:pPr>
      <w:r>
        <w:rPr>
          <w:noProof/>
        </w:rPr>
        <w:t xml:space="preserve">projekcije bez mjera, ako su dostupne, projekcije s mjerama i projekcije s dodatnim mjerama; </w:t>
      </w:r>
    </w:p>
    <w:p>
      <w:pPr>
        <w:pStyle w:val="Point0letter"/>
        <w:rPr>
          <w:noProof/>
        </w:rPr>
      </w:pPr>
      <w:r>
        <w:rPr>
          <w:noProof/>
        </w:rPr>
        <w:t xml:space="preserve">projekcije ukupnih stakleničkih plinova i odvojene procjene predviđenih emisija stakleničkih plinova za izvore emisija iz Direktive 2003/87/EZ i Uredbe [ ] [ESR] i predviđene emisije iz izvora i uklanjanja po ponorima u okviru Uredbe [ ] [LULUCF]; </w:t>
      </w:r>
    </w:p>
    <w:p>
      <w:pPr>
        <w:pStyle w:val="Point0letter"/>
        <w:rPr>
          <w:noProof/>
        </w:rPr>
      </w:pPr>
      <w:r>
        <w:rPr>
          <w:noProof/>
        </w:rPr>
        <w:t xml:space="preserve">utjecaj politika i mjera utvrđenih u skladu s člankom 16. stavkom 1. točkom (a). Kada takve politike i mjere nisu uključene, to mora biti jasno navedeno i objašnjeno; </w:t>
      </w:r>
    </w:p>
    <w:p>
      <w:pPr>
        <w:pStyle w:val="Point0letter"/>
        <w:rPr>
          <w:noProof/>
        </w:rPr>
      </w:pPr>
      <w:r>
        <w:rPr>
          <w:noProof/>
        </w:rPr>
        <w:t xml:space="preserve">rezultati analize osjetljivosti provedene za projekcije i podaci o upotrijebljenim modelima i parametrima; </w:t>
      </w:r>
    </w:p>
    <w:p>
      <w:pPr>
        <w:pStyle w:val="Point0letter"/>
        <w:rPr>
          <w:noProof/>
        </w:rPr>
      </w:pPr>
      <w:r>
        <w:rPr>
          <w:noProof/>
        </w:rPr>
        <w:t xml:space="preserve">sva odgovarajuća upućivanja na ocjene i tehnička izvješća na kojima se temelje projekcije iz članka 16. stavka 4. </w:t>
      </w:r>
    </w:p>
    <w:p>
      <w:pPr>
        <w:pStyle w:val="Annexetitre"/>
        <w:rPr>
          <w:b w:val="0"/>
          <w:i/>
          <w:noProof/>
          <w:u w:val="none"/>
        </w:rPr>
      </w:pPr>
      <w:r>
        <w:rPr>
          <w:b w:val="0"/>
          <w:i/>
          <w:noProof/>
          <w:u w:val="none"/>
        </w:rPr>
        <w:t>PRILOG VI.</w:t>
      </w:r>
    </w:p>
    <w:p>
      <w:pPr>
        <w:jc w:val="center"/>
        <w:rPr>
          <w:noProof/>
        </w:rPr>
      </w:pPr>
      <w:r>
        <w:rPr>
          <w:b/>
          <w:noProof/>
        </w:rPr>
        <w:lastRenderedPageBreak/>
        <w:t>PODACI O NACIONALNIM MJERAMA PRILAGODBE, FINANCIJSKOJ I TEHNOLOŠKOJ POTPORI ZEMLJAMA U RAZVOJU, PRIHODIMA OD DRAŽBOVNE PRODAJE</w:t>
      </w:r>
    </w:p>
    <w:p>
      <w:pPr>
        <w:jc w:val="center"/>
        <w:rPr>
          <w:b/>
          <w:noProof/>
        </w:rPr>
      </w:pPr>
      <w:r>
        <w:rPr>
          <w:b/>
          <w:noProof/>
        </w:rPr>
        <w:t>Dio 1.</w:t>
      </w:r>
    </w:p>
    <w:p>
      <w:pPr>
        <w:jc w:val="center"/>
        <w:rPr>
          <w:i/>
          <w:noProof/>
        </w:rPr>
      </w:pPr>
      <w:r>
        <w:rPr>
          <w:i/>
          <w:noProof/>
        </w:rPr>
        <w:t>Izvješćivanje o prilagodbi</w:t>
      </w:r>
    </w:p>
    <w:p>
      <w:pPr>
        <w:pStyle w:val="NormalWeb"/>
        <w:rPr>
          <w:noProof/>
        </w:rPr>
      </w:pPr>
      <w:r>
        <w:rPr>
          <w:noProof/>
        </w:rPr>
        <w:t>Podaci koji se trebaju uključiti u izvješća iz članka 17. stavka 1.:</w:t>
      </w:r>
    </w:p>
    <w:p>
      <w:pPr>
        <w:pStyle w:val="Point0letter"/>
        <w:numPr>
          <w:ilvl w:val="1"/>
          <w:numId w:val="34"/>
        </w:numPr>
        <w:rPr>
          <w:noProof/>
        </w:rPr>
      </w:pPr>
      <w:r>
        <w:rPr>
          <w:noProof/>
        </w:rPr>
        <w:t>glavni ciljevi prilagodbe i institucionalni okvir za prilagodbu;</w:t>
      </w:r>
    </w:p>
    <w:p>
      <w:pPr>
        <w:pStyle w:val="Point0letter"/>
        <w:rPr>
          <w:noProof/>
        </w:rPr>
      </w:pPr>
      <w:r>
        <w:rPr>
          <w:noProof/>
        </w:rPr>
        <w:t xml:space="preserve">projekcije klimatskih promjena, uključujući vremenske ekstreme, utjecaje klimatskih promjena, ocjenu ranjivosti na klimatske promjene i rizika klimatskih promjena te ključne klimatske nepogode; </w:t>
      </w:r>
    </w:p>
    <w:p>
      <w:pPr>
        <w:pStyle w:val="Point0letter"/>
        <w:rPr>
          <w:noProof/>
        </w:rPr>
      </w:pPr>
      <w:r>
        <w:rPr>
          <w:noProof/>
        </w:rPr>
        <w:t xml:space="preserve">sposobnost prilagodbe; </w:t>
      </w:r>
    </w:p>
    <w:p>
      <w:pPr>
        <w:pStyle w:val="Point0letter"/>
        <w:rPr>
          <w:noProof/>
        </w:rPr>
      </w:pPr>
      <w:r>
        <w:rPr>
          <w:noProof/>
        </w:rPr>
        <w:t>planovi i strategije prilagodbe;</w:t>
      </w:r>
    </w:p>
    <w:p>
      <w:pPr>
        <w:pStyle w:val="Point0letter"/>
        <w:rPr>
          <w:noProof/>
        </w:rPr>
      </w:pPr>
      <w:r>
        <w:rPr>
          <w:noProof/>
        </w:rPr>
        <w:t>institucionalno uređenje, uključujući vertikalno i horizontalno upravljanje i koordinaciju, sustave praćenja i evaluacije;</w:t>
      </w:r>
    </w:p>
    <w:p>
      <w:pPr>
        <w:pStyle w:val="Point0letter"/>
        <w:rPr>
          <w:noProof/>
        </w:rPr>
      </w:pPr>
      <w:r>
        <w:rPr>
          <w:noProof/>
        </w:rPr>
        <w:t xml:space="preserve">napredak ostvaren u provedbi, uključujući dobre prakse i promjene u upravljanju. </w:t>
      </w:r>
    </w:p>
    <w:p>
      <w:pPr>
        <w:jc w:val="center"/>
        <w:rPr>
          <w:b/>
          <w:noProof/>
        </w:rPr>
      </w:pPr>
      <w:r>
        <w:rPr>
          <w:b/>
          <w:noProof/>
        </w:rPr>
        <w:t>Dio 2.</w:t>
      </w:r>
    </w:p>
    <w:p>
      <w:pPr>
        <w:jc w:val="center"/>
        <w:rPr>
          <w:i/>
          <w:noProof/>
        </w:rPr>
      </w:pPr>
      <w:r>
        <w:rPr>
          <w:i/>
          <w:noProof/>
        </w:rPr>
        <w:t>Izvješćivanje o potpori zemljama u razvoju</w:t>
      </w:r>
    </w:p>
    <w:p>
      <w:pPr>
        <w:rPr>
          <w:noProof/>
        </w:rPr>
      </w:pPr>
      <w:r>
        <w:rPr>
          <w:noProof/>
        </w:rPr>
        <w:t>Podaci koji se trebaju uključiti u izvješća iz članka 17. stavka 2. točke (a):</w:t>
      </w:r>
    </w:p>
    <w:p>
      <w:pPr>
        <w:pStyle w:val="Point0letter"/>
        <w:numPr>
          <w:ilvl w:val="1"/>
          <w:numId w:val="5"/>
        </w:numPr>
        <w:rPr>
          <w:noProof/>
        </w:rPr>
      </w:pPr>
      <w:r>
        <w:rPr>
          <w:noProof/>
        </w:rPr>
        <w:t>podaci o financijskoj potpori dodijeljenoj i isplaćenoj zemljama u razvoju za godinu X-1, uključujući:</w:t>
      </w:r>
    </w:p>
    <w:p>
      <w:pPr>
        <w:pStyle w:val="Point1"/>
        <w:rPr>
          <w:noProof/>
        </w:rPr>
      </w:pPr>
      <w:r>
        <w:rPr>
          <w:noProof/>
        </w:rPr>
        <w:t>i.</w:t>
      </w:r>
      <w:r>
        <w:rPr>
          <w:noProof/>
        </w:rPr>
        <w:tab/>
        <w:t xml:space="preserve">kvantitativni podaci o javnim i mobiliziranim sredstvima država članica. Informacije o financijskim tijekovima trebaju se temeljiti na takozvanim „pokazateljima iz Rija” za potpore za ublažavanje klimatskih promjena i potpore za prilagođivanje klimatskim promjenama i drugim sustavima praćenja koje je uveo Odbor za razvojnu pomoć OECD-a; </w:t>
      </w:r>
    </w:p>
    <w:p>
      <w:pPr>
        <w:pStyle w:val="Point1"/>
        <w:rPr>
          <w:noProof/>
        </w:rPr>
      </w:pPr>
      <w:r>
        <w:rPr>
          <w:noProof/>
        </w:rPr>
        <w:t>ii.</w:t>
      </w:r>
      <w:r>
        <w:rPr>
          <w:noProof/>
        </w:rPr>
        <w:tab/>
        <w:t>kvalitativni metodološki podaci u kojima se objašnjava metoda koja je upotrijebljena za izračun kvantitativnih podataka, uključujući objašnjenje metodologije za kvantificiranje svojih podataka, i prema potrebi, i druge informacije o definicijama i metodologijama upotrijebljenim za utvrđivanje brojki, ako ih ima, osobito u pogledu dostavljenih podataka o mobiliziranim financijskim tijekovima;</w:t>
      </w:r>
    </w:p>
    <w:p>
      <w:pPr>
        <w:pStyle w:val="Point1"/>
        <w:rPr>
          <w:noProof/>
        </w:rPr>
      </w:pPr>
      <w:r>
        <w:rPr>
          <w:noProof/>
        </w:rPr>
        <w:t>iii.</w:t>
      </w:r>
      <w:r>
        <w:rPr>
          <w:noProof/>
        </w:rPr>
        <w:tab/>
        <w:t>dostupni podaci o aktivnostima države članice povezanim s projektima prijenosa tehnologije financiranim javnim sredstvima i projektima izgradnje kapaciteta za zemlje u razvoju u okviru UNFCCC-a, uključujući podatke o tome je li prenesena tehnologija ili projekt izgradnje kapaciteta bio upotrijebljen za ublažavanje učinaka klimatskih promjena ili prilagodbu tim učincima, podatke o zemlji primateljici, iznosu pružene potpore i vrsti prenesene tehnologije ili projekta izgradnje kapaciteta;</w:t>
      </w:r>
    </w:p>
    <w:p>
      <w:pPr>
        <w:pStyle w:val="Point0letter"/>
        <w:numPr>
          <w:ilvl w:val="1"/>
          <w:numId w:val="5"/>
        </w:numPr>
        <w:rPr>
          <w:noProof/>
        </w:rPr>
      </w:pPr>
      <w:r>
        <w:rPr>
          <w:noProof/>
        </w:rPr>
        <w:t xml:space="preserve">podaci za godinu X i naredne godine o planiranom pružanju potpore, uključujući podatke o planiranim aktivnostima povezanim s projektima prijenosa tehnologije </w:t>
      </w:r>
      <w:r>
        <w:rPr>
          <w:noProof/>
        </w:rPr>
        <w:lastRenderedPageBreak/>
        <w:t>financiranim javnim sredstvima i projektima izgradnje kapaciteta za zemlje u razvoju u okviru UNFCCC-a, i o tehnologijama koje se trebaju prenijeti i projektima izgradnje kapaciteta, uključujući podatke o tome jesu li prenesena tehnologija ili projekt izgradnje kapaciteta namijenjeni za ublažavanje učinaka klimatskih promjena ili prilagodbu tim učincima, podatke o zemlji primateljici, iznosu pružene potpore i vrsti prenesene tehnologije ili projekta izgradnje kapaciteta.</w:t>
      </w:r>
    </w:p>
    <w:p>
      <w:pPr>
        <w:jc w:val="center"/>
        <w:rPr>
          <w:b/>
          <w:noProof/>
        </w:rPr>
      </w:pPr>
      <w:r>
        <w:rPr>
          <w:b/>
          <w:noProof/>
        </w:rPr>
        <w:t>Dio 3.</w:t>
      </w:r>
    </w:p>
    <w:p>
      <w:pPr>
        <w:jc w:val="center"/>
        <w:rPr>
          <w:i/>
          <w:noProof/>
        </w:rPr>
      </w:pPr>
      <w:r>
        <w:rPr>
          <w:i/>
          <w:noProof/>
        </w:rPr>
        <w:t>Izvješćivanje o prihodima od dražbovne prodaje</w:t>
      </w:r>
    </w:p>
    <w:p>
      <w:pPr>
        <w:rPr>
          <w:noProof/>
        </w:rPr>
      </w:pPr>
      <w:r>
        <w:rPr>
          <w:noProof/>
        </w:rPr>
        <w:t xml:space="preserve">Podaci koji se trebaju uključiti u izvješća iz članka 17. stavka 2. točke (b): </w:t>
      </w:r>
    </w:p>
    <w:p>
      <w:pPr>
        <w:pStyle w:val="Point0letter"/>
        <w:numPr>
          <w:ilvl w:val="1"/>
          <w:numId w:val="6"/>
        </w:numPr>
        <w:rPr>
          <w:noProof/>
        </w:rPr>
      </w:pPr>
      <w:r>
        <w:rPr>
          <w:noProof/>
        </w:rPr>
        <w:t xml:space="preserve">informacije o korištenju prihoda tijekom godine X-1 koje je država članica zaradila prodajom emisijskih jedinica na dražbama u skladu s člankom 10. stavkom 1. Direktive 2003/87/EZ, uključujući informacije o takvim prihodima koji su upotrijebljeni za jednu ili više namjena iz članka 10. stavka 3. navedene Direktive, ili jednaku financijsku vrijednost tih prihoda i mjera poduzetih u skladu s navedenim člankom; </w:t>
      </w:r>
    </w:p>
    <w:p>
      <w:pPr>
        <w:pStyle w:val="Point0letter"/>
        <w:numPr>
          <w:ilvl w:val="1"/>
          <w:numId w:val="5"/>
        </w:numPr>
        <w:rPr>
          <w:noProof/>
        </w:rPr>
      </w:pPr>
      <w:r>
        <w:rPr>
          <w:noProof/>
        </w:rPr>
        <w:t xml:space="preserve">informacije o korištenju, koje je utvrdila država članica, svih prihoda koje je država članica zaradila prodajom emisijskih jedinica na dražbama u skladu s člankom 3.d stavcima 1. ili 2. Direktive 2003/87/EZ; te informacije dostavljaju se u skladu s člankom 3.d stavkom 4. navedene Direktive; </w:t>
      </w:r>
    </w:p>
    <w:p>
      <w:pPr>
        <w:rPr>
          <w:noProof/>
        </w:rPr>
      </w:pPr>
      <w:r>
        <w:rPr>
          <w:noProof/>
        </w:rPr>
        <w:t>Prihodi od dražbovne prodaje koji u trenutku kad država članica podnosi izvješće Komisiji, u skladu s člankom 17. stavkom 2. točkom (b), nisu isplaćeni, kvantificiraju se i dostavljaju u izvješćima za sljedeće godine.</w:t>
      </w:r>
    </w:p>
    <w:p>
      <w:pPr>
        <w:pStyle w:val="Annexetitre"/>
        <w:rPr>
          <w:b w:val="0"/>
          <w:i/>
          <w:noProof/>
          <w:u w:val="none"/>
        </w:rPr>
      </w:pPr>
      <w:r>
        <w:rPr>
          <w:b w:val="0"/>
          <w:i/>
          <w:noProof/>
          <w:u w:val="none"/>
        </w:rPr>
        <w:t>PRILOG VII.</w:t>
      </w:r>
    </w:p>
    <w:p>
      <w:pPr>
        <w:jc w:val="center"/>
        <w:rPr>
          <w:noProof/>
        </w:rPr>
      </w:pPr>
      <w:r>
        <w:rPr>
          <w:b/>
          <w:noProof/>
        </w:rPr>
        <w:t>DODATNE OBVEZE U POGLEDU IZVJEŠĆIVANJA</w:t>
      </w:r>
    </w:p>
    <w:p>
      <w:pPr>
        <w:jc w:val="center"/>
        <w:rPr>
          <w:b/>
          <w:noProof/>
        </w:rPr>
      </w:pPr>
      <w:r>
        <w:rPr>
          <w:b/>
          <w:noProof/>
        </w:rPr>
        <w:t>Dio 1.</w:t>
      </w:r>
    </w:p>
    <w:p>
      <w:pPr>
        <w:jc w:val="center"/>
        <w:rPr>
          <w:i/>
          <w:noProof/>
        </w:rPr>
      </w:pPr>
      <w:r>
        <w:rPr>
          <w:i/>
          <w:noProof/>
        </w:rPr>
        <w:t>Dodatne obveze u pogledu izvješćivanja u području proizvodnje energije iz obnovljivih izvora</w:t>
      </w:r>
    </w:p>
    <w:p>
      <w:pPr>
        <w:rPr>
          <w:b/>
          <w:noProof/>
          <w:sz w:val="28"/>
          <w:szCs w:val="28"/>
        </w:rPr>
      </w:pPr>
      <w:r>
        <w:rPr>
          <w:noProof/>
        </w:rPr>
        <w:t>Osim ako je drugačije navedeno, u skladu s člankom 18. stavkom 6. točkom (b) navode se sljedeće dodatne informacije:</w:t>
      </w:r>
    </w:p>
    <w:p>
      <w:pPr>
        <w:pStyle w:val="Point0letter"/>
        <w:numPr>
          <w:ilvl w:val="1"/>
          <w:numId w:val="7"/>
        </w:numPr>
        <w:rPr>
          <w:noProof/>
        </w:rPr>
      </w:pPr>
      <w:r>
        <w:rPr>
          <w:noProof/>
        </w:rPr>
        <w:t>djelovanje sustava jamstava o podrijetlu za električnu energiju i grijanje i hlađenje iz obnovljivih izvora energije, razine izdanih i poništenih jamstava o podrijetlu i iz toga proistekla godišnja nacionalna potrošnja energije iz obnovljivih izvora, kao i mjere donesene da se osigura pouzdanost i zaštita od prijevare sustava;</w:t>
      </w:r>
    </w:p>
    <w:p>
      <w:pPr>
        <w:pStyle w:val="Point0letter"/>
        <w:rPr>
          <w:noProof/>
        </w:rPr>
      </w:pPr>
      <w:r>
        <w:rPr>
          <w:noProof/>
        </w:rPr>
        <w:t xml:space="preserve">zbirne informacije iz nacionalnih baza podataka iz članka 25. stavka 4. [preinake Direktive 2009/28/EZ kako je predložena u dokumentu COM(2016) 767] o biogorivima, bioplinu proizvedenom iz sirovina iz Priloga IX. [preinake Direktive 2009/28/EZ kako je predložena u dokumentu COM(2016) 767], obnovljivim gorivima nebiološkog podrijetla namijenjenim uporabi u prometu, fosilnim gorivima nastalim iz otpada i električnoj energiji koju su na tržište stavili dobavljači goriva, uključujući informacije o vrsti goriva, njihovom sadržaju energije i, ako je primjenjivo, sirovini iz koje su nastali i, prema potrebi, njihovom učinku u pogledu smanjene emisije stakleničkih plinova. Ako nacionalne baze podataka ne sadržavaju stvarne vrijednosti, države članice mogu upotrijebiti tipične vrijednosti ili, prema </w:t>
      </w:r>
      <w:r>
        <w:rPr>
          <w:noProof/>
        </w:rPr>
        <w:lastRenderedPageBreak/>
        <w:t>potrebi, zadane vrijednosti iz dijela A i dijela B Priloga V. [preinake Direktive 2009/28/EZ kako je predložena u dokumentu COM(2016) 767];</w:t>
      </w:r>
    </w:p>
    <w:p>
      <w:pPr>
        <w:pStyle w:val="Point0letter"/>
        <w:rPr>
          <w:noProof/>
        </w:rPr>
      </w:pPr>
      <w:r>
        <w:rPr>
          <w:noProof/>
        </w:rPr>
        <w:t>trendovi u raspoloživosti, podrijetlu i uporabi izvora biomase u energetske svrhe;</w:t>
      </w:r>
    </w:p>
    <w:p>
      <w:pPr>
        <w:pStyle w:val="Point0letter"/>
        <w:rPr>
          <w:noProof/>
        </w:rPr>
      </w:pPr>
      <w:r>
        <w:rPr>
          <w:noProof/>
        </w:rPr>
        <w:t>izmjene u cijeni sirovina i uporabi zemljišta u državi članici povezane s povećanom uporabom biomase i drugih oblika energije iz obnovljivih izvora;</w:t>
      </w:r>
    </w:p>
    <w:p>
      <w:pPr>
        <w:pStyle w:val="Point0letter"/>
        <w:rPr>
          <w:noProof/>
        </w:rPr>
      </w:pPr>
      <w:r>
        <w:rPr>
          <w:noProof/>
        </w:rPr>
        <w:t>procijenjeni višak proizvodnje energije iz obnovljivih izvora koji bi se mogao prenijeti na druge države članice kako bi mogle ispuniti zahtjeve iz članka 3. stavka 7. [preinake Direktive 2009/28/EZ kako je predložena u dokumentu COM(2016) 767] i ostvariti nacionalni doprinos i putanje iz članka 5. stavka 2. točke (a) te Direktive;</w:t>
      </w:r>
    </w:p>
    <w:p>
      <w:pPr>
        <w:pStyle w:val="Point0letter"/>
        <w:rPr>
          <w:noProof/>
        </w:rPr>
      </w:pPr>
      <w:r>
        <w:rPr>
          <w:noProof/>
        </w:rPr>
        <w:t>procijenjenu potražnju za energijom iz obnovljivih izvora koja će se zadovoljiti iz drugih izvora, a ne iz domaće proizvodnje do 2030., uključujući uvezenu sirovinu biomase;</w:t>
      </w:r>
    </w:p>
    <w:p>
      <w:pPr>
        <w:pStyle w:val="Point0letter"/>
        <w:rPr>
          <w:noProof/>
        </w:rPr>
      </w:pPr>
      <w:r>
        <w:rPr>
          <w:noProof/>
        </w:rPr>
        <w:t>razvoj i udio biogoriva proizvedenih od sirovina navedenih u Prilogu IX. [preinake Direktive 2009/28/EZ kako je predložena u dokumentu COM(2016) 767], uključujući procjenu resursa koja je usmjerena na aspekte održivosti povezane s učinkom zamjene proizvoda za hranu ljudi i hranu za životinje za potrebe proizvodnje biogoriva, uzimajući u obzir načela hijerarhije otpada uspostavljene u Direktivi 2008/98/EZ i načelo višestruke upotrebe biomase, vodeći računa o regionalnim i lokalnim gospodarskim i tehnološkim prilikama, održavanju potrebnih zaliha ugljika u tlu te kvaliteti tla i ekosustava;</w:t>
      </w:r>
    </w:p>
    <w:p>
      <w:pPr>
        <w:pStyle w:val="Point0letter"/>
        <w:rPr>
          <w:noProof/>
        </w:rPr>
      </w:pPr>
      <w:r>
        <w:rPr>
          <w:noProof/>
        </w:rPr>
        <w:t>procijenjeni učinak proizvodnje ili porabe biogoriva, tekućih biogoriva i goriva iz biomase na bioraznolikost, izvore vode, dostupnost i kvalitetu vode, tlo i kvalitetu zraka u državi članici;</w:t>
      </w:r>
    </w:p>
    <w:p>
      <w:pPr>
        <w:pStyle w:val="Point0letter"/>
        <w:rPr>
          <w:noProof/>
        </w:rPr>
      </w:pPr>
      <w:r>
        <w:rPr>
          <w:noProof/>
        </w:rPr>
        <w:t>rizici ili uočeni slučajevi prijevare u lancu nadzora biogoriva, tekućih biogoriva i goriva iz biomase;</w:t>
      </w:r>
    </w:p>
    <w:p>
      <w:pPr>
        <w:pStyle w:val="Point0letter"/>
        <w:rPr>
          <w:noProof/>
        </w:rPr>
      </w:pPr>
      <w:r>
        <w:rPr>
          <w:noProof/>
        </w:rPr>
        <w:t>informacije o tome kako je procijenjen udio biorazgradivog otpada u otpadu koji se upotrebljava za proizvodnju energije te što je poduzeto da se te procjene poboljšaju i provjere;</w:t>
      </w:r>
    </w:p>
    <w:p>
      <w:pPr>
        <w:pStyle w:val="Point0letter"/>
        <w:rPr>
          <w:noProof/>
        </w:rPr>
      </w:pPr>
      <w:r>
        <w:rPr>
          <w:noProof/>
        </w:rPr>
        <w:t>proizvodnja električne energije i topline iz obnovljive energije u zgradama (kako je definirano u članku 2. stavku 1. Direktive 2010/31/EU). To uključuje podatke razvrstane po proizvedenoj energiji, potrošenoj energiji i energiji stavljenoj u mrežu iz solarnih fotovoltnih sustava, solarnih termalnih sustava, biomase, toplinskih crpki, geotermalnih sustava, kao i iz drugih decentraliziranih sustava obnovljive energije;</w:t>
      </w:r>
    </w:p>
    <w:p>
      <w:pPr>
        <w:pStyle w:val="Point0letter"/>
        <w:rPr>
          <w:noProof/>
        </w:rPr>
      </w:pPr>
      <w:r>
        <w:rPr>
          <w:noProof/>
        </w:rPr>
        <w:t>ako je primjenjivo, udio biogoriva proizvedenih iz prehrambenih sirovina i naprednih biogoriva, udio energije iz obnovljivih izvora u centraliziranom grijanju, kao i obnovljiva energija koju su proizveli gradovi i energetske zajednice kako su definirane u članku 22. [preinake Direktive 2009/28/EZ kako je predložena u dokumentu COM(2016) 767])</w:t>
      </w:r>
    </w:p>
    <w:p>
      <w:pPr>
        <w:pStyle w:val="Point0letter"/>
        <w:rPr>
          <w:noProof/>
        </w:rPr>
      </w:pPr>
      <w:r>
        <w:rPr>
          <w:noProof/>
        </w:rPr>
        <w:t>primarna opskrba krutom biomasom (u 1000 m</w:t>
      </w:r>
      <w:r>
        <w:rPr>
          <w:noProof/>
          <w:vertAlign w:val="superscript"/>
        </w:rPr>
        <w:t>3</w:t>
      </w:r>
      <w:r>
        <w:rPr>
          <w:noProof/>
        </w:rPr>
        <w:t>, osim (1) (b) iii. u tonama)</w:t>
      </w:r>
    </w:p>
    <w:p>
      <w:pPr>
        <w:pStyle w:val="Point1number"/>
        <w:rPr>
          <w:noProof/>
        </w:rPr>
      </w:pPr>
      <w:r>
        <w:rPr>
          <w:noProof/>
        </w:rPr>
        <w:t xml:space="preserve">šumska biomasa koja se upotrebljava za proizvodnju energije (domaća proizvodnja, uvoz i izvoz) </w:t>
      </w:r>
    </w:p>
    <w:p>
      <w:pPr>
        <w:pStyle w:val="Point2letter"/>
        <w:rPr>
          <w:noProof/>
        </w:rPr>
      </w:pPr>
      <w:r>
        <w:rPr>
          <w:noProof/>
        </w:rPr>
        <w:lastRenderedPageBreak/>
        <w:t>primarna biomasa iz šume koja se izravno upotrebljava za proizvodnju energije</w:t>
      </w:r>
    </w:p>
    <w:p>
      <w:pPr>
        <w:pStyle w:val="Point3"/>
        <w:rPr>
          <w:noProof/>
        </w:rPr>
      </w:pPr>
      <w:r>
        <w:rPr>
          <w:noProof/>
        </w:rPr>
        <w:t>i.</w:t>
      </w:r>
      <w:r>
        <w:rPr>
          <w:noProof/>
        </w:rPr>
        <w:tab/>
        <w:t xml:space="preserve">grančice i krošnje stabala (dostavljanje podataka je dobrovoljno)  </w:t>
      </w:r>
    </w:p>
    <w:p>
      <w:pPr>
        <w:pStyle w:val="Point3"/>
        <w:rPr>
          <w:noProof/>
        </w:rPr>
      </w:pPr>
      <w:r>
        <w:rPr>
          <w:noProof/>
        </w:rPr>
        <w:t>ii.</w:t>
      </w:r>
      <w:r>
        <w:rPr>
          <w:noProof/>
        </w:rPr>
        <w:tab/>
        <w:t>panjevi (dostavljanje podataka je dobrovoljno)</w:t>
      </w:r>
    </w:p>
    <w:p>
      <w:pPr>
        <w:pStyle w:val="Point3"/>
        <w:rPr>
          <w:noProof/>
        </w:rPr>
      </w:pPr>
      <w:r>
        <w:rPr>
          <w:noProof/>
        </w:rPr>
        <w:t>iii.</w:t>
      </w:r>
      <w:r>
        <w:rPr>
          <w:noProof/>
        </w:rPr>
        <w:tab/>
        <w:t xml:space="preserve">oblo drvo (raščlanjeno na industrijsko oblo drvo i ogrjevno drvo) </w:t>
      </w:r>
    </w:p>
    <w:p>
      <w:pPr>
        <w:pStyle w:val="Point2letter"/>
        <w:rPr>
          <w:noProof/>
        </w:rPr>
      </w:pPr>
      <w:r>
        <w:rPr>
          <w:noProof/>
        </w:rPr>
        <w:t xml:space="preserve">nusproizvodi šumske industrije koji se izravno upotrebljavaju za proizvodnju energije </w:t>
      </w:r>
    </w:p>
    <w:p>
      <w:pPr>
        <w:pStyle w:val="Point3"/>
        <w:rPr>
          <w:noProof/>
        </w:rPr>
      </w:pPr>
      <w:r>
        <w:rPr>
          <w:noProof/>
        </w:rPr>
        <w:t>i.</w:t>
      </w:r>
      <w:r>
        <w:rPr>
          <w:noProof/>
        </w:rPr>
        <w:tab/>
        <w:t>kora (dostavljanje podataka je dobrovoljno)</w:t>
      </w:r>
    </w:p>
    <w:p>
      <w:pPr>
        <w:pStyle w:val="Point3"/>
        <w:rPr>
          <w:noProof/>
        </w:rPr>
      </w:pPr>
      <w:r>
        <w:rPr>
          <w:noProof/>
        </w:rPr>
        <w:t>ii.</w:t>
      </w:r>
      <w:r>
        <w:rPr>
          <w:noProof/>
        </w:rPr>
        <w:tab/>
        <w:t>drveni otpaci, piljevina i druge drvene čestice</w:t>
      </w:r>
    </w:p>
    <w:p>
      <w:pPr>
        <w:pStyle w:val="Point3"/>
        <w:rPr>
          <w:noProof/>
        </w:rPr>
      </w:pPr>
      <w:r>
        <w:rPr>
          <w:noProof/>
        </w:rPr>
        <w:t>iii.</w:t>
      </w:r>
      <w:r>
        <w:rPr>
          <w:noProof/>
        </w:rPr>
        <w:tab/>
        <w:t>crni lug i sirovo tal-ulje</w:t>
      </w:r>
    </w:p>
    <w:p>
      <w:pPr>
        <w:pStyle w:val="Point2letter"/>
        <w:rPr>
          <w:noProof/>
        </w:rPr>
      </w:pPr>
      <w:r>
        <w:rPr>
          <w:noProof/>
        </w:rPr>
        <w:t>otpadno drvo nakon njegove uporabe koje se upotrebljava izravno za proizvodnju energije</w:t>
      </w:r>
    </w:p>
    <w:p>
      <w:pPr>
        <w:pStyle w:val="Point2letter"/>
        <w:rPr>
          <w:noProof/>
        </w:rPr>
      </w:pPr>
      <w:r>
        <w:rPr>
          <w:noProof/>
        </w:rPr>
        <w:t xml:space="preserve">prerađeno gorivo dobiveno iz drva proizvedeno iz sirovine koja nije navedena pod točkama (1) (a), (1) (b) ili (1) (c): </w:t>
      </w:r>
    </w:p>
    <w:p>
      <w:pPr>
        <w:pStyle w:val="Point3"/>
        <w:rPr>
          <w:noProof/>
        </w:rPr>
      </w:pPr>
      <w:r>
        <w:rPr>
          <w:noProof/>
        </w:rPr>
        <w:t>i.</w:t>
      </w:r>
      <w:r>
        <w:rPr>
          <w:noProof/>
        </w:rPr>
        <w:tab/>
        <w:t>drveni ugljen</w:t>
      </w:r>
    </w:p>
    <w:p>
      <w:pPr>
        <w:pStyle w:val="Point3"/>
        <w:rPr>
          <w:noProof/>
        </w:rPr>
      </w:pPr>
      <w:r>
        <w:rPr>
          <w:noProof/>
        </w:rPr>
        <w:t>ii.</w:t>
      </w:r>
      <w:r>
        <w:rPr>
          <w:noProof/>
        </w:rPr>
        <w:tab/>
        <w:t>drveni peleti i drveni briketi</w:t>
      </w:r>
    </w:p>
    <w:p>
      <w:pPr>
        <w:pStyle w:val="Point1number"/>
        <w:rPr>
          <w:noProof/>
        </w:rPr>
      </w:pPr>
      <w:r>
        <w:rPr>
          <w:noProof/>
        </w:rPr>
        <w:t>poljoprivredna biomasa koja se upotrebljava za proizvodnju energije (domaća proizvodnja, uvoz i izvoz)</w:t>
      </w:r>
    </w:p>
    <w:p>
      <w:pPr>
        <w:pStyle w:val="Point2letter"/>
        <w:rPr>
          <w:noProof/>
        </w:rPr>
      </w:pPr>
      <w:r>
        <w:rPr>
          <w:noProof/>
        </w:rPr>
        <w:t>energetske kulture za proizvodnju električne energije ili topline (uključujući kulture kratkih ophodnji)</w:t>
      </w:r>
    </w:p>
    <w:p>
      <w:pPr>
        <w:pStyle w:val="Point2letter"/>
        <w:rPr>
          <w:noProof/>
        </w:rPr>
      </w:pPr>
      <w:r>
        <w:rPr>
          <w:noProof/>
        </w:rPr>
        <w:t>ostaci poljoprivrednih kultura za proizvodnju električne energije ili topline</w:t>
      </w:r>
    </w:p>
    <w:p>
      <w:pPr>
        <w:pStyle w:val="Point1number"/>
        <w:rPr>
          <w:noProof/>
        </w:rPr>
      </w:pPr>
      <w:r>
        <w:rPr>
          <w:noProof/>
        </w:rPr>
        <w:t xml:space="preserve">biomasa iz organskog otpada koja se upotrebljava za proizvodnju energije (domaća proizvodnja, uvoz i izvoz) </w:t>
      </w:r>
    </w:p>
    <w:p>
      <w:pPr>
        <w:pStyle w:val="Point2letter"/>
        <w:rPr>
          <w:noProof/>
        </w:rPr>
      </w:pPr>
      <w:r>
        <w:rPr>
          <w:noProof/>
        </w:rPr>
        <w:t>organska frakcija industrijskog otpada</w:t>
      </w:r>
    </w:p>
    <w:p>
      <w:pPr>
        <w:pStyle w:val="Point2letter"/>
        <w:rPr>
          <w:noProof/>
        </w:rPr>
      </w:pPr>
      <w:r>
        <w:rPr>
          <w:noProof/>
        </w:rPr>
        <w:t>organska frakcija komunalnog otpada</w:t>
      </w:r>
    </w:p>
    <w:p>
      <w:pPr>
        <w:pStyle w:val="Point2letter"/>
        <w:rPr>
          <w:noProof/>
        </w:rPr>
      </w:pPr>
      <w:r>
        <w:rPr>
          <w:noProof/>
        </w:rPr>
        <w:t>otpadni mulj</w:t>
      </w:r>
    </w:p>
    <w:p>
      <w:pPr>
        <w:pStyle w:val="Point0letter"/>
        <w:rPr>
          <w:noProof/>
        </w:rPr>
      </w:pPr>
      <w:r>
        <w:rPr>
          <w:noProof/>
        </w:rPr>
        <w:t>krajnja potrošnja energije krute biomase (količina krute biomase upotrijebljene za proizvodnju energije u sljedećim sektorima):</w:t>
      </w:r>
    </w:p>
    <w:p>
      <w:pPr>
        <w:pStyle w:val="Point1number"/>
        <w:numPr>
          <w:ilvl w:val="2"/>
          <w:numId w:val="38"/>
        </w:numPr>
        <w:rPr>
          <w:noProof/>
        </w:rPr>
      </w:pPr>
      <w:r>
        <w:rPr>
          <w:noProof/>
        </w:rPr>
        <w:t>energetski sektor</w:t>
      </w:r>
    </w:p>
    <w:p>
      <w:pPr>
        <w:pStyle w:val="Point2letter"/>
        <w:rPr>
          <w:noProof/>
        </w:rPr>
      </w:pPr>
      <w:r>
        <w:rPr>
          <w:noProof/>
        </w:rPr>
        <w:t>električna energija</w:t>
      </w:r>
    </w:p>
    <w:p>
      <w:pPr>
        <w:pStyle w:val="Point2letter"/>
        <w:rPr>
          <w:noProof/>
        </w:rPr>
      </w:pPr>
      <w:r>
        <w:rPr>
          <w:noProof/>
        </w:rPr>
        <w:t>istodobna proizvodnja toplinske i električne energije</w:t>
      </w:r>
    </w:p>
    <w:p>
      <w:pPr>
        <w:pStyle w:val="Point2letter"/>
        <w:rPr>
          <w:noProof/>
        </w:rPr>
      </w:pPr>
      <w:r>
        <w:rPr>
          <w:noProof/>
        </w:rPr>
        <w:t xml:space="preserve">toplina </w:t>
      </w:r>
    </w:p>
    <w:p>
      <w:pPr>
        <w:pStyle w:val="Point1number"/>
        <w:rPr>
          <w:noProof/>
        </w:rPr>
      </w:pPr>
      <w:r>
        <w:rPr>
          <w:noProof/>
        </w:rPr>
        <w:t>unutarnji industrijski sektor (potrošena električna energija i električna energija iz vlastite proizvodnje, istodobna proizvodnja toplinske i električne energije i toplina)</w:t>
      </w:r>
    </w:p>
    <w:p>
      <w:pPr>
        <w:pStyle w:val="Point1number"/>
        <w:rPr>
          <w:noProof/>
        </w:rPr>
      </w:pPr>
      <w:r>
        <w:rPr>
          <w:noProof/>
        </w:rPr>
        <w:t>izravna krajnja potrošnja u stambenim prostorima</w:t>
      </w:r>
    </w:p>
    <w:p>
      <w:pPr>
        <w:pStyle w:val="Point1number"/>
        <w:rPr>
          <w:noProof/>
        </w:rPr>
      </w:pPr>
      <w:r>
        <w:rPr>
          <w:noProof/>
        </w:rPr>
        <w:lastRenderedPageBreak/>
        <w:t>ostali</w:t>
      </w:r>
    </w:p>
    <w:p>
      <w:pPr>
        <w:rPr>
          <w:noProof/>
        </w:rPr>
      </w:pPr>
    </w:p>
    <w:p>
      <w:pPr>
        <w:jc w:val="center"/>
        <w:rPr>
          <w:b/>
          <w:noProof/>
          <w:szCs w:val="24"/>
        </w:rPr>
      </w:pPr>
      <w:r>
        <w:rPr>
          <w:b/>
          <w:noProof/>
        </w:rPr>
        <w:t>Dio 2.</w:t>
      </w:r>
    </w:p>
    <w:p>
      <w:pPr>
        <w:jc w:val="center"/>
        <w:rPr>
          <w:i/>
          <w:noProof/>
          <w:szCs w:val="24"/>
        </w:rPr>
      </w:pPr>
      <w:r>
        <w:rPr>
          <w:i/>
          <w:noProof/>
        </w:rPr>
        <w:t>Dodatne obveze u pogledu izvješćivanja u području energetske učinkovitosti</w:t>
      </w:r>
    </w:p>
    <w:p>
      <w:pPr>
        <w:rPr>
          <w:b/>
          <w:noProof/>
          <w:szCs w:val="24"/>
        </w:rPr>
      </w:pPr>
      <w:r>
        <w:rPr>
          <w:noProof/>
        </w:rPr>
        <w:t>U području energetske učinkovitosti, u skladu s člankom 19. točkom (c), navode se sljedeće dodatne informacije:</w:t>
      </w:r>
    </w:p>
    <w:p>
      <w:pPr>
        <w:pStyle w:val="Point0letter"/>
        <w:numPr>
          <w:ilvl w:val="1"/>
          <w:numId w:val="35"/>
        </w:numPr>
        <w:rPr>
          <w:noProof/>
        </w:rPr>
      </w:pPr>
      <w:r>
        <w:rPr>
          <w:noProof/>
        </w:rPr>
        <w:t>glavne zakonodavne i nezakonodavne politike, mjere, financijske mjere i programi provedeni u godini X-2 i X-1 (pri čemu je godina X godina predaje izvješća) kako bi se ostvarili ciljevi  iz članka 4. točke (b) kojima se promiču tržišta energetskih usluga, poboljšavaju energetska svojstva zgrada, mjere za korištenje potencijala za energetsku učinkovitost plina i infrastrukture električne energije i grijanja i hlađenja, poboljšava informiranje i kvalificiranje, druge mjere za promicanje energetske učinkovitosti;</w:t>
      </w:r>
    </w:p>
    <w:p>
      <w:pPr>
        <w:pStyle w:val="Point0letter"/>
        <w:rPr>
          <w:noProof/>
          <w:szCs w:val="24"/>
        </w:rPr>
      </w:pPr>
      <w:r>
        <w:rPr>
          <w:noProof/>
        </w:rPr>
        <w:t>uštede energije ostvarene primjenom članka 7. Direktive 2012/27/EU [kako je izmijenjena prijedlogom COM(2016)761] u godinama X-3 i X-2;</w:t>
      </w:r>
    </w:p>
    <w:p>
      <w:pPr>
        <w:pStyle w:val="Point0letter"/>
        <w:rPr>
          <w:noProof/>
          <w:szCs w:val="24"/>
        </w:rPr>
      </w:pPr>
      <w:r>
        <w:rPr>
          <w:noProof/>
        </w:rPr>
        <w:t>napredak u svakom sektoru i razlozi zašto je potrošnja energije ostala stabilna ili je rasla u godini X-3 i X-2 u sektorima krajnje potrošnje energije;</w:t>
      </w:r>
    </w:p>
    <w:p>
      <w:pPr>
        <w:pStyle w:val="Point0letter"/>
        <w:rPr>
          <w:noProof/>
          <w:szCs w:val="24"/>
        </w:rPr>
      </w:pPr>
      <w:r>
        <w:rPr>
          <w:noProof/>
        </w:rPr>
        <w:t>ukupnu površinu poda zgrada u vlasništvu i uporabi središnje vlasti država članica, čija ukupna korisna površina poda prelazi 250 m</w:t>
      </w:r>
      <w:r>
        <w:rPr>
          <w:noProof/>
          <w:vertAlign w:val="superscript"/>
        </w:rPr>
        <w:t xml:space="preserve">2 </w:t>
      </w:r>
      <w:r>
        <w:rPr>
          <w:noProof/>
        </w:rPr>
        <w:t>i koje 1. siječnja godine X-2 i X-1</w:t>
      </w:r>
      <w:r>
        <w:rPr>
          <w:noProof/>
          <w:vertAlign w:val="superscript"/>
        </w:rPr>
        <w:t xml:space="preserve"> </w:t>
      </w:r>
      <w:r>
        <w:rPr>
          <w:noProof/>
        </w:rPr>
        <w:t xml:space="preserve">nisu ispunile zahtjeve u pogledu energetske učinkovitosti iz članka 5. Stavka 1. Direktive 2012/27/EU; </w:t>
      </w:r>
    </w:p>
    <w:p>
      <w:pPr>
        <w:pStyle w:val="Point0letter"/>
        <w:rPr>
          <w:noProof/>
          <w:szCs w:val="24"/>
        </w:rPr>
      </w:pPr>
      <w:r>
        <w:rPr>
          <w:noProof/>
        </w:rPr>
        <w:t>ukupnu površinu poda grijanih i/ili hlađenih zgrada u vlasništvu i uporabi središnje vlasti država članica koja je bila renovirana u godini X-3 i X-2,  kako je navedeno u članku 5. stavku 1. Direktive 2012/27/EU, ili iznos uštede energije u prihvatljivim zgradama u vlasništvu i uporabi središnje vlasti, kako je navedeno u članku 5. stavku 6. Direktive 2012/27/EU;</w:t>
      </w:r>
    </w:p>
    <w:p>
      <w:pPr>
        <w:pStyle w:val="Point0letter"/>
        <w:rPr>
          <w:noProof/>
          <w:szCs w:val="24"/>
        </w:rPr>
      </w:pPr>
      <w:r>
        <w:rPr>
          <w:noProof/>
        </w:rPr>
        <w:t>broj energetskih revizija provedenih u X-3 i X-2. Osim toga, ukupni broj velikih trgovačkih društava na teritoriju države članice na koje se primjenjuje članak 8. stavak 4. Direktive 2012/27/EU i broj energetskih revizija provedenih u tim poduzećima u godini X-3 i X-2;</w:t>
      </w:r>
    </w:p>
    <w:p>
      <w:pPr>
        <w:pStyle w:val="Point0letter"/>
        <w:rPr>
          <w:noProof/>
          <w:szCs w:val="24"/>
        </w:rPr>
      </w:pPr>
      <w:r>
        <w:rPr>
          <w:noProof/>
        </w:rPr>
        <w:t>primijenjeni nacionalni faktor primarne energije za električnu energiju;</w:t>
      </w:r>
    </w:p>
    <w:p>
      <w:pPr>
        <w:pStyle w:val="Point0letter"/>
        <w:rPr>
          <w:noProof/>
          <w:szCs w:val="24"/>
        </w:rPr>
      </w:pPr>
      <w:r>
        <w:rPr>
          <w:noProof/>
        </w:rPr>
        <w:t>broj i površina poda novih i renoviranih zgrada približno nulte energije u godini X-2 i X-1, kako je definirano u članku 9. Direktive 2010/31/EU;</w:t>
      </w:r>
    </w:p>
    <w:p>
      <w:pPr>
        <w:pStyle w:val="Point0letter"/>
        <w:rPr>
          <w:noProof/>
        </w:rPr>
      </w:pPr>
      <w:r>
        <w:rPr>
          <w:noProof/>
        </w:rPr>
        <w:t xml:space="preserve">poveznicu na </w:t>
      </w:r>
      <w:r>
        <w:rPr>
          <w:i/>
          <w:noProof/>
        </w:rPr>
        <w:t>web</w:t>
      </w:r>
      <w:r>
        <w:rPr>
          <w:noProof/>
        </w:rPr>
        <w:t>-mjesto na kojem se može pristupiti popisu ili sučelju pružatelja energetskih usluga iz članka 18. stavka 1. točke (c) Direktive 2012/27/EU.</w:t>
      </w:r>
    </w:p>
    <w:p>
      <w:pPr>
        <w:pStyle w:val="Annexetitre"/>
        <w:rPr>
          <w:b w:val="0"/>
          <w:i/>
          <w:noProof/>
          <w:szCs w:val="24"/>
          <w:u w:val="none"/>
        </w:rPr>
      </w:pPr>
      <w:r>
        <w:rPr>
          <w:b w:val="0"/>
          <w:i/>
          <w:noProof/>
          <w:u w:val="none"/>
        </w:rPr>
        <w:t>PRILOG VIII</w:t>
      </w:r>
    </w:p>
    <w:p>
      <w:pPr>
        <w:jc w:val="center"/>
        <w:rPr>
          <w:noProof/>
        </w:rPr>
      </w:pPr>
      <w:r>
        <w:rPr>
          <w:b/>
          <w:noProof/>
        </w:rPr>
        <w:t>IZVJEŠĆE UNIJE O ODRŽIVOSTI BIOENERGIJE</w:t>
      </w:r>
    </w:p>
    <w:p>
      <w:pPr>
        <w:rPr>
          <w:noProof/>
          <w:szCs w:val="24"/>
        </w:rPr>
      </w:pPr>
      <w:r>
        <w:rPr>
          <w:noProof/>
        </w:rPr>
        <w:t>Izvješće EU-a o održivosti bioenergije u pogledu energije iz biomase, koje Komisija donosi svake dvije godine zajedno s izvješćem o stanju energetske unije u skladu s člankom 29. stavkom 2. točkom (d) sadržava barem sljedeće informacije:</w:t>
      </w:r>
    </w:p>
    <w:p>
      <w:pPr>
        <w:pStyle w:val="Point0letter"/>
        <w:numPr>
          <w:ilvl w:val="1"/>
          <w:numId w:val="8"/>
        </w:numPr>
        <w:rPr>
          <w:noProof/>
          <w:szCs w:val="24"/>
        </w:rPr>
      </w:pPr>
      <w:r>
        <w:rPr>
          <w:noProof/>
        </w:rPr>
        <w:lastRenderedPageBreak/>
        <w:t>relativne prednosti različitih biogoriva, tekućih biogoriva i goriva iz biomase za okoliš i njihove troškove, učinke uvozne politike Unije na njih, posljedice za sigurnost opskrbe te načine za ostvarivanje uravnoteženog pristupa između domaće proizvodnje i uvoza;</w:t>
      </w:r>
    </w:p>
    <w:p>
      <w:pPr>
        <w:pStyle w:val="Point0letter"/>
        <w:rPr>
          <w:noProof/>
          <w:szCs w:val="24"/>
        </w:rPr>
      </w:pPr>
      <w:r>
        <w:rPr>
          <w:noProof/>
        </w:rPr>
        <w:t>učinak proizvodnje i uporabe biomase na održivost u Uniji i u trećim zemljama, uključujući učinke na bioraznolikost;</w:t>
      </w:r>
    </w:p>
    <w:p>
      <w:pPr>
        <w:pStyle w:val="Point0letter"/>
        <w:rPr>
          <w:noProof/>
          <w:szCs w:val="24"/>
        </w:rPr>
      </w:pPr>
      <w:r>
        <w:rPr>
          <w:noProof/>
        </w:rPr>
        <w:t xml:space="preserve">podatke i analize trenutačne i očekivane održive dostupnosti biomase i potražnje za biomasom, uključujući učinak povećane potražnje za biomasom na sektore koji upotrebljavaju biomasu; </w:t>
      </w:r>
    </w:p>
    <w:p>
      <w:pPr>
        <w:pStyle w:val="Point0letter"/>
        <w:rPr>
          <w:noProof/>
          <w:szCs w:val="24"/>
        </w:rPr>
      </w:pPr>
      <w:r>
        <w:rPr>
          <w:noProof/>
        </w:rPr>
        <w:t>tehnološki razvoj, dostupnost i održivost biogoriva proizvedenih od sirovina navedenih u Prilogu IX. [preinake Direktive 2009/28/EZ kako je predložena u prijedlogu COM(2016) 767], uključujući procjenu učinka zamjene proizvoda za hranu ljudi i hranu za životinje za potrebe proizvodnje biogoriva, uzimajući u obzir načela hijerarhije otpada uspostavljene u Direktivi 2008/98/EZ, načelo višestruke upotrebe biomase, vodeći računa o regionalnim i lokalnim gospodarskim i tehnološkim prilikama, održavanje potrebnih zaliha ugljika u tlu te kvalitetu tla i ekosustava;</w:t>
      </w:r>
    </w:p>
    <w:p>
      <w:pPr>
        <w:pStyle w:val="Point0letter"/>
        <w:rPr>
          <w:noProof/>
          <w:szCs w:val="24"/>
        </w:rPr>
      </w:pPr>
      <w:r>
        <w:rPr>
          <w:noProof/>
        </w:rPr>
        <w:t>informacije i analizu dostupnih rezultata znanstvenih istraživanja u pogledu neizravne promjene uporabe zemljišta s obzirom na sve postupke proizvodnje, zajedno s procjenom o tome može li se suziti raspon nesigurnosti prepoznat u analizi koja je temelj procjena emisija povezanih s neizravnom promjenom uporabe zemljišta te može li se uzeti u obzir mogući utjecaj politika Unije poput okoliša, klime i poljoprivrednih politika;  i</w:t>
      </w:r>
    </w:p>
    <w:p>
      <w:pPr>
        <w:pStyle w:val="Point0letter"/>
        <w:rPr>
          <w:noProof/>
          <w:szCs w:val="24"/>
        </w:rPr>
      </w:pPr>
      <w:r>
        <w:rPr>
          <w:noProof/>
        </w:rPr>
        <w:t xml:space="preserve">s obzirom na treće zemlje i na države članice koje su značajniji izvori biogoriva, tekućih biogoriva i goriva iz biomase koje se troši u Uniji, o nacionalnim mjerama poduzetim s ciljem ispunjavanja kriterija održivosti i kriterija uštede stakleničkih plinova utvrđenih članku 26. stavcima od 2. do 7. [preinake Direktive 2009/28/EZ kako je predložena u dokumentu COM(2016) 767] za tlo, vodu i zaštitu zraka. </w:t>
      </w:r>
    </w:p>
    <w:p>
      <w:pPr>
        <w:rPr>
          <w:noProof/>
          <w:szCs w:val="24"/>
        </w:rPr>
      </w:pPr>
      <w:r>
        <w:rPr>
          <w:noProof/>
        </w:rPr>
        <w:t>Pri izvješćivanju o uštedi emisija stakleničkih plinova zbog uporabe biomase, Komisija se služi vrijednostima koje su prijavile države članice u skladu s Prilogom IX. dijelom 1. točkom (b), uključujući privremene srednje vrijednosti procijenjenih emisija u vezi s neizravnom promjenom uporabe zemljišta i povezani raspon koji proizlazi iz analize osjetljivosti u skladu s Prilogom VIII. [preinake Direktive 2009/28/EZ kako je predložena u dokumentu COM(2016) 767]. Komisija objavljuje podatke o privremenim srednjim vrijednostima procijenjenih emisija u vezi s neizravnom promjenom uporabe zemljišta i povezanom rasponu koji je proizašao iz analize osjetljivosti. Osim toga, Komisija procjenjuje hoće li se procjena uštede izravnih emisija promijeniti, i na koje načine, kad bi se uzeli u obzir suproizvodi primjenom supstitucijskog pristupa.</w:t>
      </w:r>
    </w:p>
    <w:p>
      <w:pPr>
        <w:pStyle w:val="Annexetitre"/>
        <w:rPr>
          <w:b w:val="0"/>
          <w:i/>
          <w:noProof/>
          <w:szCs w:val="24"/>
          <w:u w:val="none"/>
        </w:rPr>
      </w:pPr>
      <w:r>
        <w:rPr>
          <w:b w:val="0"/>
          <w:i/>
          <w:noProof/>
          <w:u w:val="none"/>
        </w:rPr>
        <w:t>PRILOG IX.</w:t>
      </w:r>
    </w:p>
    <w:p>
      <w:pPr>
        <w:jc w:val="center"/>
        <w:rPr>
          <w:noProof/>
        </w:rPr>
      </w:pPr>
      <w:r>
        <w:rPr>
          <w:b/>
          <w:noProof/>
        </w:rPr>
        <w:t>DOBROVOLJNI PROGRAMI U POGLEDU KOJIH JE KOMISIJA DONIJELA ODLUKU U SKLADU S ČLANKOM 27. STAVKOM 4. [PREINAKOM DIREKTIVE 2009/28/EZ KAKO JE PREDLOŽENO U DOKUMENTU COM(2016) 767]</w:t>
      </w:r>
    </w:p>
    <w:p>
      <w:pPr>
        <w:rPr>
          <w:noProof/>
          <w:szCs w:val="24"/>
        </w:rPr>
      </w:pPr>
      <w:r>
        <w:rPr>
          <w:noProof/>
        </w:rPr>
        <w:t xml:space="preserve">Izvješće o dobrovoljnim programima u pogledu kojih je Komisija donijela odluku u skladu s člankom 27. stavkom 4. [preinake Direktive 2009/28/EZ kako je predložena u dokumentu COM(2016) 767], koje Komisija donosi svake dvije godine zajedno s izvješćem o stanju </w:t>
      </w:r>
      <w:r>
        <w:rPr>
          <w:noProof/>
        </w:rPr>
        <w:lastRenderedPageBreak/>
        <w:t>energetske unije u skladu s člankom 29. stavkom 2. točkom (e), sadržava procjenu Komisije u pogledu najmanje sljedećeg:</w:t>
      </w:r>
    </w:p>
    <w:p>
      <w:pPr>
        <w:pStyle w:val="Point0letter"/>
        <w:numPr>
          <w:ilvl w:val="1"/>
          <w:numId w:val="9"/>
        </w:numPr>
        <w:rPr>
          <w:noProof/>
          <w:szCs w:val="24"/>
        </w:rPr>
      </w:pPr>
      <w:r>
        <w:rPr>
          <w:noProof/>
        </w:rPr>
        <w:t>neovisnosti, načina i učestalosti revizija, u odnosu na ono što je navedeno o tim aspektima u dokumentaciji programa, u trenutku kada je Komisija odobrila predmetni program, te u odnosu na najbolju industrijsku praksu;</w:t>
      </w:r>
    </w:p>
    <w:p>
      <w:pPr>
        <w:pStyle w:val="Point0letter"/>
        <w:rPr>
          <w:noProof/>
        </w:rPr>
      </w:pPr>
      <w:r>
        <w:rPr>
          <w:noProof/>
        </w:rPr>
        <w:t>dostupnosti, iskustva i transparentnosti prilikom primjene metoda za prepoznavanje i rješavanje slučajeva nesukladnosti, uz obraćanje posebne pozornosti na rješavanje stvarnih ili navodnih ozbiljnih prijestupa od strane članova programa;</w:t>
      </w:r>
    </w:p>
    <w:p>
      <w:pPr>
        <w:pStyle w:val="Point0letter"/>
        <w:rPr>
          <w:noProof/>
        </w:rPr>
      </w:pPr>
      <w:r>
        <w:rPr>
          <w:noProof/>
        </w:rPr>
        <w:t>transparentnosti, osobito u pogledu dostupnosti programa, dostupnosti prijevoda na službene jezike zemalja i regija iz kojih potječu sirovine, dostupnosti popisa ovlaštenih subjekata i odgovarajućih potvrda te revizorskih izvješća;</w:t>
      </w:r>
    </w:p>
    <w:p>
      <w:pPr>
        <w:pStyle w:val="Point0letter"/>
        <w:rPr>
          <w:noProof/>
        </w:rPr>
      </w:pPr>
      <w:r>
        <w:rPr>
          <w:noProof/>
        </w:rPr>
        <w:t>sudjelovanja dionika, osobito u pogledu savjetovanja s autohtonim i lokalnim zajednicama prije donošenja odluke tijekom izrade i preispitivanja programa te tijekom revizija i odgovor na njihove doprinose;</w:t>
      </w:r>
    </w:p>
    <w:p>
      <w:pPr>
        <w:pStyle w:val="Point0letter"/>
        <w:rPr>
          <w:noProof/>
        </w:rPr>
      </w:pPr>
      <w:r>
        <w:rPr>
          <w:noProof/>
        </w:rPr>
        <w:t>ukupne stabilnosti programa, osobito s obzirom na pravila o akreditaciji, kvalifikaciji i neovisnosti revizora i odgovarajućih programskih tijela;</w:t>
      </w:r>
    </w:p>
    <w:p>
      <w:pPr>
        <w:pStyle w:val="Point0letter"/>
        <w:rPr>
          <w:noProof/>
        </w:rPr>
      </w:pPr>
      <w:r>
        <w:rPr>
          <w:noProof/>
        </w:rPr>
        <w:t>ažuriranja programa u odnosu na tržište, količina certificiranih sirovina i biogoriva, po zemlji podrijetla i vrsti, broj sudionika;</w:t>
      </w:r>
    </w:p>
    <w:p>
      <w:pPr>
        <w:pStyle w:val="Point0letter"/>
        <w:rPr>
          <w:noProof/>
        </w:rPr>
      </w:pPr>
      <w:r>
        <w:rPr>
          <w:noProof/>
        </w:rPr>
        <w:t>lakoće i učinkovitosti provedbe sustava za praćenje dokaza o usklađenosti s kriterijima održivosti koji su u programu određeni za njegove članove, pri čemu bi taj sustav trebao služiti kao sredstvo za sprečavanje prijevarnih radnji posebno s ciljem uočavanja, obrade i naknadnih postupaka u vezi sa slučajevima u kojima se sumnja na prijevaru i druge nepravilnosti te prema potrebi broj otkrivenih slučajeva prijevare ili nepravilnosti;</w:t>
      </w:r>
    </w:p>
    <w:p>
      <w:pPr>
        <w:pStyle w:val="Point0letter"/>
        <w:rPr>
          <w:noProof/>
        </w:rPr>
      </w:pPr>
      <w:r>
        <w:rPr>
          <w:noProof/>
        </w:rPr>
        <w:t>opcije za subjekte koji će biti ovlašteni za priznavanje i praćenje tijela za ovjeravanje;</w:t>
      </w:r>
    </w:p>
    <w:p>
      <w:pPr>
        <w:pStyle w:val="Point0letter"/>
        <w:rPr>
          <w:noProof/>
        </w:rPr>
      </w:pPr>
      <w:r>
        <w:rPr>
          <w:noProof/>
        </w:rPr>
        <w:t>kriterija za priznavanje ili akreditaciju tijela za ovjeravanje;</w:t>
      </w:r>
    </w:p>
    <w:p>
      <w:pPr>
        <w:pStyle w:val="Point0letter"/>
        <w:rPr>
          <w:noProof/>
        </w:rPr>
      </w:pPr>
      <w:r>
        <w:rPr>
          <w:noProof/>
        </w:rPr>
        <w:t>pravila za provođenje praćenja tijela za ovjeravanje;</w:t>
      </w:r>
    </w:p>
    <w:p>
      <w:pPr>
        <w:pStyle w:val="Point0letter"/>
        <w:rPr>
          <w:noProof/>
        </w:rPr>
      </w:pPr>
      <w:r>
        <w:rPr>
          <w:noProof/>
        </w:rPr>
        <w:t>načina olakšavanja ili poboljšanja promicanja najbolje prakse.</w:t>
      </w:r>
    </w:p>
    <w:p>
      <w:pPr>
        <w:pStyle w:val="Annexetitre"/>
        <w:rPr>
          <w:b w:val="0"/>
          <w:i/>
          <w:noProof/>
          <w:u w:val="none"/>
        </w:rPr>
      </w:pPr>
      <w:r>
        <w:rPr>
          <w:b w:val="0"/>
          <w:i/>
          <w:noProof/>
          <w:u w:val="none"/>
        </w:rPr>
        <w:t>PRILOG X.</w:t>
      </w:r>
    </w:p>
    <w:p>
      <w:pPr>
        <w:jc w:val="center"/>
        <w:rPr>
          <w:noProof/>
        </w:rPr>
      </w:pPr>
      <w:r>
        <w:rPr>
          <w:b/>
          <w:noProof/>
        </w:rPr>
        <w:t>NACIONALNI SUSTAVI INVENTARA</w:t>
      </w:r>
    </w:p>
    <w:p>
      <w:pPr>
        <w:rPr>
          <w:noProof/>
        </w:rPr>
      </w:pPr>
      <w:r>
        <w:rPr>
          <w:noProof/>
        </w:rPr>
        <w:t>Podaci iz članka 30. uključuju sljedeće:</w:t>
      </w:r>
    </w:p>
    <w:p>
      <w:pPr>
        <w:pStyle w:val="Point0letter"/>
        <w:numPr>
          <w:ilvl w:val="1"/>
          <w:numId w:val="10"/>
        </w:numPr>
        <w:rPr>
          <w:noProof/>
        </w:rPr>
      </w:pPr>
      <w:r>
        <w:rPr>
          <w:noProof/>
        </w:rPr>
        <w:t xml:space="preserve">podatke i metode o kojima se izvješćuje za djelatnosti i postrojenja u skladu s Direktivom 2003/87/EZ radi pripreme nacionalnih inventara stakleničkih plinova, kako bi se osigurala sukladnost emisija stakleničkih plinova o kojima se izvješćuje u sklopu sustava trgovanja emisijskim jedinicama Unije i u nacionalnim inventarima stakleničkih plinova; </w:t>
      </w:r>
    </w:p>
    <w:p>
      <w:pPr>
        <w:pStyle w:val="Point0letter"/>
        <w:rPr>
          <w:noProof/>
        </w:rPr>
      </w:pPr>
      <w:r>
        <w:rPr>
          <w:noProof/>
        </w:rPr>
        <w:t xml:space="preserve">podatke prikupljene kroz sustave izvješćivanja o fluoriranim plinovima u različitim sektorima, koji su uspostavljeni u skladu s člankom 20. Uredbe (EU) br. 517/2014 u svrhu pripreme nacionalnih inventara stakleničkih plinova; </w:t>
      </w:r>
    </w:p>
    <w:p>
      <w:pPr>
        <w:pStyle w:val="Point0letter"/>
        <w:rPr>
          <w:noProof/>
        </w:rPr>
      </w:pPr>
      <w:r>
        <w:rPr>
          <w:noProof/>
        </w:rPr>
        <w:lastRenderedPageBreak/>
        <w:t xml:space="preserve">emisije, temeljne podatke i metodologije o kojima izvješćuju postrojenja iz Uredbe (EZ) br. 166/2006 radi pripreme nacionalnih inventara stakleničkih plinova; </w:t>
      </w:r>
    </w:p>
    <w:p>
      <w:pPr>
        <w:pStyle w:val="Point0letter"/>
        <w:rPr>
          <w:noProof/>
        </w:rPr>
      </w:pPr>
      <w:r>
        <w:rPr>
          <w:noProof/>
        </w:rPr>
        <w:t xml:space="preserve">podatke koji se dostavljaju u skladu s Uredbom (EZ) br. 1099/2008.; </w:t>
      </w:r>
    </w:p>
    <w:p>
      <w:pPr>
        <w:pStyle w:val="Point0letter"/>
        <w:rPr>
          <w:noProof/>
        </w:rPr>
      </w:pPr>
      <w:r>
        <w:rPr>
          <w:noProof/>
        </w:rPr>
        <w:t>podatke koji se prikupljaju geografskim praćenjem zemljišta u kontekstu postojećih programa i istraživanja Unije i država članica za prikupljanje podataka, uključujući LUCAS (Land Use Cover Area frame Survey) i Europski program za promatranje Zemlje Copernicus.</w:t>
      </w:r>
    </w:p>
    <w:p>
      <w:pPr>
        <w:pStyle w:val="Annexetitre"/>
        <w:rPr>
          <w:b w:val="0"/>
          <w:i/>
          <w:noProof/>
          <w:u w:val="none"/>
        </w:rPr>
      </w:pPr>
      <w:r>
        <w:rPr>
          <w:b w:val="0"/>
          <w:i/>
          <w:noProof/>
          <w:u w:val="none"/>
        </w:rPr>
        <w:t>PRILOG XI.</w:t>
      </w:r>
    </w:p>
    <w:p>
      <w:pPr>
        <w:jc w:val="center"/>
        <w:rPr>
          <w:noProof/>
        </w:rPr>
      </w:pPr>
      <w:r>
        <w:rPr>
          <w:b/>
          <w:noProof/>
        </w:rPr>
        <w:t>KORELACIJSKA TABLICA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20"/>
        <w:gridCol w:w="7183"/>
      </w:tblGrid>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Uredba (EU) br. 525/2013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Ova Uredba</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 stavak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14.</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30. stavak 1.; članak 30. stavak 2.; članak 30. stavak 6.; Prilog X.</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30. stavak 3.; članak 30. stavak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23. stavak 2.; članak 23. stavak 3.; članak 23. stavak 5.; članak 23. stavak 6.; Prilog III.</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23. stavak 1. točka (a); posljednji podstavak članka 23. stavka 1.; članak 23. stavak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30. stavak 4.; članak 30. stavak 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33.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32.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16. stavak 1. točka (a); članak 16. stavak 3.; članak 16. stavak 4.; Prilog IV.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16. stavak 1. točka (b); članak 16. stavak 2.; članak 16. stavak 3.; članak 16. stavak 4.; Prilog 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17. stavak 1.; Prilog VI. dio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17. stavak 2. točka (a); Prilog VI. dio 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17. stavak 2. točka (b); članak 17. stavak 3.; članak 17. stavak 4.; Prilog VI. dio 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15. stavak 2. točka (e) Članak 15. stavak 2. drugi podstavak</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19.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lastRenderedPageBreak/>
              <w:t>Članak 20.</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21.</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25. stavak 1. točka (c) članak 25. stavak 4.; članak 25. stavak 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22.</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34. stavak 1. točka (d): članak 34. stavak 1. točka (e); članak 34. stavak 1. točka (f); članak 34. stavak 1. točka (g); članak 34. stavak 1. točka (h)</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24.</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35.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25.</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26.</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37.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27.</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28.</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50.</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Članak 29.</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bl>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Dosljednost će se osigurati dugoročnim strategijama za niske emisije u skladu s člankom 14.  </w:t>
      </w:r>
    </w:p>
  </w:footnote>
  <w:footnote w:id="3">
    <w:p>
      <w:pPr>
        <w:pStyle w:val="FootnoteText"/>
      </w:pPr>
      <w:r>
        <w:rPr>
          <w:rStyle w:val="FootnoteReference"/>
        </w:rPr>
        <w:footnoteRef/>
      </w:r>
      <w:r>
        <w:tab/>
        <w:t>Za plan kojim je obuhvaćeno razdoblje od 2021. do 2030.: Obvezujući nacionalni cilj države članice do 2030. za emisije stakleničkih plinova u sektorima koji nisu dio ETS-a i godišnja obvezujuća ograničenja kako su utvrđena u Uredbi [ ] [ESR].</w:t>
      </w:r>
    </w:p>
  </w:footnote>
  <w:footnote w:id="4">
    <w:p>
      <w:pPr>
        <w:pStyle w:val="FootnoteText"/>
      </w:pPr>
      <w:r>
        <w:rPr>
          <w:rStyle w:val="FootnoteReference"/>
        </w:rPr>
        <w:footnoteRef/>
      </w:r>
      <w:r>
        <w:tab/>
        <w:t>Uredba [ ] [LULUCF].</w:t>
      </w:r>
    </w:p>
  </w:footnote>
  <w:footnote w:id="5">
    <w:p>
      <w:pPr>
        <w:pStyle w:val="FootnoteText"/>
      </w:pPr>
      <w:r>
        <w:rPr>
          <w:rStyle w:val="FootnoteReference"/>
        </w:rPr>
        <w:footnoteRef/>
      </w:r>
      <w:r>
        <w:tab/>
        <w:t>Dosljednost će se osigurati planovima prevencije i interventnim planovima na temelju Uredbe [kako je predložena u dokumentu COM(2016) 52] o mjerama zaštite sigurnosti opskrbe plinom te stavljanju izvan snage Uredbe (EU) br. 994/2010, kao i planovima pripravnosti u slučaju rizika na temelju Uredbe [kako je predložena u dokumentu COM(2016) 862] o pripravnosti na rizik u elektroenergetskom sektoru te stavljanju izvan snage Direktive 2005/89/EZ.</w:t>
      </w:r>
    </w:p>
  </w:footnote>
  <w:footnote w:id="6">
    <w:p>
      <w:pPr>
        <w:pStyle w:val="FootnoteText"/>
      </w:pPr>
      <w:r>
        <w:rPr>
          <w:rStyle w:val="FootnoteReference"/>
        </w:rPr>
        <w:footnoteRef/>
      </w:r>
      <w:r>
        <w:tab/>
        <w:t>U skladu s Uredbom (EU) br. 347/2013 Europskog parlamenta i Vijeća od 17. travnja 2013. o smjernicama za transeuropsku energetsku infrastrukturu te stavljanju izvan snage Odluke br. 1364/2006/EZ i izmjeni uredaba (EZ) br. 713/2009, (EZ) br. 714/2009 i (EZ) br. 715/2009 (SL L 115, 25.4.2013., str. 39.).</w:t>
      </w:r>
    </w:p>
  </w:footnote>
  <w:footnote w:id="7">
    <w:p>
      <w:pPr>
        <w:pStyle w:val="FootnoteText"/>
      </w:pPr>
      <w:r>
        <w:rPr>
          <w:rStyle w:val="FootnoteReference"/>
        </w:rPr>
        <w:footnoteRef/>
      </w:r>
      <w:r>
        <w:tab/>
        <w:t>Prilikom planiranja tih mjera države članice uzimaju u obzir kraj životnog vijeka postojećih instalacija i potencijal za obnavljanje postojećih kapaciteta.</w:t>
      </w:r>
    </w:p>
  </w:footnote>
  <w:footnote w:id="8">
    <w:p>
      <w:pPr>
        <w:pStyle w:val="FootnoteText"/>
      </w:pPr>
      <w:r>
        <w:rPr>
          <w:rStyle w:val="FootnoteReference"/>
        </w:rPr>
        <w:footnoteRef/>
      </w:r>
      <w:r>
        <w:tab/>
        <w:t>U skladu s člankom 2.a Direktive 2010/31/EU [kako je izmijenjena prijedlogom COM(2016)765].</w:t>
      </w:r>
    </w:p>
  </w:footnote>
  <w:footnote w:id="9">
    <w:p>
      <w:pPr>
        <w:pStyle w:val="FootnoteText"/>
      </w:pPr>
      <w:r>
        <w:rPr>
          <w:rStyle w:val="FootnoteReference"/>
        </w:rPr>
        <w:footnoteRef/>
      </w:r>
      <w:r>
        <w:tab/>
        <w:t>U skladu s člankom 18. Direktive 2012/27/EU.</w:t>
      </w:r>
    </w:p>
  </w:footnote>
  <w:footnote w:id="10">
    <w:p>
      <w:pPr>
        <w:pStyle w:val="FootnoteText"/>
      </w:pPr>
      <w:r>
        <w:rPr>
          <w:rStyle w:val="FootnoteReference"/>
        </w:rPr>
        <w:footnoteRef/>
      </w:r>
      <w:r>
        <w:tab/>
        <w:t>U skladu s člankom 8. Direktive 2012/27/EU.</w:t>
      </w:r>
    </w:p>
  </w:footnote>
  <w:footnote w:id="11">
    <w:p>
      <w:pPr>
        <w:pStyle w:val="FootnoteText"/>
      </w:pPr>
      <w:r>
        <w:rPr>
          <w:rStyle w:val="FootnoteReference"/>
        </w:rPr>
        <w:footnoteRef/>
      </w:r>
      <w:r>
        <w:tab/>
        <w:t>U skladu s člankom 12. i člankom 17. Direktive 2012/27/EU.</w:t>
      </w:r>
    </w:p>
  </w:footnote>
  <w:footnote w:id="12">
    <w:p>
      <w:pPr>
        <w:pStyle w:val="FootnoteText"/>
      </w:pPr>
      <w:r>
        <w:rPr>
          <w:rStyle w:val="FootnoteReference"/>
        </w:rPr>
        <w:footnoteRef/>
      </w:r>
      <w:r>
        <w:tab/>
        <w:t>U skladu s člankom 19. Direktive 2012/27/EU.</w:t>
      </w:r>
    </w:p>
  </w:footnote>
  <w:footnote w:id="13">
    <w:p>
      <w:pPr>
        <w:pStyle w:val="FootnoteText"/>
      </w:pPr>
      <w:r>
        <w:rPr>
          <w:rStyle w:val="FootnoteReference"/>
        </w:rPr>
        <w:footnoteRef/>
      </w:r>
      <w:r>
        <w:tab/>
        <w:t>U skladu s člankom 15. stavkom 2. Direktive 2012/27/EU.</w:t>
      </w:r>
    </w:p>
  </w:footnote>
  <w:footnote w:id="14">
    <w:p>
      <w:pPr>
        <w:pStyle w:val="FootnoteText"/>
      </w:pPr>
      <w:r>
        <w:rPr>
          <w:rStyle w:val="FootnoteReference"/>
        </w:rPr>
        <w:footnoteRef/>
      </w:r>
      <w:r>
        <w:tab/>
        <w:t>Politike i mjere odraz su načela „energetska učinkovitost na prvom mjestu”.</w:t>
      </w:r>
    </w:p>
  </w:footnote>
  <w:footnote w:id="15">
    <w:p>
      <w:pPr>
        <w:pStyle w:val="FootnoteText"/>
      </w:pPr>
      <w:r>
        <w:rPr>
          <w:rStyle w:val="FootnoteReference"/>
        </w:rPr>
        <w:footnoteRef/>
      </w:r>
      <w:r>
        <w:tab/>
        <w:t>Dosljednost će se osigurati planovima prevencije i interventnim planovima na temelju Uredbe [kako je predložena u dokumentu COM(2016) 52] o mjerama zaštite sigurnosti opskrbe plinom te stavljanju izvan snage Uredbe (EU) br. 994/2010, kao i planovima pripravnosti u slučaju rizika na temelju Uredbe [kako je predložena u dokumentu COM(2016) 862] o pripravnosti na rizik u elektroenergetskom sektoru te stavljanju izvan snage Direktive 2005/89/EZ.</w:t>
      </w:r>
    </w:p>
  </w:footnote>
  <w:footnote w:id="16">
    <w:p>
      <w:pPr>
        <w:pStyle w:val="FootnoteText"/>
      </w:pPr>
      <w:r>
        <w:rPr>
          <w:rStyle w:val="FootnoteReference"/>
        </w:rPr>
        <w:footnoteRef/>
      </w:r>
      <w:r>
        <w:tab/>
        <w:t>Politike i mjere odraz su načela „energetska učinkovitost na prvom mjestu”.</w:t>
      </w:r>
    </w:p>
  </w:footnote>
  <w:footnote w:id="17">
    <w:p>
      <w:pPr>
        <w:pStyle w:val="FootnoteText"/>
      </w:pPr>
      <w:r>
        <w:rPr>
          <w:rStyle w:val="FootnoteReference"/>
        </w:rPr>
        <w:footnoteRef/>
      </w:r>
      <w:r>
        <w:tab/>
        <w:t>Osim regionalnih skupina za projekte od zajedničkog interesa, uspostavljenih na temelju Uredbe (EU) br. 347/2013.</w:t>
      </w:r>
    </w:p>
  </w:footnote>
  <w:footnote w:id="18">
    <w:p>
      <w:pPr>
        <w:pStyle w:val="FootnoteText"/>
      </w:pPr>
      <w:r>
        <w:rPr>
          <w:rStyle w:val="FootnoteReference"/>
        </w:rPr>
        <w:footnoteRef/>
      </w:r>
      <w:r>
        <w:tab/>
        <w:t>Osim regionalnih skupina za projekte od zajedničkog interesa, uspostavljenih na temelju Uredbe (EU) br. 347/2013.</w:t>
      </w:r>
    </w:p>
  </w:footnote>
  <w:footnote w:id="19">
    <w:p>
      <w:pPr>
        <w:pStyle w:val="FootnoteText"/>
      </w:pPr>
      <w:r>
        <w:rPr>
          <w:rStyle w:val="FootnoteReference"/>
        </w:rPr>
        <w:footnoteRef/>
      </w:r>
      <w:r>
        <w:tab/>
        <w:t>U skladu s [preinakom Direktive 2009/72/EZ kako je predložena u dokumentu COM(2016) 864 i preinakom Uredbe (EZ) br. 714/2009 kako je predložena u dokumentu COM(2016) 861]</w:t>
      </w:r>
    </w:p>
  </w:footnote>
  <w:footnote w:id="20">
    <w:p>
      <w:pPr>
        <w:pStyle w:val="FootnoteText"/>
      </w:pPr>
      <w:r>
        <w:rPr>
          <w:rStyle w:val="FootnoteReference"/>
        </w:rPr>
        <w:footnoteRef/>
      </w:r>
      <w:r>
        <w:tab/>
        <w:t>U skladu s člankom 15. stavkom 8. Direktive 2012/27/EU.</w:t>
      </w:r>
    </w:p>
  </w:footnote>
  <w:footnote w:id="21">
    <w:p>
      <w:pPr>
        <w:pStyle w:val="FootnoteText"/>
      </w:pPr>
      <w:r>
        <w:rPr>
          <w:rStyle w:val="FootnoteReference"/>
        </w:rPr>
        <w:footnoteRef/>
      </w:r>
      <w:r>
        <w:tab/>
        <w:t xml:space="preserve">Vidi dio 2. radi detaljnog popisa parametara i varijabli koje se trebaju navesti u odjeljku B Plana. </w:t>
      </w:r>
    </w:p>
  </w:footnote>
  <w:footnote w:id="22">
    <w:p>
      <w:pPr>
        <w:pStyle w:val="FootnoteText"/>
      </w:pPr>
      <w:r>
        <w:rPr>
          <w:rStyle w:val="FootnoteReference"/>
        </w:rPr>
        <w:footnoteRef/>
      </w:r>
      <w:r>
        <w:tab/>
        <w:t xml:space="preserve">Trenutačna situacija odraz je datuma podnošenja nacionalnog plana (ili posljednjeg dostupnog datuma).  Postojeće politike i mjere obuhvaćaju provedene i donesene politike i mjere. Donesene politike i mjere su one za koje je do datuma podnošenja nacionalnog plana donesena službena odluka vlade i za koje postoji jasna predanost u pogledu nastavka provedbe.  Provedene politike i mjere su one na koje se na datum podnošenja nacionalnog plana odnosi jedna ili više okolnosti u nastavku: nacionalno zakonodavstvo je na snazi, uspostavljeni su dobrovoljni sporazumi, raspodijeljena su financijska sredstva, mobilizirani su ljudski resursi. </w:t>
      </w:r>
    </w:p>
  </w:footnote>
  <w:footnote w:id="23">
    <w:p>
      <w:pPr>
        <w:pStyle w:val="FootnoteText"/>
      </w:pPr>
      <w:r>
        <w:rPr>
          <w:rStyle w:val="FootnoteReference"/>
        </w:rPr>
        <w:footnoteRef/>
      </w:r>
      <w:r>
        <w:tab/>
        <w:t xml:space="preserve">Odabir egzogenih čimbenika može se temeljiti na pretpostavci iz Referentnog scenarija EU-a za 2016. ili iz drugih kasnijih scenarija politika za iste varijable.  Osim toga, i specifični rezultati država članica u pogledu Referentnog scenarija EU-a za 2016., kao i rezultati kasnijih scenarija politika, mogu biti koristan izvor podataka prilikom izrade nacionalnih projekcija uz postojeće politike i mjere te prilikom izrade procjene utjecaja.  </w:t>
      </w:r>
    </w:p>
  </w:footnote>
  <w:footnote w:id="24">
    <w:p>
      <w:pPr>
        <w:pStyle w:val="FootnoteText"/>
      </w:pPr>
      <w:r>
        <w:rPr>
          <w:rStyle w:val="FootnoteReference"/>
        </w:rPr>
        <w:footnoteRef/>
      </w:r>
      <w:r>
        <w:tab/>
        <w:t>U skladu s člankom 14. stavkom 1. Direktive 2012/27/EU.</w:t>
      </w:r>
    </w:p>
  </w:footnote>
  <w:footnote w:id="25">
    <w:p>
      <w:pPr>
        <w:pStyle w:val="FootnoteText"/>
      </w:pPr>
      <w:r>
        <w:rPr>
          <w:rStyle w:val="FootnoteReference"/>
        </w:rPr>
        <w:footnoteRef/>
      </w:r>
      <w:r>
        <w:tab/>
        <w:t xml:space="preserve">Ta referentna uobičajena projekcija temelj je za ciljanu konačnu potrošnju energije i potrošnju primarne energije za 2030. koja je opisana u odjeljku 2.3. i za pretvorbene faktore. </w:t>
      </w:r>
    </w:p>
  </w:footnote>
  <w:footnote w:id="26">
    <w:p>
      <w:pPr>
        <w:pStyle w:val="FootnoteText"/>
      </w:pPr>
      <w:r>
        <w:rPr>
          <w:rStyle w:val="FootnoteReference"/>
        </w:rPr>
        <w:footnoteRef/>
      </w:r>
      <w:r>
        <w:tab/>
        <w:t xml:space="preserve">Pozivajući se na preglede postojeće infrastrukture za prijenos, koje su obavili operatori prijenosnih sustava. </w:t>
      </w:r>
    </w:p>
  </w:footnote>
  <w:footnote w:id="27">
    <w:p>
      <w:pPr>
        <w:pStyle w:val="FootnoteText"/>
      </w:pPr>
      <w:r>
        <w:rPr>
          <w:rStyle w:val="FootnoteReference"/>
        </w:rPr>
        <w:footnoteRef/>
      </w:r>
      <w:r>
        <w:tab/>
        <w:t xml:space="preserve">Pozivajući se na nacionalne planove za razvoj mreže i regionalne planove ulaganja koje su pripremili operatori prijenosnih sustava. </w:t>
      </w:r>
    </w:p>
  </w:footnote>
  <w:footnote w:id="28">
    <w:p>
      <w:pPr>
        <w:pStyle w:val="FootnoteText"/>
      </w:pPr>
      <w:r>
        <w:rPr>
          <w:rStyle w:val="FootnoteReference"/>
        </w:rPr>
        <w:footnoteRef/>
      </w:r>
      <w:r>
        <w:tab/>
        <w:t>Pozivajući se na preglede postojeće infrastrukture za prijenos, koje su obavili operatori prijenosnih sustava.</w:t>
      </w:r>
    </w:p>
  </w:footnote>
  <w:footnote w:id="29">
    <w:p>
      <w:pPr>
        <w:pStyle w:val="FootnoteText"/>
      </w:pPr>
      <w:r>
        <w:rPr>
          <w:rStyle w:val="FootnoteReference"/>
        </w:rPr>
        <w:footnoteRef/>
      </w:r>
      <w:r>
        <w:tab/>
        <w:t>Pozivajući se na nacionalne planove za razvoj mreže i regionalne planove ulaganja koje su pripremili operatori prijenosnih sustava.</w:t>
      </w:r>
    </w:p>
  </w:footnote>
  <w:footnote w:id="30">
    <w:p>
      <w:pPr>
        <w:pStyle w:val="FootnoteText"/>
      </w:pPr>
      <w:r>
        <w:rPr>
          <w:rStyle w:val="FootnoteReference"/>
        </w:rPr>
        <w:footnoteRef/>
      </w:r>
      <w:r>
        <w:tab/>
        <w:t xml:space="preserve">Planirane politike i mjere su mogućnosti o kojima se raspravlja i za koje postoji realna šansa da će biti donesene i provedene nakon datuma podnošenja nacionalnog plana. Prema tome, nastalim projekcijama iz odjeljka 5.1. točke i. nisu obuhvaćene samo provedene i donesene politike i mjere (projekcije uz postojeće politike i mjere), nego i planirane politike i mjere. </w:t>
      </w:r>
    </w:p>
  </w:footnote>
  <w:footnote w:id="31">
    <w:p>
      <w:pPr>
        <w:pStyle w:val="FootnoteText"/>
      </w:pPr>
      <w:r>
        <w:rPr>
          <w:rStyle w:val="FootnoteReference"/>
        </w:rPr>
        <w:footnoteRef/>
      </w:r>
      <w:r>
        <w:tab/>
        <w:t>Direktiva [kako je predložena u dokumentu COM/2013/0920] o smanjenju nacionalnih emisija određenih atmosferskih onečišćivača i izmjeni Direktive 2003/35/EZ te stavljanju izvan snage Direktive 2001/81/EZ.</w:t>
      </w:r>
    </w:p>
  </w:footnote>
  <w:footnote w:id="32">
    <w:p>
      <w:pPr>
        <w:pStyle w:val="FootnoteText"/>
      </w:pPr>
      <w:r>
        <w:rPr>
          <w:rStyle w:val="FootnoteReference"/>
        </w:rPr>
        <w:footnoteRef/>
      </w:r>
      <w:r>
        <w:tab/>
        <w:t xml:space="preserve">Za plan kojim je obuhvaćeno razdoblje od 2021. do 2030.: U odjeljcima 4. i 5. za svaki parametar/varijablu s popisa navesti trendove, u petogodišnjim intervalima, za razdoblje od 2005. do 2040. (i po potrebi, za razdoblje od 2005. do 2050.), uključujući projekcije za 2030. godinu. Navode se parametri utemeljeni na egzogenim pretpostavkama nasuprot izradi modela.  </w:t>
      </w:r>
    </w:p>
  </w:footnote>
  <w:footnote w:id="33">
    <w:p>
      <w:pPr>
        <w:pStyle w:val="FootnoteText"/>
      </w:pPr>
      <w:r>
        <w:rPr>
          <w:rStyle w:val="FootnoteReference"/>
        </w:rPr>
        <w:footnoteRef/>
      </w:r>
      <w:r>
        <w:tab/>
        <w:t xml:space="preserve">U onoj mjeri u kojoj je to moguće, navedeni podaci i projekcije temelje se na podacima i metodologijama EUROSTAT-a i u skladu su s tim podacima i metodologijama koje se upotrebljavaju za izvješćivanje o europskoj statistici u zakonodavstvu predmetnih sektora, s obzirom na to da je europska statistika primarni izvor statističkih podataka koji se upotrebljavaju za izvješćivanje i praćenje, u skladu s Uredbom (EZ) br. 223/2009 o europskoj statistici. </w:t>
      </w:r>
    </w:p>
  </w:footnote>
  <w:footnote w:id="34">
    <w:p>
      <w:pPr>
        <w:pStyle w:val="FootnoteText"/>
      </w:pPr>
      <w:r>
        <w:rPr>
          <w:rStyle w:val="FootnoteReference"/>
        </w:rPr>
        <w:footnoteRef/>
      </w:r>
      <w:r>
        <w:tab/>
        <w:t>Napomena: sve se projekcije pripremaju na temelju stalnih cijena (cijene iz 2016. upotrebljavaju se kao bazna godina)</w:t>
      </w:r>
    </w:p>
  </w:footnote>
  <w:footnote w:id="35">
    <w:p>
      <w:pPr>
        <w:pStyle w:val="FootnoteText"/>
      </w:pPr>
      <w:r>
        <w:rPr>
          <w:rStyle w:val="FootnoteReference"/>
        </w:rPr>
        <w:footnoteRef/>
      </w:r>
      <w:r>
        <w:tab/>
        <w:t xml:space="preserve">Komisija će pripremiti preporuke za ključne parametre projekcija, kojima će biti obuhvaćene barem uvozne cijene nafte, plina i ugljena, kao i  cijene ugljika u sustavu trgovanja emisijama (EU ETS).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6: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3"/>
    <w:docVar w:name="DQCStatus" w:val="Green"/>
    <w:docVar w:name="DQCVersion" w:val="3"/>
    <w:docVar w:name="DQCWithWarnings" w:val="0"/>
    <w:docVar w:name="LW_ACCOMPAGNANT" w:val=" "/>
    <w:docVar w:name="LW_ACCOMPAGNANT.CP" w:val=" "/>
    <w:docVar w:name="LW_ANNEX_NBR_FIRST" w:val="1"/>
    <w:docVar w:name="LW_ANNEX_NBR_LAST" w:val="11"/>
    <w:docVar w:name="LW_CONFIDENCE" w:val=" "/>
    <w:docVar w:name="LW_CONST_RESTREINT_UE" w:val="RESTREINT UE"/>
    <w:docVar w:name="LW_CORRIGENDUM" w:val="&lt;UNUSED&gt;"/>
    <w:docVar w:name="LW_COVERPAGE_GUID" w:val="B309AEBA54C549AB920163DF7D69505C"/>
    <w:docVar w:name="LW_CROSSREFERENCE" w:val="{SWD(2016) 394 final}_x000b_{SWD(2016) 395 final}_x000b_{SWD(2016) 396 final}_x000b_{SWD(2016) 397 final}"/>
    <w:docVar w:name="LW_DocType" w:val="ANNEX"/>
    <w:docVar w:name="LW_EMISSION" w:val="30.11.2016."/>
    <w:docVar w:name="LW_EMISSION_ISODATE" w:val="2016-11-30"/>
    <w:docVar w:name="LW_EMISSION_LOCATION" w:val="BRX"/>
    <w:docVar w:name="LW_EMISSION_PREFIX" w:val="Bruxelles, "/>
    <w:docVar w:name="LW_EMISSION_SUFFIX" w:val=" "/>
    <w:docVar w:name="LW_ID_DOCSTRUCTURE" w:val="COM/ANNEX"/>
    <w:docVar w:name="LW_ID_DOCTYPE" w:val="SG-017"/>
    <w:docVar w:name="LW_LANGUE" w:val="HR"/>
    <w:docVar w:name="LW_MARKING" w:val="&lt;UNUSED&gt;"/>
    <w:docVar w:name="LW_NOM.INST" w:val="EUROPSKA KOMISIJA"/>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6) 759"/>
    <w:docVar w:name="LW_REF.INTERNE" w:val="&lt;UNUSED&gt;"/>
    <w:docVar w:name="LW_SUPERTITRE" w:val="&lt;UNUSED&gt;"/>
    <w:docVar w:name="LW_TITRE.OBJ.CP" w:val="&lt;UNUSED&gt;"/>
    <w:docVar w:name="LW_TYPE.DOC" w:val="PRILOZI"/>
    <w:docVar w:name="LW_TYPE.DOC.CP" w:val="PRILOZI"/>
    <w:docVar w:name="LW_TYPEACTEPRINCIPAL" w:val="Prijedlogu UREDBE EUROPSKOG PARLAMENTA I VIJE\u262?A _x000b__x000b_o upravljanju energetskom unijom,_x000b__x000b_izmjeni Direktive 94/22/EZ, Direktive 98/70/EZ, Direktive 2009/31/EZ, Uredbe&lt;LWCR:NBS&gt;(EZ) br.&lt;LWCR:NBS&gt;663/2009, Uredbe&lt;LWCR:NBS&gt;(EZ) br.&lt;LWCR:NBS&gt;715/2009, Direktive 2009/73/EZ, Direktive Vije\u263?a 2009/119/EZ, Direktive 2010/31/EU, Direktive 2012/27/EU, Direktive 2013/30/EU i Direktive Vije\u263?a (EU) 2015/652 te stavljanju izvan snage Uredbe (EU) br.&lt;LWCR:NBS&gt;525/2013"/>
    <w:docVar w:name="LW_TYPEACTEPRINCIPAL.CP" w:val="Prijedlogu UREDBE EUROPSKOG PARLAMENTA I VIJE\u262?A _x000b__x000b_o upravljanju energetskom unijom,_x000b__x000b_izmjeni Direktive 94/22/EZ, Direktive 98/70/EZ, Direktive 2009/31/EZ, Uredbe (EZ) br. 663/2009, Uredbe (EZ) br. 715/2009, Direktive 2009/73/EZ, Direktive Vije\u263?a 2009/119/EZ, Direktive 2010/31/EU, Direktive 2012/27/EU, Direktive 2013/30/EU i Direktive Vije\u263?a (EU) 2015/652 te stavljanju izvan snage Uredbe (EU) br. 525/201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hr-H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hr-HR"/>
    </w:rPr>
  </w:style>
  <w:style w:type="character" w:customStyle="1" w:styleId="CommentSubjectChar">
    <w:name w:val="Comment Subject Char"/>
    <w:basedOn w:val="CommentTextChar"/>
    <w:link w:val="CommentSubject"/>
    <w:uiPriority w:val="99"/>
    <w:semiHidden/>
    <w:rPr>
      <w:b/>
      <w:bCs/>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hr-H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hr-HR"/>
    </w:rPr>
  </w:style>
  <w:style w:type="character" w:customStyle="1" w:styleId="CommentSubjectChar">
    <w:name w:val="Comment Subject Char"/>
    <w:basedOn w:val="CommentTextChar"/>
    <w:link w:val="CommentSubject"/>
    <w:uiPriority w:val="99"/>
    <w:semiHidden/>
    <w:rPr>
      <w:b/>
      <w:bCs/>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2.xml><?xml version="1.0" encoding="utf-8"?>
<ds:datastoreItem xmlns:ds="http://schemas.openxmlformats.org/officeDocument/2006/customXml" ds:itemID="{8782B64F-40F6-4004-9CEC-6EFEA29AC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F3F902-E5F5-439F-A071-B97A5366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32</Pages>
  <Words>9193</Words>
  <Characters>56264</Characters>
  <Application>Microsoft Office Word</Application>
  <DocSecurity>0</DocSecurity>
  <Lines>1172</Lines>
  <Paragraphs>661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2016-11-29T10:32:00Z</cp:lastPrinted>
  <dcterms:created xsi:type="dcterms:W3CDTF">2016-12-20T13:09:00Z</dcterms:created>
  <dcterms:modified xsi:type="dcterms:W3CDTF">2017-01-09T14:26:00Z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