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DDF2DA1C54545259E1E7B83138ACD17" style="width:450.6pt;height:502.4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LIITE I</w:t>
      </w:r>
    </w:p>
    <w:p>
      <w:pPr>
        <w:jc w:val="center"/>
        <w:rPr>
          <w:noProof/>
        </w:rPr>
      </w:pPr>
      <w:r>
        <w:rPr>
          <w:b/>
          <w:noProof/>
        </w:rPr>
        <w:t>YHDENNETTYJEN KANSALLISTEN ENERGIA- JA ILMASTOSUUNNITELMIEN YLEISET PUITTEET</w:t>
      </w:r>
    </w:p>
    <w:p>
      <w:pPr>
        <w:jc w:val="center"/>
        <w:rPr>
          <w:rFonts w:eastAsia="Times New Roman"/>
          <w:b/>
          <w:noProof/>
          <w:color w:val="000000"/>
          <w:szCs w:val="24"/>
        </w:rPr>
      </w:pPr>
      <w:r>
        <w:rPr>
          <w:b/>
          <w:noProof/>
          <w:color w:val="000000"/>
        </w:rPr>
        <w:t>1 osa</w:t>
      </w:r>
    </w:p>
    <w:p>
      <w:pPr>
        <w:jc w:val="center"/>
        <w:rPr>
          <w:i/>
          <w:noProof/>
        </w:rPr>
      </w:pPr>
      <w:r>
        <w:rPr>
          <w:i/>
          <w:noProof/>
          <w:color w:val="000000"/>
        </w:rPr>
        <w:t>Yleiset puitteet</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A JAKSO: KANSALLINEN SUUNNITELMA</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YHTEENVETO JA SUUNNITELMAN LAATIMINEN</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Tiivistelmä</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Suunnitelman poliittinen, taloudellinen, ympäristöllinen ja yhteiskunnallinen konteksti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Energiaunionin viisi ulottuvuutta kattava yleisstrategia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Yhteenvetotaulukko suunnitelman päätavoitteista, politiikoista ja toimenpiteistä</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Katsaus politiikan nykytilanteeseen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Kansallinen ja EU:n energiajärjestelmä sekä kansallisen suunnitelman poliittinen konteksti</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Nykyiset energia- ja ilmastopolitiikat ja -toimet energiaunionin viiden ulottuvuuden osalta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Avainkysymykset, joilla on rajatylittävää merkitystä</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Kansallisten energia- ja ilmastopolitiikkojen täytäntöönpanon hallinnollinen rakenne</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Kuulemiset sekä kansallisten ja EU:n elinten osallistuminen ja näiden tulokset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Parlamentin osallistuminen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Paikallis- ja alueviranomaisten osallistuminen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Sidosryhmien kuuleminen, työmarkkinaosapuolet mukaan lukien, sekä kansalaisyhteiskunnan sitoutuminen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Muiden jäsenvaltioiden kuuleminen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Monivaiheinen prosessi Euroopan komission kanssa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Alueellinen yhteistyö suunnitelman laadintavaiheessa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Seikat, jotka suunnitellaan yhdessä tai koordinoidusti muiden jäsenvaltioiden kanssa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Selvitys siitä, miten alueellinen yhteistyö otetaan huomioon suunnitelmassa</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KANSALLISET TAVOITTEET JA PÄÄMÄÄRÄT</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Hiilestä irtautumisen ulottuvuus</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Kasvihuonekaasujen päästöt ja poistumat (vuodet 2021–2030 kattavan suunnitelman osalta koko talouden laajuinen tavoite vähentää unionin </w:t>
            </w:r>
            <w:r>
              <w:rPr>
                <w:rFonts w:ascii="Times New Roman" w:hAnsi="Times New Roman"/>
                <w:b/>
                <w:noProof/>
              </w:rPr>
              <w:lastRenderedPageBreak/>
              <w:t>kasvihuonekaasupäästöjä vuoteen 2030 mennessä vähintään 40 prosentilla vuoteen 1990 verrattuna)</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Päästökauppaan kuulumattomien alojen kasvihuonekaasupäästöjä koskeva jäsenvaltioiden sitova vuoden 2030 kansallinen tavoite, vuotuiset sitovat kansalliset rajat</w:t>
            </w:r>
            <w:r>
              <w:rPr>
                <w:rStyle w:val="FootnoteReference"/>
                <w:rFonts w:ascii="Times New Roman" w:hAnsi="Times New Roman"/>
                <w:noProof/>
              </w:rPr>
              <w:footnoteReference w:id="3"/>
            </w:r>
            <w:r>
              <w:rPr>
                <w:rFonts w:ascii="Times New Roman" w:hAnsi="Times New Roman"/>
                <w:noProof/>
              </w:rPr>
              <w:t xml:space="preserve"> ja LULUCF-asetuksen mukaiset sitoumukset</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Tapauksen mukaan muut kansalliset tavoitteet ja päämäärät, jotka ovat johdonmukaiset olemassa olevien pitkän aikavälin vähäpäästöisyyttä koskevien strategioiden kanssa. Tapauksen mukana muut tavoitteet ja päämäärät, mukaan lukien alakohtaiset päämäärät ja mukauttamistavoitteet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Uusiutuva energia (vuotta 2030 koskevien puitteiden tavoite)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Uusiutuvista lähteistä saatavan energian suunniteltu osuus energian kokonaisloppukulutuksesta jäsenvaltiossa vuonna 2030 sen kansallisena panoksena EU:n tason sitovaan tavoitteeseen, jonka mukaan vuonna 2030 energiasta saadaan uusiutuvista lähteistä vähintään 27 prosenttia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Lineaarinen kehityskulku uusiutuvien energialähteiden osuudelle energian kokonaisloppukulutuksesta vuosina 2021–2030 EU:n tason sitovan tavoitteen saavuttamiseksi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Kehityskulut, jotka liittyvät uusiutuvien energialähteiden alakohtaisiin osuuksiin lopullisesta energiankulutuksesta sähkö-, lämmitys-, jäähdytys- ja liikennealoilla vuosina 2021–2030;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Kehityskulut uusiutuvan energian teknologioille, joita jäsenvaltio aikoo käyttää saavuttaakseen yleiset ja alakohtaiset uusiutuvan energian kehityskulut vuosina 2021–2030, mukaan lukien odotettu energian kokonaisloppukulutus teknologiaa ja alaa kohden Mtoe:na, suunniteltu asennettu kokonaiskapasiteetti (eriteltynä uuden kapasiteetin ja vaihdettujen polttoainelähteiden mukaan) teknologiaa ja alaa kohden MW:na.</w:t>
            </w:r>
          </w:p>
          <w:p>
            <w:pPr>
              <w:pStyle w:val="ListParagraph"/>
              <w:numPr>
                <w:ilvl w:val="3"/>
                <w:numId w:val="1"/>
              </w:numPr>
              <w:spacing w:after="120" w:line="240" w:lineRule="auto"/>
              <w:contextualSpacing w:val="0"/>
              <w:rPr>
                <w:noProof/>
              </w:rPr>
            </w:pPr>
            <w:r>
              <w:rPr>
                <w:rFonts w:ascii="Times New Roman" w:hAnsi="Times New Roman"/>
                <w:noProof/>
              </w:rPr>
              <w:t>Bioenergian kysynnän kehityskulku eriteltynä lämmitys-, sähkö- ja liikennealojen mukaan, sekä biomassan saatavuus raaka-aineista, kotimainen tuotanto vs. tuonti. Metsäbiomassan osalta arvio sen lähteestä ja vaikutuksesta LULUCF-nieluun.</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Mahdolliset muut kansalliset kehityskulut ja tavoitteet, myös pitkän aikavälin ja alakohtaiset (kuten kehittyneiden biopolttoaineiden osuus, uusiutuvan energian osuus kaukolämmityksessä, uusiutuvan energian käyttö rakennuksissa, kaupunkien, energiayhteisöjen ja omaa energiaa käyttävien tuottama uusiutuva energia)</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Energiatehokkuuden ulottuvuus (vuotta 2030 koskevien puitteiden tavoite)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Ohjeellinen kansallinen energiatehokkuuspanos direktiivin 2012/27/EU [, sellaisena kuin se on muutettuna ehdotuksella COM(2016)761,] 1 artiklan 1 kohdassa ja 3 artiklan 4 kohdassa tarkoitetun unionin sitovan energiatehokkuutta koskevan 30 prosentin tavoitteen saavuttamiseksi vuonna </w:t>
            </w:r>
            <w:r>
              <w:rPr>
                <w:rFonts w:ascii="Times New Roman" w:hAnsi="Times New Roman"/>
                <w:noProof/>
              </w:rPr>
              <w:lastRenderedPageBreak/>
              <w:t>2030, joko primääri- ja/tai loppuenergian kulutuksen tai säästöjen taikka energiaintensiteetin perusteella; ilmaistuna primäärienergian kulutuksen ja loppuenergian kulutuksen absoluuttisena tasona vuosina 2020–2030, lisäksi panoksen lineaarinen kehityskulku vuodesta 2021 eteenpäin; mukaan lukien käytetyt menetelmät ja muuntokertoimet.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Energiansäästöjen kumulatiivinen määrä, joka aiotaan saavuttaa energiatehokkuusvelvoitteiden osalta vuosina 2021–2030 direktiivin 2012/27/EU  [sellaisena kuin se on muutettuna ehdotuksella COM(2016)761] 7 artiklan nojalla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Tavoitteet, jotka koskevat kansallisen (julkisten ja yksityisten) asuin- ja kaupallisten rakennusten kannan pitkän aikavälin peruskorjausta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Korjattava kokonaispinta-ala tai vastaavat vuotuiset energiasäästöt, jotka aiotaan saavuttaa keskushallinnon rakennusten korjausten osalta vuosina 2021–2030 direktiivin 2012/27/EU 5 artiklan nojalla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muut kansalliset energiatehokkuustavoitteet, mukaan lukien pitkän aikavälin tavoitteet tai strategiat ja alakohtaiset tavoitteet. Muut kansalliset energiatehokkuustavoitteet muun muassa liikenteen, lämmityksen ja jäähdytyksen aloilla.</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Energiavarmuuden ulottuvuus </w:t>
            </w:r>
          </w:p>
          <w:p>
            <w:pPr>
              <w:pStyle w:val="ListParagraph"/>
              <w:numPr>
                <w:ilvl w:val="3"/>
                <w:numId w:val="1"/>
              </w:numPr>
              <w:rPr>
                <w:rFonts w:ascii="Times New Roman" w:hAnsi="Times New Roman" w:cs="Times New Roman"/>
                <w:noProof/>
              </w:rPr>
            </w:pPr>
            <w:r>
              <w:rPr>
                <w:rFonts w:ascii="Times New Roman" w:hAnsi="Times New Roman"/>
                <w:noProof/>
              </w:rPr>
              <w:t xml:space="preserve">Kansalliset tavoitteet, jotka liittyvät energialähteiden ja kolmansista maista tulevien toimitusten monipuolistamiseen, varastointiin ja kysynnän ohjaukseen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Kansalliset tavoitteet, jotka liittyvät riippuvuuden vähentämiseen kolmansista maista tuotavasta energiasta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Kansalliset tavoitteet, jotka liittyvät valmiuksiin selviytyä jonkin energialähteen (kaasu ja sähkö mukaan lukien) rajoittuneista tai keskeytyneistä toimituksista, sekä tapauksen mukaan aikataulu tavoitteiden saavuttamiselle</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Kansalliset tavoitteet, jotka liittyvät vaihtoehtoisten kotimaisten lähteiden käyttöönottoon (erityisesti uusiutuva energia)</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Energian sisämarkkinoiden ulottuvuus</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Sähköverkkojen yhteenliitäntä (vuotta 2030 koskevien puitteiden tavoite)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Sähköverkkojen yhteenliitäntäaste, johon jäsenvaltio pyrkii vuonna 2030 Eurooppa-neuvoston lokakuussa 2014 vahvistaman tavoitteen osalta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Energian siirtoinfrastruktuuri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Tärkeimmät sähkön ja kaasun siirtoinfrastruktuuriin liittyvät kansalliset tavoitteet, jotka ovat tarpeen tavoitteiden ja päämäärien saavuttamiseksi minkä tahansa 2 kohdassa luetellun ulottuvuuden osalta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tärkeimmät suunnitellut infrastruktuurihankkeet, jotka ovat muita kuin yhteistä etua koskevat hankkeet</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 Markkinoiden yhdentyminen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kansalliset tavoitteet, jotka liittyvät energian sisämarkkinoiden muihin näkökohtiin, joita ovat esimerkiksi markkinoiden yhdentäminen ja yhteenkytkeminen, mukaan lukien aikataulu tavoitteiden saavuttamiselle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kansalliset tavoitteet, jotka liittyvät sähköjärjestelmän riittävyyden varmistamiseen sekä energiajärjestelmän joustavuuteen uusiutuvan energian tuotannon osalta, mukaan lukien aikataulu tavoitteiden saavuttamiselle;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Kansalliset tavoitteet energian kuluttajien suojelemiseksi ja energian vähittäismarkkinoiden kilpailukyvyn parantamiseksi</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Energiaköyhyys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Energiaköyhyyteen liittyvät kansalliset tavoitteet, mukaan lukien aikataulu tavoitteiden saavuttamiselle</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Tutkimuksen, innovoinnin ja kilpailukyvyn ulottuvuus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Energiaunioniin liittyvän julkisen ja yksityisen tutkimuksen ja innovoinnin kansalliset tavoitteet ja rahoitustavoitteet, mukaan lukien mahdollinen aikataulu tavoitteiden saavuttamiselle; energiaunionistrategian ja SET-suunnitelman prioriteettien mukaisesti.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kansalliset tavoitteet, mukaan lukien vuoteen 2050 saakka ulottuvat pitkän aikavälin tavoitteet vähähiilisten teknologioiden käyttöönottamiseksi, mukaan lukien energia- ja hiili-intensiivisten teollisuudenalojen hiilipäästöjen vähentämisteknologiat ja mahdolliset tähän liittyvät hiilen kuljetusta ja varastointi-infrastruktuuria koskevat tavoitteet</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Kilpailukykyä koskevat kansalliset tavoitteet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POLITIIKAT JA TOIMET</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Hiilestä irtautumisen ulottuvuus</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Kasvihuonekaasujen päästöt ja poistumat (vuodet 2021–2030 kattavan suunnitelman osalta vuotta 2030 koskevien puitteiden tavoite)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Sellaiset 2.1.1 kohdassa tarkoitetut politiikat ja toimenpiteet asetuksessa [ ] [ESR] säädetyn tavoitteen saavuttamiseksi ja politiikat ja toimenpiteet asetuksen [ ] [LULUCF] noudattamiseksi, jotka kattavat kaikki keskeiset päästöjä aiheuttavat alat ja alat, joilla pyritään lisäämään poistumia, ottaen huomioon pitkän aikavälin visio ja tavoite siirtymisestä vähäpäästöiseen talouteen 50 vuoden aikavälillä, jotta saavutettaisiin tasapaino päästöjen ja poistumien välillä Pariisin sopimuksen mukaisesti.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Alueellinen yhteistyö</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rahoitustoimenpiteet, mukaan lukien EU:n tuki ja EU:n varojen käyttö tällä alalla kansallisella tasolla, sanotun kuitenkaan rajoittamatta valtiontukisääntöjen soveltamista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Uusiutuva energia (vuotta 2030 koskevien puitteiden tavoite)</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lastRenderedPageBreak/>
              <w:t>Politiikat ja toimenpiteet 2.1.2 kohdassa esitetyn vuodelle 2030 asetetun EU:n tason sitovan tavoitteen, joka koskee uusiutuvaa energiaa ja kehityskulkuja, saavuttamiseksi, mukaan lukien ala- ja teknologiakohtaiset toimenpiteet</w:t>
            </w:r>
            <w:r>
              <w:rPr>
                <w:rStyle w:val="FootnoteReference"/>
                <w:rFonts w:ascii="Times New Roman" w:hAnsi="Times New Roman"/>
                <w:noProof/>
              </w:rPr>
              <w:footnoteReference w:id="7"/>
            </w:r>
            <w:r>
              <w:rPr>
                <w:rFonts w:ascii="Times New Roman" w:hAnsi="Times New Roman"/>
                <w:noProof/>
              </w:rPr>
              <w: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Erityiset toimenpiteet alueellista yhteistyötä varten, mukaan lukien arvio uusiutuvista lähteistä saatavan energian ylituotannosta, joka voitaisiin siirtää toisille jäsenvaltioille vaarantamatta 2.1.2 kohdassa tarkoitetun kansallisen panoksen ja kehityskulkujen saavuttamista.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Taloudellista tukea koskevat erityiset toimenpiteet, mukaan lukien EU:n tuki ja EU:n varojen käyttö uusiutuvista lähteistä saatavan energian tuotannon ja käytön edistämiseksi sähkö-, lämmitys-, jäähdytys- ja liikennealoilla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Erityiset toimenpiteet yhden yhteyspisteen käyttöönottamiseksi, hallinnollisten menettelyjen virtaviivaistamiseksi, tiedotuksen ja koulutuksen järjestämiseksi sekä omaa uusiutuvaa energiaa käyttävien ja energiayhteisöjen osallistumismahdollisuuksien lisäämiseksi.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Arvio tarpeesta rakentaa uutta infrastruktuuria uusiutuvista energialähteistä saatavaa kaukolämmitystä ja -jäähdytystä varten.</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Erityiset toimenpiteet, joilla edistetään biomassasta peräisin olevan energian käyttöä, erityisesti uuden biomassan käyttöönottoa, ottaen huomioon:</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biomassan saatavuus: kotimainen potentiaali ja tuonti kolmansista maista</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muut biomassan käytöt muilla aloilla (maatalous ja metsäperusteiset alat); sekä biomassan tuotannon ja käytön kestävyyttä koskevat toimenpiteet.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Muut ulottuvuuteen liittyvät seikat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päästökauppajärjestelmään kuuluvia aloja koskevat kansalliset politiikat ja toimenpiteet sekä arviointi täydentävyydestä ja vaikutuksista EU:n päästökauppajärjestelmään.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Ilmastonmuutokseen sopeutumista koskevat strategiat, suunnitelmat ja toimenpiteet.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Mahdolliset muita kansallisia tavoitteita koskevat politiikat ja toimenpiteet.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Vähäpäästöistä liikkuvuutta koskevat politiikat ja toimenpiteet (mukaan lukien liikenteen sähköistäminen)</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Energiatehokkuuden ulottuvuus (vuotta 2030 koskevien puitteiden tavoite)</w:t>
            </w:r>
          </w:p>
          <w:p>
            <w:pPr>
              <w:spacing w:before="0"/>
              <w:rPr>
                <w:noProof/>
                <w:sz w:val="22"/>
              </w:rPr>
            </w:pPr>
            <w:r>
              <w:rPr>
                <w:noProof/>
                <w:sz w:val="22"/>
              </w:rPr>
              <w:t>Suunnitellut politiikat, toimet ja ohjelmat vuodelle 2030 vahvistetun ohjeellisen kansallisen energiatehokkuustavoitteen ja muiden 2.2 kohdassa esitettyjen tavoitteiden saavuttamiseksi, mukaan lukien suunnitellut toimenpiteet ja välineet (myös taloudellista laatua olevat) rakennusten energiatehokkuuden edistämiseksi erityisesti seuraavien osalta: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Direktiivin 2012/27/EU [, sellaisena kuin se on muutettuna ehdotuksella COM(2016) 761, ] 7 artiklassa tarkoitetut energiatehokkuusvelvoitejärjestelmät ja vaihtoehtoiset toimenpiteet (laadittava liitteen II mukaisesti)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Kansallisen asuin- ja kaupallisten rakennusten (julkisten ja yksityisten) kannan peruskorjausta koskeva pitkän aikavälin strategia</w:t>
            </w:r>
            <w:r>
              <w:rPr>
                <w:rStyle w:val="FootnoteReference"/>
                <w:rFonts w:ascii="Times New Roman" w:hAnsi="Times New Roman"/>
                <w:noProof/>
              </w:rPr>
              <w:footnoteReference w:id="8"/>
            </w:r>
            <w:r>
              <w:rPr>
                <w:rFonts w:ascii="Times New Roman" w:hAnsi="Times New Roman"/>
                <w:noProof/>
              </w:rPr>
              <w:t xml:space="preserve">, mukaan lukien politiikat ja </w:t>
            </w:r>
            <w:r>
              <w:rPr>
                <w:rFonts w:ascii="Times New Roman" w:hAnsi="Times New Roman"/>
                <w:noProof/>
              </w:rPr>
              <w:lastRenderedPageBreak/>
              <w:t>toimenpiteet kustannustehokkaiden pitkälle menevien perusparannusten ja vaiheittaisten pitkälle menevien perusparannusten edistämiseksi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Kuvaus politiikasta ja toimenpiteistä energiapalvelujen edistämiseksi julkisella sektorilla ja toimenpiteet sellaisten sääntelyyn liittyvien ja muiden esteiden poistamiseksi, jotka estävät energiatehokkuutta koskevien sopimusten ja muita energiatehokkuuspalveluja koskevien mallien hyödyntämisen</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Muut suunnitellut politiikat, toimet ja ohjelmat vuodelle 2030 vahvistetun ohjeellisen kansallisen energiatehokkuustavoitteen ja muiden 2.2 kohdassa esitettyjen tavoitteiden saavuttamiseksi (kuten  toimenpiteet julkisten elinten rakennusten esimerkkinä toimimisen ja julkisia hankintoja koskevien energiatehokkaiden toimenpiteiden edistämiseksi, toimenpiteet energiakatselmusten ja energianhallintajärjestelmien edistämiseksi</w:t>
            </w:r>
            <w:r>
              <w:rPr>
                <w:rStyle w:val="FootnoteReference"/>
                <w:rFonts w:ascii="Times New Roman" w:hAnsi="Times New Roman"/>
                <w:noProof/>
              </w:rPr>
              <w:footnoteReference w:id="10"/>
            </w:r>
            <w:r>
              <w:rPr>
                <w:rFonts w:ascii="Times New Roman" w:hAnsi="Times New Roman"/>
                <w:noProof/>
              </w:rPr>
              <w:t>, kuluttajanvalitus- ja koulutustoimenpiteet</w:t>
            </w:r>
            <w:r>
              <w:rPr>
                <w:rStyle w:val="FootnoteReference"/>
                <w:rFonts w:ascii="Times New Roman" w:hAnsi="Times New Roman"/>
                <w:noProof/>
              </w:rPr>
              <w:footnoteReference w:id="11"/>
            </w:r>
            <w:r>
              <w:rPr>
                <w:rFonts w:ascii="Times New Roman" w:hAnsi="Times New Roman"/>
                <w:noProof/>
              </w:rPr>
              <w:t xml:space="preserve"> sekä muut toimenpiteet energiatehokkuuden edistämiseksi</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Kuvaus toimenpiteistä sähkö- ja kaasuinfrastruktuurin energiatehokkuusmahdollisuuksien käyttämistä koskevien toimenpiteiden kehittämiseksi</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Mahdollinen alueellinen yhteistyö</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Rahoitustoimenpiteet, mukaan lukien EU:n tuki ja EU:n  varojen käyttö tällä alalla kansallisella tasolla</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Energiavarmuuden ulottuvuus</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2.3 kohdassa vahvistettujen tavoitteiden saavuttamiseksi</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Alueellinen yhteistyö</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rahoitustoimenpiteet, mukaan lukien EU:n tuki ja EU:n  varojen käyttö tällä alalla kansallisella tasolla</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Energian sisämarkkinoiden ulottuvuus</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Sähköinfrastruktuuri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2.4.1 kohdassa esitetyn  yhteenliitäntää koskevan tavoiteasteen saavuttamiseksi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Alueellinen yhteistyö</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Mahdolliset rahoitustoimenpiteet, mukaan lukien EU:n tuki ja EU:n  varojen käyttö tällä alalla kansallisella tasolla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Energian siirtoinfrastruktuuri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2.4.2 kohdassa vahvistettujen keskeisten infrastruktuuritavoitteiden saavuttamiseksi mukaan lukien mahdolliset erityiset toimenpiteet, joilla edistetään yhteistä etua koskevien hankkeiden ja muiden keskeisten infrastruktuurihankkeiden toteutumista.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Alueellinen yhteistyö</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rahoitustoimenpiteet, mukaan lukien EU:n tuki ja EU:n  varojen käyttö tällä alalla kansallisella tasolla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Markkinoiden yhdentyminen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2.4.3 kohdassa vahvistettujen tavoitteiden saavuttamiseksi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Toimenpiteet energiajärjestelmän joustavuuden lisäämiseksi uusiutuvan energian tuotannon osalta, mukaan lukien yhteenkytkettyjen päivänsisäisten markkinoiden ja rajatylittävien tasehallintamarkkinoiden käyttöönotto</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Uusiutuvista energialähteistä tuotetun tai tehokkaasta yhteistuotannosta saadun sähkön ensisijaisen verkkoonpääsyn tai ajojärjestyksen edistäminen sekä tällaisen sähkön rajoittamisen tai ajojärjestyksen uudelleenmäärittelyn estäminen</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Politiikat ja toimenpiteet kuluttajien, erityisesti heikossa asemassa olevien ja energiaköyhien kuluttajien suojelemiseksi sekä energian vähittäismarkkinoiden kilpailukyvyn ja kilpailullisuuden parantamiseksi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Kuvaus toimenpiteistä, joilla mahdollistetaan ja kehitetään kysynnän ohjausta, mukaan lukien dynaamista hinnoittelua tukevia hintoja koskevat toimenpiteet</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Energiaköyhyys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2.4.4 kohdassa vahvistettujen tavoitteiden saavuttamiseksi</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Tutkimuksen, innovoinnin ja kilpailukyvyn ulottuvuus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Politiikat ja toimenpiteet, myös 2.5 kohdassa vahvistettujen tavoitteiden saavuttamiseksi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Yhteistyö muiden jäsenvaltioiden kanssa, mukaan lukien tiedot siitä, miten SET-suunnitelman tavoitteet ja politiikat siirretään kansalliseen kontekstiin.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Mahdolliset rahoitustoimenpiteet, mukaan lukien EU:n tuki ja EU:n  varojen käyttö tällä alalla kansallisella tasolla</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B JAKSO: ANALYYTTINEN PERUSTA</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OLEMASSA OLEVIEN POLITIKKOJEN JA TOIMENPITEIDEN NYKYTILANNE SEKÄ NIIHIN PERUSTUVAT ENNUSTEET</w:t>
            </w:r>
            <w:r>
              <w:rPr>
                <w:rStyle w:val="FootnoteReference"/>
                <w:rFonts w:ascii="Times New Roman" w:hAnsi="Times New Roman"/>
                <w:b/>
                <w:noProof/>
              </w:rPr>
              <w:footnoteReference w:id="22"/>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Tärkeimpien energiajärjestelmään ja kasvihuonekaasupäästöjen kehitykseen vaikuttavien ulkoisten tekijöiden kehitysennuste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Makroekonomiset ennusteet (BKT ja väestönkasvu]</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Alalla tapahtuvat muutokset, joiden odotetaan vaikuttavan energiajärjestelmään ja kasvihuonekaasupäästöihin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Maailmanlaajuiset energiasuuntaukset, kansainväliset fossiilisten polttoaineiden hinnat, hiilen hinta päästökauppajärjestelmässä</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Teknologiakustannusten kehitys</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Hiilestä irtautumisen ulottuvuus</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Kasvihuonekaasujen päästöt ja poistumat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Kasvihuonekaasujen nykyisten päästöjen ja poistumien suuntaukset päästökauppajärjestelmässä sekä taakanjakoasetuksen, LULUCF-alojen ja eri energiasektoreiden suuntaukset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Alakohtaisen kehityksen ennusteet kansallisten ja EU:n politiikkojen ja toimenpiteiden perusteella vähintään vuoteen 2040 (vuosi 2030 mukaan lukien)</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Uusiutuva energia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Uusiutuvien energialähteiden nykyinen osuus energian kokonaisloppukulutuksesta eri aloilla (lämmitys, jäähdytys, sähkö ja liikenne) sekä teknologiaa kohden kullakin näistä aloista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Kehitysennusteet nykyisten kansallisten ja EU:n politiikkojen ja toimenpiteiden perusteella vähintään vuoteen 2040 (vuosi 2030 mukaan lukien)</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Energiatehokkuuden ulottuvuus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Primääri- ja/tai loppuenergian nykyinen kulutus taloudessa ja sektoria kohden </w:t>
            </w:r>
            <w:r>
              <w:rPr>
                <w:rFonts w:ascii="Times New Roman" w:hAnsi="Times New Roman"/>
                <w:noProof/>
              </w:rPr>
              <w:lastRenderedPageBreak/>
              <w:t>(mukaan lukien teollisuus, kotitaloudet, palveluala ja liikenne).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Tehokkaan yhteistuotannon ja tehokkaan kaukolämmityksen ja -jäähdytyksen nykyiset hyödyntämismahdollisuudet</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1.2 kohdan ii alakohdassa kuvattujen nykyisten energiatehokkuuspolitiikkojen, toimenpiteiden ja ohjelmien ennusteet primääri- ja loppuenergian kulutuksen osalta kullakin alalla vähintään vuoteen 2040 (vuosi 2030 mukaan lukien)</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Kansallisiin laskelmiin perustuvat energiatehokkuutta koskevien vähimmäisvaatimusten kustannusoptimaaliset tasot direktiivin 2010/31/EU 5 artiklan mukaisesti</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Energiavarmuuden ulottuvuus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Energialähteiden nykyinen yhdistelmä, kotimaiset energialähteet ja tuontiriippuvuus, asiaanliittyvät riskit mukaan lukien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Kehitysennusteet nykyisten kansallisten ja EU:n politiikkojen ja toimenpiteiden perusteella vähintään vuoteen 2040 (vuosi 2030 mukaan lukien)</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Energian sisämarkkinoiden ulottuvuus</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Sähköverkkojen yhteenliitäntä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Sähköverkkojen nykyinen yhteenliitäntäaste ja tärkeimmät yhdysjohdot</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Yhdysjohtojen laajentamisvaatimusten ennusteet vähintään vuoteen 2040 (vuosi 2030 mukaan lukien)</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 Energian siirtoinfrastruktuuri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Sähkön ja kaasun nykyisen siirtoinfrastruktuurin pääominaisuudet</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Verkoston laajentamisvaatimusten ennusteet vähintään vuoteen 2040 (vuosi 2030 mukaan lukien)</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Sähkö- ja kaasumarkkinat, energian hinnat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Sähkö- ja kaasumarkkinoiden nykytilanne, mukaan lukien energian hinnat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Kehitysennusteet nykyisten kansallisten ja EU:n politiikkojen ja toimenpiteiden perusteella vähintään vuoteen 2040 (vuosi 2030 mukaan lukien)</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Tutkimuksen, innovoinnin ja kilpailukyvyn ulottuvuus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Vähähiilisten teknologioiden alan nykytilanne ja asema kansainvälisillä markkinoilla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Vähähiilisiin teknologioihin käytettävien julkisten ja yksityisten tutkimus- ja </w:t>
            </w:r>
            <w:r>
              <w:rPr>
                <w:rFonts w:ascii="Times New Roman" w:hAnsi="Times New Roman"/>
                <w:noProof/>
              </w:rPr>
              <w:lastRenderedPageBreak/>
              <w:t xml:space="preserve">innovointimäärärahojen nykytilanne sekä patenttien ja tutkijoiden nykyinen lukumäärä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Energiakustannusten nykytaso, myös kansainvälisessä kontekstissa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i–iii alakohdassa tarkoitetut kehitysennusteet nykyisten kansallisten ja EU:n politiikkojen ja toimenpiteiden perusteella vähintään vuoteen 2040 (vuosi 2030 mukaan lukien).</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SUUNNITELTUJEN POLITIIKKOJEN JA TOIMIEN VAIKUTUSTEN ARVIOINTI</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3 jaksossa kuvattujen suunniteltujen politiikkojen ja toimenpiteiden vaikutukset energiajärjestelmään ja kasvihuonekaasujen päästöihin</w:t>
            </w:r>
            <w:r>
              <w:rPr>
                <w:rFonts w:ascii="Times New Roman" w:hAnsi="Times New Roman"/>
                <w:noProof/>
              </w:rPr>
              <w:t xml:space="preserve"> ja poistumiin, vertailu nykyisiin politiikkoihin ja toimenpiteisiin perustuviin ennusteisiin (kuten 4 jaksossa kuvataan).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Suunniteltuihin politiikkoihin ja toimenpiteisiin liittyvät ennusteet, jotka koskevat energiajärjestelmän ja kasvihuonekaasujen päästöjen ja poistumien kehitystä sekä ilman laatua pilaavia päästöjä direktiivin [sellaisena kuin sitä ehdotetaan asiakirjalla COM/2013/0920]</w:t>
            </w:r>
            <w:r>
              <w:rPr>
                <w:rStyle w:val="FootnoteReference"/>
                <w:rFonts w:ascii="Times New Roman" w:hAnsi="Times New Roman"/>
                <w:noProof/>
              </w:rPr>
              <w:footnoteReference w:id="31"/>
            </w:r>
            <w:r>
              <w:rPr>
                <w:rFonts w:ascii="Times New Roman" w:hAnsi="Times New Roman"/>
                <w:noProof/>
              </w:rPr>
              <w:t xml:space="preserve"> mukaisesti vähintään kymmenen vuoden ajalle suunnitelman kattaman ajanjakson päättymisen jälkeen (myös viimeiselle seuraavan kansallisen suunnitelman kattamalle vuodelle), mukaan lukien asiaanliittyvät EU:n politiikat ja toimenpiteet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Arviointi poliittisista vuorovaikutuksista (tietyn politiikan ulottuvuuden nykyisten ja suunniteltujen politiikkojen ja toimenpiteiden sekä eri ulottuvuuksien nykyisten ja suunniteltujen politiikkojen ja toimenpiteiden välillä) vähintään suunnitelman kattaman ajanjakson viimeiseen vuoteen asti</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3 jaksossa kuvattujen suunniteltujen politiikkojen ja toimenpiteiden makroekonomiset ja sosiaaliset sekä  ympäristöosaamiseen liittyvät vaikutukset </w:t>
            </w:r>
            <w:r>
              <w:rPr>
                <w:rFonts w:ascii="Times New Roman" w:hAnsi="Times New Roman"/>
                <w:noProof/>
              </w:rPr>
              <w:t xml:space="preserve"> vähintään suunnitelman kattaman ajanjakson viimeiseen vuoteen asti, mukaan lukien vertailu nykyisiin politiikkoihin ja toimenpiteisiin perustuviin ennusteisiin</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3 jaksossa kuvattujen suunniteltujen politiikkojen ja toimenpiteiden vaikutukset muihin jäsenvaltioihin ja alueelliseen yhteistyöhön </w:t>
            </w:r>
            <w:r>
              <w:rPr>
                <w:rFonts w:ascii="Times New Roman" w:hAnsi="Times New Roman"/>
                <w:noProof/>
              </w:rPr>
              <w:t xml:space="preserve"> vähintään suunnitelman kattaman ajanjakson viimeiseen vuoteen asti, mukaan lukien vertailu nykyisiin politiikkoihin ja toimenpiteisiin perustuviin ennusteisiin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Energiajärjestelmän vaikutukset naapurijäsenvaltioissa ja muissa alueen jäsenvaltiossa </w:t>
            </w:r>
            <w:r>
              <w:rPr>
                <w:noProof/>
              </w:rPr>
              <w:t xml:space="preserve"> </w:t>
            </w:r>
            <w:r>
              <w:rPr>
                <w:rFonts w:ascii="Times New Roman" w:hAnsi="Times New Roman"/>
                <w:noProof/>
              </w:rPr>
              <w:t>siinä määrin kuin ne on mahdollista määritellä</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Vaikutukset energian hintoihin, energialaitoksiin ja markkinoiden yhdentymiseen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Vaikutukset alueelliseen yhteistyöhön</w:t>
            </w:r>
          </w:p>
        </w:tc>
      </w:tr>
    </w:tbl>
    <w:p>
      <w:pPr>
        <w:rPr>
          <w:noProof/>
        </w:rPr>
      </w:pPr>
    </w:p>
    <w:p>
      <w:pPr>
        <w:jc w:val="center"/>
        <w:rPr>
          <w:rFonts w:eastAsia="Times New Roman"/>
          <w:b/>
          <w:noProof/>
          <w:color w:val="000000"/>
          <w:szCs w:val="24"/>
        </w:rPr>
      </w:pPr>
      <w:r>
        <w:rPr>
          <w:b/>
          <w:noProof/>
          <w:color w:val="000000"/>
        </w:rPr>
        <w:lastRenderedPageBreak/>
        <w:t>2 osa</w:t>
      </w:r>
    </w:p>
    <w:p>
      <w:pPr>
        <w:jc w:val="center"/>
        <w:rPr>
          <w:rFonts w:eastAsia="Times New Roman"/>
          <w:i/>
          <w:noProof/>
          <w:color w:val="000000"/>
          <w:szCs w:val="24"/>
        </w:rPr>
      </w:pPr>
      <w:r>
        <w:rPr>
          <w:i/>
          <w:noProof/>
          <w:color w:val="000000"/>
        </w:rPr>
        <w:t>Luettelo parametreistä ja muuttujista, jotka on raportoitava kansallisen suunnitelman B jaksossa</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t>Seuraavat parametrit, muuttujat, energiataseet ja indikaattorit on raportoitava kansallisten suunnitelmien B osassa ”Analyyttinen perusta”:</w:t>
      </w:r>
    </w:p>
    <w:p>
      <w:pPr>
        <w:pStyle w:val="NumPar1"/>
        <w:numPr>
          <w:ilvl w:val="0"/>
          <w:numId w:val="36"/>
        </w:numPr>
        <w:rPr>
          <w:b/>
          <w:noProof/>
        </w:rPr>
      </w:pPr>
      <w:r>
        <w:rPr>
          <w:b/>
          <w:noProof/>
        </w:rPr>
        <w:t>Yleiset parametrit ja muuttujat</w:t>
      </w:r>
    </w:p>
    <w:p>
      <w:pPr>
        <w:pStyle w:val="Point0number"/>
        <w:numPr>
          <w:ilvl w:val="0"/>
          <w:numId w:val="37"/>
        </w:numPr>
        <w:rPr>
          <w:rFonts w:eastAsia="Times New Roman"/>
          <w:noProof/>
          <w:szCs w:val="24"/>
        </w:rPr>
      </w:pPr>
      <w:r>
        <w:rPr>
          <w:noProof/>
        </w:rPr>
        <w:t>Väkiluku [miljoonaa]</w:t>
      </w:r>
    </w:p>
    <w:p>
      <w:pPr>
        <w:pStyle w:val="Point0number"/>
        <w:rPr>
          <w:rFonts w:eastAsia="Times New Roman"/>
          <w:noProof/>
          <w:szCs w:val="24"/>
        </w:rPr>
      </w:pPr>
      <w:r>
        <w:rPr>
          <w:noProof/>
        </w:rPr>
        <w:t>BKT [miljoonaa euroa]</w:t>
      </w:r>
    </w:p>
    <w:p>
      <w:pPr>
        <w:pStyle w:val="Point0number"/>
        <w:rPr>
          <w:rFonts w:eastAsia="Times New Roman"/>
          <w:noProof/>
          <w:szCs w:val="24"/>
        </w:rPr>
      </w:pPr>
      <w:r>
        <w:rPr>
          <w:noProof/>
        </w:rPr>
        <w:t>Alakohtainen bruttoarvonlisäys (ml. tärkeimmät teollisuus-, rakennusalat, palvelu- ja maatalousalat) [miljoonaa euroa]</w:t>
      </w:r>
    </w:p>
    <w:p>
      <w:pPr>
        <w:pStyle w:val="Point0number"/>
        <w:rPr>
          <w:rFonts w:eastAsia="Times New Roman"/>
          <w:noProof/>
          <w:szCs w:val="24"/>
        </w:rPr>
      </w:pPr>
      <w:r>
        <w:rPr>
          <w:noProof/>
        </w:rPr>
        <w:t>Kotitalouksien määrä [tuhatta]</w:t>
      </w:r>
    </w:p>
    <w:p>
      <w:pPr>
        <w:pStyle w:val="Point0number"/>
        <w:rPr>
          <w:rFonts w:eastAsia="Times New Roman"/>
          <w:noProof/>
          <w:szCs w:val="24"/>
        </w:rPr>
      </w:pPr>
      <w:r>
        <w:rPr>
          <w:noProof/>
        </w:rPr>
        <w:t>Kotitalouksien koko [asukkaita/kotitalous]</w:t>
      </w:r>
    </w:p>
    <w:p>
      <w:pPr>
        <w:pStyle w:val="Point0number"/>
        <w:rPr>
          <w:rFonts w:eastAsia="Times New Roman"/>
          <w:noProof/>
          <w:szCs w:val="24"/>
        </w:rPr>
      </w:pPr>
      <w:r>
        <w:rPr>
          <w:noProof/>
        </w:rPr>
        <w:t>Kotitalouksien käytettävissä olevat tulot [euroa]</w:t>
      </w:r>
    </w:p>
    <w:p>
      <w:pPr>
        <w:pStyle w:val="Point0number"/>
        <w:rPr>
          <w:noProof/>
        </w:rPr>
      </w:pPr>
      <w:r>
        <w:rPr>
          <w:noProof/>
        </w:rPr>
        <w:t>Matkustajakilometrien lukumäärä: kaikki liikennemuodot eriteltyinä maantieliikenteeseen (linja-autot erikseen jos mahdollista), rautatieliikenteeseen, lentoliikenteeseen ja kotimaan vesiliikenteeseen (tapauksen mukaan) [miljoonaa matkustajakilometriä]</w:t>
      </w:r>
    </w:p>
    <w:p>
      <w:pPr>
        <w:pStyle w:val="Point0number"/>
        <w:rPr>
          <w:rFonts w:eastAsia="Times New Roman"/>
          <w:noProof/>
          <w:szCs w:val="24"/>
        </w:rPr>
      </w:pPr>
      <w:r>
        <w:rPr>
          <w:noProof/>
        </w:rPr>
        <w:t>Tavaraliikenteen tonnikilometrit: kaikki liikennemuodot, ei kuitenkaan kansainvälinen meriliikenne, eriteltyinä maantie-, rautatie- ja lentoliikenteeseen sekä kotimaan vesiliikenteeseen (sisävesiväylät ja kansallinen meriliikenne) [miljoonaa tonnikilometriä]</w:t>
      </w:r>
    </w:p>
    <w:p>
      <w:pPr>
        <w:pStyle w:val="Point0number"/>
        <w:rPr>
          <w:rFonts w:eastAsia="Times New Roman"/>
          <w:noProof/>
          <w:szCs w:val="24"/>
        </w:rPr>
      </w:pPr>
      <w:r>
        <w:rPr>
          <w:noProof/>
        </w:rPr>
        <w:t>Öljyn, kaasu ja hiilen kansainväliset vientihinnat [euroa/GJ tai euroa/toe] – komission suositusten mukaisesti</w:t>
      </w:r>
    </w:p>
    <w:p>
      <w:pPr>
        <w:pStyle w:val="Point0number"/>
        <w:rPr>
          <w:rFonts w:eastAsia="Times New Roman"/>
          <w:noProof/>
          <w:szCs w:val="24"/>
        </w:rPr>
      </w:pPr>
      <w:r>
        <w:rPr>
          <w:noProof/>
        </w:rPr>
        <w:t>Hiilen hinta EU:n päästökauppajärjestelmässä [euroa/EUA]</w:t>
      </w:r>
      <w:r>
        <w:rPr>
          <w:rStyle w:val="FootnoteReference"/>
          <w:noProof/>
        </w:rPr>
        <w:t xml:space="preserve"> </w:t>
      </w:r>
      <w:r>
        <w:rPr>
          <w:noProof/>
        </w:rPr>
        <w:t xml:space="preserve"> – komission suositusten mukaisesti</w:t>
      </w:r>
    </w:p>
    <w:p>
      <w:pPr>
        <w:pStyle w:val="Point0number"/>
        <w:rPr>
          <w:rFonts w:eastAsia="Times New Roman"/>
          <w:noProof/>
          <w:szCs w:val="24"/>
        </w:rPr>
      </w:pPr>
      <w:r>
        <w:rPr>
          <w:noProof/>
        </w:rPr>
        <w:t>Euron ja Yhdysvaltain dollarin valuuttakurssia (tapauksen mukaan) koskevat oletukset [euro/valuutta ja USD/valuutta]</w:t>
      </w:r>
    </w:p>
    <w:p>
      <w:pPr>
        <w:pStyle w:val="Point0number"/>
        <w:rPr>
          <w:rFonts w:eastAsia="Times New Roman"/>
          <w:noProof/>
          <w:szCs w:val="24"/>
        </w:rPr>
      </w:pPr>
      <w:r>
        <w:rPr>
          <w:noProof/>
        </w:rPr>
        <w:t>Lämmityspäivien määrä</w:t>
      </w:r>
    </w:p>
    <w:p>
      <w:pPr>
        <w:pStyle w:val="Point0number"/>
        <w:rPr>
          <w:rFonts w:eastAsia="Times New Roman"/>
          <w:noProof/>
          <w:szCs w:val="24"/>
        </w:rPr>
      </w:pPr>
      <w:r>
        <w:rPr>
          <w:noProof/>
        </w:rPr>
        <w:t>Jäähdytyspäivien määrä</w:t>
      </w:r>
    </w:p>
    <w:p>
      <w:pPr>
        <w:pStyle w:val="Point0number"/>
        <w:rPr>
          <w:rFonts w:eastAsia="Times New Roman"/>
          <w:noProof/>
          <w:szCs w:val="24"/>
        </w:rPr>
      </w:pPr>
      <w:r>
        <w:rPr>
          <w:noProof/>
        </w:rPr>
        <w:lastRenderedPageBreak/>
        <w:t>Teknologiakustannuksia koskevat oletukset, jota käytetään tärkeimpiä asiaanliittyviä teknologioita mallinnettaessa</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Energiatase ja indikaattorit</w:t>
      </w:r>
    </w:p>
    <w:p>
      <w:pPr>
        <w:pStyle w:val="NumPar2"/>
        <w:rPr>
          <w:rFonts w:eastAsia="Times New Roman"/>
          <w:b/>
          <w:noProof/>
          <w:szCs w:val="24"/>
        </w:rPr>
      </w:pPr>
      <w:r>
        <w:rPr>
          <w:b/>
          <w:noProof/>
        </w:rPr>
        <w:t>Energian toimitus</w:t>
      </w:r>
    </w:p>
    <w:p>
      <w:pPr>
        <w:pStyle w:val="Point0number"/>
        <w:numPr>
          <w:ilvl w:val="0"/>
          <w:numId w:val="2"/>
        </w:numPr>
        <w:rPr>
          <w:rFonts w:eastAsia="Times New Roman"/>
          <w:noProof/>
          <w:szCs w:val="24"/>
        </w:rPr>
      </w:pPr>
      <w:r>
        <w:rPr>
          <w:noProof/>
        </w:rPr>
        <w:t>Kotimainen tuotanto polttoainetyypin mukaan (kaikki energiatuotteet: hiili, raakaöljy, maakaasu, ydinenergia, uusiutuvat energialähteet) [ktoe]</w:t>
      </w:r>
    </w:p>
    <w:p>
      <w:pPr>
        <w:pStyle w:val="Point0number"/>
        <w:rPr>
          <w:rFonts w:eastAsia="Times New Roman"/>
          <w:noProof/>
          <w:szCs w:val="24"/>
        </w:rPr>
      </w:pPr>
      <w:r>
        <w:rPr>
          <w:noProof/>
        </w:rPr>
        <w:t xml:space="preserve">Nettotuonti polttoainetyypin mukaan (mukaan lukien sähkö ja eriteltynä Euroopan sisäisen ja ulkoisen nettotuonnin mukaan) [ktoe] </w:t>
      </w:r>
    </w:p>
    <w:p>
      <w:pPr>
        <w:pStyle w:val="Point0number"/>
        <w:rPr>
          <w:rFonts w:eastAsia="Times New Roman"/>
          <w:noProof/>
          <w:szCs w:val="24"/>
        </w:rPr>
      </w:pPr>
      <w:r>
        <w:rPr>
          <w:noProof/>
        </w:rPr>
        <w:t>Tuontiriippuvuus kolmansista maista [%]</w:t>
      </w:r>
    </w:p>
    <w:p>
      <w:pPr>
        <w:pStyle w:val="Point0number"/>
        <w:rPr>
          <w:rFonts w:eastAsia="Times New Roman"/>
          <w:noProof/>
          <w:szCs w:val="24"/>
        </w:rPr>
      </w:pPr>
      <w:r>
        <w:rPr>
          <w:noProof/>
        </w:rPr>
        <w:t>Tärkeimmät tuontilähteet (maat) tärkeimpien energiankantajien osalta (mukaan lukien kaasu ja sähkö)</w:t>
      </w:r>
    </w:p>
    <w:p>
      <w:pPr>
        <w:pStyle w:val="Point0number"/>
        <w:rPr>
          <w:rFonts w:eastAsia="Times New Roman"/>
          <w:noProof/>
          <w:szCs w:val="24"/>
        </w:rPr>
      </w:pPr>
      <w:r>
        <w:rPr>
          <w:noProof/>
        </w:rPr>
        <w:t>Kotimainen bruttokulutus polttoainetyypin mukaan (mukaan lukien kiinteät, kaikki energiatuotteet: hiili, raakaöljy, öljytuotteet, maakaasu, ydinenergia, sähkö, lämpöenergia, uusiutuvat energialähteet, jäte) [ktoe]</w:t>
      </w:r>
    </w:p>
    <w:p>
      <w:pPr>
        <w:pStyle w:val="NumPar2"/>
        <w:rPr>
          <w:rFonts w:eastAsia="Times New Roman"/>
          <w:b/>
          <w:noProof/>
          <w:szCs w:val="24"/>
        </w:rPr>
      </w:pPr>
      <w:r>
        <w:rPr>
          <w:b/>
          <w:noProof/>
        </w:rPr>
        <w:t>Sähkö ja lämpö</w:t>
      </w:r>
    </w:p>
    <w:p>
      <w:pPr>
        <w:pStyle w:val="Point0number"/>
        <w:numPr>
          <w:ilvl w:val="0"/>
          <w:numId w:val="22"/>
        </w:numPr>
        <w:rPr>
          <w:rFonts w:eastAsia="Times New Roman"/>
          <w:noProof/>
          <w:szCs w:val="24"/>
        </w:rPr>
      </w:pPr>
      <w:r>
        <w:rPr>
          <w:noProof/>
        </w:rPr>
        <w:t>Sähkön kokonaistuotanto [GWhe]</w:t>
      </w:r>
    </w:p>
    <w:p>
      <w:pPr>
        <w:pStyle w:val="Point0number"/>
        <w:numPr>
          <w:ilvl w:val="0"/>
          <w:numId w:val="2"/>
        </w:numPr>
        <w:rPr>
          <w:rFonts w:eastAsia="Times New Roman"/>
          <w:noProof/>
          <w:szCs w:val="24"/>
        </w:rPr>
      </w:pPr>
      <w:r>
        <w:rPr>
          <w:noProof/>
        </w:rPr>
        <w:t>Sähkön kokonaistuotanto polttoaineesta (kaikki energiatuotteet) [GWhe]</w:t>
      </w:r>
    </w:p>
    <w:p>
      <w:pPr>
        <w:pStyle w:val="Point0number"/>
        <w:numPr>
          <w:ilvl w:val="0"/>
          <w:numId w:val="2"/>
        </w:numPr>
        <w:rPr>
          <w:rFonts w:eastAsia="Times New Roman"/>
          <w:noProof/>
          <w:szCs w:val="24"/>
        </w:rPr>
      </w:pPr>
      <w:r>
        <w:rPr>
          <w:noProof/>
        </w:rPr>
        <w:t xml:space="preserve">Sähkön ja lämmön yhteistuotannon osuus sähkön ja lämmön kokonaistuotannosta [prosenttia] </w:t>
      </w:r>
    </w:p>
    <w:p>
      <w:pPr>
        <w:pStyle w:val="Point0number"/>
        <w:numPr>
          <w:ilvl w:val="0"/>
          <w:numId w:val="2"/>
        </w:numPr>
        <w:rPr>
          <w:rFonts w:eastAsia="Times New Roman"/>
          <w:noProof/>
          <w:szCs w:val="24"/>
        </w:rPr>
      </w:pPr>
      <w:r>
        <w:rPr>
          <w:noProof/>
        </w:rPr>
        <w:t>Sähköntuotantokapasiteetti lähteittäin, mukaan lukien käytöstä poistetut laitokset ja uudet investoinnit (MW)</w:t>
      </w:r>
    </w:p>
    <w:p>
      <w:pPr>
        <w:pStyle w:val="Point0number"/>
        <w:numPr>
          <w:ilvl w:val="0"/>
          <w:numId w:val="2"/>
        </w:numPr>
        <w:rPr>
          <w:rFonts w:eastAsia="Times New Roman"/>
          <w:noProof/>
          <w:szCs w:val="24"/>
        </w:rPr>
      </w:pPr>
      <w:r>
        <w:rPr>
          <w:noProof/>
        </w:rPr>
        <w:t>Lämpövoimaloiden lämmöntuotanto</w:t>
      </w:r>
    </w:p>
    <w:p>
      <w:pPr>
        <w:pStyle w:val="Point0number"/>
        <w:numPr>
          <w:ilvl w:val="0"/>
          <w:numId w:val="2"/>
        </w:numPr>
        <w:rPr>
          <w:rFonts w:eastAsia="Times New Roman"/>
          <w:noProof/>
          <w:szCs w:val="24"/>
        </w:rPr>
      </w:pPr>
      <w:r>
        <w:rPr>
          <w:noProof/>
        </w:rPr>
        <w:t>Yhteistuotantolaitosten lämmöntuotanto, teollisuuden hukkalämpö mukaan lukien</w:t>
      </w:r>
    </w:p>
    <w:p>
      <w:pPr>
        <w:pStyle w:val="Point0number"/>
        <w:rPr>
          <w:rFonts w:eastAsia="Times New Roman"/>
          <w:noProof/>
          <w:szCs w:val="24"/>
        </w:rPr>
      </w:pPr>
      <w:r>
        <w:rPr>
          <w:noProof/>
        </w:rPr>
        <w:t>Kaasun ja sähkön rajatylittävät yhteenliittämiskapasiteetit [määritelmä sähkölle meneillään olevien keskustelujen tulosten mukaisesti 15 prosentin yhteenliitäntätavoitteen perusteella] ja niiden ennakoidut käyttöasteet</w:t>
      </w:r>
    </w:p>
    <w:p>
      <w:pPr>
        <w:pStyle w:val="NumPar2"/>
        <w:rPr>
          <w:rFonts w:eastAsia="Times New Roman"/>
          <w:b/>
          <w:noProof/>
          <w:szCs w:val="24"/>
        </w:rPr>
      </w:pPr>
      <w:r>
        <w:rPr>
          <w:b/>
          <w:noProof/>
        </w:rPr>
        <w:t>Muuntamisala</w:t>
      </w:r>
    </w:p>
    <w:p>
      <w:pPr>
        <w:pStyle w:val="Point0number"/>
        <w:numPr>
          <w:ilvl w:val="0"/>
          <w:numId w:val="23"/>
        </w:numPr>
        <w:rPr>
          <w:noProof/>
        </w:rPr>
      </w:pPr>
      <w:r>
        <w:rPr>
          <w:noProof/>
        </w:rPr>
        <w:t xml:space="preserve">Lämpövoimaloiden polttoainepanos (ml. kiinteät, öljy, kaasu) [ktoe] </w:t>
      </w:r>
    </w:p>
    <w:p>
      <w:pPr>
        <w:pStyle w:val="Point0number"/>
        <w:numPr>
          <w:ilvl w:val="0"/>
          <w:numId w:val="2"/>
        </w:numPr>
        <w:rPr>
          <w:noProof/>
        </w:rPr>
      </w:pPr>
      <w:r>
        <w:rPr>
          <w:noProof/>
        </w:rPr>
        <w:t>Polttoainepanos muihin muuntoprosesseihin [ktoe]</w:t>
      </w:r>
    </w:p>
    <w:p>
      <w:pPr>
        <w:pStyle w:val="NumPar2"/>
        <w:rPr>
          <w:rFonts w:eastAsia="Times New Roman"/>
          <w:b/>
          <w:noProof/>
          <w:szCs w:val="24"/>
        </w:rPr>
      </w:pPr>
      <w:r>
        <w:rPr>
          <w:b/>
          <w:noProof/>
        </w:rPr>
        <w:t>Energiankulutus</w:t>
      </w:r>
    </w:p>
    <w:p>
      <w:pPr>
        <w:pStyle w:val="Point0number"/>
        <w:numPr>
          <w:ilvl w:val="0"/>
          <w:numId w:val="24"/>
        </w:numPr>
        <w:rPr>
          <w:rFonts w:eastAsia="Times New Roman"/>
          <w:noProof/>
          <w:szCs w:val="24"/>
        </w:rPr>
      </w:pPr>
      <w:r>
        <w:rPr>
          <w:noProof/>
        </w:rPr>
        <w:t>Primääri- ja loppuenergian kulutus [ktoe]</w:t>
      </w:r>
    </w:p>
    <w:p>
      <w:pPr>
        <w:pStyle w:val="Point0number"/>
        <w:rPr>
          <w:rFonts w:eastAsia="Times New Roman"/>
          <w:noProof/>
          <w:szCs w:val="24"/>
        </w:rPr>
      </w:pPr>
      <w:r>
        <w:rPr>
          <w:noProof/>
        </w:rPr>
        <w:t xml:space="preserve">Energian loppukulutus alakohtaisesti (ml. teollisuus, liikenne (tapauksen mukaan erikseen matkustaja- ja tavaraliikenne),  kotitaloudet, palveluala, maatalous) [ktoe] </w:t>
      </w:r>
    </w:p>
    <w:p>
      <w:pPr>
        <w:pStyle w:val="Point0number"/>
        <w:rPr>
          <w:rFonts w:eastAsia="Times New Roman"/>
          <w:noProof/>
          <w:szCs w:val="24"/>
        </w:rPr>
      </w:pPr>
      <w:r>
        <w:rPr>
          <w:noProof/>
        </w:rPr>
        <w:t>Energian loppukulutus polttoaineen mukaan (kaikki energiatuotteet) [ktoe]</w:t>
      </w:r>
    </w:p>
    <w:p>
      <w:pPr>
        <w:pStyle w:val="Point0number"/>
        <w:rPr>
          <w:rFonts w:eastAsia="Times New Roman"/>
          <w:noProof/>
          <w:szCs w:val="24"/>
        </w:rPr>
      </w:pPr>
      <w:r>
        <w:rPr>
          <w:noProof/>
        </w:rPr>
        <w:t>Muun kuin energiakäytön loppukulutus [ktoe]</w:t>
      </w:r>
    </w:p>
    <w:p>
      <w:pPr>
        <w:pStyle w:val="Point0number"/>
        <w:rPr>
          <w:rFonts w:eastAsia="Times New Roman"/>
          <w:noProof/>
          <w:szCs w:val="24"/>
        </w:rPr>
      </w:pPr>
      <w:r>
        <w:rPr>
          <w:noProof/>
        </w:rPr>
        <w:t>Koko talouden primäärienergian intensiteetti (primäärienergian kulutus/BKT [toe/euroa]</w:t>
      </w:r>
    </w:p>
    <w:p>
      <w:pPr>
        <w:pStyle w:val="Point0number"/>
        <w:rPr>
          <w:rFonts w:eastAsia="Times New Roman"/>
          <w:noProof/>
          <w:szCs w:val="24"/>
        </w:rPr>
      </w:pPr>
      <w:r>
        <w:rPr>
          <w:noProof/>
        </w:rPr>
        <w:lastRenderedPageBreak/>
        <w:t>Loppuenergian intensiteetti alakohtaisesti (ml. teollisuus, kotitaloudet, palvelusektori, matkustajaliikenne (tapauksen mukaan erikseen matkustaja- ja tavaraliikenne), tavaraliikenne</w:t>
      </w:r>
    </w:p>
    <w:p>
      <w:pPr>
        <w:pStyle w:val="NumPar2"/>
        <w:rPr>
          <w:rFonts w:eastAsia="Times New Roman"/>
          <w:b/>
          <w:noProof/>
          <w:szCs w:val="24"/>
        </w:rPr>
      </w:pPr>
      <w:r>
        <w:rPr>
          <w:b/>
          <w:noProof/>
        </w:rPr>
        <w:t>Hinnat</w:t>
      </w:r>
    </w:p>
    <w:p>
      <w:pPr>
        <w:pStyle w:val="Point0number"/>
        <w:numPr>
          <w:ilvl w:val="0"/>
          <w:numId w:val="25"/>
        </w:numPr>
        <w:rPr>
          <w:rFonts w:eastAsia="Times New Roman"/>
          <w:noProof/>
          <w:szCs w:val="24"/>
        </w:rPr>
      </w:pPr>
      <w:r>
        <w:rPr>
          <w:noProof/>
        </w:rPr>
        <w:t>Sähkön hinnat käyttösektorityypin mukaan (kotitaloudet, teollisuus, palvelusektori)</w:t>
      </w:r>
    </w:p>
    <w:p>
      <w:pPr>
        <w:pStyle w:val="Point0number"/>
        <w:rPr>
          <w:rFonts w:eastAsia="Times New Roman"/>
          <w:noProof/>
          <w:szCs w:val="24"/>
        </w:rPr>
      </w:pPr>
      <w:r>
        <w:rPr>
          <w:noProof/>
        </w:rPr>
        <w:t>Polttoaineiden kansalliset vähittäishinnat (veroineen, lähteittäin ja aloittain) (euroa/ktoe)</w:t>
      </w:r>
    </w:p>
    <w:p>
      <w:pPr>
        <w:pStyle w:val="NumPar2"/>
        <w:rPr>
          <w:rFonts w:eastAsia="Times New Roman"/>
          <w:b/>
          <w:noProof/>
          <w:szCs w:val="24"/>
        </w:rPr>
      </w:pPr>
      <w:r>
        <w:rPr>
          <w:b/>
          <w:noProof/>
        </w:rPr>
        <w:t>Investoinnit</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Energiaan liittyvät investointikustannukset suhteessa BKT:hen (ja verrattuina teollisuusalan bruttoarvonlisäykseen)</w:t>
      </w:r>
    </w:p>
    <w:p>
      <w:pPr>
        <w:pStyle w:val="NumPar2"/>
        <w:rPr>
          <w:rFonts w:eastAsia="Times New Roman"/>
          <w:b/>
          <w:noProof/>
          <w:szCs w:val="24"/>
        </w:rPr>
      </w:pPr>
      <w:r>
        <w:rPr>
          <w:b/>
          <w:noProof/>
        </w:rPr>
        <w:t>Uusiutuvat energialähteet</w:t>
      </w:r>
    </w:p>
    <w:p>
      <w:pPr>
        <w:pStyle w:val="Point0number"/>
        <w:numPr>
          <w:ilvl w:val="0"/>
          <w:numId w:val="26"/>
        </w:numPr>
        <w:rPr>
          <w:rFonts w:eastAsia="Times New Roman"/>
          <w:noProof/>
          <w:szCs w:val="24"/>
        </w:rPr>
      </w:pPr>
      <w:r>
        <w:rPr>
          <w:noProof/>
        </w:rPr>
        <w:t>Uusiutuvista lähteistä saatavan energian kokonaisloppukulutus ja uusiutuvan energian osuus energian kokonaisloppukulutuksesta ja ilmaistuna aloittain (sähkö, lämmitys, jäähdytys, liikenne) ja teknologioittain</w:t>
      </w:r>
    </w:p>
    <w:p>
      <w:pPr>
        <w:pStyle w:val="Point0number"/>
        <w:rPr>
          <w:noProof/>
          <w:szCs w:val="24"/>
        </w:rPr>
      </w:pPr>
      <w:r>
        <w:rPr>
          <w:noProof/>
        </w:rPr>
        <w:t>Sähkön ja lämmön tuotanto uusiutuvista lähteistä rakennuksissa (määritelty direktiivin 2010/31/EY 2 artiklan 1 kohdassa; tämän on sisällettävä eritellyt tiedot tuotetusta, kulutetusta ja verkkoon syötetystä energiasta, joka on saatu aurinkosähköjärjestelmistä, aurinkolämpöjärjestelmistä, biomassasta, lämpöpumpuista, maalämpöjärjestelmistä ja muista hajautetuista uusiutuvan energian järjestelmistä</w:t>
      </w:r>
    </w:p>
    <w:p>
      <w:pPr>
        <w:pStyle w:val="Point0number"/>
        <w:rPr>
          <w:rFonts w:eastAsia="Times New Roman"/>
          <w:noProof/>
          <w:szCs w:val="24"/>
        </w:rPr>
      </w:pPr>
      <w:r>
        <w:rPr>
          <w:noProof/>
        </w:rPr>
        <w:t>Mahdolliset muut kansalliset kehityskulut, myös pitkän aikavälin ja alakohtaiset (kuten ravintokasveista tuotettujen ja kehittyneiden biopolttoaineiden osuus, uusiutuvan energian osuus kaukolämmityksessä sekä kaupunkien ja direktiivin [uudelleenlaadittu direktiivi 2009/28/EY, sellaisena kuin sitä ehdotetaan asiakirjassa COM(2016) 767] 22 artiklassa määriteltyjen energiayhteisöjen  tuottama uusiutuva energia)</w:t>
      </w:r>
    </w:p>
    <w:p>
      <w:pPr>
        <w:pStyle w:val="NumPar1"/>
        <w:rPr>
          <w:b/>
          <w:noProof/>
        </w:rPr>
      </w:pPr>
      <w:r>
        <w:rPr>
          <w:b/>
          <w:noProof/>
        </w:rPr>
        <w:t>Kasvihuonekaasujen päästöihin ja poistumiin liittyvät indikaattorit</w:t>
      </w:r>
    </w:p>
    <w:p>
      <w:pPr>
        <w:pStyle w:val="Point0number"/>
        <w:numPr>
          <w:ilvl w:val="0"/>
          <w:numId w:val="27"/>
        </w:numPr>
        <w:rPr>
          <w:rFonts w:eastAsia="Times New Roman"/>
          <w:noProof/>
        </w:rPr>
      </w:pPr>
      <w:r>
        <w:rPr>
          <w:noProof/>
        </w:rPr>
        <w:t>Kasvihuonekaasupäästöt politiikan alan mukaan (päästökauppajärjestelmä, taakanjakoasetus ja LULUCF)</w:t>
      </w:r>
    </w:p>
    <w:p>
      <w:pPr>
        <w:pStyle w:val="Point0number"/>
        <w:rPr>
          <w:rFonts w:eastAsia="Times New Roman"/>
          <w:noProof/>
          <w:szCs w:val="24"/>
        </w:rPr>
      </w:pPr>
      <w:r>
        <w:rPr>
          <w:noProof/>
        </w:rPr>
        <w:t>Kasvihuonekaasupäästöt IPCC-alan ja kaasun mukaan (tapauksen mukaan eroteltuina päästökauppajärjestelmään kuuluvien ja taakanjakopäätökseen kuuluvien mukaan) [tCO</w:t>
      </w:r>
      <w:r>
        <w:rPr>
          <w:noProof/>
          <w:vertAlign w:val="subscript"/>
        </w:rPr>
        <w:t>2</w:t>
      </w:r>
      <w:r>
        <w:rPr>
          <w:noProof/>
        </w:rPr>
        <w:t>eq]</w:t>
      </w:r>
    </w:p>
    <w:p>
      <w:pPr>
        <w:pStyle w:val="Point0number"/>
        <w:rPr>
          <w:rFonts w:eastAsia="Times New Roman"/>
          <w:noProof/>
          <w:szCs w:val="24"/>
        </w:rPr>
      </w:pPr>
      <w:r>
        <w:rPr>
          <w:noProof/>
        </w:rPr>
        <w:t>Koko talouden hiili-intensiteetti [tCO</w:t>
      </w:r>
      <w:r>
        <w:rPr>
          <w:noProof/>
          <w:vertAlign w:val="subscript"/>
        </w:rPr>
        <w:t>2</w:t>
      </w:r>
      <w:r>
        <w:rPr>
          <w:noProof/>
        </w:rPr>
        <w:t>eq/GDP]</w:t>
      </w:r>
    </w:p>
    <w:p>
      <w:pPr>
        <w:pStyle w:val="Point0number"/>
        <w:rPr>
          <w:rFonts w:eastAsia="Times New Roman"/>
          <w:noProof/>
          <w:szCs w:val="24"/>
        </w:rPr>
      </w:pPr>
      <w:r>
        <w:rPr>
          <w:noProof/>
        </w:rPr>
        <w:t>Hiilidioksidipäästöihin liittyvät indikaattorit</w:t>
      </w:r>
    </w:p>
    <w:p>
      <w:pPr>
        <w:pStyle w:val="Point1letter"/>
        <w:rPr>
          <w:rFonts w:eastAsia="Times New Roman"/>
          <w:noProof/>
          <w:szCs w:val="24"/>
        </w:rPr>
      </w:pPr>
      <w:r>
        <w:rPr>
          <w:noProof/>
        </w:rPr>
        <w:t>Sähkön ja höyryn tuotannon hiili-intensiteetti [tCO</w:t>
      </w:r>
      <w:r>
        <w:rPr>
          <w:noProof/>
          <w:vertAlign w:val="subscript"/>
        </w:rPr>
        <w:t>2</w:t>
      </w:r>
      <w:r>
        <w:rPr>
          <w:noProof/>
        </w:rPr>
        <w:t>eq/MWh]</w:t>
      </w:r>
    </w:p>
    <w:p>
      <w:pPr>
        <w:pStyle w:val="Point1letter"/>
        <w:rPr>
          <w:rFonts w:eastAsia="Times New Roman"/>
          <w:noProof/>
          <w:szCs w:val="24"/>
        </w:rPr>
      </w:pPr>
      <w:r>
        <w:rPr>
          <w:noProof/>
        </w:rPr>
        <w:t>Loppuenergian kysynnän hiili-intensiteetti aloittain (m. teollisuus, kotitaloudet, palvelusektori, matkustajaliikenne, tavaraliikenne) [tCO</w:t>
      </w:r>
      <w:r>
        <w:rPr>
          <w:noProof/>
          <w:vertAlign w:val="subscript"/>
        </w:rPr>
        <w:t>2</w:t>
      </w:r>
      <w:r>
        <w:rPr>
          <w:noProof/>
        </w:rPr>
        <w:t xml:space="preserve">eq/toe] </w:t>
      </w:r>
    </w:p>
    <w:p>
      <w:pPr>
        <w:pStyle w:val="Point0number"/>
        <w:rPr>
          <w:rFonts w:eastAsia="Times New Roman"/>
          <w:noProof/>
          <w:szCs w:val="24"/>
        </w:rPr>
      </w:pPr>
      <w:r>
        <w:rPr>
          <w:noProof/>
        </w:rPr>
        <w:t>Muihin kuin hiilidioksidipäästöihin liittyvät indikaattorit</w:t>
      </w:r>
    </w:p>
    <w:p>
      <w:pPr>
        <w:pStyle w:val="Point1letter"/>
        <w:rPr>
          <w:rFonts w:eastAsia="Times New Roman"/>
          <w:noProof/>
          <w:szCs w:val="24"/>
        </w:rPr>
      </w:pPr>
      <w:r>
        <w:rPr>
          <w:noProof/>
        </w:rPr>
        <w:t>Kotieläimet: Lypsykarja (1 000 eläintä), muu kuin lypsykarja (1 000 eläintä), lampaat (1 000 eläintä), siat (1 000 eläintä), siipikarja (1 000 eläintä)</w:t>
      </w:r>
    </w:p>
    <w:p>
      <w:pPr>
        <w:pStyle w:val="Point1letter"/>
        <w:rPr>
          <w:rFonts w:eastAsia="Times New Roman"/>
          <w:noProof/>
          <w:szCs w:val="24"/>
        </w:rPr>
      </w:pPr>
      <w:r>
        <w:rPr>
          <w:noProof/>
        </w:rPr>
        <w:lastRenderedPageBreak/>
        <w:t>Keinolannoitteiden käytöstä aiheutuva typpipanos (kt typpeä)</w:t>
      </w:r>
    </w:p>
    <w:p>
      <w:pPr>
        <w:pStyle w:val="Point1letter"/>
        <w:rPr>
          <w:rFonts w:eastAsia="Times New Roman"/>
          <w:noProof/>
          <w:szCs w:val="24"/>
        </w:rPr>
      </w:pPr>
      <w:r>
        <w:rPr>
          <w:noProof/>
        </w:rPr>
        <w:t>Lannan käytöstä aiheutuva typpipanos (kt typpeä)</w:t>
      </w:r>
    </w:p>
    <w:p>
      <w:pPr>
        <w:pStyle w:val="Point1letter"/>
        <w:rPr>
          <w:rFonts w:eastAsia="Times New Roman"/>
          <w:noProof/>
          <w:szCs w:val="24"/>
        </w:rPr>
      </w:pPr>
      <w:r>
        <w:rPr>
          <w:noProof/>
        </w:rPr>
        <w:t>Typpeä sitovien viljelykasvien sitoma typpi (kt typpeä)</w:t>
      </w:r>
    </w:p>
    <w:p>
      <w:pPr>
        <w:pStyle w:val="Point1letter"/>
        <w:rPr>
          <w:rFonts w:eastAsia="Times New Roman"/>
          <w:noProof/>
          <w:szCs w:val="24"/>
        </w:rPr>
      </w:pPr>
      <w:r>
        <w:rPr>
          <w:noProof/>
        </w:rPr>
        <w:t>Maaperään palautettuihin satojätteisiin sisältyvä typpi (kt typpeä)</w:t>
      </w:r>
    </w:p>
    <w:p>
      <w:pPr>
        <w:pStyle w:val="Point1letter"/>
        <w:rPr>
          <w:rFonts w:eastAsia="Times New Roman"/>
          <w:noProof/>
          <w:szCs w:val="24"/>
        </w:rPr>
      </w:pPr>
      <w:r>
        <w:rPr>
          <w:noProof/>
        </w:rPr>
        <w:t>Viljellyn eloperäisen maaperän pinta-ala (hehtaaria)</w:t>
      </w:r>
    </w:p>
    <w:p>
      <w:pPr>
        <w:pStyle w:val="Point1letter"/>
        <w:rPr>
          <w:rFonts w:eastAsia="Times New Roman"/>
          <w:noProof/>
          <w:szCs w:val="24"/>
        </w:rPr>
      </w:pPr>
      <w:r>
        <w:rPr>
          <w:noProof/>
        </w:rPr>
        <w:t>Kiinteän yhdyskuntajätteen tuottaminen</w:t>
      </w:r>
    </w:p>
    <w:p>
      <w:pPr>
        <w:pStyle w:val="Point1letter"/>
        <w:rPr>
          <w:rFonts w:eastAsia="Times New Roman"/>
          <w:noProof/>
          <w:szCs w:val="24"/>
        </w:rPr>
      </w:pPr>
      <w:r>
        <w:rPr>
          <w:noProof/>
        </w:rPr>
        <w:t>Kaatopaikoille vietävä kiinteä yhdyskuntajäte</w:t>
      </w:r>
    </w:p>
    <w:p>
      <w:pPr>
        <w:pStyle w:val="Point1letter"/>
        <w:rPr>
          <w:rFonts w:eastAsia="Times New Roman"/>
          <w:noProof/>
          <w:szCs w:val="24"/>
        </w:rPr>
      </w:pPr>
      <w:r>
        <w:rPr>
          <w:noProof/>
        </w:rPr>
        <w:t>Talteenotetun CH</w:t>
      </w:r>
      <w:r>
        <w:rPr>
          <w:noProof/>
          <w:vertAlign w:val="subscript"/>
        </w:rPr>
        <w:t>4</w:t>
      </w:r>
      <w:r>
        <w:rPr>
          <w:noProof/>
        </w:rPr>
        <w:t>:n osuus kaikesta kaatopaikkojen tuottamasta CH</w:t>
      </w:r>
      <w:r>
        <w:rPr>
          <w:noProof/>
          <w:vertAlign w:val="subscript"/>
        </w:rPr>
        <w:t>4</w:t>
      </w:r>
      <w:r>
        <w:rPr>
          <w:noProof/>
        </w:rPr>
        <w:t>:stä (%)</w:t>
      </w:r>
    </w:p>
    <w:p>
      <w:pPr>
        <w:rPr>
          <w:b/>
          <w:noProof/>
          <w:szCs w:val="24"/>
        </w:rPr>
      </w:pPr>
      <w:r>
        <w:rPr>
          <w:noProof/>
        </w:rPr>
        <w:br w:type="page"/>
      </w:r>
    </w:p>
    <w:p>
      <w:pPr>
        <w:pStyle w:val="Annexetitre"/>
        <w:rPr>
          <w:b w:val="0"/>
          <w:i/>
          <w:noProof/>
          <w:szCs w:val="24"/>
          <w:u w:val="none"/>
        </w:rPr>
      </w:pPr>
      <w:r>
        <w:rPr>
          <w:b w:val="0"/>
          <w:i/>
          <w:noProof/>
          <w:u w:val="none"/>
        </w:rPr>
        <w:lastRenderedPageBreak/>
        <w:t>LIITE II</w:t>
      </w:r>
    </w:p>
    <w:p>
      <w:pPr>
        <w:jc w:val="center"/>
        <w:rPr>
          <w:noProof/>
        </w:rPr>
      </w:pPr>
      <w:r>
        <w:rPr>
          <w:b/>
          <w:noProof/>
        </w:rPr>
        <w:t>ILMOITUS JÄSENVALTIOIDEN TOIMENPITEISTÄ JA MENETELMISTÄ DIREKTIIVIN [UUDELLEENLAADITTU DIREKTIIVI 2012/27/EU, SELLAISENA KUIN SE ON MUUTETTUNA ASIAKIRJALLA COM(2016) 761] 7 ARTIKLAN TÄYTÄNTÖÖNPANEMISEKSI</w:t>
      </w:r>
    </w:p>
    <w:p>
      <w:pPr>
        <w:pStyle w:val="Text2"/>
        <w:ind w:left="0"/>
        <w:rPr>
          <w:noProof/>
          <w:szCs w:val="24"/>
        </w:rPr>
      </w:pPr>
      <w:r>
        <w:rPr>
          <w:noProof/>
        </w:rPr>
        <w:t xml:space="preserve">Jäsenvaltioiden on annettava komissiolle tiedoksi direktiivin 2012/27/EU liitteessä V olevan 4 kohdan nojalla ehdotettu yksityiskohtainen menetelmä, joka koskee saman direktiivin 7 a ja 7 b artiklassa sekä 20 artiklan 6 kohdassa tarkoitettujen energiatehokkuusvelvoitejärjestelmien ja vaihtoehtoisten toimenpiteiden toimintaa. </w:t>
      </w:r>
    </w:p>
    <w:p>
      <w:pPr>
        <w:pStyle w:val="NumPar1"/>
        <w:numPr>
          <w:ilvl w:val="0"/>
          <w:numId w:val="21"/>
        </w:numPr>
        <w:rPr>
          <w:noProof/>
          <w:szCs w:val="24"/>
        </w:rPr>
      </w:pPr>
      <w:r>
        <w:rPr>
          <w:noProof/>
        </w:rPr>
        <w:t>Energiansäästövaatimuksen, joka on täytettävä 1 päivän tammikuuta 2021 ja 31 päivän joulukuuta 2030 välisellä ajanjaksolla, tasoa koskeva laskelma, josta käyvät ilmi, miten seuraavat seikat otetaan huomioon:</w:t>
      </w:r>
    </w:p>
    <w:p>
      <w:pPr>
        <w:pStyle w:val="Point1letter"/>
        <w:numPr>
          <w:ilvl w:val="3"/>
          <w:numId w:val="28"/>
        </w:numPr>
        <w:rPr>
          <w:noProof/>
        </w:rPr>
      </w:pPr>
      <w:r>
        <w:rPr>
          <w:noProof/>
        </w:rPr>
        <w:t>kaikkien energian jakelijoiden tai kaikkien energian vähittäismyyntiyritysten vuosittain loppukäyttäjille myymä energian määrä ennen 1 päivää tammikuuta 2019 kolmen vuoden (2016, 2017, 2018) keskiarvona [ktoe];</w:t>
      </w:r>
    </w:p>
    <w:p>
      <w:pPr>
        <w:pStyle w:val="Point1letter"/>
        <w:rPr>
          <w:noProof/>
          <w:szCs w:val="24"/>
        </w:rPr>
      </w:pPr>
      <w:r>
        <w:rPr>
          <w:noProof/>
        </w:rPr>
        <w:t>liikenteessä käytetyn energian myyntimäärä, jota ei ole otettu huomioon laskelmassa [ktoe];</w:t>
      </w:r>
    </w:p>
    <w:p>
      <w:pPr>
        <w:pStyle w:val="Point1letter"/>
        <w:rPr>
          <w:noProof/>
          <w:szCs w:val="24"/>
        </w:rPr>
      </w:pPr>
      <w:r>
        <w:rPr>
          <w:noProof/>
        </w:rPr>
        <w:t>omaa käyttöä varten tuotetun energian määrä, jota ei ole otettu huomioon laskelmassa [ktoe];</w:t>
      </w:r>
    </w:p>
    <w:p>
      <w:pPr>
        <w:pStyle w:val="Point1letter"/>
        <w:rPr>
          <w:noProof/>
          <w:szCs w:val="24"/>
        </w:rPr>
      </w:pPr>
      <w:r>
        <w:rPr>
          <w:noProof/>
        </w:rPr>
        <w:t>energian myyntimäärän laskennassa käytetyt lähteet, mukaan lukien perustelut vaihtoehtoisten tilastolähteiden käyttämiselle ja tuloksena saatujen määrien mahdollisille eroille (jos käytetään muita lähteitä kuin Eurostatia);</w:t>
      </w:r>
    </w:p>
    <w:p>
      <w:pPr>
        <w:pStyle w:val="Point1letter"/>
        <w:rPr>
          <w:noProof/>
          <w:szCs w:val="24"/>
        </w:rPr>
      </w:pPr>
      <w:r>
        <w:rPr>
          <w:noProof/>
        </w:rPr>
        <w:t>energiansäästöjen kumulatiivinen määrä, joka aiotaan saavuttaa 1 päivän tammikuuta 2021 ja 31 päivän joulukuuta 2030 välisellä ajanjaksolla (ennen 2 kohdan mukaisten poikkeusten soveltamista) [ktoe];</w:t>
      </w:r>
    </w:p>
    <w:p>
      <w:pPr>
        <w:pStyle w:val="Point1letter"/>
        <w:rPr>
          <w:noProof/>
          <w:szCs w:val="24"/>
        </w:rPr>
      </w:pPr>
      <w:r>
        <w:rPr>
          <w:noProof/>
        </w:rPr>
        <w:t>direktiivin 2012/27/EU 7 artiklan 2 ja 3 kohdassa tarkoitettujen poikkeusten b, c, d ja e soveltaminen;</w:t>
      </w:r>
    </w:p>
    <w:p>
      <w:pPr>
        <w:pStyle w:val="Text2"/>
        <w:rPr>
          <w:noProof/>
          <w:szCs w:val="24"/>
        </w:rPr>
      </w:pPr>
      <w:r>
        <w:rPr>
          <w:noProof/>
        </w:rPr>
        <w:t>(i) käytetyn energian myyntimäärä, joka on käytetty direktiivin 2003/87/EY liitteessä I luetelluissa teollisuuden toiminnoissa [ktoe] ja jota ei ole otettu huomioon b alakohdan mukaisessa laskennassa;</w:t>
      </w:r>
    </w:p>
    <w:p>
      <w:pPr>
        <w:pStyle w:val="Text2"/>
        <w:rPr>
          <w:noProof/>
          <w:szCs w:val="24"/>
        </w:rPr>
      </w:pPr>
      <w:r>
        <w:rPr>
          <w:noProof/>
        </w:rPr>
        <w:t>ii) energian muuntamisessa, jakelussa ja siirrossa c alakohdan mukaisesti saavutettujen energiansäästöjen määrä [ktoe];</w:t>
      </w:r>
    </w:p>
    <w:p>
      <w:pPr>
        <w:pStyle w:val="Text2"/>
        <w:rPr>
          <w:noProof/>
          <w:szCs w:val="24"/>
        </w:rPr>
      </w:pPr>
      <w:r>
        <w:rPr>
          <w:noProof/>
        </w:rPr>
        <w:t xml:space="preserve">iii) energiansäästöjen määrä [ktoe], joka on seurausta 31 päivästä joulukuuta 2008 alkaen toteutetuista yksittäisistä toimista ja joilla on edelleen vaikutusta vuonna 2020 ja sen jälkeen , d alakohdan mukaisesti; </w:t>
      </w:r>
    </w:p>
    <w:p>
      <w:pPr>
        <w:pStyle w:val="Text2"/>
        <w:rPr>
          <w:noProof/>
          <w:szCs w:val="24"/>
        </w:rPr>
      </w:pPr>
      <w:r>
        <w:rPr>
          <w:noProof/>
        </w:rPr>
        <w:t xml:space="preserve">iv) rakennuksissa omaa käyttöä varten tuotetun energian määrä [ktoe], joka on tulosta uusiutuvan energian teknologian uusia asennuksia edistävistä politiikkatoimista e alakohdan mukaisesti; </w:t>
      </w:r>
    </w:p>
    <w:p>
      <w:pPr>
        <w:pStyle w:val="Point1letter"/>
        <w:rPr>
          <w:noProof/>
          <w:szCs w:val="24"/>
        </w:rPr>
      </w:pPr>
      <w:r>
        <w:rPr>
          <w:noProof/>
        </w:rPr>
        <w:t>energiansäästöjen kumulatiivinen kokonaismäärä (2 kohdan mukaisten poikkeuksien soveltamisen jälkeen) [ktoe].</w:t>
      </w:r>
    </w:p>
    <w:p>
      <w:pPr>
        <w:pStyle w:val="NumPar1"/>
        <w:rPr>
          <w:b/>
          <w:noProof/>
          <w:szCs w:val="24"/>
        </w:rPr>
      </w:pPr>
      <w:r>
        <w:rPr>
          <w:b/>
          <w:noProof/>
        </w:rPr>
        <w:t>Politiikkatoimet direktiivin 2012/27/EU 7 artiklan 1 kohdassa tarkoitetun säästövaatimusten saavuttamiseksi</w:t>
      </w:r>
    </w:p>
    <w:p>
      <w:pPr>
        <w:pStyle w:val="NumPar2"/>
        <w:rPr>
          <w:b/>
          <w:noProof/>
          <w:szCs w:val="24"/>
        </w:rPr>
      </w:pPr>
      <w:r>
        <w:rPr>
          <w:b/>
          <w:noProof/>
        </w:rPr>
        <w:lastRenderedPageBreak/>
        <w:t>Direktiivin 2012/27/EU 7 a artiklassa tarkoitetut energiatehokkuusvelvoitejärjestelmät:</w:t>
      </w:r>
    </w:p>
    <w:p>
      <w:pPr>
        <w:pStyle w:val="Point1letter"/>
        <w:numPr>
          <w:ilvl w:val="3"/>
          <w:numId w:val="29"/>
        </w:numPr>
        <w:rPr>
          <w:noProof/>
        </w:rPr>
      </w:pPr>
      <w:r>
        <w:rPr>
          <w:noProof/>
        </w:rPr>
        <w:t>Energiatehokkuusvelvoitejärjestelmän kuvaus</w:t>
      </w:r>
    </w:p>
    <w:p>
      <w:pPr>
        <w:pStyle w:val="Point1letter"/>
        <w:rPr>
          <w:noProof/>
          <w:szCs w:val="24"/>
        </w:rPr>
      </w:pPr>
      <w:r>
        <w:rPr>
          <w:noProof/>
        </w:rPr>
        <w:t>odotettu säästöjen kumulatiivinen ja vuotuinen määrä sekä velvoitekauden/velvoitekausien kesto;</w:t>
      </w:r>
    </w:p>
    <w:p>
      <w:pPr>
        <w:pStyle w:val="Point1letter"/>
        <w:rPr>
          <w:noProof/>
          <w:szCs w:val="24"/>
        </w:rPr>
      </w:pPr>
      <w:r>
        <w:rPr>
          <w:noProof/>
        </w:rPr>
        <w:t>velvoitetut osapuolet ja näiden vastuualueet;</w:t>
      </w:r>
    </w:p>
    <w:p>
      <w:pPr>
        <w:pStyle w:val="Point1letter"/>
        <w:rPr>
          <w:noProof/>
          <w:szCs w:val="24"/>
        </w:rPr>
      </w:pPr>
      <w:r>
        <w:rPr>
          <w:noProof/>
        </w:rPr>
        <w:t>kohdealat;</w:t>
      </w:r>
    </w:p>
    <w:p>
      <w:pPr>
        <w:pStyle w:val="Point1letter"/>
        <w:rPr>
          <w:noProof/>
          <w:szCs w:val="24"/>
        </w:rPr>
      </w:pPr>
      <w:r>
        <w:rPr>
          <w:noProof/>
        </w:rPr>
        <w:t>toimenpiteeseen sisältyvät tukikelpoiset toimet;</w:t>
      </w:r>
    </w:p>
    <w:p>
      <w:pPr>
        <w:pStyle w:val="Point1letter"/>
        <w:rPr>
          <w:noProof/>
          <w:szCs w:val="24"/>
        </w:rPr>
      </w:pPr>
      <w:r>
        <w:rPr>
          <w:noProof/>
        </w:rPr>
        <w:t>tiedot direktiivin 2012/27/EU 7 artiklan 7 kohdan säännösten soveltamisesta:</w:t>
      </w:r>
    </w:p>
    <w:p>
      <w:pPr>
        <w:pStyle w:val="Text2"/>
        <w:rPr>
          <w:noProof/>
          <w:szCs w:val="24"/>
        </w:rPr>
      </w:pPr>
      <w:r>
        <w:rPr>
          <w:noProof/>
        </w:rPr>
        <w:t>i) erityiset toimet, niiden säästöjen osuus, jotka on tarkoitus saavuttaa energiaköyhyydestä kärsivissä kotitalouksissa ja sosiaalisessa asuntotarjonnassa a alakohdan mukaisesti;</w:t>
      </w:r>
    </w:p>
    <w:p>
      <w:pPr>
        <w:pStyle w:val="Text2"/>
        <w:rPr>
          <w:noProof/>
          <w:szCs w:val="24"/>
        </w:rPr>
      </w:pPr>
      <w:r>
        <w:rPr>
          <w:noProof/>
        </w:rPr>
        <w:t>ii) energiapalvelujen tarjoajien tai muiden kolmansien osapuolten saavuttamat energiansäästöt b alakohdan mukaisesti;</w:t>
      </w:r>
    </w:p>
    <w:p>
      <w:pPr>
        <w:pStyle w:val="Text2"/>
        <w:rPr>
          <w:noProof/>
          <w:szCs w:val="24"/>
        </w:rPr>
      </w:pPr>
      <w:r>
        <w:rPr>
          <w:noProof/>
        </w:rPr>
        <w:t>iii) siirtäminen ja lainaaminen c alakohdan mukaisesti;</w:t>
      </w:r>
    </w:p>
    <w:p>
      <w:pPr>
        <w:pStyle w:val="Point1letter"/>
        <w:rPr>
          <w:noProof/>
          <w:szCs w:val="24"/>
        </w:rPr>
      </w:pPr>
      <w:r>
        <w:rPr>
          <w:noProof/>
        </w:rPr>
        <w:t>tiedot energiansäästökaupasta (tapauksen mukaan).</w:t>
      </w:r>
    </w:p>
    <w:p>
      <w:pPr>
        <w:pStyle w:val="NumPar2"/>
        <w:rPr>
          <w:b/>
          <w:noProof/>
          <w:szCs w:val="24"/>
        </w:rPr>
      </w:pPr>
      <w:r>
        <w:rPr>
          <w:b/>
          <w:noProof/>
        </w:rPr>
        <w:t>Direktiivin 2012/27/EU 7 b artiklassa ja 20 artiklan 6 kohdassa tarkoitetut vaihtoehtoiset toimenpiteet (verotusta lukuun ottamatta):</w:t>
      </w:r>
    </w:p>
    <w:p>
      <w:pPr>
        <w:pStyle w:val="Point1letter"/>
        <w:numPr>
          <w:ilvl w:val="3"/>
          <w:numId w:val="30"/>
        </w:numPr>
        <w:rPr>
          <w:noProof/>
          <w:szCs w:val="24"/>
        </w:rPr>
      </w:pPr>
      <w:r>
        <w:rPr>
          <w:noProof/>
        </w:rPr>
        <w:t>politiikkatoimen tyyppi;</w:t>
      </w:r>
    </w:p>
    <w:p>
      <w:pPr>
        <w:pStyle w:val="Point1letter"/>
        <w:rPr>
          <w:noProof/>
          <w:szCs w:val="24"/>
        </w:rPr>
      </w:pPr>
      <w:r>
        <w:rPr>
          <w:noProof/>
        </w:rPr>
        <w:t>politiikkatoimen lyhyt kuvaus, mukaan lukien kunkin ilmoitetun politiikkatoimen pääpiirteet;</w:t>
      </w:r>
    </w:p>
    <w:p>
      <w:pPr>
        <w:pStyle w:val="Point1letter"/>
        <w:rPr>
          <w:noProof/>
          <w:szCs w:val="24"/>
        </w:rPr>
      </w:pPr>
      <w:r>
        <w:rPr>
          <w:noProof/>
        </w:rPr>
        <w:t>kunkin toimen osalta odotettu säästöjen kumulatiivinen ja vuotuinen määrä ja/tai välivaiheisiin liittyvien energiansäästöjen määrä;</w:t>
      </w:r>
    </w:p>
    <w:p>
      <w:pPr>
        <w:pStyle w:val="Point1letter"/>
        <w:rPr>
          <w:noProof/>
          <w:szCs w:val="24"/>
        </w:rPr>
      </w:pPr>
      <w:r>
        <w:rPr>
          <w:noProof/>
        </w:rPr>
        <w:t>täytäntöönpanevat, osallistuvat ja toimeksi saaneet osapuolet sekä niiden vastuualueet politiikkatoim(i)en täytäntöönpanossa;</w:t>
      </w:r>
    </w:p>
    <w:p>
      <w:pPr>
        <w:pStyle w:val="Point1letter"/>
        <w:rPr>
          <w:noProof/>
          <w:szCs w:val="24"/>
        </w:rPr>
      </w:pPr>
      <w:r>
        <w:rPr>
          <w:noProof/>
        </w:rPr>
        <w:t>kohdealat;</w:t>
      </w:r>
    </w:p>
    <w:p>
      <w:pPr>
        <w:pStyle w:val="Point1letter"/>
        <w:rPr>
          <w:noProof/>
          <w:szCs w:val="24"/>
        </w:rPr>
      </w:pPr>
      <w:r>
        <w:rPr>
          <w:noProof/>
        </w:rPr>
        <w:t>toimenpiteeseen sisältyvät tukikelpoiset toimet;</w:t>
      </w:r>
    </w:p>
    <w:p>
      <w:pPr>
        <w:pStyle w:val="Point1letter"/>
        <w:rPr>
          <w:noProof/>
          <w:szCs w:val="24"/>
        </w:rPr>
      </w:pPr>
      <w:r>
        <w:rPr>
          <w:noProof/>
        </w:rPr>
        <w:t>energiaköyhyyttä koskevat erityiset politiikkatoimet tai yksittäiset toimet.</w:t>
      </w:r>
    </w:p>
    <w:p>
      <w:pPr>
        <w:pStyle w:val="NumPar2"/>
        <w:rPr>
          <w:b/>
          <w:noProof/>
          <w:szCs w:val="24"/>
        </w:rPr>
      </w:pPr>
      <w:r>
        <w:rPr>
          <w:b/>
          <w:noProof/>
        </w:rPr>
        <w:t>Verotoimenpiteitä koskevat tiedot:</w:t>
      </w:r>
    </w:p>
    <w:p>
      <w:pPr>
        <w:pStyle w:val="Point1letter"/>
        <w:numPr>
          <w:ilvl w:val="3"/>
          <w:numId w:val="31"/>
        </w:numPr>
        <w:rPr>
          <w:noProof/>
        </w:rPr>
      </w:pPr>
      <w:r>
        <w:rPr>
          <w:noProof/>
        </w:rPr>
        <w:t>lyhyt kuvaus verotoimenpiteestä;</w:t>
      </w:r>
    </w:p>
    <w:p>
      <w:pPr>
        <w:pStyle w:val="Point1letter"/>
        <w:rPr>
          <w:noProof/>
          <w:szCs w:val="24"/>
        </w:rPr>
      </w:pPr>
      <w:r>
        <w:rPr>
          <w:noProof/>
        </w:rPr>
        <w:t>verotoimenpiteen kesto;</w:t>
      </w:r>
    </w:p>
    <w:p>
      <w:pPr>
        <w:pStyle w:val="Point1letter"/>
        <w:rPr>
          <w:noProof/>
          <w:szCs w:val="24"/>
        </w:rPr>
      </w:pPr>
      <w:r>
        <w:rPr>
          <w:noProof/>
        </w:rPr>
        <w:t>odotettu säästöjen kumulatiivinen ja vuotuinen määrä;</w:t>
      </w:r>
    </w:p>
    <w:p>
      <w:pPr>
        <w:pStyle w:val="Point1letter"/>
        <w:rPr>
          <w:noProof/>
          <w:szCs w:val="24"/>
        </w:rPr>
      </w:pPr>
      <w:r>
        <w:rPr>
          <w:noProof/>
        </w:rPr>
        <w:t>kohdealat;</w:t>
      </w:r>
    </w:p>
    <w:p>
      <w:pPr>
        <w:pStyle w:val="Point1letter"/>
        <w:rPr>
          <w:noProof/>
          <w:szCs w:val="24"/>
        </w:rPr>
      </w:pPr>
      <w:r>
        <w:rPr>
          <w:noProof/>
        </w:rPr>
        <w:t xml:space="preserve">energiasäästöjen lisäisyys; kuvataan säästöjen laskentaan sovellettua lähestymistapaa, mukaan lukien liitteessä V olevan 4 kohdan mukaisesti käytetyt hintajoustot. </w:t>
      </w:r>
    </w:p>
    <w:p>
      <w:pPr>
        <w:pStyle w:val="NumPar1"/>
        <w:rPr>
          <w:b/>
          <w:noProof/>
          <w:szCs w:val="24"/>
        </w:rPr>
      </w:pPr>
      <w:r>
        <w:rPr>
          <w:b/>
          <w:noProof/>
        </w:rPr>
        <w:t>Direktiivin 2012/27/EU 7 a ja 7 b artiklassa sekä 20 artiklan 6 kohdan nojalla ilmoitettujen toimenpiteiden laskentamenetelmä (verotusta lukuun ottamatta):</w:t>
      </w:r>
    </w:p>
    <w:p>
      <w:pPr>
        <w:pStyle w:val="Point1letter"/>
        <w:numPr>
          <w:ilvl w:val="3"/>
          <w:numId w:val="32"/>
        </w:numPr>
        <w:rPr>
          <w:noProof/>
          <w:szCs w:val="24"/>
        </w:rPr>
      </w:pPr>
      <w:r>
        <w:rPr>
          <w:noProof/>
        </w:rPr>
        <w:lastRenderedPageBreak/>
        <w:t>direktiivin 2012/27/EU liitteessä V olevassa 1 kohdassa tarkoitetut mittausmenetelmät;</w:t>
      </w:r>
    </w:p>
    <w:p>
      <w:pPr>
        <w:pStyle w:val="Point1letter"/>
        <w:rPr>
          <w:noProof/>
          <w:szCs w:val="24"/>
        </w:rPr>
      </w:pPr>
      <w:r>
        <w:rPr>
          <w:noProof/>
        </w:rPr>
        <w:t>menetelmä energiasäästöjen ilmaisemiseksi (primääri- tai loppuenergian säästöt);</w:t>
      </w:r>
    </w:p>
    <w:p>
      <w:pPr>
        <w:pStyle w:val="Point1letter"/>
        <w:rPr>
          <w:noProof/>
          <w:szCs w:val="24"/>
        </w:rPr>
      </w:pPr>
      <w:r>
        <w:rPr>
          <w:noProof/>
        </w:rPr>
        <w:t>yksittäisten toimien elinkaari ja säästöjen elinkaaren huomioon ottamiseksi käytetty lähestymistapa;</w:t>
      </w:r>
    </w:p>
    <w:p>
      <w:pPr>
        <w:pStyle w:val="Point1letter"/>
        <w:rPr>
          <w:noProof/>
          <w:szCs w:val="24"/>
        </w:rPr>
      </w:pPr>
      <w:r>
        <w:rPr>
          <w:noProof/>
        </w:rPr>
        <w:t>lyhyt kuvaus laskentamenetelmästä, mukaan lukien se, miten säästöjen lisäisyys ja vaikutuksellisuus varmistetaan;</w:t>
      </w:r>
    </w:p>
    <w:p>
      <w:pPr>
        <w:pStyle w:val="Point1letter"/>
        <w:rPr>
          <w:noProof/>
          <w:szCs w:val="24"/>
        </w:rPr>
      </w:pPr>
      <w:r>
        <w:rPr>
          <w:noProof/>
        </w:rPr>
        <w:t>tiedot siitä, miten politiikkatoimien ja yksittäisten toimien  mahdolliset päällekkäisyydet estetään, jotta energiansäästöjä ei laskettaisi kahteen kertaan;</w:t>
      </w:r>
    </w:p>
    <w:p>
      <w:pPr>
        <w:pStyle w:val="Point1letter"/>
        <w:rPr>
          <w:noProof/>
          <w:szCs w:val="24"/>
        </w:rPr>
      </w:pPr>
      <w:r>
        <w:rPr>
          <w:noProof/>
        </w:rPr>
        <w:t>sääolosuhteiden erot ja käytetty lähestymistapa (tapauksen mukaan).</w:t>
      </w:r>
    </w:p>
    <w:p>
      <w:pPr>
        <w:pStyle w:val="NumPar1"/>
        <w:rPr>
          <w:b/>
          <w:noProof/>
          <w:szCs w:val="24"/>
        </w:rPr>
      </w:pPr>
      <w:r>
        <w:rPr>
          <w:b/>
          <w:noProof/>
        </w:rPr>
        <w:t>Seuranta ja todentaminen</w:t>
      </w:r>
    </w:p>
    <w:p>
      <w:pPr>
        <w:pStyle w:val="Point1letter"/>
        <w:numPr>
          <w:ilvl w:val="3"/>
          <w:numId w:val="33"/>
        </w:numPr>
        <w:rPr>
          <w:noProof/>
        </w:rPr>
      </w:pPr>
      <w:r>
        <w:rPr>
          <w:noProof/>
        </w:rPr>
        <w:t>lyhyt kuvaus seuranta- ja todentamisjärjestelmästä sekä todentamisprosessista;</w:t>
      </w:r>
    </w:p>
    <w:p>
      <w:pPr>
        <w:pStyle w:val="Point1letter"/>
        <w:rPr>
          <w:noProof/>
          <w:szCs w:val="24"/>
        </w:rPr>
      </w:pPr>
      <w:r>
        <w:rPr>
          <w:noProof/>
        </w:rPr>
        <w:t>täytäntöönpaneva viranomainen ja sen tärkeimmät vastuualueet seuranta- ja todentamisjärjestelmässä energiatehokkuusvelvoitejärjestelmän ja vaihtoehtoisten toimenpiteiden osalta;</w:t>
      </w:r>
    </w:p>
    <w:p>
      <w:pPr>
        <w:pStyle w:val="Point1letter"/>
        <w:rPr>
          <w:noProof/>
          <w:szCs w:val="24"/>
        </w:rPr>
      </w:pPr>
      <w:r>
        <w:rPr>
          <w:noProof/>
        </w:rPr>
        <w:t>seurannan ja todentamisen riippumattomuus velvoitetuista osapuolista sekä osallistuvista ja toimeksi saaneista osapuolista;</w:t>
      </w:r>
    </w:p>
    <w:p>
      <w:pPr>
        <w:pStyle w:val="Point1letter"/>
        <w:rPr>
          <w:noProof/>
          <w:szCs w:val="24"/>
        </w:rPr>
      </w:pPr>
      <w:r>
        <w:rPr>
          <w:noProof/>
        </w:rPr>
        <w:t>energiatehokkuutta parantavien toimenpiteiden tilastollisesti merkittävä osuus  sekä edustavan otoksen määrittelyssä ja valinnassa käytettävät osuus ja kriteerit;</w:t>
      </w:r>
    </w:p>
    <w:p>
      <w:pPr>
        <w:pStyle w:val="Point1letter"/>
        <w:rPr>
          <w:noProof/>
          <w:szCs w:val="24"/>
        </w:rPr>
      </w:pPr>
      <w:r>
        <w:rPr>
          <w:noProof/>
        </w:rPr>
        <w:t>velvoitettujen osapuolten raportointivelvollisuudet (kunkin velvoitetun osapuolen tai velvoitetun osapuolen kunkin alaryhmän saavuttamat energiansäästöt sekä järjestelmällä saavutetut kokonaissäästöt);</w:t>
      </w:r>
    </w:p>
    <w:p>
      <w:pPr>
        <w:pStyle w:val="Point1letter"/>
        <w:rPr>
          <w:noProof/>
          <w:szCs w:val="24"/>
        </w:rPr>
      </w:pPr>
      <w:r>
        <w:rPr>
          <w:noProof/>
        </w:rPr>
        <w:t>energiatehokkuusvelvoitejärjestelmässä ja vaihtoehtoisissa toimenpiteissä saavutettujen energiasäästöjen julkaiseminen (vuosittain);</w:t>
      </w:r>
    </w:p>
    <w:p>
      <w:pPr>
        <w:pStyle w:val="Point1letter"/>
        <w:rPr>
          <w:noProof/>
          <w:szCs w:val="24"/>
        </w:rPr>
      </w:pPr>
      <w:r>
        <w:rPr>
          <w:noProof/>
        </w:rPr>
        <w:t>tiedot säännösten noudattamatta jättämisen seuraamuksista;</w:t>
      </w:r>
    </w:p>
    <w:p>
      <w:pPr>
        <w:pStyle w:val="Point1letter"/>
        <w:rPr>
          <w:noProof/>
        </w:rPr>
      </w:pPr>
      <w:r>
        <w:rPr>
          <w:noProof/>
        </w:rPr>
        <w:t>tiedot suunnitelluista toimenpiteistä, jos edistyminen ei ole tyydyttävää.</w:t>
      </w:r>
    </w:p>
    <w:p>
      <w:pPr>
        <w:rPr>
          <w:noProof/>
          <w:szCs w:val="24"/>
        </w:rPr>
      </w:pPr>
      <w:r>
        <w:rPr>
          <w:noProof/>
        </w:rPr>
        <w:br w:type="page"/>
      </w:r>
    </w:p>
    <w:p>
      <w:pPr>
        <w:pStyle w:val="Annexetitre"/>
        <w:rPr>
          <w:b w:val="0"/>
          <w:i/>
          <w:noProof/>
          <w:szCs w:val="24"/>
          <w:u w:val="none"/>
        </w:rPr>
      </w:pPr>
      <w:r>
        <w:rPr>
          <w:b w:val="0"/>
          <w:i/>
          <w:noProof/>
          <w:u w:val="none"/>
        </w:rPr>
        <w:lastRenderedPageBreak/>
        <w:t>LIITE III</w:t>
      </w:r>
    </w:p>
    <w:p>
      <w:pPr>
        <w:jc w:val="center"/>
        <w:rPr>
          <w:noProof/>
        </w:rPr>
      </w:pPr>
      <w:r>
        <w:rPr>
          <w:b/>
          <w:noProof/>
        </w:rPr>
        <w:t>KASVIHUONEKAASUINVENTAARIOIDEN TIEDOT</w:t>
      </w:r>
    </w:p>
    <w:p>
      <w:pPr>
        <w:jc w:val="center"/>
        <w:rPr>
          <w:noProof/>
        </w:rPr>
      </w:pPr>
      <w:r>
        <w:rPr>
          <w:b/>
          <w:noProof/>
          <w:color w:val="000000"/>
        </w:rPr>
        <w:t>1 osa</w:t>
      </w:r>
    </w:p>
    <w:p>
      <w:pPr>
        <w:spacing w:after="0"/>
        <w:rPr>
          <w:rFonts w:eastAsia="Times New Roman"/>
          <w:noProof/>
          <w:szCs w:val="24"/>
        </w:rPr>
      </w:pPr>
      <w:r>
        <w:rPr>
          <w:noProof/>
        </w:rPr>
        <w:t>Asetuksen 23 artiklan 2 kohdassa tarkoitettuihin raportteihin sisällytettävät tiedot:</w:t>
      </w:r>
    </w:p>
    <w:p>
      <w:pPr>
        <w:pStyle w:val="Point0letter"/>
        <w:numPr>
          <w:ilvl w:val="1"/>
          <w:numId w:val="11"/>
        </w:numPr>
        <w:rPr>
          <w:noProof/>
          <w:szCs w:val="24"/>
        </w:rPr>
      </w:pPr>
      <w:r>
        <w:rPr>
          <w:noProof/>
        </w:rPr>
        <w:t>ihmisen toiminnasta aiheutuvat tämän liitteen 2 osassa lueteltujen kasvihuonekaasujen päästöt sekä asetuksen [ ] [ESR] 2 artiklan 1 kohdassa tarkoitettujen kasvihuonekaasujen ihmisen toiminnasta aiheutuvat päästöt vuodelta X-2;</w:t>
      </w:r>
    </w:p>
    <w:p>
      <w:pPr>
        <w:pStyle w:val="Point0letter"/>
        <w:rPr>
          <w:noProof/>
          <w:szCs w:val="24"/>
        </w:rPr>
      </w:pPr>
      <w:r>
        <w:rPr>
          <w:noProof/>
        </w:rPr>
        <w:t>ihmisten toiminnasta aiheutuvia hiilimonoksidi- (CO), rikkidioksidi- (SO</w:t>
      </w:r>
      <w:r>
        <w:rPr>
          <w:noProof/>
          <w:vertAlign w:val="subscript"/>
        </w:rPr>
        <w:t>2</w:t>
      </w:r>
      <w:r>
        <w:rPr>
          <w:noProof/>
        </w:rPr>
        <w:t>), typen oksidien (NOx) ja haihtuvien orgaanisten yhdisteiden päästöjä koskevat tiedot, jotka ovat johdonmukaiset direktiivin 2001/81/EY 7 artiklan mukaisesti jo vuodelta X-2 raportoitujen tietojen kanssa;</w:t>
      </w:r>
    </w:p>
    <w:p>
      <w:pPr>
        <w:pStyle w:val="Point0letter"/>
        <w:rPr>
          <w:noProof/>
          <w:szCs w:val="24"/>
        </w:rPr>
      </w:pPr>
      <w:r>
        <w:rPr>
          <w:noProof/>
        </w:rPr>
        <w:t>ihmisen toiminnan aiheuttamat LULUCF-sektorilta peräisin olevat kasvihuonekaasujen lähteistä syntyvät päästöt ja nielujen aikaansaamat hiilidioksidin poistumat vuodelta X-2 tämän liitteen 3 osassa esitettyjä menettelyjä noudattaen. Näiden tietojen on oltava asianmukaisia asetuksen [ ] [LULUCF] 12 artiklan mukaisen vaatimustenmukaisuuskertomuksen suhteen;</w:t>
      </w:r>
    </w:p>
    <w:p>
      <w:pPr>
        <w:pStyle w:val="Point0letter"/>
        <w:rPr>
          <w:noProof/>
          <w:szCs w:val="24"/>
        </w:rPr>
      </w:pPr>
      <w:r>
        <w:rPr>
          <w:noProof/>
        </w:rPr>
        <w:t xml:space="preserve">a–c alakohdassa tarkoitettujen tietojen mahdolliset muutokset asiaankuuluvan vertailuvuoden tai -kauden ja viimeistä edellistä vuotta edeltävän vuoden (vuosi X-3) välillä; </w:t>
      </w:r>
    </w:p>
    <w:p>
      <w:pPr>
        <w:pStyle w:val="Point0letter"/>
        <w:rPr>
          <w:noProof/>
          <w:szCs w:val="24"/>
        </w:rPr>
      </w:pPr>
      <w:r>
        <w:rPr>
          <w:noProof/>
        </w:rPr>
        <w:t xml:space="preserve">tämän liitteen 4 osassa esitetyt indikaattoreita koskevat tiedot vuodelta X-2; </w:t>
      </w:r>
    </w:p>
    <w:p>
      <w:pPr>
        <w:pStyle w:val="Point0letter"/>
        <w:rPr>
          <w:noProof/>
          <w:szCs w:val="24"/>
        </w:rPr>
      </w:pPr>
      <w:r>
        <w:rPr>
          <w:noProof/>
        </w:rPr>
        <w:t xml:space="preserve">yhteenveto tiedoista, jotka koskevat asetuksen ja asetuksen [ ] [ESR] 5 artiklan ja asetuksen [ ] [LULUCF] 11 artiklan nojalla tehtyjä siirtoja vuodelta X-1; </w:t>
      </w:r>
    </w:p>
    <w:p>
      <w:pPr>
        <w:pStyle w:val="Point0letter"/>
        <w:rPr>
          <w:noProof/>
          <w:szCs w:val="24"/>
        </w:rPr>
      </w:pPr>
      <w:r>
        <w:rPr>
          <w:noProof/>
        </w:rPr>
        <w:t xml:space="preserve">tiedot toimista, jotka on toteutettu inventaarioarvioiden parantamiseksi, erityisesti niillä inventaarion kattamilla alueilla, joihin on asiantuntijatarkastusten jälkeen tehty muutoksia tai sovellettu suosituksia; </w:t>
      </w:r>
    </w:p>
    <w:p>
      <w:pPr>
        <w:pStyle w:val="Point0letter"/>
        <w:rPr>
          <w:noProof/>
          <w:szCs w:val="24"/>
        </w:rPr>
      </w:pPr>
      <w:r>
        <w:rPr>
          <w:noProof/>
        </w:rPr>
        <w:t xml:space="preserve">laitosten ja toiminnanharjoittajien direktiivin 2003/87/EY mukaisesti raportoimien todennettujen päästöjen tosiasiallinen tai ennustettu osoittaminen kansallisen kasvihuonekaasuinventaarion lähdeluokkiin sekä näiden todennettujen päästöjen suhde raportoituihin kasvihuonekaasujen kokonaispäästöihin näissä lähdeluokissa viimeistä edeltävältä vuodelta (vuosi X-2); </w:t>
      </w:r>
    </w:p>
    <w:p>
      <w:pPr>
        <w:pStyle w:val="Point0letter"/>
        <w:rPr>
          <w:noProof/>
          <w:szCs w:val="24"/>
        </w:rPr>
      </w:pPr>
      <w:r>
        <w:rPr>
          <w:noProof/>
        </w:rPr>
        <w:t xml:space="preserve">tarkastusten tulokset koskien vuodelta X-2 kasvihuonekaasuinventaarioissa raportoitujen päästöjen ja direktiivin 2003/87/EY mukaisesti raportoitujen todennettujen päästöjen välistä yhdenmukaisuutta; </w:t>
      </w:r>
    </w:p>
    <w:p>
      <w:pPr>
        <w:pStyle w:val="Point0letter"/>
        <w:rPr>
          <w:noProof/>
          <w:szCs w:val="24"/>
        </w:rPr>
      </w:pPr>
      <w:r>
        <w:rPr>
          <w:noProof/>
        </w:rPr>
        <w:t>tarkastusten tulokset vuodelta X-2 koskien kasvihuonekaasuinventaarioita laadittaessa päästöjen arvioimiseen käytettyjen tietojen yhdenmukaisuutta verrattuna seuraaviin:</w:t>
      </w:r>
    </w:p>
    <w:p>
      <w:pPr>
        <w:pStyle w:val="Point1"/>
        <w:rPr>
          <w:noProof/>
          <w:szCs w:val="24"/>
        </w:rPr>
      </w:pPr>
      <w:r>
        <w:rPr>
          <w:noProof/>
        </w:rPr>
        <w:t>i)</w:t>
      </w:r>
      <w:r>
        <w:rPr>
          <w:noProof/>
        </w:rPr>
        <w:tab/>
        <w:t xml:space="preserve">tiedot, joita on käytetty ilman epäpuhtauksien kartoitusten laatimiseen direktiivin 2001/81/EY mukaisesti; </w:t>
      </w:r>
    </w:p>
    <w:p>
      <w:pPr>
        <w:pStyle w:val="Point1"/>
        <w:rPr>
          <w:noProof/>
          <w:szCs w:val="24"/>
        </w:rPr>
      </w:pPr>
      <w:r>
        <w:rPr>
          <w:noProof/>
        </w:rPr>
        <w:t>ii)</w:t>
      </w:r>
      <w:r>
        <w:rPr>
          <w:noProof/>
        </w:rPr>
        <w:tab/>
        <w:t xml:space="preserve">asetuksen (EY) N:o 517/2014 19 artiklan 1 kohdan ja liitteen VII mukaisesti raportoidut tiedot; </w:t>
      </w:r>
    </w:p>
    <w:p>
      <w:pPr>
        <w:pStyle w:val="Point1"/>
        <w:rPr>
          <w:noProof/>
          <w:szCs w:val="24"/>
        </w:rPr>
      </w:pPr>
      <w:r>
        <w:rPr>
          <w:noProof/>
        </w:rPr>
        <w:lastRenderedPageBreak/>
        <w:t>iii)</w:t>
      </w:r>
      <w:r>
        <w:rPr>
          <w:noProof/>
        </w:rPr>
        <w:tab/>
        <w:t xml:space="preserve">asetuksen (EY) N:o 1099/2008 4 artiklan ja liitteen B mukaisesti raportoidut energiatiedot; </w:t>
      </w:r>
    </w:p>
    <w:p>
      <w:pPr>
        <w:pStyle w:val="Point0letter"/>
        <w:rPr>
          <w:noProof/>
          <w:szCs w:val="24"/>
        </w:rPr>
      </w:pPr>
      <w:r>
        <w:rPr>
          <w:noProof/>
        </w:rPr>
        <w:t xml:space="preserve">kuvaus kansalliseen inventaariojärjestelmään tehdyistä muutoksista; </w:t>
      </w:r>
    </w:p>
    <w:p>
      <w:pPr>
        <w:pStyle w:val="Point0letter"/>
        <w:rPr>
          <w:noProof/>
          <w:szCs w:val="24"/>
        </w:rPr>
      </w:pPr>
      <w:r>
        <w:rPr>
          <w:noProof/>
        </w:rPr>
        <w:t xml:space="preserve">kuvaus kansalliseen rekisteriin tehdyistä muutoksista; </w:t>
      </w:r>
    </w:p>
    <w:p>
      <w:pPr>
        <w:pStyle w:val="Point0letter"/>
        <w:rPr>
          <w:noProof/>
          <w:szCs w:val="24"/>
        </w:rPr>
      </w:pPr>
      <w:r>
        <w:rPr>
          <w:noProof/>
        </w:rPr>
        <w:t>tiedot laadunvarmistus- ja laaduntarkistussuunnitelmista, yleinen arvio epävarmuudesta, yleinen arvio kattavuudesta sekä muut mahdolliset kansallisen kasvihuonekaasuinventaarioraportin osat, joita tarvitaan unionin kasvihuonekaasuinventaarioraportin laatimiseen;</w:t>
      </w:r>
    </w:p>
    <w:p>
      <w:pPr>
        <w:pStyle w:val="Point0letter"/>
        <w:rPr>
          <w:noProof/>
          <w:szCs w:val="24"/>
        </w:rPr>
      </w:pPr>
      <w:r>
        <w:rPr>
          <w:noProof/>
        </w:rPr>
        <w:t>tiedot jäsenvaltion aikeista käyttää asetuksen [ ] [ESR] 5 artiklan 4 ja 5 kohdassa säädettyjä joustomahdollisuuksia.</w:t>
      </w:r>
    </w:p>
    <w:p>
      <w:pPr>
        <w:spacing w:after="0"/>
        <w:rPr>
          <w:noProof/>
          <w:szCs w:val="24"/>
        </w:rPr>
      </w:pPr>
      <w:r>
        <w:rPr>
          <w:noProof/>
        </w:rPr>
        <w:t xml:space="preserve">Jäsenvaltio voi pyytää poikkeusta c kohdasta soveltaakseen muuta kuin tämän liitteen 3 osassa esitettyä menetelmää, jos vaadittua menetelmien parannusta ei voitu saavuttaa ajoissa parannusten huomioon ottamiseksi vuosien 2021–2030 kasvihuonekaasuinventaarioissa tai jos menetelmän parantamisesta aiheutuvat kustannukset olisivat suhteettoman suuret verrattuna niihin etuihin, jotka saataisiin tällaisen menetelmän soveltamisesta päästöjen ja poistumien tilinpidon parantamiseksi, koska asianomaisten hiilivarastojen päästöt ja poistumat ovat merkitykseltään vähäisiä. Jos jäsenvaltio haluaa käyttää poikkeusta, sen on toimitettava komissiolle viimeistään 31 päivänä joulukuuta 2020 perusteltu pyyntö, jossa esitetään menetelmän parantamisen ja/tai vaihtoehtoisen menetelmän ehdottamisen aikataulu sekä arvio mahdollisista vaikutuksista tilinpidon täsmällisyyteen. Komissio voi pyytää toimittamaan lisätietoja kohtuullisen ja määritellyn määräajan puitteissa. Jos komissio pitää pyyntöä perusteltuna, se myöntää poikkeuksen. Jos pyyntö hylätään, komissio perustelee päätöksensä. </w:t>
      </w:r>
    </w:p>
    <w:p>
      <w:pPr>
        <w:spacing w:after="0"/>
        <w:jc w:val="center"/>
        <w:rPr>
          <w:rFonts w:eastAsia="Times New Roman"/>
          <w:b/>
          <w:noProof/>
          <w:color w:val="000000"/>
          <w:szCs w:val="24"/>
        </w:rPr>
      </w:pPr>
      <w:r>
        <w:rPr>
          <w:b/>
          <w:noProof/>
          <w:color w:val="000000"/>
        </w:rPr>
        <w:t>2 osa</w:t>
      </w:r>
    </w:p>
    <w:p>
      <w:pPr>
        <w:spacing w:after="0"/>
        <w:rPr>
          <w:noProof/>
          <w:color w:val="000000"/>
          <w:szCs w:val="24"/>
        </w:rPr>
      </w:pPr>
      <w:r>
        <w:rPr>
          <w:noProof/>
          <w:color w:val="000000"/>
        </w:rPr>
        <w:t xml:space="preserve">Katettavat kasvihuonekaasut ovat: </w:t>
      </w:r>
    </w:p>
    <w:p>
      <w:pPr>
        <w:spacing w:after="0"/>
        <w:rPr>
          <w:rFonts w:eastAsia="Times New Roman"/>
          <w:noProof/>
          <w:color w:val="000000"/>
          <w:szCs w:val="24"/>
        </w:rPr>
      </w:pPr>
      <w:r>
        <w:rPr>
          <w:noProof/>
          <w:color w:val="000000"/>
        </w:rPr>
        <w:t>Hiilidioksidi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Metaani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Typpioksiduuli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Rikkiheksafluoridi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Typpitrifluoridi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Fluorihiilivedyt (HFC-yhdisteet):</w:t>
      </w:r>
    </w:p>
    <w:tbl>
      <w:tblPr>
        <w:tblW w:w="5000" w:type="pct"/>
        <w:tblCellSpacing w:w="0" w:type="dxa"/>
        <w:tblCellMar>
          <w:left w:w="0" w:type="dxa"/>
          <w:right w:w="0" w:type="dxa"/>
        </w:tblCellMar>
        <w:tblLook w:val="04A0" w:firstRow="1" w:lastRow="0" w:firstColumn="1" w:lastColumn="0" w:noHBand="0" w:noVBand="1"/>
      </w:tblPr>
      <w:tblGrid>
        <w:gridCol w:w="421"/>
        <w:gridCol w:w="8652"/>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tai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Perfluorihiilivedyt (PFC-yhdisteet):</w:t>
      </w:r>
    </w:p>
    <w:tbl>
      <w:tblPr>
        <w:tblW w:w="5000" w:type="pct"/>
        <w:tblCellSpacing w:w="0" w:type="dxa"/>
        <w:tblCellMar>
          <w:left w:w="0" w:type="dxa"/>
          <w:right w:w="0" w:type="dxa"/>
        </w:tblCellMar>
        <w:tblLook w:val="04A0" w:firstRow="1" w:lastRow="0" w:firstColumn="1" w:lastColumn="0" w:noHBand="0" w:noVBand="1"/>
      </w:tblPr>
      <w:tblGrid>
        <w:gridCol w:w="535"/>
        <w:gridCol w:w="8538"/>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Perfluorimetaani,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Perfluorietaani,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Perfluoripropaani,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Perfluorisyklobutaani,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Perfluorisyklopropaani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Perfluoributaani,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Perfluoripentaani,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Perfluoriheksaani,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3 osa – Seuranta- ja raportointimenetelmät LULUCF-alalla</w:t>
      </w:r>
    </w:p>
    <w:p>
      <w:pPr>
        <w:rPr>
          <w:noProof/>
        </w:rPr>
      </w:pPr>
      <w:r>
        <w:rPr>
          <w:noProof/>
        </w:rPr>
        <w:t xml:space="preserve">Geopaikannetut maan käyttötarkoituksen muuttamista koskevat tiedot maankäytöluokkien ja maankäyttöluokkien muuttamisen tunnistamiseksi ja jäljittämiseksi </w:t>
      </w:r>
    </w:p>
    <w:p>
      <w:pPr>
        <w:rPr>
          <w:noProof/>
        </w:rPr>
      </w:pPr>
      <w:r>
        <w:rPr>
          <w:noProof/>
        </w:rPr>
        <w:t xml:space="preserve">1-tason menetelmä, jossa käytetään maailmanlaajuisesti kalibroituja vakiopäästökertoimia ja parametriarvoja kansallisia kasvihuonekaasuinventaarioita koskevien IPCC:n vuoden 2006 ohjeiden mukaisesti. </w:t>
      </w:r>
    </w:p>
    <w:p>
      <w:pPr>
        <w:rPr>
          <w:noProof/>
        </w:rPr>
      </w:pPr>
      <w:r>
        <w:rPr>
          <w:noProof/>
        </w:rPr>
        <w:t xml:space="preserve">Kun kyseessä ovat sellaisen hiilivaraston päästöt ja poistumat, jonka päästöjen ja poistumien osuus on 25–30 prosenttia lähde- tai nieluluokassa, joka on asetettu etusijalle jäsenvaltion kansallisessa inventaariojärjestelmässä koska sitä koskevalla arviolla on merkittävä vaikutus jäsenvaltion kasvihuonekaasujen kokonaisinventaarioon, päästöjen ja poistumien suuntaukseen tai epävarmuuteen, joka koskee päästöjä ja poistumia maankäyttöluokissa, vähintään 2. tason menetelmä, jossa käytetään kansallisesti määriteltyjä vakiopäästökertoimia ja kansallisten olosuhteiden mukaan kalibroituja parametriarvoja kansallisia kasvihuonekaasuinventaarioita koskevien IPCC:n vuoden 2006 ohjeiden mukaisesti. </w:t>
      </w:r>
    </w:p>
    <w:p>
      <w:pPr>
        <w:rPr>
          <w:noProof/>
        </w:rPr>
      </w:pPr>
      <w:r>
        <w:rPr>
          <w:noProof/>
        </w:rPr>
        <w:t xml:space="preserve">Jäsenvaltioita kannustetaan soveltamaan 3. tason menetelmää, jossa käytetään kansallisten olosuhteiden mukaan kalibroitua epäparametristä mallintamista ja jossa kuvataan biofyysisen </w:t>
      </w:r>
      <w:r>
        <w:rPr>
          <w:noProof/>
        </w:rPr>
        <w:lastRenderedPageBreak/>
        <w:t>järjestelmän fyysisiä vuorovaikutuksia kansallisia kasvihuonekaasuinventaarioita koskevien IPCC:n vuoden 2006 ohjeiden mukaisesti.</w:t>
      </w:r>
    </w:p>
    <w:p>
      <w:pPr>
        <w:jc w:val="center"/>
        <w:rPr>
          <w:b/>
          <w:noProof/>
        </w:rPr>
      </w:pPr>
      <w:r>
        <w:rPr>
          <w:b/>
          <w:noProof/>
        </w:rPr>
        <w:t>4 osa - Inventaarioihin liittyvät indikaattorit</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Indikaattorin nimi</w:t>
            </w:r>
          </w:p>
        </w:tc>
        <w:tc>
          <w:tcPr>
            <w:tcW w:w="3795" w:type="pct"/>
          </w:tcPr>
          <w:p>
            <w:pPr>
              <w:pStyle w:val="AFWTable"/>
              <w:rPr>
                <w:rFonts w:ascii="Times New Roman" w:hAnsi="Times New Roman" w:cs="Times New Roman"/>
                <w:noProof/>
              </w:rPr>
            </w:pPr>
            <w:r>
              <w:rPr>
                <w:rFonts w:ascii="Times New Roman" w:hAnsi="Times New Roman"/>
                <w:noProof/>
              </w:rPr>
              <w:t>Indikaattori</w:t>
            </w:r>
          </w:p>
        </w:tc>
      </w:tr>
      <w:tr>
        <w:tc>
          <w:tcPr>
            <w:tcW w:w="1205" w:type="pct"/>
          </w:tcPr>
          <w:p>
            <w:pPr>
              <w:pStyle w:val="AFWTable"/>
              <w:rPr>
                <w:rFonts w:ascii="Times New Roman" w:hAnsi="Times New Roman" w:cs="Times New Roman"/>
                <w:b/>
                <w:noProof/>
              </w:rPr>
            </w:pPr>
            <w:r>
              <w:rPr>
                <w:rFonts w:ascii="Times New Roman" w:hAnsi="Times New Roman"/>
                <w:noProof/>
              </w:rPr>
              <w:t>TRANSFORMATION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Kaupallisen energiantuotannon ja omavaraisten tuottajien energiantuotannon hiilidioksidiominaispäästöt, t/TJ</w:t>
            </w:r>
          </w:p>
          <w:p>
            <w:pPr>
              <w:pStyle w:val="AFWTable"/>
              <w:rPr>
                <w:rFonts w:ascii="Times New Roman" w:hAnsi="Times New Roman" w:cs="Times New Roman"/>
                <w:noProof/>
              </w:rPr>
            </w:pPr>
            <w:r>
              <w:rPr>
                <w:rFonts w:ascii="Times New Roman" w:hAnsi="Times New Roman"/>
                <w:noProof/>
              </w:rPr>
              <w:t>Kaupallisen energiantuotannon ja omavaraisten tuottajien energiantuotannon hiilidioksidipäästöt, kt jaettuna kaupallisten voimalaitosten ja omavaraisten tuottajien voimalaitosten kaikkien tuotteiden tuotoksella, PJ</w:t>
            </w:r>
          </w:p>
        </w:tc>
      </w:tr>
      <w:tr>
        <w:tc>
          <w:tcPr>
            <w:tcW w:w="1205" w:type="pct"/>
          </w:tcPr>
          <w:p>
            <w:pPr>
              <w:pStyle w:val="AFWTable"/>
              <w:rPr>
                <w:rFonts w:ascii="Times New Roman" w:hAnsi="Times New Roman" w:cs="Times New Roman"/>
                <w:b/>
                <w:noProof/>
              </w:rPr>
            </w:pPr>
            <w:r>
              <w:rPr>
                <w:rFonts w:ascii="Times New Roman" w:hAnsi="Times New Roman"/>
                <w:noProof/>
              </w:rPr>
              <w:t>TRANSFORMATION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Omavaraisten tuottajien energiantuotannon hiilidioksidiominaispäästöt, t/TJ</w:t>
            </w:r>
          </w:p>
          <w:p>
            <w:pPr>
              <w:pStyle w:val="AFWTable"/>
              <w:rPr>
                <w:rFonts w:ascii="Times New Roman" w:hAnsi="Times New Roman" w:cs="Times New Roman"/>
                <w:noProof/>
              </w:rPr>
            </w:pPr>
            <w:r>
              <w:rPr>
                <w:rFonts w:ascii="Times New Roman" w:hAnsi="Times New Roman"/>
                <w:noProof/>
              </w:rPr>
              <w:t>Omavaraisten tuottajien energiantuotannon hiilidioksidipäästöt, kt jaettuna omavaraisten tuottajien voimalaitosten kaikkien tuotteiden tuotoksella, PJ</w:t>
            </w:r>
          </w:p>
        </w:tc>
      </w:tr>
      <w:tr>
        <w:tc>
          <w:tcPr>
            <w:tcW w:w="1205" w:type="pct"/>
          </w:tcPr>
          <w:p>
            <w:pPr>
              <w:pStyle w:val="AFWTable"/>
              <w:rPr>
                <w:rFonts w:ascii="Times New Roman" w:hAnsi="Times New Roman" w:cs="Times New Roman"/>
                <w:b/>
                <w:noProof/>
              </w:rPr>
            </w:pPr>
            <w:r>
              <w:rPr>
                <w:rFonts w:ascii="Times New Roman" w:hAnsi="Times New Roman"/>
                <w:noProof/>
              </w:rPr>
              <w:t>INDUSTRY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Rauta- ja terästeollisuuden kokonaishiilidioksidi-intensiteetti, t/milj. euroa</w:t>
            </w:r>
          </w:p>
          <w:p>
            <w:pPr>
              <w:pStyle w:val="AFWTable"/>
              <w:rPr>
                <w:rFonts w:ascii="Times New Roman" w:hAnsi="Times New Roman" w:cs="Times New Roman"/>
                <w:noProof/>
              </w:rPr>
            </w:pPr>
            <w:r>
              <w:rPr>
                <w:rFonts w:ascii="Times New Roman" w:hAnsi="Times New Roman"/>
                <w:noProof/>
              </w:rPr>
              <w:t>Rauta- ja terästeollisuuden kokonaishiilidioksidipäästöt, kt jaettuna rauta- ja terästeollisuuden bruttoarvonlisäyksellä</w:t>
            </w:r>
          </w:p>
        </w:tc>
      </w:tr>
      <w:tr>
        <w:tc>
          <w:tcPr>
            <w:tcW w:w="1205" w:type="pct"/>
          </w:tcPr>
          <w:p>
            <w:pPr>
              <w:pStyle w:val="AFWTable"/>
              <w:rPr>
                <w:rFonts w:ascii="Times New Roman" w:hAnsi="Times New Roman" w:cs="Times New Roman"/>
                <w:b/>
                <w:noProof/>
              </w:rPr>
            </w:pPr>
            <w:r>
              <w:rPr>
                <w:rFonts w:ascii="Times New Roman" w:hAnsi="Times New Roman"/>
                <w:noProof/>
              </w:rPr>
              <w:t>INDUSTRY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Kemianteollisuuden energiaperäinen hiilidioksidi-intensiteetti, t/milj. euroa</w:t>
            </w:r>
          </w:p>
          <w:p>
            <w:pPr>
              <w:pStyle w:val="AFWTable"/>
              <w:rPr>
                <w:rFonts w:ascii="Times New Roman" w:hAnsi="Times New Roman" w:cs="Times New Roman"/>
                <w:noProof/>
              </w:rPr>
            </w:pPr>
            <w:r>
              <w:rPr>
                <w:rFonts w:ascii="Times New Roman" w:hAnsi="Times New Roman"/>
                <w:noProof/>
              </w:rPr>
              <w:t>Kemianteollisuuden energiaperäiset hiilidioksidipäästöt, kt jaettuna kemianteollisuuden bruttoarvonlisäyksellä</w:t>
            </w:r>
          </w:p>
        </w:tc>
      </w:tr>
      <w:tr>
        <w:tc>
          <w:tcPr>
            <w:tcW w:w="1205" w:type="pct"/>
          </w:tcPr>
          <w:p>
            <w:pPr>
              <w:pStyle w:val="AFWTable"/>
              <w:rPr>
                <w:rFonts w:ascii="Times New Roman" w:hAnsi="Times New Roman" w:cs="Times New Roman"/>
                <w:b/>
                <w:noProof/>
              </w:rPr>
            </w:pPr>
            <w:r>
              <w:rPr>
                <w:rFonts w:ascii="Times New Roman" w:hAnsi="Times New Roman"/>
                <w:noProof/>
              </w:rPr>
              <w:t>INDUSTRY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Lasi-, keramiikka- ja rakennusmateriaaliteollisuuden energiaperäinen hiilidioksidi-intensiteetti, t/milj. euroa</w:t>
            </w:r>
          </w:p>
          <w:p>
            <w:pPr>
              <w:pStyle w:val="AFWTable"/>
              <w:rPr>
                <w:rFonts w:ascii="Times New Roman" w:hAnsi="Times New Roman" w:cs="Times New Roman"/>
                <w:noProof/>
              </w:rPr>
            </w:pPr>
            <w:r>
              <w:rPr>
                <w:rFonts w:ascii="Times New Roman" w:hAnsi="Times New Roman"/>
                <w:noProof/>
              </w:rPr>
              <w:t>Lasi-, keramiikka- ja rakennusmateriaaliteollisuuden  energiaperäiset hiilidioksidipäästöt, kt jaettuna lasi-, keramiikka- ja rakennusmateriaaliteollisuuden bruttoarvonlisäyksellä</w:t>
            </w:r>
          </w:p>
        </w:tc>
      </w:tr>
      <w:tr>
        <w:tc>
          <w:tcPr>
            <w:tcW w:w="1205" w:type="pct"/>
          </w:tcPr>
          <w:p>
            <w:pPr>
              <w:pStyle w:val="AFWTable"/>
              <w:rPr>
                <w:rFonts w:ascii="Times New Roman" w:hAnsi="Times New Roman" w:cs="Times New Roman"/>
                <w:b/>
                <w:noProof/>
              </w:rPr>
            </w:pPr>
            <w:r>
              <w:rPr>
                <w:rFonts w:ascii="Times New Roman" w:hAnsi="Times New Roman"/>
                <w:noProof/>
              </w:rPr>
              <w:t>INDUSTRY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Elintarvike-, juoma- ja tupakkateollisuuden energiaperäinen hiilidioksidi-intensiteetti, t/milj. euroa</w:t>
            </w:r>
          </w:p>
          <w:p>
            <w:pPr>
              <w:pStyle w:val="AFWTable"/>
              <w:rPr>
                <w:rFonts w:ascii="Times New Roman" w:hAnsi="Times New Roman" w:cs="Times New Roman"/>
                <w:noProof/>
              </w:rPr>
            </w:pPr>
            <w:r>
              <w:rPr>
                <w:rFonts w:ascii="Times New Roman" w:hAnsi="Times New Roman"/>
                <w:noProof/>
              </w:rPr>
              <w:t>Elintarvike-, juoma- ja tupakkateollisuuden energiaperäiset hiilidioksidipäästöt kt jaettuna elintarvike-, juoma- ja tupakkateollisuuden bruttoarvonlisäyksellä, milj. euroa (EC95)</w:t>
            </w:r>
          </w:p>
        </w:tc>
      </w:tr>
      <w:tr>
        <w:tc>
          <w:tcPr>
            <w:tcW w:w="1205" w:type="pct"/>
          </w:tcPr>
          <w:p>
            <w:pPr>
              <w:pStyle w:val="AFWTable"/>
              <w:rPr>
                <w:rFonts w:ascii="Times New Roman" w:hAnsi="Times New Roman" w:cs="Times New Roman"/>
                <w:b/>
                <w:noProof/>
              </w:rPr>
            </w:pPr>
            <w:r>
              <w:rPr>
                <w:rFonts w:ascii="Times New Roman" w:hAnsi="Times New Roman"/>
                <w:noProof/>
              </w:rPr>
              <w:t>INDUSTRY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 xml:space="preserve">Paperi- ja painoteollisuuden energiaperäinen hiilidioksidi-intensiteetti, t/milj. euroa </w:t>
            </w:r>
            <w:r>
              <w:rPr>
                <w:rFonts w:ascii="Times New Roman" w:hAnsi="Times New Roman"/>
                <w:noProof/>
              </w:rPr>
              <w:br/>
              <w:t>Paperi- ja painoteollisuuden energiaperäiset hiilidioksidipäästöt, kt – paperi- ja painoteollisuuden bruttoarvonlisäys, milj. euroa (EC95)</w:t>
            </w:r>
          </w:p>
        </w:tc>
      </w:tr>
      <w:tr>
        <w:tc>
          <w:tcPr>
            <w:tcW w:w="1205" w:type="pct"/>
          </w:tcPr>
          <w:p>
            <w:pPr>
              <w:pStyle w:val="AFWTable"/>
              <w:rPr>
                <w:rFonts w:ascii="Times New Roman" w:hAnsi="Times New Roman" w:cs="Times New Roman"/>
                <w:b/>
                <w:noProof/>
              </w:rPr>
            </w:pPr>
            <w:r>
              <w:rPr>
                <w:rFonts w:ascii="Times New Roman" w:hAnsi="Times New Roman"/>
                <w:noProof/>
              </w:rPr>
              <w:t>HOUSEHOLDS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Huoneiden ja vastaavien tilojen lämmityksestä aiheutuvat kotitalouksien hiilidioksidiominaispäästöt, t/m2</w:t>
            </w:r>
          </w:p>
          <w:p>
            <w:pPr>
              <w:pStyle w:val="AFWTable"/>
              <w:rPr>
                <w:rFonts w:ascii="Times New Roman" w:hAnsi="Times New Roman" w:cs="Times New Roman"/>
                <w:noProof/>
              </w:rPr>
            </w:pPr>
            <w:r>
              <w:rPr>
                <w:rFonts w:ascii="Times New Roman" w:hAnsi="Times New Roman"/>
                <w:noProof/>
              </w:rPr>
              <w:t>Huoneiden ja vastaavien tilojen lämmityksestä aiheutuvat kotitalouksien hiilidioksidipäästöt jaettuna pysyvästi asuttujen asuntojen pinta-alalla, milj. m2</w:t>
            </w:r>
          </w:p>
        </w:tc>
      </w:tr>
      <w:tr>
        <w:tc>
          <w:tcPr>
            <w:tcW w:w="1205" w:type="pct"/>
          </w:tcPr>
          <w:p>
            <w:pPr>
              <w:pStyle w:val="AFWTable"/>
              <w:rPr>
                <w:rFonts w:ascii="Times New Roman" w:hAnsi="Times New Roman" w:cs="Times New Roman"/>
                <w:b/>
                <w:noProof/>
              </w:rPr>
            </w:pPr>
            <w:r>
              <w:rPr>
                <w:rFonts w:ascii="Times New Roman" w:hAnsi="Times New Roman"/>
                <w:noProof/>
              </w:rPr>
              <w:t>SERVICES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Huoneiden ja vastaavien tilojen lämmityksestä aiheutuvat kaupallisen ja institutionaalisen sektorin hiilidioksidiominaispäästöt, t/m2</w:t>
            </w:r>
          </w:p>
          <w:p>
            <w:pPr>
              <w:pStyle w:val="AFWTable"/>
              <w:rPr>
                <w:rFonts w:ascii="Times New Roman" w:hAnsi="Times New Roman" w:cs="Times New Roman"/>
                <w:noProof/>
              </w:rPr>
            </w:pPr>
            <w:r>
              <w:rPr>
                <w:rFonts w:ascii="Times New Roman" w:hAnsi="Times New Roman"/>
                <w:noProof/>
              </w:rPr>
              <w:t>Huoneiden ja vastaavien tilojen lämmityksestä aiheutuvat kaupallisen ja institutionaalisen sektorin hiilidioksidipäästöt, kt jaettuna palvelujen tarjoamiseen käytettävien rakennusten pinta-alalla, milj. m2</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Henkilöautojen dieselperäiset hiilidioksidiominaispäästöt, g/100 km</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Henkilöautojen bensiiniperäiset hiilidioksidiominaispäästöt, g/100 km</w:t>
            </w:r>
          </w:p>
        </w:tc>
      </w:tr>
    </w:tbl>
    <w:p>
      <w:pPr>
        <w:rPr>
          <w:rFonts w:eastAsia="Times New Roman"/>
          <w:noProof/>
          <w:color w:val="000000"/>
          <w:szCs w:val="24"/>
        </w:rPr>
      </w:pPr>
    </w:p>
    <w:p>
      <w:pPr>
        <w:pStyle w:val="Annexetitre"/>
        <w:rPr>
          <w:b w:val="0"/>
          <w:i/>
          <w:noProof/>
          <w:u w:val="none"/>
        </w:rPr>
      </w:pPr>
      <w:r>
        <w:rPr>
          <w:b w:val="0"/>
          <w:i/>
          <w:noProof/>
          <w:u w:val="none"/>
        </w:rPr>
        <w:t>LIITE IV</w:t>
      </w:r>
    </w:p>
    <w:p>
      <w:pPr>
        <w:jc w:val="center"/>
        <w:rPr>
          <w:noProof/>
        </w:rPr>
      </w:pPr>
      <w:r>
        <w:rPr>
          <w:b/>
          <w:noProof/>
        </w:rPr>
        <w:t>TIEDOT POLITIIKOISTA JA TOIMENPITEISTÄ KASVIHUONEKAASUPÄÄSTÖJEN ALALLA</w:t>
      </w:r>
    </w:p>
    <w:p>
      <w:pPr>
        <w:rPr>
          <w:noProof/>
        </w:rPr>
      </w:pPr>
      <w:r>
        <w:rPr>
          <w:noProof/>
        </w:rPr>
        <w:t>16 artiklassa tarkoitettuihin raportteihin sisällytettävät tiedot:</w:t>
      </w:r>
    </w:p>
    <w:p>
      <w:pPr>
        <w:pStyle w:val="Point0letter"/>
        <w:numPr>
          <w:ilvl w:val="1"/>
          <w:numId w:val="4"/>
        </w:numPr>
        <w:rPr>
          <w:noProof/>
        </w:rPr>
      </w:pPr>
      <w:r>
        <w:rPr>
          <w:noProof/>
        </w:rPr>
        <w:t xml:space="preserve">kuvaus kansallisesta järjestelmästä, jolla raportoidaan 32 artiklan 1 kohdan mukaisesti kasvihuonekaasujen lähteistä syntyviä ihmisen toiminnasta aiheutuvia päästöjä ja nielujen aikaansaamia poistumia koskevista politiikoista ja toimenpiteistä sekä niitä koskevat kehitysarviot; lisäksi on toimitettava tiedot kyseiseen järjestelmään mahdollisesti tehdyistä muutoksista, jos kuvaus on jo toimitettu; </w:t>
      </w:r>
    </w:p>
    <w:p>
      <w:pPr>
        <w:pStyle w:val="Point0letter"/>
        <w:rPr>
          <w:noProof/>
        </w:rPr>
      </w:pPr>
      <w:r>
        <w:rPr>
          <w:noProof/>
        </w:rPr>
        <w:t>päivitykset, jotka koskevat niiden 14 artiklassa tarkoitettuja pitkän aikavälin vähäpäästöisyyttä koskevia strategioita sekä edistymistä näiden strategioiden toteuttamisessa;</w:t>
      </w:r>
    </w:p>
    <w:p>
      <w:pPr>
        <w:pStyle w:val="Point0letter"/>
        <w:rPr>
          <w:noProof/>
        </w:rPr>
      </w:pPr>
      <w:r>
        <w:rPr>
          <w:noProof/>
        </w:rPr>
        <w:t xml:space="preserve">tiedot kansallisista politiikoista ja toimista tai toimikokonaisuuksista ja sellaisten unionin politiikkojen ja toimien tai toimikokonaisuuksien toteuttamisesta, joilla rajoitetaan tai vähennetään kasvihuonekaasujen lähteistä syntyviä päästöjä tai parannetaan nielujen aikaansaamia poistumia, esitettyinä sektorikohtaisesti ja </w:t>
      </w:r>
      <w:r>
        <w:rPr>
          <w:noProof/>
        </w:rPr>
        <w:lastRenderedPageBreak/>
        <w:t xml:space="preserve">järjestettyinä liitteessä III olevassa 2 osassa lueteltujen kaasujen tai kaasuryhmien (HFC- ja PFC-yhdisteet) mukaan. Näissä tiedoissa on viitattava sovellettaviin ja asiaankuuluviin kansallisiin tai unionin politiikkoihin, ja niiden on sisällettävä </w:t>
      </w:r>
    </w:p>
    <w:p>
      <w:pPr>
        <w:pStyle w:val="Point1"/>
        <w:rPr>
          <w:noProof/>
        </w:rPr>
      </w:pPr>
      <w:r>
        <w:rPr>
          <w:noProof/>
        </w:rPr>
        <w:t>i)</w:t>
      </w:r>
      <w:r>
        <w:rPr>
          <w:noProof/>
        </w:rPr>
        <w:tab/>
        <w:t>politiikan tai toimen tavoite sekä lyhyt kuvaus politiikasta tai toimesta;</w:t>
      </w:r>
    </w:p>
    <w:p>
      <w:pPr>
        <w:pStyle w:val="Point1"/>
        <w:rPr>
          <w:noProof/>
        </w:rPr>
      </w:pPr>
      <w:r>
        <w:rPr>
          <w:noProof/>
        </w:rPr>
        <w:t>ii)</w:t>
      </w:r>
      <w:r>
        <w:rPr>
          <w:noProof/>
        </w:rPr>
        <w:tab/>
        <w:t>politiikkavälineen tyyppi;</w:t>
      </w:r>
    </w:p>
    <w:p>
      <w:pPr>
        <w:pStyle w:val="Point1"/>
        <w:rPr>
          <w:noProof/>
        </w:rPr>
      </w:pPr>
      <w:r>
        <w:rPr>
          <w:noProof/>
        </w:rPr>
        <w:t>iii)</w:t>
      </w:r>
      <w:r>
        <w:rPr>
          <w:noProof/>
        </w:rPr>
        <w:tab/>
        <w:t>politiikan tai toimen tai toimikokonaisuuden toteuttamisvaihe;</w:t>
      </w:r>
    </w:p>
    <w:p>
      <w:pPr>
        <w:pStyle w:val="Point1"/>
        <w:rPr>
          <w:noProof/>
        </w:rPr>
      </w:pPr>
      <w:r>
        <w:rPr>
          <w:noProof/>
        </w:rPr>
        <w:t>iv)</w:t>
      </w:r>
      <w:r>
        <w:rPr>
          <w:noProof/>
        </w:rPr>
        <w:tab/>
        <w:t>indikaattorit, joilla seurataan ja arvioidaan edistymistä ajan mittaan;</w:t>
      </w:r>
    </w:p>
    <w:p>
      <w:pPr>
        <w:pStyle w:val="Point1"/>
        <w:rPr>
          <w:noProof/>
        </w:rPr>
      </w:pPr>
      <w:r>
        <w:rPr>
          <w:noProof/>
        </w:rPr>
        <w:t>v)</w:t>
      </w:r>
      <w:r>
        <w:rPr>
          <w:noProof/>
        </w:rPr>
        <w:tab/>
        <w:t xml:space="preserve">määrälliset ennusteet kasvihuonekaasujen lähteistä syntyvistä päästöistä ja nielujen aikaansaamista poistumista eriteltynä seuraavasti: </w:t>
      </w:r>
    </w:p>
    <w:p>
      <w:pPr>
        <w:pStyle w:val="Tiret2"/>
        <w:numPr>
          <w:ilvl w:val="0"/>
          <w:numId w:val="12"/>
        </w:numPr>
        <w:rPr>
          <w:noProof/>
        </w:rPr>
      </w:pPr>
      <w:r>
        <w:rPr>
          <w:noProof/>
        </w:rPr>
        <w:t>yksittäisten politiikkojen ja toimien tai politiikka- ja toimikokonaisuuksien ilmastonmuutosta hillitsevien vaikutusten ennakkoarviointien tulokset. Arviot on tehtävä raportointivuotta välittömästi seuraavista neljästä vuodesta, joiden viimeinen luku on 0 tai 5, erottaen toisistaan direktiivin 2003/87/EY, asetuksen [ ] [ESR] ja  asetuksen [ ] [LULUCF] soveltamisalaan kuuluvat kasvihuonekaasupäästöt;</w:t>
      </w:r>
    </w:p>
    <w:p>
      <w:pPr>
        <w:pStyle w:val="Tiret2"/>
        <w:rPr>
          <w:noProof/>
        </w:rPr>
      </w:pPr>
      <w:r>
        <w:rPr>
          <w:noProof/>
        </w:rPr>
        <w:t>ilmastonmuutoksen hillintää koskevien yksittäisten politiikkojen ja toimien tai politiikka- ja toimikokonaisuuksien vaikutusten jälkiarvioinnin tulokset, jos ne ovat saatavilla, erottaen toisistaan direktiivin 2003/87/EY, asetuksen [ ] [ESR] ja  asetuksen [ ] [LULUCF] soveltamisalaan kuuluvat kasvihuonekaasupäästöt;</w:t>
      </w:r>
    </w:p>
    <w:p>
      <w:pPr>
        <w:pStyle w:val="Point1"/>
        <w:rPr>
          <w:noProof/>
        </w:rPr>
      </w:pPr>
      <w:r>
        <w:rPr>
          <w:noProof/>
        </w:rPr>
        <w:t>vi)</w:t>
      </w:r>
      <w:r>
        <w:rPr>
          <w:noProof/>
        </w:rPr>
        <w:tab/>
        <w:t>arviot politiikkojen ja toimien ennakoiduista kustannuksista ja hyödyistä sekä politiikkojen ja toimien toteutuneista kustannuksista ja hyödyistä;</w:t>
      </w:r>
    </w:p>
    <w:p>
      <w:pPr>
        <w:pStyle w:val="Point1"/>
        <w:rPr>
          <w:noProof/>
        </w:rPr>
      </w:pPr>
      <w:r>
        <w:rPr>
          <w:noProof/>
        </w:rPr>
        <w:t>vii)</w:t>
      </w:r>
      <w:r>
        <w:rPr>
          <w:noProof/>
        </w:rPr>
        <w:tab/>
        <w:t xml:space="preserve">kaikki viittaukset kansallisten politiikkojen ja toimenpiteiden kustannuksista ja vaikutuksista tehtyihin arviointeihin, tietoihin niiden unionin politiikkojen ja toimenpiteiden täytäntöönpanosta, joilla rajoitetaan tai vähennetään kasvihuonekaasujen lähteistä johtuvia päästöjä tai lisätään nielujen aikaansaamia poistumia, yhdessä näitä arviointeja tukevien teknisten raporttien kanssa; </w:t>
      </w:r>
    </w:p>
    <w:p>
      <w:pPr>
        <w:pStyle w:val="Point1"/>
        <w:rPr>
          <w:noProof/>
        </w:rPr>
      </w:pPr>
      <w:r>
        <w:rPr>
          <w:noProof/>
        </w:rPr>
        <w:t>viii)</w:t>
      </w:r>
      <w:r>
        <w:rPr>
          <w:noProof/>
        </w:rPr>
        <w:tab/>
        <w:t>arvio siitä, miten politiikalla tai toimenpiteellä edistetään 14 artiklassa tarkoitetun pitkän aikavälin vähäpäästöisyyttä koskevan strategian saavuttamista;</w:t>
      </w:r>
    </w:p>
    <w:p>
      <w:pPr>
        <w:pStyle w:val="Point0letter"/>
        <w:rPr>
          <w:noProof/>
        </w:rPr>
      </w:pPr>
      <w:r>
        <w:rPr>
          <w:noProof/>
        </w:rPr>
        <w:t>tiedot suunnitelluista kansallisista lisäpolitiikoista ja -toimenpiteistä, jotka on suunnattu rajoittamaan kasvihuonekaasupäästöjä enemmän kuin asetuksen [ ] [ESR] ja  asetuksen [ ] [LULUCF] mukaiset sitoumukset edellyttävät;</w:t>
      </w:r>
    </w:p>
    <w:p>
      <w:pPr>
        <w:pStyle w:val="Point0letter"/>
        <w:rPr>
          <w:noProof/>
        </w:rPr>
      </w:pPr>
      <w:r>
        <w:rPr>
          <w:noProof/>
        </w:rPr>
        <w:t>tiedot, jotka koskevat c alakohdan nojalla raportoitujen eri politiikkojen ja toimenpiteiden välisiä yhteyksiä ja sitä, miten tällaisilla politiikoilla ja toimenpiteillä edistetään eri ennusteskenaarioiden toteutumista.</w:t>
      </w:r>
    </w:p>
    <w:p>
      <w:pPr>
        <w:pStyle w:val="Annexetitre"/>
        <w:rPr>
          <w:b w:val="0"/>
          <w:i/>
          <w:noProof/>
          <w:u w:val="none"/>
        </w:rPr>
      </w:pPr>
      <w:r>
        <w:rPr>
          <w:b w:val="0"/>
          <w:i/>
          <w:noProof/>
          <w:u w:val="none"/>
        </w:rPr>
        <w:t>LIITE V</w:t>
      </w:r>
    </w:p>
    <w:p>
      <w:pPr>
        <w:jc w:val="center"/>
        <w:rPr>
          <w:noProof/>
        </w:rPr>
      </w:pPr>
      <w:r>
        <w:rPr>
          <w:b/>
          <w:noProof/>
        </w:rPr>
        <w:t>TIEDOT ENNUSTEISTA KASVIHUONEKAASUPÄÄSTÖJEN ALALLA</w:t>
      </w:r>
    </w:p>
    <w:p>
      <w:pPr>
        <w:rPr>
          <w:rFonts w:eastAsia="Times New Roman"/>
          <w:noProof/>
          <w:color w:val="000000"/>
          <w:sz w:val="19"/>
          <w:szCs w:val="19"/>
        </w:rPr>
      </w:pPr>
      <w:r>
        <w:rPr>
          <w:noProof/>
        </w:rPr>
        <w:t>16 artiklassa tarkoitettuihin raportteihin sisällytettävät tiedot:</w:t>
      </w:r>
    </w:p>
    <w:p>
      <w:pPr>
        <w:pStyle w:val="Point0letter"/>
        <w:numPr>
          <w:ilvl w:val="1"/>
          <w:numId w:val="3"/>
        </w:numPr>
        <w:rPr>
          <w:noProof/>
        </w:rPr>
      </w:pPr>
      <w:r>
        <w:rPr>
          <w:noProof/>
        </w:rPr>
        <w:lastRenderedPageBreak/>
        <w:t xml:space="preserve">saatavilla olevat ennusteet, joissa ei oteta huomioon toimia, ennusteet, joissa on otettu huomioon toimet, sekä ennusteet, joissa on otettu huomioon lisätoimet; </w:t>
      </w:r>
    </w:p>
    <w:p>
      <w:pPr>
        <w:pStyle w:val="Point0letter"/>
        <w:rPr>
          <w:noProof/>
        </w:rPr>
      </w:pPr>
      <w:r>
        <w:rPr>
          <w:noProof/>
        </w:rPr>
        <w:t xml:space="preserve">ennusteet kaikista kasvihuonekaasuista sekä erilliset arviot ennakoiduista kasvihuonekaasupäästöistä direktiivin 2003/87/EY ja asetuksen [ ] [ESR] soveltamisalaan kuuluvien päästölähteiden osalta sekä ennakoidut kasvihuonekaasujen lähteistä syntyvät päästöt ja nielujen aikaansaamat poistumat asetuksen [ ] [LULUCF] nojalla; </w:t>
      </w:r>
    </w:p>
    <w:p>
      <w:pPr>
        <w:pStyle w:val="Point0letter"/>
        <w:rPr>
          <w:noProof/>
        </w:rPr>
      </w:pPr>
      <w:r>
        <w:rPr>
          <w:noProof/>
        </w:rPr>
        <w:t xml:space="preserve">16 artiklan 1 kohdan a alakohdan nojalla määriteltyjen politiikkojen ja toimien vaikutukset. Jos kyseiset politiikat ja toimet eivät sisälly ennusteisiin, tämä on ilmoitettava selkeästi ja perusteltava; </w:t>
      </w:r>
    </w:p>
    <w:p>
      <w:pPr>
        <w:pStyle w:val="Point0letter"/>
        <w:rPr>
          <w:noProof/>
        </w:rPr>
      </w:pPr>
      <w:r>
        <w:rPr>
          <w:noProof/>
        </w:rPr>
        <w:t xml:space="preserve">ennusteille tehdyn herkkyysanalyysin tulokset sekä käytettyjä malleja ja parametrejä koskevat tiedot; </w:t>
      </w:r>
    </w:p>
    <w:p>
      <w:pPr>
        <w:pStyle w:val="Point0letter"/>
        <w:rPr>
          <w:noProof/>
        </w:rPr>
      </w:pPr>
      <w:r>
        <w:rPr>
          <w:noProof/>
        </w:rPr>
        <w:t xml:space="preserve">kaikki tarvittavat viitetiedot arvioinnista ja teknisistä raporteista, jotka ovat pohjana 16 artiklan 4 kohdassa tarkoitetuille ennusteille. </w:t>
      </w:r>
    </w:p>
    <w:p>
      <w:pPr>
        <w:pStyle w:val="Annexetitre"/>
        <w:rPr>
          <w:b w:val="0"/>
          <w:i/>
          <w:noProof/>
          <w:u w:val="none"/>
        </w:rPr>
      </w:pPr>
      <w:r>
        <w:rPr>
          <w:b w:val="0"/>
          <w:i/>
          <w:noProof/>
          <w:u w:val="none"/>
        </w:rPr>
        <w:t>LIITE VI</w:t>
      </w:r>
    </w:p>
    <w:p>
      <w:pPr>
        <w:jc w:val="center"/>
        <w:rPr>
          <w:noProof/>
        </w:rPr>
      </w:pPr>
      <w:r>
        <w:rPr>
          <w:b/>
          <w:noProof/>
        </w:rPr>
        <w:t>KANSALLISIA SOPEUTUMISTOIMIA, KEHITYSMAILLE ANNETTAVAA TALOUDELLISTA JA TEKNISTÄ TUKEA SEKÄ HUUTOKAUPPATULOJA KOSKEVAT TIEDOT</w:t>
      </w:r>
    </w:p>
    <w:p>
      <w:pPr>
        <w:jc w:val="center"/>
        <w:rPr>
          <w:b/>
          <w:noProof/>
        </w:rPr>
      </w:pPr>
      <w:r>
        <w:rPr>
          <w:b/>
          <w:noProof/>
        </w:rPr>
        <w:t>1 osa</w:t>
      </w:r>
    </w:p>
    <w:p>
      <w:pPr>
        <w:jc w:val="center"/>
        <w:rPr>
          <w:i/>
          <w:noProof/>
        </w:rPr>
      </w:pPr>
      <w:r>
        <w:rPr>
          <w:i/>
          <w:noProof/>
        </w:rPr>
        <w:t>Sopeutumistoimia koskeva raportointi</w:t>
      </w:r>
    </w:p>
    <w:p>
      <w:pPr>
        <w:pStyle w:val="NormalWeb"/>
        <w:rPr>
          <w:noProof/>
        </w:rPr>
      </w:pPr>
      <w:r>
        <w:rPr>
          <w:noProof/>
        </w:rPr>
        <w:t>17 artiklan 1 kohdassa tarkoitettuihin raportteihin sisällytettävät tiedot:</w:t>
      </w:r>
    </w:p>
    <w:p>
      <w:pPr>
        <w:pStyle w:val="Point0letter"/>
        <w:numPr>
          <w:ilvl w:val="1"/>
          <w:numId w:val="34"/>
        </w:numPr>
        <w:rPr>
          <w:noProof/>
        </w:rPr>
      </w:pPr>
      <w:r>
        <w:rPr>
          <w:noProof/>
        </w:rPr>
        <w:t>sopeutumistoimien päätavoitteet, päämäärät ja institutionaalinen kehys;</w:t>
      </w:r>
    </w:p>
    <w:p>
      <w:pPr>
        <w:pStyle w:val="Point0letter"/>
        <w:rPr>
          <w:noProof/>
        </w:rPr>
      </w:pPr>
      <w:r>
        <w:rPr>
          <w:noProof/>
        </w:rPr>
        <w:t xml:space="preserve">ilmastonmuutosta koskevat ennusteet, mukaan lukien äärimmäiset sääilmiöt, ilmastonmuutoksen vaikutukset, ilmaston haavoittuvuuden arviointi, riskit ja keskeiset ilmastoriskit; </w:t>
      </w:r>
    </w:p>
    <w:p>
      <w:pPr>
        <w:pStyle w:val="Point0letter"/>
        <w:rPr>
          <w:noProof/>
        </w:rPr>
      </w:pPr>
      <w:r>
        <w:rPr>
          <w:noProof/>
        </w:rPr>
        <w:t>sopeutumiskyky;</w:t>
      </w:r>
    </w:p>
    <w:p>
      <w:pPr>
        <w:pStyle w:val="Point0letter"/>
        <w:rPr>
          <w:noProof/>
        </w:rPr>
      </w:pPr>
      <w:r>
        <w:rPr>
          <w:noProof/>
        </w:rPr>
        <w:t>sopeutumista koskevat suunnitelmat ja strategiat;</w:t>
      </w:r>
    </w:p>
    <w:p>
      <w:pPr>
        <w:pStyle w:val="Point0letter"/>
        <w:rPr>
          <w:noProof/>
        </w:rPr>
      </w:pPr>
      <w:r>
        <w:rPr>
          <w:noProof/>
        </w:rPr>
        <w:t>institutionaalinen rakenne, mukana lukien vertikaalinen ja horisontaalinen hallinto sekä koordinointi-, seuranta- ja arviointijärjestelmät;</w:t>
      </w:r>
    </w:p>
    <w:p>
      <w:pPr>
        <w:pStyle w:val="Point0letter"/>
        <w:rPr>
          <w:noProof/>
        </w:rPr>
      </w:pPr>
      <w:r>
        <w:rPr>
          <w:noProof/>
        </w:rPr>
        <w:t>täytäntöönpanossa saavutettu edistyminen, mukaan lukien hyvät käytännöt ja hallintoon tehdyt muutokset.</w:t>
      </w:r>
    </w:p>
    <w:p>
      <w:pPr>
        <w:jc w:val="center"/>
        <w:rPr>
          <w:b/>
          <w:noProof/>
        </w:rPr>
      </w:pPr>
      <w:r>
        <w:rPr>
          <w:b/>
          <w:noProof/>
        </w:rPr>
        <w:t>2 osa</w:t>
      </w:r>
    </w:p>
    <w:p>
      <w:pPr>
        <w:jc w:val="center"/>
        <w:rPr>
          <w:i/>
          <w:noProof/>
        </w:rPr>
      </w:pPr>
      <w:r>
        <w:rPr>
          <w:i/>
          <w:noProof/>
        </w:rPr>
        <w:t>Raportointi tuesta kehitysmaille</w:t>
      </w:r>
    </w:p>
    <w:p>
      <w:pPr>
        <w:rPr>
          <w:noProof/>
        </w:rPr>
      </w:pPr>
      <w:r>
        <w:rPr>
          <w:noProof/>
        </w:rPr>
        <w:t>17 artiklan 2 kohdan a alakohdassa tarkoitettuihin raportteihin sisällytettävät tiedot:</w:t>
      </w:r>
    </w:p>
    <w:p>
      <w:pPr>
        <w:pStyle w:val="Point0letter"/>
        <w:numPr>
          <w:ilvl w:val="1"/>
          <w:numId w:val="5"/>
        </w:numPr>
        <w:rPr>
          <w:noProof/>
        </w:rPr>
      </w:pPr>
      <w:r>
        <w:rPr>
          <w:noProof/>
        </w:rPr>
        <w:t>tiedot kehitysmaille osoitetusta ja annetusta taloudellisesta tuesta vuodelle X-1, mukaan lukien</w:t>
      </w:r>
    </w:p>
    <w:p>
      <w:pPr>
        <w:pStyle w:val="Point1"/>
        <w:rPr>
          <w:noProof/>
        </w:rPr>
      </w:pPr>
      <w:r>
        <w:rPr>
          <w:noProof/>
        </w:rPr>
        <w:t>i)</w:t>
      </w:r>
      <w:r>
        <w:rPr>
          <w:noProof/>
        </w:rPr>
        <w:tab/>
        <w:t xml:space="preserve">määrälliset tiedot jäsenvaltion julkisista ja mobilisoimista määrärahoista. Rahoitusvirtoja koskevien tietojen on perustuttava OECD:n kehitysapukomitean käyttöönottamiin ”Rion tunnusmerkkeihin”, jotka </w:t>
      </w:r>
      <w:r>
        <w:rPr>
          <w:noProof/>
        </w:rPr>
        <w:lastRenderedPageBreak/>
        <w:t>koskevat ilmastonmuutoksen hillitsemiseen liittyvää tukea ja ilmastonmuutokseen sopeutumiseen liittyvää tukea, sekä muihin seurantajärjestelmiin;</w:t>
      </w:r>
    </w:p>
    <w:p>
      <w:pPr>
        <w:pStyle w:val="Point1"/>
        <w:rPr>
          <w:noProof/>
        </w:rPr>
      </w:pPr>
      <w:r>
        <w:rPr>
          <w:noProof/>
        </w:rPr>
        <w:t>ii)</w:t>
      </w:r>
      <w:r>
        <w:rPr>
          <w:noProof/>
        </w:rPr>
        <w:tab/>
        <w:t>menetelmiä koskevat laadulliset tiedot, joissa selitetään määrällisten tietojen laskentamenetelmää, mukaan lukien selitys datan kvantifiointimenetelmästä ja tapauksen mukaan muut tiedot lukujen määrittämisessä käytetyistä määritelmistä ja menetelmistä erityisesti mobilisoiduista rahoitusvirroista raportoitujen tietojen osalta;</w:t>
      </w:r>
    </w:p>
    <w:p>
      <w:pPr>
        <w:pStyle w:val="Point1"/>
        <w:rPr>
          <w:noProof/>
        </w:rPr>
      </w:pPr>
      <w:r>
        <w:rPr>
          <w:noProof/>
        </w:rPr>
        <w:t>iii)</w:t>
      </w:r>
      <w:r>
        <w:rPr>
          <w:noProof/>
        </w:rPr>
        <w:tab/>
        <w:t>saatavilla olevat tiedot jäsenvaltioiden toimista, jotka koskevat kehitysmaihin liittyviä teknologian siirtohankkeita ja valmiuksien kehittämiseen tähtääviä projekteja UNFCCC:n nojalla, mukaan lukien tiedot siitä, onko siirrettyä teknologiaa tai valmiuksien kehittämistä koskevaa projektia käytetty ilmastonmuutoksen hillitsemiseen vai sopeutumiseen ilmastonmuutoksen vaikutuksiin, vastaanottajamaasta, tuen määrästä sekä siirretyn teknologian tai valmiuksien kehittämishankkeen tyypistä;</w:t>
      </w:r>
    </w:p>
    <w:p>
      <w:pPr>
        <w:pStyle w:val="Point0letter"/>
        <w:numPr>
          <w:ilvl w:val="1"/>
          <w:numId w:val="5"/>
        </w:numPr>
        <w:rPr>
          <w:noProof/>
        </w:rPr>
      </w:pPr>
      <w:r>
        <w:rPr>
          <w:noProof/>
        </w:rPr>
        <w:t>tiedot vuodelta X ja sitä seuraavilta vuosilta suunnitellusta tuesta, mukaan lukien tiedot suunnitelluista toimista, jotka koskevat kehitysmaihin liittyviä teknologian siirtohankkeita ja valmiuksien kehittämiseen tähtääviä projekteja UNFCCC:n nojalla ja siirrettäviä teknologioita ja valmiuksien kehittämishankkeita, mukaan lukien tiedot siitä, onko siirretty teknologia tai valmiuksien kehittämistä koskeva projekti tarkoitettu ilmastonmuutoksen hillitsemiseen vai sopeutumiseen ilmastonmuutoksen vaikutuksiin, vastaanottajamaasta, tuen määrästä sekä siirretyn teknologian tai valmiuksien kehittämishankkeen tyypistä,</w:t>
      </w:r>
    </w:p>
    <w:p>
      <w:pPr>
        <w:jc w:val="center"/>
        <w:rPr>
          <w:b/>
          <w:noProof/>
        </w:rPr>
      </w:pPr>
      <w:r>
        <w:rPr>
          <w:b/>
          <w:noProof/>
        </w:rPr>
        <w:t>3 osa</w:t>
      </w:r>
    </w:p>
    <w:p>
      <w:pPr>
        <w:jc w:val="center"/>
        <w:rPr>
          <w:i/>
          <w:noProof/>
        </w:rPr>
      </w:pPr>
      <w:r>
        <w:rPr>
          <w:i/>
          <w:noProof/>
        </w:rPr>
        <w:t>Raportointi huutokauppatuloista</w:t>
      </w:r>
    </w:p>
    <w:p>
      <w:pPr>
        <w:rPr>
          <w:noProof/>
        </w:rPr>
      </w:pPr>
      <w:r>
        <w:rPr>
          <w:noProof/>
        </w:rPr>
        <w:t>Asetuksen 17 artiklan 2 kohdan b alakohdassa tarkoitettuihin raportteihin sisällytettävät tiedot:</w:t>
      </w:r>
    </w:p>
    <w:p>
      <w:pPr>
        <w:pStyle w:val="Point0letter"/>
        <w:numPr>
          <w:ilvl w:val="1"/>
          <w:numId w:val="6"/>
        </w:numPr>
        <w:rPr>
          <w:noProof/>
        </w:rPr>
      </w:pPr>
      <w:r>
        <w:rPr>
          <w:noProof/>
        </w:rPr>
        <w:t xml:space="preserve">tiedot jäsenvaltion direktiivin 2003/87/EY 10 artiklan 1 kohdan mukaisesta päästöoikeuksien huutokaupasta saamien tulojen käytöstä vuonna X-1, myös tiedot tuloista, jotka on käytetty yhteen tai useampaan mainitun direktiivin 10 artiklan 3 kohdassa luetelluista tarkoituksista, tai näiden tulojen rahallisesta arvosta, ja mainitun artiklan nojalla toteutetuista toimista; </w:t>
      </w:r>
    </w:p>
    <w:p>
      <w:pPr>
        <w:pStyle w:val="Point0letter"/>
        <w:numPr>
          <w:ilvl w:val="1"/>
          <w:numId w:val="5"/>
        </w:numPr>
        <w:rPr>
          <w:noProof/>
        </w:rPr>
      </w:pPr>
      <w:r>
        <w:rPr>
          <w:noProof/>
        </w:rPr>
        <w:t xml:space="preserve">tiedot jäsenvaltion direktiivin 2003/87/EY 3 d artiklan 1 tai 2 kohdan mukaisesta ilmailun päästöoikeuksien huutokaupasta saamien kaikkien tulojen jäsenvaltion vahvistamasta käytöstä; nämä tiedot on toimitettava mainitun direktiivin 3 d artiklan 4 kohdan mukaisesti; </w:t>
      </w:r>
    </w:p>
    <w:p>
      <w:pPr>
        <w:rPr>
          <w:noProof/>
        </w:rPr>
      </w:pPr>
      <w:r>
        <w:rPr>
          <w:noProof/>
        </w:rPr>
        <w:t>Huutokauppatulot, joita ei ole käytetty siinä vaiheessa, kun jäsenvaltio toimittaa komissiolle 17 artiklan 2 kohdan b alakohdan mukaisen raportin, on ilmoitettava määrällisinä ja raportoitava seuraavien vuosien raporteissa.</w:t>
      </w:r>
    </w:p>
    <w:p>
      <w:pPr>
        <w:pStyle w:val="Annexetitre"/>
        <w:rPr>
          <w:b w:val="0"/>
          <w:i/>
          <w:noProof/>
          <w:u w:val="none"/>
        </w:rPr>
      </w:pPr>
      <w:r>
        <w:rPr>
          <w:b w:val="0"/>
          <w:i/>
          <w:noProof/>
          <w:u w:val="none"/>
        </w:rPr>
        <w:t>LIITE VII</w:t>
      </w:r>
    </w:p>
    <w:p>
      <w:pPr>
        <w:jc w:val="center"/>
        <w:rPr>
          <w:noProof/>
        </w:rPr>
      </w:pPr>
      <w:r>
        <w:rPr>
          <w:b/>
          <w:noProof/>
        </w:rPr>
        <w:t>LISÄRAPORTOINTIVELVOLLISUUDET</w:t>
      </w:r>
    </w:p>
    <w:p>
      <w:pPr>
        <w:jc w:val="center"/>
        <w:rPr>
          <w:b/>
          <w:noProof/>
        </w:rPr>
      </w:pPr>
      <w:r>
        <w:rPr>
          <w:b/>
          <w:noProof/>
        </w:rPr>
        <w:t>1 osa</w:t>
      </w:r>
    </w:p>
    <w:p>
      <w:pPr>
        <w:jc w:val="center"/>
        <w:rPr>
          <w:i/>
          <w:noProof/>
        </w:rPr>
      </w:pPr>
      <w:r>
        <w:rPr>
          <w:i/>
          <w:noProof/>
        </w:rPr>
        <w:t>Lisäraportointivelvollisuudet uusiutuvan energian alalla</w:t>
      </w:r>
    </w:p>
    <w:p>
      <w:pPr>
        <w:rPr>
          <w:b/>
          <w:noProof/>
          <w:sz w:val="28"/>
          <w:szCs w:val="28"/>
        </w:rPr>
      </w:pPr>
      <w:r>
        <w:rPr>
          <w:noProof/>
        </w:rPr>
        <w:lastRenderedPageBreak/>
        <w:t>Jollei toisin säädetä, 18 artiklan b alakohdan 6 kohdan nojalla on sisällytettävä seuraavat lisätiedot:</w:t>
      </w:r>
    </w:p>
    <w:p>
      <w:pPr>
        <w:pStyle w:val="Point0letter"/>
        <w:numPr>
          <w:ilvl w:val="1"/>
          <w:numId w:val="7"/>
        </w:numPr>
        <w:rPr>
          <w:noProof/>
        </w:rPr>
      </w:pPr>
      <w:r>
        <w:rPr>
          <w:noProof/>
        </w:rPr>
        <w:t>uusiutuvista energialähteistä tuotetun sähkön sekä lämmityksen ja jäähdytyksen alkuperätakuujärjestelmän toiminta, alkuperätakuiden myöntämisen ja peruuttamisen tasot ja niistä johtuva uusiutuvan energian vuotuinen kansallinen kulutus sekä toimenpiteet järjestelmän luotettavuuden varmistamiseksi ja sen suojaamiseksi väärinkäytöksiltä;</w:t>
      </w:r>
    </w:p>
    <w:p>
      <w:pPr>
        <w:pStyle w:val="Point0letter"/>
        <w:rPr>
          <w:noProof/>
        </w:rPr>
      </w:pPr>
      <w:r>
        <w:rPr>
          <w:noProof/>
        </w:rPr>
        <w:t>yhdistetyt tiedot, jotka saadaan direktiivin [uudelleenlaadittu direktiivi 2009/28/EC, sellaisena kuin sitä ehdotetaan asiakirjalla COM(2016) 767,] 25 artiklan 4 kohdassa tarkoitetuista kansallisista tietokannoista ja jotka koskevat biopolttoaineita, direktiivin [uudelleenlaadittu direktiivi 2009/28/EC, sellaisena kuin sitä ehdotetaan asiakirjalla COM(2016) 767,] liitteessä IX luetelluista raaka-aineista tuotettua biokaasua, muuta kuin biologista alkuperää olevia uusiutuvia liikenteen polttoaineita, jäteperäisiä fossiilisia polttoaineita ja polttoaineiden toimittajien markkinoille saattamaa sähköä, mukaan lukien tiedot polttoaineiden tyypistä, energiasisällöstä ja tapauksen mukaan raaka-aineperustasta ja tarvittaessa kasvihuonekaasujen vähennysten toteutuminen; jos kansallisissa tietokannoissa ei ole todellisia arvoja, jäsenvaltiot voivat käyttää direktiivin [uudelleenlaadittu direktiivi 2009/28/EC, sellaisena kuin sitä ehdotetaan asiakirjalla COM(2016) 767] liitteessä V olevassa A ja B osassa esitettyjä tyypillisiä arvoja;</w:t>
      </w:r>
    </w:p>
    <w:p>
      <w:pPr>
        <w:pStyle w:val="Point0letter"/>
        <w:rPr>
          <w:noProof/>
        </w:rPr>
      </w:pPr>
      <w:r>
        <w:rPr>
          <w:noProof/>
        </w:rPr>
        <w:t>energiakäyttöön tarvittavien biomassavarojen saatavuuden, alkuperän ja käytön kehittyminen;</w:t>
      </w:r>
    </w:p>
    <w:p>
      <w:pPr>
        <w:pStyle w:val="Point0letter"/>
        <w:rPr>
          <w:noProof/>
        </w:rPr>
      </w:pPr>
      <w:r>
        <w:rPr>
          <w:noProof/>
        </w:rPr>
        <w:t>biomassan ja muiden uusiutuvista lähteistä peräisin olevien energiamuotojen käytön lisääntymiseen liittyvät muutokset perushyödykkeiden hinnoissa ja maankäytössä jäsenvaltiossa;</w:t>
      </w:r>
    </w:p>
    <w:p>
      <w:pPr>
        <w:pStyle w:val="Point0letter"/>
        <w:rPr>
          <w:noProof/>
        </w:rPr>
      </w:pPr>
      <w:r>
        <w:rPr>
          <w:noProof/>
        </w:rPr>
        <w:t>arvio uusiutuvista lähteistä saatavan energian ylituotannosta, joka voitaisiin siirtää toisille jäsenvaltioille, jotta ne täyttäisivät direktiivin [uudelleenlaadittu direktiivi 2009/28/EC, sellaisena kuin sitä ehdotetaan asiakirjalla COM(2016) 767] 3 artiklan 7 kohdan vaatimukset ja saavuttaisivat saman direktiivin 5 artiklan a alakohdan 2 kohdassa tarkoitetut kansalliset panokset ja kehityskulut;</w:t>
      </w:r>
    </w:p>
    <w:p>
      <w:pPr>
        <w:pStyle w:val="Point0letter"/>
        <w:rPr>
          <w:noProof/>
        </w:rPr>
      </w:pPr>
      <w:r>
        <w:rPr>
          <w:noProof/>
        </w:rPr>
        <w:t>uusiutuvista lähteistä peräisin olevan energian arvioitu kysyntä, joka on määrä tyydyttää muulla kuin kotimaisella tuotannolla vuoteen 2030 asti, mukaan lukien tuotu biomassaraaka-aine;</w:t>
      </w:r>
    </w:p>
    <w:p>
      <w:pPr>
        <w:pStyle w:val="Point0letter"/>
        <w:rPr>
          <w:noProof/>
        </w:rPr>
      </w:pPr>
      <w:r>
        <w:rPr>
          <w:noProof/>
        </w:rPr>
        <w:t>direktiivin [uudelleenlaadittu direktiivi 2009/28/EC, sellaisena kuin sitä ehdotetaan asiakirjalla COM(2016) 767] liitteessä IX luetelluista raaka-aineista valmistettujen biopolttoaineiden kehitys ja osuus, mukaan lukien varojen arviointi, jossa keskitytään elintarvikkeiden ja rehun tuotannon biopolttoaineiden tuotannolla korvaamisen vaikutukseen liittyviin kestävyysnäkökohtiin, ottaen huomioon direktiivissä 2008/98/EY vahvistetun jätehierarkian periaatteet ja biomassaa koskevan porrastetun käytön periaate alueellisten ja paikallisten taloudellisten ja teknisten olosuhteiden mukaisesti, tarvittavien hiilivarantojen säilyttäminen maaperässä sekä maaperän ja ekosysteemien laadun säilyttäminen;</w:t>
      </w:r>
    </w:p>
    <w:p>
      <w:pPr>
        <w:pStyle w:val="Point0letter"/>
        <w:rPr>
          <w:noProof/>
        </w:rPr>
      </w:pPr>
      <w:r>
        <w:rPr>
          <w:noProof/>
        </w:rPr>
        <w:t>biopolttoaineiden, bionesteiden ja biomassapolttoaineiden tuotannon tai käytön arvioitu vaikutus biologiseen monimuotoisuuteen, vesivaroihin, veden ja maaperän laatuun sekä ilman laatuun jäsenvaltiossa;</w:t>
      </w:r>
    </w:p>
    <w:p>
      <w:pPr>
        <w:pStyle w:val="Point0letter"/>
        <w:rPr>
          <w:noProof/>
        </w:rPr>
      </w:pPr>
      <w:r>
        <w:rPr>
          <w:noProof/>
        </w:rPr>
        <w:lastRenderedPageBreak/>
        <w:t>biopolttoaineiden, bionesteiden ja biomassapolttoaineiden alkuperäketjun riskit ja siinä havaitut petostapaukset;</w:t>
      </w:r>
    </w:p>
    <w:p>
      <w:pPr>
        <w:pStyle w:val="Point0letter"/>
        <w:rPr>
          <w:noProof/>
        </w:rPr>
      </w:pPr>
      <w:r>
        <w:rPr>
          <w:noProof/>
        </w:rPr>
        <w:t>tiedot siitä, miten biologisesti hajoavien jätteiden osuus energiantuotantoon käytettävistä jätteistä on arvioitu ja mihin toimenpiteisiin on ryhdytty tällaisten arvioiden parantamiseksi ja tarkistamiseksi;</w:t>
      </w:r>
    </w:p>
    <w:p>
      <w:pPr>
        <w:pStyle w:val="Point0letter"/>
        <w:rPr>
          <w:noProof/>
        </w:rPr>
      </w:pPr>
      <w:r>
        <w:rPr>
          <w:noProof/>
        </w:rPr>
        <w:t>sähkön ja lämmön tuotanto uusiutuvista lähteistä rakennuksissa (määritelty direktiivin 2010/31/EY 2 artiklan 1 kohdassa). Tämän on sisällettävä eritellyt tiedot tuotetusta, kulutetusta ja verkkoon syötetystä energiasta, joka on saatu aurinkosähköjärjestelmistä, aurinkolämpöjärjestelmistä, biomassasta, lämpöpumpuista, maalämpöjärjestelmistä ja muista hajautetuista uusiutuvan energian järjestelmistä;</w:t>
      </w:r>
    </w:p>
    <w:p>
      <w:pPr>
        <w:pStyle w:val="Point0letter"/>
        <w:rPr>
          <w:noProof/>
        </w:rPr>
      </w:pPr>
      <w:r>
        <w:rPr>
          <w:noProof/>
        </w:rPr>
        <w:t>tapauksen mukaan ravintokasveista tuotettujen ja kehittyneiden biopolttoaineiden osuus, uusiutuvan energian osuus kaukolämmityksessä sekä kaupunkien ja direktiivin [uudelleenlaadittu direktiivi 2009/28/EY, sellaisena kuin sitä ehdotetaan asiakirjassa COM(2016) 767] 22 artiklassa määriteltyjen energiayhteisöjen  tuottama uusiutuva energia);</w:t>
      </w:r>
    </w:p>
    <w:p>
      <w:pPr>
        <w:pStyle w:val="Point0letter"/>
        <w:rPr>
          <w:noProof/>
        </w:rPr>
      </w:pPr>
      <w:r>
        <w:rPr>
          <w:noProof/>
        </w:rPr>
        <w:t>Kiinteän biomassan primääritarjonta (1 000 m3, paitsi 1 kohdan b alakohdan iii alakohdassa tarkoitettu tonneina)</w:t>
      </w:r>
    </w:p>
    <w:p>
      <w:pPr>
        <w:pStyle w:val="Point1number"/>
        <w:rPr>
          <w:noProof/>
        </w:rPr>
      </w:pPr>
      <w:r>
        <w:rPr>
          <w:noProof/>
        </w:rPr>
        <w:t xml:space="preserve">Energian tuotantoon käytettävä metsäbiomassa (kotimainen tuotanto, tuonti ja vienti) </w:t>
      </w:r>
    </w:p>
    <w:p>
      <w:pPr>
        <w:pStyle w:val="Point2letter"/>
        <w:rPr>
          <w:noProof/>
        </w:rPr>
      </w:pPr>
      <w:r>
        <w:rPr>
          <w:noProof/>
        </w:rPr>
        <w:t>Metsästä saatava primääribiomassa, joka käytetään suoraan energiantuotantoon</w:t>
      </w:r>
    </w:p>
    <w:p>
      <w:pPr>
        <w:pStyle w:val="Point3"/>
        <w:rPr>
          <w:noProof/>
        </w:rPr>
      </w:pPr>
      <w:r>
        <w:rPr>
          <w:noProof/>
        </w:rPr>
        <w:t>i)</w:t>
      </w:r>
      <w:r>
        <w:rPr>
          <w:noProof/>
        </w:rPr>
        <w:tab/>
        <w:t xml:space="preserve">Oksat ja latvukset (raportointi vapaaehtoista)  </w:t>
      </w:r>
    </w:p>
    <w:p>
      <w:pPr>
        <w:pStyle w:val="Point3"/>
        <w:rPr>
          <w:noProof/>
        </w:rPr>
      </w:pPr>
      <w:r>
        <w:rPr>
          <w:noProof/>
        </w:rPr>
        <w:t>ii)</w:t>
      </w:r>
      <w:r>
        <w:rPr>
          <w:noProof/>
        </w:rPr>
        <w:tab/>
        <w:t>Kannot (raportointi vapaaehtoista)</w:t>
      </w:r>
    </w:p>
    <w:p>
      <w:pPr>
        <w:pStyle w:val="Point3"/>
        <w:rPr>
          <w:noProof/>
        </w:rPr>
      </w:pPr>
      <w:r>
        <w:rPr>
          <w:noProof/>
        </w:rPr>
        <w:t>iii)</w:t>
      </w:r>
      <w:r>
        <w:rPr>
          <w:noProof/>
        </w:rPr>
        <w:tab/>
        <w:t xml:space="preserve">Raakapuu (erikseen teollisuuden raakapuu ja polttopuu) </w:t>
      </w:r>
    </w:p>
    <w:p>
      <w:pPr>
        <w:pStyle w:val="Point2letter"/>
        <w:rPr>
          <w:noProof/>
        </w:rPr>
      </w:pPr>
      <w:r>
        <w:rPr>
          <w:noProof/>
        </w:rPr>
        <w:t xml:space="preserve">Metsäperusteiset teollisuuden sivutuotteet, jotka käytetään suoraan energiaksi </w:t>
      </w:r>
    </w:p>
    <w:p>
      <w:pPr>
        <w:pStyle w:val="Point3"/>
        <w:rPr>
          <w:noProof/>
        </w:rPr>
      </w:pPr>
      <w:r>
        <w:rPr>
          <w:noProof/>
        </w:rPr>
        <w:t>i)</w:t>
      </w:r>
      <w:r>
        <w:rPr>
          <w:noProof/>
        </w:rPr>
        <w:tab/>
        <w:t>Puunkuori (raportointi vapaaehtoista)</w:t>
      </w:r>
    </w:p>
    <w:p>
      <w:pPr>
        <w:pStyle w:val="Point3"/>
        <w:rPr>
          <w:noProof/>
        </w:rPr>
      </w:pPr>
      <w:r>
        <w:rPr>
          <w:noProof/>
        </w:rPr>
        <w:t>ii)</w:t>
      </w:r>
      <w:r>
        <w:rPr>
          <w:noProof/>
        </w:rPr>
        <w:tab/>
        <w:t>Sirut, sahanpuru ja muu puuhake</w:t>
      </w:r>
    </w:p>
    <w:p>
      <w:pPr>
        <w:pStyle w:val="Point3"/>
        <w:rPr>
          <w:noProof/>
        </w:rPr>
      </w:pPr>
      <w:r>
        <w:rPr>
          <w:noProof/>
        </w:rPr>
        <w:t>iii)</w:t>
      </w:r>
      <w:r>
        <w:rPr>
          <w:noProof/>
        </w:rPr>
        <w:tab/>
        <w:t>Mustalipeä ja raaka mäntyöljy</w:t>
      </w:r>
    </w:p>
    <w:p>
      <w:pPr>
        <w:pStyle w:val="Point2letter"/>
        <w:rPr>
          <w:noProof/>
        </w:rPr>
      </w:pPr>
      <w:r>
        <w:rPr>
          <w:noProof/>
        </w:rPr>
        <w:t>Uusiopuu, joka käytetään suoraan energiantuotantoon</w:t>
      </w:r>
    </w:p>
    <w:p>
      <w:pPr>
        <w:pStyle w:val="Point2letter"/>
        <w:rPr>
          <w:noProof/>
        </w:rPr>
      </w:pPr>
      <w:r>
        <w:rPr>
          <w:noProof/>
        </w:rPr>
        <w:t xml:space="preserve">Muusta raaka-aineesta kuin 1 kohdan a, b tai c alakohdan nojalla kirjatuista raaka-aineista tuotettu jalostettu puupolttoaine </w:t>
      </w:r>
    </w:p>
    <w:p>
      <w:pPr>
        <w:pStyle w:val="Point3"/>
        <w:rPr>
          <w:noProof/>
        </w:rPr>
      </w:pPr>
      <w:r>
        <w:rPr>
          <w:noProof/>
        </w:rPr>
        <w:t>i)</w:t>
      </w:r>
      <w:r>
        <w:rPr>
          <w:noProof/>
        </w:rPr>
        <w:tab/>
        <w:t>Puuhiili</w:t>
      </w:r>
    </w:p>
    <w:p>
      <w:pPr>
        <w:pStyle w:val="Point3"/>
        <w:rPr>
          <w:noProof/>
        </w:rPr>
      </w:pPr>
      <w:r>
        <w:rPr>
          <w:noProof/>
        </w:rPr>
        <w:t>ii)</w:t>
      </w:r>
      <w:r>
        <w:rPr>
          <w:noProof/>
        </w:rPr>
        <w:tab/>
        <w:t>Puupelletit ja -briketit</w:t>
      </w:r>
    </w:p>
    <w:p>
      <w:pPr>
        <w:pStyle w:val="Point1number"/>
        <w:rPr>
          <w:noProof/>
        </w:rPr>
      </w:pPr>
      <w:r>
        <w:rPr>
          <w:noProof/>
        </w:rPr>
        <w:t>Energian tuotantoon käytettävä maatalouden biomassa (kotimainen tuotanto, tuonti ja vienti)</w:t>
      </w:r>
    </w:p>
    <w:p>
      <w:pPr>
        <w:pStyle w:val="Point2letter"/>
        <w:rPr>
          <w:noProof/>
        </w:rPr>
      </w:pPr>
      <w:r>
        <w:rPr>
          <w:noProof/>
        </w:rPr>
        <w:t>Energiakasvit sähkön tai lämmön tuotantoon (mukana lukien lyhytkiertoinen energiapuu)</w:t>
      </w:r>
    </w:p>
    <w:p>
      <w:pPr>
        <w:pStyle w:val="Point2letter"/>
        <w:rPr>
          <w:noProof/>
        </w:rPr>
      </w:pPr>
      <w:r>
        <w:rPr>
          <w:noProof/>
        </w:rPr>
        <w:t>Viljelykasvien tähteet sähkön tai lämmön tuotantoon</w:t>
      </w:r>
    </w:p>
    <w:p>
      <w:pPr>
        <w:pStyle w:val="Point1number"/>
        <w:rPr>
          <w:noProof/>
        </w:rPr>
      </w:pPr>
      <w:r>
        <w:rPr>
          <w:noProof/>
        </w:rPr>
        <w:lastRenderedPageBreak/>
        <w:t xml:space="preserve">Orgaanisesta jätteestä saatu biomassa (kotimainen tuotanto, tuonti ja vienti) </w:t>
      </w:r>
    </w:p>
    <w:p>
      <w:pPr>
        <w:pStyle w:val="Point2letter"/>
        <w:rPr>
          <w:noProof/>
        </w:rPr>
      </w:pPr>
      <w:r>
        <w:rPr>
          <w:noProof/>
        </w:rPr>
        <w:t>Teollisuusjätteen orgaaninen osuus</w:t>
      </w:r>
    </w:p>
    <w:p>
      <w:pPr>
        <w:pStyle w:val="Point2letter"/>
        <w:rPr>
          <w:noProof/>
        </w:rPr>
      </w:pPr>
      <w:r>
        <w:rPr>
          <w:noProof/>
        </w:rPr>
        <w:t>Kotitalousjätteen orgaaninen osuus</w:t>
      </w:r>
    </w:p>
    <w:p>
      <w:pPr>
        <w:pStyle w:val="Point2letter"/>
        <w:rPr>
          <w:noProof/>
        </w:rPr>
      </w:pPr>
      <w:r>
        <w:rPr>
          <w:noProof/>
        </w:rPr>
        <w:t>Jätelietteet</w:t>
      </w:r>
    </w:p>
    <w:p>
      <w:pPr>
        <w:pStyle w:val="Point0letter"/>
        <w:rPr>
          <w:noProof/>
        </w:rPr>
      </w:pPr>
      <w:r>
        <w:rPr>
          <w:noProof/>
        </w:rPr>
        <w:t>Kiinteään biomassaan liittyvä energian loppukulutus (energiantuotantoon käytettävä kiinteän biomassan määrä seuraavilla aloilla):</w:t>
      </w:r>
    </w:p>
    <w:p>
      <w:pPr>
        <w:pStyle w:val="Point1number"/>
        <w:numPr>
          <w:ilvl w:val="2"/>
          <w:numId w:val="38"/>
        </w:numPr>
        <w:rPr>
          <w:noProof/>
        </w:rPr>
      </w:pPr>
      <w:r>
        <w:rPr>
          <w:noProof/>
        </w:rPr>
        <w:t>Energiasektori</w:t>
      </w:r>
    </w:p>
    <w:p>
      <w:pPr>
        <w:pStyle w:val="Point2letter"/>
        <w:rPr>
          <w:noProof/>
        </w:rPr>
      </w:pPr>
      <w:r>
        <w:rPr>
          <w:noProof/>
        </w:rPr>
        <w:t>Sähköntuotanto</w:t>
      </w:r>
    </w:p>
    <w:p>
      <w:pPr>
        <w:pStyle w:val="Point2letter"/>
        <w:rPr>
          <w:noProof/>
        </w:rPr>
      </w:pPr>
      <w:r>
        <w:rPr>
          <w:noProof/>
        </w:rPr>
        <w:t>Yhdistetty lämmön- ja sähköntuotanto</w:t>
      </w:r>
    </w:p>
    <w:p>
      <w:pPr>
        <w:pStyle w:val="Point2letter"/>
        <w:rPr>
          <w:noProof/>
        </w:rPr>
      </w:pPr>
      <w:r>
        <w:rPr>
          <w:noProof/>
        </w:rPr>
        <w:t xml:space="preserve">Lämmöntuotanto </w:t>
      </w:r>
    </w:p>
    <w:p>
      <w:pPr>
        <w:pStyle w:val="Point1number"/>
        <w:rPr>
          <w:noProof/>
        </w:rPr>
      </w:pPr>
      <w:r>
        <w:rPr>
          <w:noProof/>
        </w:rPr>
        <w:t>Teollisuusalan sisäinen (kulutettu ja itsetuotettu sähkö, yhdistetty lämpö ja sähkö sekä lämpö)</w:t>
      </w:r>
    </w:p>
    <w:p>
      <w:pPr>
        <w:pStyle w:val="Point1number"/>
        <w:rPr>
          <w:noProof/>
        </w:rPr>
      </w:pPr>
      <w:r>
        <w:rPr>
          <w:noProof/>
        </w:rPr>
        <w:t>Kotitalouksien suora loppukulutus</w:t>
      </w:r>
    </w:p>
    <w:p>
      <w:pPr>
        <w:pStyle w:val="Point1number"/>
        <w:rPr>
          <w:noProof/>
        </w:rPr>
      </w:pPr>
      <w:r>
        <w:rPr>
          <w:noProof/>
        </w:rPr>
        <w:t>Muu</w:t>
      </w:r>
    </w:p>
    <w:p>
      <w:pPr>
        <w:rPr>
          <w:noProof/>
        </w:rPr>
      </w:pPr>
    </w:p>
    <w:p>
      <w:pPr>
        <w:jc w:val="center"/>
        <w:rPr>
          <w:b/>
          <w:noProof/>
          <w:szCs w:val="24"/>
        </w:rPr>
      </w:pPr>
      <w:r>
        <w:rPr>
          <w:b/>
          <w:noProof/>
        </w:rPr>
        <w:t>2 osa</w:t>
      </w:r>
    </w:p>
    <w:p>
      <w:pPr>
        <w:jc w:val="center"/>
        <w:rPr>
          <w:i/>
          <w:noProof/>
          <w:szCs w:val="24"/>
        </w:rPr>
      </w:pPr>
      <w:r>
        <w:rPr>
          <w:i/>
          <w:noProof/>
        </w:rPr>
        <w:t>Lisäraportointivelvollisuudet energiatehokkuuden alalla</w:t>
      </w:r>
    </w:p>
    <w:p>
      <w:pPr>
        <w:rPr>
          <w:b/>
          <w:noProof/>
          <w:szCs w:val="24"/>
        </w:rPr>
      </w:pPr>
      <w:r>
        <w:rPr>
          <w:noProof/>
        </w:rPr>
        <w:t>Energiatehokkuuden alalla 19 artiklan c alakohdan nojalla on sisällytettävä seuraavat lisätiedot:</w:t>
      </w:r>
    </w:p>
    <w:p>
      <w:pPr>
        <w:pStyle w:val="Point0letter"/>
        <w:numPr>
          <w:ilvl w:val="1"/>
          <w:numId w:val="35"/>
        </w:numPr>
        <w:rPr>
          <w:noProof/>
        </w:rPr>
      </w:pPr>
      <w:r>
        <w:rPr>
          <w:noProof/>
        </w:rPr>
        <w:t>vuosina X-2 ja X-1 (X on vuosi, jona raportti on laadittava) toteutetut merkittävimmät lainsäädäntötoimenpiteet ja muut toimenpiteet, rahoitustoimenpiteet ja ohjelmat sellaisten 4 artiklan b alakohdassa säädettyjen tavoitteiden saavuttamiseksi, joilla edistetään energiapalvelumarkkinoita ja parannetaan rakennusten energiatehokkuutta, toimenpiteet kaasu- ja sähköinfrastruktuurin sekä lämmityksen ja jäähdytyksen energiatehokkuuspotentiaalin hyödyntämiseksi sekä tiedotuksen ja pätevyyden parantamiseksi, sekä muut toimenpiteet energiatehokkuuden parantamiseksi;</w:t>
      </w:r>
    </w:p>
    <w:p>
      <w:pPr>
        <w:pStyle w:val="Point0letter"/>
        <w:rPr>
          <w:noProof/>
          <w:szCs w:val="24"/>
        </w:rPr>
      </w:pPr>
      <w:r>
        <w:rPr>
          <w:noProof/>
        </w:rPr>
        <w:t>direktiivin 2012/27/EU [sellaisena kuin se on muutettuna ehdotuksella COM(2016) 761] nojalla toteutetut energiasäästöt vuosina X-3 ja X-2;</w:t>
      </w:r>
    </w:p>
    <w:p>
      <w:pPr>
        <w:pStyle w:val="Point0letter"/>
        <w:rPr>
          <w:noProof/>
          <w:szCs w:val="24"/>
        </w:rPr>
      </w:pPr>
      <w:r>
        <w:rPr>
          <w:noProof/>
        </w:rPr>
        <w:t>kullakin alalla saavutettu edistyminen ja syyt siihen, miksi energiankulutus pysyi vuosina X-3 ja X-2 ennallaan tai kasvoi loppuenergian käyttösektoreilla;</w:t>
      </w:r>
    </w:p>
    <w:p>
      <w:pPr>
        <w:pStyle w:val="Point0letter"/>
        <w:rPr>
          <w:noProof/>
          <w:szCs w:val="24"/>
        </w:rPr>
      </w:pPr>
      <w:r>
        <w:rPr>
          <w:noProof/>
        </w:rPr>
        <w:t>jäsenvaltioiden keskushallinnon omistamien ja käyttämien sellaisten rakennusten kokonaispinta-ala, joiden kokonaishyötypinta-ala on yli 250 m2 ja jotka eivät vuosien X-2 ja X-1 tammikuun 1 päivänä täytä direktiivin 2012/27/EU 5 artiklan 1 kohdassa tarkoitettuja energiatehokkuusvaatimuksia;</w:t>
      </w:r>
    </w:p>
    <w:p>
      <w:pPr>
        <w:pStyle w:val="Point0letter"/>
        <w:rPr>
          <w:noProof/>
          <w:szCs w:val="24"/>
        </w:rPr>
      </w:pPr>
      <w:r>
        <w:rPr>
          <w:noProof/>
        </w:rPr>
        <w:t>direktiivin 2012/27/EU 5 artiklan 1 kohdassa tarkoitettu jäsenvaltioiden keskushallinnon omistamien ja käyttämien lämmitettyjen ja/tai jäähdytettyjen rakennusten kokonaispinta-ala, joka on kunnostettu vuosina X-3 ja X-2, tai direktiivin 2012/27/EU 5 artiklan 6 kohdassa tarkoitettu niiden keskushallinnon omistamien ja käyttämien asianomaisten rakennusten energiansäästöjen määrä;</w:t>
      </w:r>
    </w:p>
    <w:p>
      <w:pPr>
        <w:pStyle w:val="Point0letter"/>
        <w:rPr>
          <w:noProof/>
          <w:szCs w:val="24"/>
        </w:rPr>
      </w:pPr>
      <w:r>
        <w:rPr>
          <w:noProof/>
        </w:rPr>
        <w:lastRenderedPageBreak/>
        <w:t>vuosina X-3 ja X-2 tehtyjen energiakatselmusten lukumäärä. Lisäksi sellaisten jäsenvaltion alueella sijaitsevien suurten yritysten kokonaismäärä, joihin sovelletaan direktiivin 2012/27/EU 8 artiklan 4 kohtaa, sekä niissä vuosina X-3 ja X-2 tehtyjen energiakatselmusten lukumäärä;</w:t>
      </w:r>
    </w:p>
    <w:p>
      <w:pPr>
        <w:pStyle w:val="Point0letter"/>
        <w:rPr>
          <w:noProof/>
          <w:szCs w:val="24"/>
        </w:rPr>
      </w:pPr>
      <w:r>
        <w:rPr>
          <w:noProof/>
        </w:rPr>
        <w:t>sähköön sovellettu kansallinen primäärienergiatekijä;</w:t>
      </w:r>
    </w:p>
    <w:p>
      <w:pPr>
        <w:pStyle w:val="Point0letter"/>
        <w:rPr>
          <w:noProof/>
          <w:szCs w:val="24"/>
        </w:rPr>
      </w:pPr>
      <w:r>
        <w:rPr>
          <w:noProof/>
        </w:rPr>
        <w:t>direktiivin 2010/31/EU 9 artiklassa määriteltyjen uusien ja kunnostettujen lähes nollaenergiarakennusten lukumäärä ja pinta-ala;</w:t>
      </w:r>
    </w:p>
    <w:p>
      <w:pPr>
        <w:pStyle w:val="Point0letter"/>
        <w:rPr>
          <w:noProof/>
        </w:rPr>
      </w:pPr>
      <w:r>
        <w:rPr>
          <w:noProof/>
        </w:rPr>
        <w:t>linkki internetsivulle, jolla direktiivin 2012/27/EU 18 artiklan 1 kohdan c alakohdassa tarkoitettu energiapalvelujen tarjoajien luettelo tai liittymä on saatavilla.</w:t>
      </w:r>
    </w:p>
    <w:p>
      <w:pPr>
        <w:pStyle w:val="Annexetitre"/>
        <w:rPr>
          <w:b w:val="0"/>
          <w:i/>
          <w:noProof/>
          <w:szCs w:val="24"/>
          <w:u w:val="none"/>
        </w:rPr>
      </w:pPr>
      <w:r>
        <w:rPr>
          <w:b w:val="0"/>
          <w:i/>
          <w:noProof/>
          <w:u w:val="none"/>
        </w:rPr>
        <w:t>LIITE VIII</w:t>
      </w:r>
    </w:p>
    <w:p>
      <w:pPr>
        <w:jc w:val="center"/>
        <w:rPr>
          <w:noProof/>
        </w:rPr>
      </w:pPr>
      <w:r>
        <w:rPr>
          <w:b/>
          <w:noProof/>
        </w:rPr>
        <w:t>UNIONIN BIOENERGIAN KÄYTÖN KESTÄVYYTTÄ KOSKEVA RAPORTTI</w:t>
      </w:r>
    </w:p>
    <w:p>
      <w:pPr>
        <w:rPr>
          <w:noProof/>
          <w:szCs w:val="24"/>
        </w:rPr>
      </w:pPr>
      <w:r>
        <w:rPr>
          <w:noProof/>
        </w:rPr>
        <w:t>Biomassasta saatavaa energiaa koskevan EU:n raportin bioenergian käytön kestävyydestä, jonka komissio antaa joka toinen vuosi yhdessä energiaunionin tilaa koskevan katsauksen kanssa 29 artiklan 2 kohdan d alakohdan nojalla, on sisällettävä vähintään seuraavat tiedot:</w:t>
      </w:r>
    </w:p>
    <w:p>
      <w:pPr>
        <w:pStyle w:val="Point0letter"/>
        <w:numPr>
          <w:ilvl w:val="1"/>
          <w:numId w:val="8"/>
        </w:numPr>
        <w:rPr>
          <w:noProof/>
          <w:szCs w:val="24"/>
        </w:rPr>
      </w:pPr>
      <w:r>
        <w:rPr>
          <w:noProof/>
        </w:rPr>
        <w:t>eri biopolttoaineiden, bionesteiden ja biomassapolttoaineiden suhteelliset ympäristöhyödyt ja -kustannukset, unionin tuontipolitiikan vaikutukset niihin, energiansaannin varmuuteen liittyvät näkökohdat sekä tavat saavuttaa tasapaino kotimaisen tuotannon ja tuonnin välillä;</w:t>
      </w:r>
    </w:p>
    <w:p>
      <w:pPr>
        <w:pStyle w:val="Point0letter"/>
        <w:rPr>
          <w:noProof/>
          <w:szCs w:val="24"/>
        </w:rPr>
      </w:pPr>
      <w:r>
        <w:rPr>
          <w:noProof/>
        </w:rPr>
        <w:t>biomassan tuotannon ja käytön vaikutus kestävään kehitykseen unionissa ja kolmansissa maissa ottaen huomioon vaikutukset luonnon monimuotoisuuteen;</w:t>
      </w:r>
    </w:p>
    <w:p>
      <w:pPr>
        <w:pStyle w:val="Point0letter"/>
        <w:rPr>
          <w:noProof/>
          <w:szCs w:val="24"/>
        </w:rPr>
      </w:pPr>
      <w:r>
        <w:rPr>
          <w:noProof/>
        </w:rPr>
        <w:t xml:space="preserve">tiedot ja analyysi nykyisistä ja suunnitelluista kestävän biomassan saatavuudesta ja kysynnästä, mukaan lukien kysynnän lisääntymisen vaikutus biomassaa käyttäviin aloihin; </w:t>
      </w:r>
    </w:p>
    <w:p>
      <w:pPr>
        <w:pStyle w:val="Point0letter"/>
        <w:rPr>
          <w:noProof/>
          <w:szCs w:val="24"/>
        </w:rPr>
      </w:pPr>
      <w:r>
        <w:rPr>
          <w:noProof/>
        </w:rPr>
        <w:t>direktiivin [uudelleenlaadittu direktiivi 2009/28/EC, sellaisena kuin sitä ehdotetaan asiakirjalla COM(2016) 767] liitteessä IX luetelluista raaka-aineista valmistettujen biopolttoaineiden tekninen kehitys, saatavuus ja kestävyys, mukaan lukien arviointi elintarvikkeiden ja rehun tuotannon biopolttoaineiden tuotannolla korvaamisen vaikutuksesta, ottaen huomioon direktiivissä 2008/98/EY vahvistetun jätehierarkian periaatteet ja biomassaa koskevan porrastetun käytön periaate alueellisten ja paikallisten taloudellisten ja teknisten olosuhteiden mukaisesti, tarvittavien hiilivarantojen säilyttäminen maaperässä sekä maaperän ja ekosysteemien laadun säilyttäminen;</w:t>
      </w:r>
    </w:p>
    <w:p>
      <w:pPr>
        <w:pStyle w:val="Point0letter"/>
        <w:rPr>
          <w:noProof/>
          <w:szCs w:val="24"/>
        </w:rPr>
      </w:pPr>
      <w:r>
        <w:rPr>
          <w:noProof/>
        </w:rPr>
        <w:t>tiedot ja analyysi saatavilla olevista tieteellisistä tutkimustuloksista, jotka koskevat epäsuoria maankäytön muutoksia kaikissa tuotantoketjuissa, sekä arvio siitä, voidaanko epäsuorasta maankäytön muutoksesta aiheutuvien arvioitujen päästöjen perustana olevassa analyysissä määriteltyä epävarmuutta vähentää ja voidaanko unionin politiikkojen, kuten ympäristö-, ilmasto- ja maatalouspolitiikkojen, mahdolliset vaikutukset ottaa huomioon; ja</w:t>
      </w:r>
    </w:p>
    <w:p>
      <w:pPr>
        <w:pStyle w:val="Point0letter"/>
        <w:rPr>
          <w:noProof/>
          <w:szCs w:val="24"/>
        </w:rPr>
      </w:pPr>
      <w:r>
        <w:rPr>
          <w:noProof/>
        </w:rPr>
        <w:t xml:space="preserve">tiedot sellaisten kolmansien maiden ja jäsenvaltioiden osalta, jotka tuottavat huomattavan määrän yhteisössä kulutettuja biopolttoaineita, bionesteitä ja biomassapolttoaineita, kansallisista toimenpiteistä, joita on toteutettu direktiivin [uudelleenlaadittu direktiivi 2009/28/EC, sellaisena kuin sitä ehdotetaan asiakirjalla COM(2016) 767] 26 artiklan 2–7 kohdassa säädettyjen kestävyyskriteerien ja </w:t>
      </w:r>
      <w:r>
        <w:rPr>
          <w:noProof/>
        </w:rPr>
        <w:lastRenderedPageBreak/>
        <w:t>kasvihuonekaasujen vähennyksiä koskevien kriteerien noudattamisen sekä maaperän, veden ja ilman suojelun osalta.</w:t>
      </w:r>
    </w:p>
    <w:p>
      <w:pPr>
        <w:rPr>
          <w:noProof/>
          <w:szCs w:val="24"/>
        </w:rPr>
      </w:pPr>
      <w:r>
        <w:rPr>
          <w:noProof/>
        </w:rPr>
        <w:t>Komissio käyttää biomassan käytöstä saatavia kasvihuonekaasupäästövähennyksiä koskevissa kertomuksissaan jäsenvaltioiden liitteessä IX olevan 1 osan b alakohdan mukaisesti ilmoittamia määriä, mukaan lukien direktiivin [uudelleenlaadittu direktiivi 2009/28/EC, sellaisena kuin sitä ehdotetaan asiakirjalla COM(2016) 767] liitteessä VIII tarkoitetut epäsuorasta maankäytön muutoksesta aiheutuvien arvioitujen päästöjen alustavat keskiarvot ja herkkyysanalyysillä määritetty vaihteluväli. Komissio julkistaa tiedot epäsuorasta maankäytön muutoksesta aiheutuvien arvioitujen päästöjen alustavista keskiarvoista ja herkkyysanalyysillä määritetystä vaihteluvälistä. Lisäksi komissio esittää näkemyksensä siitä, muuttuuko suoria päästövähennyksiä koskeva arvio ja miten, jos sivutuotteet otettaisiin huomioon korvausmenetelmän avulla.</w:t>
      </w:r>
    </w:p>
    <w:p>
      <w:pPr>
        <w:pStyle w:val="Annexetitre"/>
        <w:rPr>
          <w:b w:val="0"/>
          <w:i/>
          <w:noProof/>
          <w:szCs w:val="24"/>
          <w:u w:val="none"/>
        </w:rPr>
      </w:pPr>
      <w:r>
        <w:rPr>
          <w:b w:val="0"/>
          <w:i/>
          <w:noProof/>
          <w:u w:val="none"/>
        </w:rPr>
        <w:t>LIITE IX</w:t>
      </w:r>
    </w:p>
    <w:p>
      <w:pPr>
        <w:jc w:val="center"/>
        <w:rPr>
          <w:noProof/>
        </w:rPr>
      </w:pPr>
      <w:r>
        <w:rPr>
          <w:b/>
          <w:noProof/>
        </w:rPr>
        <w:t>VAPAAEHTOISET JÄRJESTELMÄT, JOISTA KOMISSIO ON TEHNYT PÄÄTÖKSEN DIREKTIIVIN [UUDELLEENLAADITTU DIREKTIIVI 2009/28/EY, SELLAISENA KUIN SITÄ EHDOTETAAN ASIAKIRJALLA COM(2016) 767], 27 ARTIKLAN 4 KOHDAN MUKAISESTI</w:t>
      </w:r>
    </w:p>
    <w:p>
      <w:pPr>
        <w:rPr>
          <w:noProof/>
          <w:szCs w:val="24"/>
        </w:rPr>
      </w:pPr>
      <w:r>
        <w:rPr>
          <w:noProof/>
        </w:rPr>
        <w:t>Raportin vapaaehtoisista järjestelmistä, joista komissio on tehnyt päätöksen direktiivin [uudelleenlaadittu direktiivi 2009/28/EY, sellaisena kuin sitä ehdotetaan asiakirjalla COM(2016) 767], 27 artiklan 4 kohdan mukaisesti, jonka komissio antaa joka toinen vuosi yhdessä energiaunionin tilaa koskevan katsauksen kanssa 29 artiklan 2 kohdan e alakohdan nojalla, on sisällettävä vähintään komission arviointi  seuraavista:</w:t>
      </w:r>
    </w:p>
    <w:p>
      <w:pPr>
        <w:pStyle w:val="Point0letter"/>
        <w:numPr>
          <w:ilvl w:val="1"/>
          <w:numId w:val="9"/>
        </w:numPr>
        <w:rPr>
          <w:noProof/>
          <w:szCs w:val="24"/>
        </w:rPr>
      </w:pPr>
      <w:r>
        <w:rPr>
          <w:noProof/>
        </w:rPr>
        <w:t>tarkastusten riippumattomuus, menettely ja tiheys sekä suhteessa siihen, mitä näistä seikoista mainittiin järjestelmää koskevassa aineistossa komission antaman asianomaista järjestelmää koskevan hyväksynnän yhteydessä, että suhteessa toimialan parhaisiin käytäntöihin;</w:t>
      </w:r>
    </w:p>
    <w:p>
      <w:pPr>
        <w:pStyle w:val="Point0letter"/>
        <w:rPr>
          <w:noProof/>
        </w:rPr>
      </w:pPr>
      <w:r>
        <w:rPr>
          <w:noProof/>
        </w:rPr>
        <w:t>vaatimustenvastaisuuksien tunnistamiseen ja käsittelemiseen käytettyjen menetelmien saatavuus, kokemukset niiden käytöstä ja avoimuus, erityisesti vakavien väärinkäytösten tai väitettyjen vakavien väärinkäytösten käsittelemiseksi järjestelmän jäsenten taholla;</w:t>
      </w:r>
    </w:p>
    <w:p>
      <w:pPr>
        <w:pStyle w:val="Point0letter"/>
        <w:rPr>
          <w:noProof/>
        </w:rPr>
      </w:pPr>
      <w:r>
        <w:rPr>
          <w:noProof/>
        </w:rPr>
        <w:t>avoimuus erityisesti järjestelmän käytettävyydessä, raaka-aineiden alkuperämaiden ja -alueiden osalta käytettäville kielille tehtyjen käännösten saatavuus, sertifioidut toimijat ja asiaankuuluvat sertifikaatit sisältävän luettelon sekä tarkastuskertomusten saatavuus;</w:t>
      </w:r>
    </w:p>
    <w:p>
      <w:pPr>
        <w:pStyle w:val="Point0letter"/>
        <w:rPr>
          <w:noProof/>
        </w:rPr>
      </w:pPr>
      <w:r>
        <w:rPr>
          <w:noProof/>
        </w:rPr>
        <w:t>eri sidosryhmien osallistuminen, etenkin alkuperäis- ja paikallisyhteisöjen kuuleminen ennen päätöksentekoa järjestelmän laadinnan ja arvioinnin sekä tarkastusten yhteydessä sekä niiden antamaan palautteeseen vastaaminen;</w:t>
      </w:r>
    </w:p>
    <w:p>
      <w:pPr>
        <w:pStyle w:val="Point0letter"/>
        <w:rPr>
          <w:noProof/>
        </w:rPr>
      </w:pPr>
      <w:r>
        <w:rPr>
          <w:noProof/>
        </w:rPr>
        <w:t>järjestelmän yleinen luotettavuus erityisesti tarkastajien ja asianomaisten järjestelmäelinten akkreditointia, hyväksyntää ja riippumattomuutta koskevien sääntöjen osalta;</w:t>
      </w:r>
    </w:p>
    <w:p>
      <w:pPr>
        <w:pStyle w:val="Point0letter"/>
        <w:rPr>
          <w:noProof/>
        </w:rPr>
      </w:pPr>
      <w:r>
        <w:rPr>
          <w:noProof/>
        </w:rPr>
        <w:t>järjestelmän markkinakartoitukset, sertifioitujen raaka-aineiden ja biopolttoaineiden määrät alkuperämaittain ja tyypeittäin, osallistujien lukumäärä;</w:t>
      </w:r>
    </w:p>
    <w:p>
      <w:pPr>
        <w:pStyle w:val="Point0letter"/>
        <w:rPr>
          <w:noProof/>
        </w:rPr>
      </w:pPr>
      <w:r>
        <w:rPr>
          <w:noProof/>
        </w:rPr>
        <w:t xml:space="preserve">järjestelmän, joka pitää lukua todisteista järjestelmän jäsenelleen tai jäsenilleen vahvistamasta kestävyyskriteerienmukaisuudesta, täytäntöönpanon helppous ja </w:t>
      </w:r>
      <w:r>
        <w:rPr>
          <w:noProof/>
        </w:rPr>
        <w:lastRenderedPageBreak/>
        <w:t>tehokkuus, koska järjestelmällä on tarkoitus torjua petollista toimintaa, erityisesti väärinkäytösepäilyjen ja muiden sääntöjenvastaisuuksien havaitsemiseksi ja käsittelemiseksi sekä niiden edellyttämien jatkotoimien toteuttamiseksi, ja tarvittaessa havaittujen väärinkäytösten ja sääntöjenvastaisuuksien lukumäärä;</w:t>
      </w:r>
    </w:p>
    <w:p>
      <w:pPr>
        <w:pStyle w:val="Point0letter"/>
        <w:rPr>
          <w:noProof/>
        </w:rPr>
      </w:pPr>
      <w:r>
        <w:rPr>
          <w:noProof/>
        </w:rPr>
        <w:t>elinten käytettävissä olevat vaihtoehdot sertifiointielinten tunnustamista ja seurantaa koskevan luvan saamiseksi;</w:t>
      </w:r>
    </w:p>
    <w:p>
      <w:pPr>
        <w:pStyle w:val="Point0letter"/>
        <w:rPr>
          <w:noProof/>
        </w:rPr>
      </w:pPr>
      <w:r>
        <w:rPr>
          <w:noProof/>
        </w:rPr>
        <w:t>sertifiointielinten tunnustamista tai akkreditointia koskevat kriteerit;</w:t>
      </w:r>
    </w:p>
    <w:p>
      <w:pPr>
        <w:pStyle w:val="Point0letter"/>
        <w:rPr>
          <w:noProof/>
        </w:rPr>
      </w:pPr>
      <w:r>
        <w:rPr>
          <w:noProof/>
        </w:rPr>
        <w:t>säännöt, joiden mukaisesti sertifiointielinten seuranta on määrä suorittaa;</w:t>
      </w:r>
    </w:p>
    <w:p>
      <w:pPr>
        <w:pStyle w:val="Point0letter"/>
        <w:rPr>
          <w:noProof/>
        </w:rPr>
      </w:pPr>
      <w:r>
        <w:rPr>
          <w:noProof/>
        </w:rPr>
        <w:t>tavat parhaiden käytäntöjen edistämisen helpottamiseksi tai parantamiseksi.</w:t>
      </w:r>
    </w:p>
    <w:p>
      <w:pPr>
        <w:pStyle w:val="Annexetitre"/>
        <w:rPr>
          <w:b w:val="0"/>
          <w:i/>
          <w:noProof/>
          <w:u w:val="none"/>
        </w:rPr>
      </w:pPr>
      <w:r>
        <w:rPr>
          <w:b w:val="0"/>
          <w:i/>
          <w:noProof/>
          <w:u w:val="none"/>
        </w:rPr>
        <w:t>LIITE X</w:t>
      </w:r>
    </w:p>
    <w:p>
      <w:pPr>
        <w:jc w:val="center"/>
        <w:rPr>
          <w:noProof/>
        </w:rPr>
      </w:pPr>
      <w:r>
        <w:rPr>
          <w:b/>
          <w:noProof/>
        </w:rPr>
        <w:t>KANSALLISET INVENTAARIOJÄRJESTELMÄT</w:t>
      </w:r>
    </w:p>
    <w:p>
      <w:pPr>
        <w:rPr>
          <w:noProof/>
        </w:rPr>
      </w:pPr>
      <w:r>
        <w:rPr>
          <w:noProof/>
        </w:rPr>
        <w:t>30 artiklassa tarkoitettuihin tietoihin sisältyvät seuraavat:</w:t>
      </w:r>
    </w:p>
    <w:p>
      <w:pPr>
        <w:pStyle w:val="Point0letter"/>
        <w:numPr>
          <w:ilvl w:val="1"/>
          <w:numId w:val="10"/>
        </w:numPr>
        <w:rPr>
          <w:noProof/>
        </w:rPr>
      </w:pPr>
      <w:r>
        <w:rPr>
          <w:noProof/>
        </w:rPr>
        <w:t xml:space="preserve">direktiivin 2003/87/EY mukaisesti toiminnoista ja laitoksista raportoidut tiedot ja menetelmät, kun raportoinnin tarkoituksena on laatia kansallisia kasvihuonekaasuinventaarioita jotta voidaan varmistaa raportoitujen kasvihuonekaasupäästöjen johdonmukaisuus unionin päästökauppajärjestelmän mukaisesti ja kansallisissa kasvihuonekaasuinventaarioissa; </w:t>
      </w:r>
    </w:p>
    <w:p>
      <w:pPr>
        <w:pStyle w:val="Point0letter"/>
        <w:rPr>
          <w:noProof/>
        </w:rPr>
      </w:pPr>
      <w:r>
        <w:rPr>
          <w:noProof/>
        </w:rPr>
        <w:t xml:space="preserve">tiedot, jotka on kerätty asetuksen (EY) N:o 517/2014 20 artiklan nojalla perustettujen, eri sektoreilla käytettyjä fluorattuja kaasuja koskevien raportointijärjestelmien avulla kansallisten kasvihuonekaasuinventaarioiden laatimista varten; </w:t>
      </w:r>
    </w:p>
    <w:p>
      <w:pPr>
        <w:pStyle w:val="Point0letter"/>
        <w:rPr>
          <w:noProof/>
        </w:rPr>
      </w:pPr>
      <w:r>
        <w:rPr>
          <w:noProof/>
        </w:rPr>
        <w:t xml:space="preserve">tiedot päästöistä, pohjana olevista tiedoista ja menetelmistä, jotka laitoskokonaisuudet ovat raportoineet asetuksen (EY) N:o 166/2006 mukaisesti kansallisten kasvihuonekaasuinventaarioiden laatimista varten; </w:t>
      </w:r>
    </w:p>
    <w:p>
      <w:pPr>
        <w:pStyle w:val="Point0letter"/>
        <w:rPr>
          <w:noProof/>
        </w:rPr>
      </w:pPr>
      <w:r>
        <w:rPr>
          <w:noProof/>
        </w:rPr>
        <w:t xml:space="preserve">asetuksen (EY) N:o 1099/2008 mukaisesti raportoidut tiedot; </w:t>
      </w:r>
    </w:p>
    <w:p>
      <w:pPr>
        <w:pStyle w:val="Point0letter"/>
        <w:rPr>
          <w:noProof/>
        </w:rPr>
      </w:pPr>
      <w:r>
        <w:rPr>
          <w:noProof/>
        </w:rPr>
        <w:t>tiedot, jotka kerätään unionin ja jäsenvaltioiden nykyisten, maa-alojen maantieteellistä seurantaa koskevien ohjelmien ja kartoitusten yhteydessä tavalla, mukaan lukien LUCAS (maankäytön ja maapeitteen tilastollinen pinta-alatutkimus) ja Euroopan maanseurantaohjelma Copernicus</w:t>
      </w:r>
    </w:p>
    <w:p>
      <w:pPr>
        <w:pStyle w:val="Annexetitre"/>
        <w:rPr>
          <w:b w:val="0"/>
          <w:i/>
          <w:noProof/>
          <w:u w:val="none"/>
        </w:rPr>
      </w:pPr>
      <w:r>
        <w:rPr>
          <w:b w:val="0"/>
          <w:i/>
          <w:noProof/>
          <w:u w:val="none"/>
        </w:rPr>
        <w:t>LIITE XI</w:t>
      </w:r>
    </w:p>
    <w:p>
      <w:pPr>
        <w:jc w:val="center"/>
        <w:rPr>
          <w:noProof/>
        </w:rPr>
      </w:pPr>
      <w:r>
        <w:rPr>
          <w:b/>
          <w:noProof/>
        </w:rPr>
        <w:t>VASTAAVUUSTAULUKKO</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2"/>
        <w:gridCol w:w="7301"/>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Asetus (EU) N:o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Tämä asetus</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 artiklan 1 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4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14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5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30 artiklan 1 kohta; 30 artiklan 2 kohta; 30 artiklan 6 kohta; Liite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lastRenderedPageBreak/>
              <w:t>6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30 artiklan 3 kohta; 30 artiklan 6 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7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23 artiklan 2 kohta; 23 artiklan 3 kohta; 23 artiklan 5 kohta; 23 artiklan 6 kohta; Liite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8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23 artiklan 1 kohdan a alakohta; 23 artiklan 1 kohdan viimeinen alakohta; 23 artiklan 6 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9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30 artiklan 4 kohta; 30 artiklan 5 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10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33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11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12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32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13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16 artiklan 1 kohdan a alakohta; 16 artiklan 3 kohta; 16 artiklan 4 kohta; Liite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14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16 artiklan 1 kohdan b alakohta; 16 artiklan 2 kohta; 16 artiklan 3 kohta; 16 artiklan 4 kohta; Liite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15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17 artiklan 1 kohta; Liitteessä VI oleva 1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16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17 artiklan 2 kohdan a alakohta; Liitteessä VI oleva 2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17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17 artiklan 2 kohdan b alakohta; 17 artiklan 3 kohta; 17 artiklan 4 kohta; Liitteessä VI oleva 3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18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15 artiklan 2 kohdan e alakohta; 15 artiklan 2 kohdan toinen alakohta;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19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20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21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25 artiklan 1 kohdan c alakohta; 25 artiklan 4 kohta; 25 artiklan 7 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22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23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34 artiklan 1 kohdan d alakohta; 34 artiklan 1 kohdan e alakohta; 34 artiklan 1 kohdan f alakohta; 34 artiklan 1 kohdan g alakohta; 34 artiklan 1 kohdan h alakohta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24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35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25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26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37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27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28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50 artikla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29 artikla</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Johdonmukaisuus 14 artiklan mukaisten vähäpäästöisyyttä koskevien pitkän aikavälin strategioiden kanssa. </w:t>
      </w:r>
    </w:p>
  </w:footnote>
  <w:footnote w:id="3">
    <w:p>
      <w:pPr>
        <w:pStyle w:val="FootnoteText"/>
      </w:pPr>
      <w:r>
        <w:rPr>
          <w:rStyle w:val="FootnoteReference"/>
        </w:rPr>
        <w:footnoteRef/>
      </w:r>
      <w:r>
        <w:tab/>
        <w:t>Vuodet 2021–2030 kattava suunnitelma: Päästökauppaan kuulumattomien alojen kasvihuonekaasupäästöjä koskeva jäsenvaltioiden sitova vuoden 2030 kansallinen tavoite ja asetuksen [ ] [ESR] mukaiset vuotuiset sitovat rajat.</w:t>
      </w:r>
    </w:p>
  </w:footnote>
  <w:footnote w:id="4">
    <w:p>
      <w:pPr>
        <w:pStyle w:val="FootnoteText"/>
      </w:pPr>
      <w:r>
        <w:rPr>
          <w:rStyle w:val="FootnoteReference"/>
        </w:rPr>
        <w:footnoteRef/>
      </w:r>
      <w:r>
        <w:tab/>
        <w:t>Asetus [ ] [LULUCF].</w:t>
      </w:r>
    </w:p>
  </w:footnote>
  <w:footnote w:id="5">
    <w:p>
      <w:pPr>
        <w:pStyle w:val="FootnoteText"/>
      </w:pPr>
      <w:r>
        <w:rPr>
          <w:rStyle w:val="FootnoteReference"/>
        </w:rPr>
        <w:footnoteRef/>
      </w:r>
      <w:r>
        <w:tab/>
        <w:t>On varmistettava johdonmukaisuus toimista kaasunsaannin turvaamiseksi ja asetuksen (EU) 994/2010 kumoamisesta annetun asetuksen [sellaisena kuin sitä ehdotetaan asiakirjalla COM(2016) 52] mukaisten ennaltaehkäisy- ja hätäsuunnitelmien sekä sähköalan riskeihin varautumisesta ja direktiivin 2005/89/EY kumoamisesta annetun asetuksen [sellaisena kuin sitä ehdotetaan asiakirjalla COM(2016) 862] mukaisten riskeihin varautumista koskevien suunnitelmien kanssa.</w:t>
      </w:r>
    </w:p>
  </w:footnote>
  <w:footnote w:id="6">
    <w:p>
      <w:pPr>
        <w:pStyle w:val="FootnoteText"/>
      </w:pPr>
      <w:r>
        <w:rPr>
          <w:rStyle w:val="FootnoteReference"/>
        </w:rPr>
        <w:footnoteRef/>
      </w:r>
      <w:r>
        <w:tab/>
        <w:t>Euroopan laajuisten energiainfrastruktuurien suuntaviivoista ja päätöksen N:o 1364/2006/EY kumoamisesta sekä asetusten (EY) N:o 713/2009, (EY) N:o 714/2009 ja (EY) N:o 715/2009 muuttamisesta 17 päivänä huhtikuuta 2013 annetun Euroopan parlamentin ja neuvoston asetuksen (EU) N:o 347/2013 mukaisesti (EUVL L 115, 25.4.2013, s. 39).</w:t>
      </w:r>
    </w:p>
  </w:footnote>
  <w:footnote w:id="7">
    <w:p>
      <w:pPr>
        <w:pStyle w:val="FootnoteText"/>
      </w:pPr>
      <w:r>
        <w:rPr>
          <w:rStyle w:val="FootnoteReference"/>
        </w:rPr>
        <w:footnoteRef/>
      </w:r>
      <w:r>
        <w:tab/>
        <w:t xml:space="preserve">Jäsenvaltioiden on näitä toimenpiteitä suunnitellessaan otettava huomioon nykyisten laitosten käyttöiän päättyminen ja polttoainelähteen vaihtomahdollisuus. </w:t>
      </w:r>
    </w:p>
  </w:footnote>
  <w:footnote w:id="8">
    <w:p>
      <w:pPr>
        <w:pStyle w:val="FootnoteText"/>
      </w:pPr>
      <w:r>
        <w:rPr>
          <w:rStyle w:val="FootnoteReference"/>
        </w:rPr>
        <w:footnoteRef/>
      </w:r>
      <w:r>
        <w:tab/>
        <w:t>Direktiivin 2010/31/EU [, sellaisena kuin se on muutettuna ehdotuksella COM(2016) 765,] 2 a artiklan mukaisesti.</w:t>
      </w:r>
    </w:p>
  </w:footnote>
  <w:footnote w:id="9">
    <w:p>
      <w:pPr>
        <w:pStyle w:val="FootnoteText"/>
      </w:pPr>
      <w:r>
        <w:rPr>
          <w:rStyle w:val="FootnoteReference"/>
        </w:rPr>
        <w:footnoteRef/>
      </w:r>
      <w:r>
        <w:tab/>
        <w:t>Direktiivin 2012/27/EU 18 artiklan mukaisesti.</w:t>
      </w:r>
    </w:p>
  </w:footnote>
  <w:footnote w:id="10">
    <w:p>
      <w:pPr>
        <w:pStyle w:val="FootnoteText"/>
      </w:pPr>
      <w:r>
        <w:rPr>
          <w:rStyle w:val="FootnoteReference"/>
        </w:rPr>
        <w:footnoteRef/>
      </w:r>
      <w:r>
        <w:tab/>
        <w:t>Direktiivin 2012/27/EU 8 artiklan mukaisesti.</w:t>
      </w:r>
    </w:p>
  </w:footnote>
  <w:footnote w:id="11">
    <w:p>
      <w:pPr>
        <w:pStyle w:val="FootnoteText"/>
      </w:pPr>
      <w:r>
        <w:rPr>
          <w:rStyle w:val="FootnoteReference"/>
        </w:rPr>
        <w:footnoteRef/>
      </w:r>
      <w:r>
        <w:tab/>
        <w:t>Direktiivin 2012/27/EU 12 ja 17 artiklan mukaisesti.</w:t>
      </w:r>
    </w:p>
  </w:footnote>
  <w:footnote w:id="12">
    <w:p>
      <w:pPr>
        <w:pStyle w:val="FootnoteText"/>
      </w:pPr>
      <w:r>
        <w:rPr>
          <w:rStyle w:val="FootnoteReference"/>
        </w:rPr>
        <w:footnoteRef/>
      </w:r>
      <w:r>
        <w:tab/>
        <w:t>Direktiivin 2012/27/EU 19 artiklan mukaisesti.</w:t>
      </w:r>
    </w:p>
  </w:footnote>
  <w:footnote w:id="13">
    <w:p>
      <w:pPr>
        <w:pStyle w:val="FootnoteText"/>
      </w:pPr>
      <w:r>
        <w:rPr>
          <w:rStyle w:val="FootnoteReference"/>
        </w:rPr>
        <w:footnoteRef/>
      </w:r>
      <w:r>
        <w:tab/>
        <w:t>Direktiivin 2012/27/EU 15 artiklan 2 kohdan mukaisesti.</w:t>
      </w:r>
    </w:p>
  </w:footnote>
  <w:footnote w:id="14">
    <w:p>
      <w:pPr>
        <w:pStyle w:val="FootnoteText"/>
      </w:pPr>
      <w:r>
        <w:rPr>
          <w:rStyle w:val="FootnoteReference"/>
        </w:rPr>
        <w:footnoteRef/>
      </w:r>
      <w:r>
        <w:tab/>
        <w:t>Politiikoissa ja toimenpiteissä on otettava huomioon energiatehokkuus etusijalle -periaate.</w:t>
      </w:r>
    </w:p>
  </w:footnote>
  <w:footnote w:id="15">
    <w:p>
      <w:pPr>
        <w:pStyle w:val="FootnoteText"/>
      </w:pPr>
      <w:r>
        <w:rPr>
          <w:rStyle w:val="FootnoteReference"/>
        </w:rPr>
        <w:footnoteRef/>
      </w:r>
      <w:r>
        <w:tab/>
        <w:t>On varmistettava johdonmukaisuus toimista kaasunsaannin turvaamiseksi ja asetuksen (EU) 994/2010 kumoamisesta annetun asetuksen [sellaisena kuin sitä ehdotetaan asiakirjalla COM(2016) 52] mukaisten ennaltaehkäisy- ja hätäsuunnitelmien sekä sähköalan riskeihin varautumisesta ja direktiivin 2005/89/EY kumoamisesta annetun asetuksen [sellaisena kuin sitä ehdotetaan asiakirjalla COM(2016) 862] mukaisten riskeihin varautumista koskevien suunnitelmien kanssa.</w:t>
      </w:r>
    </w:p>
  </w:footnote>
  <w:footnote w:id="16">
    <w:p>
      <w:pPr>
        <w:pStyle w:val="FootnoteText"/>
      </w:pPr>
      <w:r>
        <w:rPr>
          <w:rStyle w:val="FootnoteReference"/>
        </w:rPr>
        <w:footnoteRef/>
      </w:r>
      <w:r>
        <w:tab/>
        <w:t>Politiikoissa ja toimenpiteissä on otettava huomioon energiatehokkuus etusijalle -periaate.</w:t>
      </w:r>
    </w:p>
  </w:footnote>
  <w:footnote w:id="17">
    <w:p>
      <w:pPr>
        <w:pStyle w:val="FootnoteText"/>
      </w:pPr>
      <w:r>
        <w:rPr>
          <w:rStyle w:val="FootnoteReference"/>
        </w:rPr>
        <w:footnoteRef/>
      </w:r>
      <w:r>
        <w:tab/>
        <w:t>Muut kuin asetuksella (EU) N:o 347/2013 säädetyt yhteistä etua koskevien hankkeiden alueelliset ryhmät.</w:t>
      </w:r>
    </w:p>
  </w:footnote>
  <w:footnote w:id="18">
    <w:p>
      <w:pPr>
        <w:pStyle w:val="FootnoteText"/>
      </w:pPr>
      <w:r>
        <w:rPr>
          <w:rStyle w:val="FootnoteReference"/>
        </w:rPr>
        <w:footnoteRef/>
      </w:r>
      <w:r>
        <w:tab/>
        <w:t>Muut kuin asetuksella (EU) N:o 347/2013 säädetyt yhteistä etua koskevien hankkeiden alueelliset ryhmät.</w:t>
      </w:r>
    </w:p>
  </w:footnote>
  <w:footnote w:id="19">
    <w:p>
      <w:pPr>
        <w:pStyle w:val="FootnoteText"/>
      </w:pPr>
      <w:r>
        <w:rPr>
          <w:rStyle w:val="FootnoteReference"/>
        </w:rPr>
        <w:footnoteRef/>
      </w:r>
      <w:r>
        <w:tab/>
        <w:t>Direktiivin [uudelleenlaadittu direktiivi 2009/72/EY, sellaisena kuin sitä ehdotetaan asiakirjalla COM(2016) 864 uudelleenlaadittu asetus (EY) No 714/2009, sellaisena kuin sitä ehdotetaan asiakirjalla COM(2016) 861] mukaisesti.</w:t>
      </w:r>
    </w:p>
  </w:footnote>
  <w:footnote w:id="20">
    <w:p>
      <w:pPr>
        <w:pStyle w:val="FootnoteText"/>
      </w:pPr>
      <w:r>
        <w:rPr>
          <w:rStyle w:val="FootnoteReference"/>
        </w:rPr>
        <w:footnoteRef/>
      </w:r>
      <w:r>
        <w:tab/>
        <w:t>Direktiivin 2012/27/EU 15 artiklan 8 kohdan mukaisesti.</w:t>
      </w:r>
    </w:p>
  </w:footnote>
  <w:footnote w:id="21">
    <w:p>
      <w:pPr>
        <w:pStyle w:val="FootnoteText"/>
      </w:pPr>
      <w:r>
        <w:rPr>
          <w:rStyle w:val="FootnoteReference"/>
        </w:rPr>
        <w:footnoteRef/>
      </w:r>
      <w:r>
        <w:tab/>
        <w:t>Ks. 2 osassa yksityiskohtainen luettelo parametreistä ja muuttujista, jotka on raportoitava suunnitelman B jaksossa.</w:t>
      </w:r>
    </w:p>
  </w:footnote>
  <w:footnote w:id="22">
    <w:p>
      <w:pPr>
        <w:pStyle w:val="FootnoteText"/>
      </w:pPr>
      <w:r>
        <w:rPr>
          <w:rStyle w:val="FootnoteReference"/>
        </w:rPr>
        <w:footnoteRef/>
      </w:r>
      <w:r>
        <w:tab/>
        <w:t xml:space="preserve">Nykytilanne tarkoittaa kansallisen suunnitelman jättämispäivän (tai viimeisimmän saatavilla olevan päivämäärän) tilannetta. Nykyisillä politiikoilla ja toimenpiteillä tarkoitetaan täytäntöönpantuja ja hyväksyttyjä politiikkoja ja toimenpiteitä. Hyväksytyillä politiikoilla ja toimenpiteillä tarkoitetaan politiikkoja ja toimenpiteitä, joiden osalta on tehty  kansallisen suunnitelman jättämispäivään mennessä virallinen hallituksen päätös ja täytäntöönpanon jatkamiseen on selkeästi sitouduttu. Täytäntöönpannuilla politiikoilla ja toimenpiteillä tarkoitetaan politiikkoja ja toimenpiteitä, joihin sovelletaan kansallisen suunnitelman jättämispäivänä yhtä tai useampaa seuraavista: kansallinen lainsäädäntö on voimassa, yksi tai useampia vapaaehtoisia sopimuksia on tehty, määrärahoja on myönnetty, henkilöresursseja on otettu käyttöön. </w:t>
      </w:r>
    </w:p>
  </w:footnote>
  <w:footnote w:id="23">
    <w:p>
      <w:pPr>
        <w:pStyle w:val="FootnoteText"/>
      </w:pPr>
      <w:r>
        <w:rPr>
          <w:rStyle w:val="FootnoteReference"/>
        </w:rPr>
        <w:footnoteRef/>
      </w:r>
      <w:r>
        <w:tab/>
        <w:t>Ulkoiset tekijät voidaan valita vuotta 2016 koskevassa EU:n viiteskenaariossa tai muissa myöhemmissä, samoilla muuttujilla laadituissa politiikkaskenaarioissa tehtyjen olettamusten perusteella. Lisäksi EU:n viiteskenaariossa saadut jäsenvaltiokohtaiset tulokset sekä muissa myöhemmissä politiikkaskenaarioissa saadut tulokset voivat olla hyödyllinen tiedonlähde myös silloin kun laaditaan nykyisiin politiikkoihin ja toimenpiteisiin perustuvia kansallisia ennusteita ja vaikutustenarviointeja.</w:t>
      </w:r>
    </w:p>
  </w:footnote>
  <w:footnote w:id="24">
    <w:p>
      <w:pPr>
        <w:pStyle w:val="FootnoteText"/>
      </w:pPr>
      <w:r>
        <w:rPr>
          <w:rStyle w:val="FootnoteReference"/>
        </w:rPr>
        <w:footnoteRef/>
      </w:r>
      <w:r>
        <w:tab/>
        <w:t>Direktiivin 2012/27/EU 14 artiklan 1 kohdan mukaisesti.</w:t>
      </w:r>
    </w:p>
  </w:footnote>
  <w:footnote w:id="25">
    <w:p>
      <w:pPr>
        <w:pStyle w:val="FootnoteText"/>
      </w:pPr>
      <w:r>
        <w:rPr>
          <w:rStyle w:val="FootnoteReference"/>
        </w:rPr>
        <w:footnoteRef/>
      </w:r>
      <w:r>
        <w:tab/>
        <w:t>Tätä nykyiseen kehitykseen perustuvaa vertailuennustetta on käytettävä 2.3 kohdassa kuvatun, vuoden 2030 primääri- ja loppuenergian kulutusta koskevan tavoitteen ja muuntokertoimien osalta.</w:t>
      </w:r>
    </w:p>
  </w:footnote>
  <w:footnote w:id="26">
    <w:p>
      <w:pPr>
        <w:pStyle w:val="FootnoteText"/>
      </w:pPr>
      <w:r>
        <w:rPr>
          <w:rStyle w:val="FootnoteReference"/>
        </w:rPr>
        <w:footnoteRef/>
      </w:r>
      <w:r>
        <w:tab/>
        <w:t>Viitaten siirtoverkonhaltijoiden nykyistä siirtoinfrastruktuuria koskeviin yhteenvetoihin.</w:t>
      </w:r>
    </w:p>
  </w:footnote>
  <w:footnote w:id="27">
    <w:p>
      <w:pPr>
        <w:pStyle w:val="FootnoteText"/>
      </w:pPr>
      <w:r>
        <w:rPr>
          <w:rStyle w:val="FootnoteReference"/>
        </w:rPr>
        <w:footnoteRef/>
      </w:r>
      <w:r>
        <w:tab/>
        <w:t>Viitaten siirtoverkonhaltijoiden kansallisiin verkonkehittämissuunnitelmiin ja alueellisiin investointisuunnitelmiin.</w:t>
      </w:r>
    </w:p>
  </w:footnote>
  <w:footnote w:id="28">
    <w:p>
      <w:pPr>
        <w:pStyle w:val="FootnoteText"/>
      </w:pPr>
      <w:r>
        <w:rPr>
          <w:rStyle w:val="FootnoteReference"/>
        </w:rPr>
        <w:footnoteRef/>
      </w:r>
      <w:r>
        <w:tab/>
        <w:t>Viitaten siirtoverkonhaltijoiden nykyistä siirtoinfrastruktuuria koskeviin yhteenvetoihin.</w:t>
      </w:r>
    </w:p>
  </w:footnote>
  <w:footnote w:id="29">
    <w:p>
      <w:pPr>
        <w:pStyle w:val="FootnoteText"/>
      </w:pPr>
      <w:r>
        <w:rPr>
          <w:rStyle w:val="FootnoteReference"/>
        </w:rPr>
        <w:footnoteRef/>
      </w:r>
      <w:r>
        <w:tab/>
        <w:t>Viitaten siirtoverkonhaltijoiden kansallisiin verkonkehittämissuunnitelmiin ja alueellisiin investointisuunnitelmiin.</w:t>
      </w:r>
    </w:p>
  </w:footnote>
  <w:footnote w:id="30">
    <w:p>
      <w:pPr>
        <w:pStyle w:val="FootnoteText"/>
      </w:pPr>
      <w:r>
        <w:rPr>
          <w:rStyle w:val="FootnoteReference"/>
        </w:rPr>
        <w:footnoteRef/>
      </w:r>
      <w:r>
        <w:tab/>
        <w:t>Suunnitelluilla politiikoilla ja toimenpiteillä tarkoitetaan keskustelun kohteena olevia vaihtoehtoja, joilla on realistinen mahdollisuus tulla hyväksytyiksi ja toteutetuiksi kansallisen suunnitelman jättämispäivän jälkeen. Sen vuoksi 5.1 kohdan i alakohdan mukaisiin ennusteisiin on sisällytettävä myös suunnitellut politiikat ja toimenpiteet eikä vain täytäntöönpantuja politiikkoja ja toimenpiteitä (nykyisiin politiikkoihin ja toimenpiteisiin perustuvat ennusteet).</w:t>
      </w:r>
    </w:p>
  </w:footnote>
  <w:footnote w:id="31">
    <w:p>
      <w:pPr>
        <w:pStyle w:val="FootnoteText"/>
      </w:pPr>
      <w:r>
        <w:rPr>
          <w:rStyle w:val="FootnoteReference"/>
        </w:rPr>
        <w:footnoteRef/>
      </w:r>
      <w:r>
        <w:tab/>
        <w:t>Tiettyjen ilman epäpuhtauksien kansallisten päästöjen vähentämisestä, direktiivin 2003/35/EY muuttamisesta ja direktiivin 2001/81/EY kumoamisesta annettu direktiivi [sellaisena kuin sitä ehdotetaan asiakirjalla COM/2013/0920].</w:t>
      </w:r>
    </w:p>
  </w:footnote>
  <w:footnote w:id="32">
    <w:p>
      <w:pPr>
        <w:pStyle w:val="FootnoteText"/>
      </w:pPr>
      <w:r>
        <w:rPr>
          <w:rStyle w:val="FootnoteReference"/>
        </w:rPr>
        <w:footnoteRef/>
      </w:r>
      <w:r>
        <w:tab/>
        <w:t xml:space="preserve">Vuodet 2021–2030 kattava suunnitelma: Kunkin luettelossa olevan parametrin/muuttujan osalta suuntaukset vuosina 2005–2040 (tapauksen mukaan vuosina 2005–2050), myös vuodelta 2030, on raportoitava sekä 4 että 5 jaksossa. On mainittava parametri, joka perustuu ulkoisiin seikkoihin perustuvien oletusten ja mallista saatavien tietojen välillä tehtävään vertailuun. </w:t>
      </w:r>
    </w:p>
  </w:footnote>
  <w:footnote w:id="33">
    <w:p>
      <w:pPr>
        <w:pStyle w:val="FootnoteText"/>
      </w:pPr>
      <w:r>
        <w:rPr>
          <w:rStyle w:val="FootnoteReference"/>
        </w:rPr>
        <w:footnoteRef/>
      </w:r>
      <w:r>
        <w:tab/>
        <w:t>Raportoitujen tietojen ja ennusteiden olisi mahdollisimman pitkälti perustuttava Eurostatin tietoihin ja menetelmiin, joita käytetään raportoitaessa Euroopan tilastoista asianomaisten alakohtaisten lainsäädäntöjen nojalla, ja oltava johdonmukaiset niiden kanssa, sillä Euroopan tilastot ovat Euroopan tilastoista annetun asetuksen (EY) N:o 223/2009 mukaisessa raportoinnissa ja seurannassa käytettävän tilastotiedon tärkein lähde.</w:t>
      </w:r>
    </w:p>
  </w:footnote>
  <w:footnote w:id="34">
    <w:p>
      <w:pPr>
        <w:pStyle w:val="FootnoteText"/>
      </w:pPr>
      <w:r>
        <w:rPr>
          <w:rStyle w:val="FootnoteReference"/>
        </w:rPr>
        <w:footnoteRef/>
      </w:r>
      <w:r>
        <w:tab/>
        <w:t>Huomautus: Kaikki ennusteet on laadittava kiinteiden hintojen perusteella (perusvuotena pidetään vuoden 2016 hintoja).</w:t>
      </w:r>
    </w:p>
  </w:footnote>
  <w:footnote w:id="35">
    <w:p>
      <w:pPr>
        <w:pStyle w:val="FootnoteText"/>
      </w:pPr>
      <w:r>
        <w:rPr>
          <w:rStyle w:val="FootnoteReference"/>
        </w:rPr>
        <w:footnoteRef/>
      </w:r>
      <w:r>
        <w:tab/>
        <w:t>Komissio antaa tärkeimpiä ennustusparametrejä koskevia suosituksia ainakin öljyn, kaasun ja hiilen tuontihintojen ja EU:n päästökauppajärjestelmän hiilen hintojen osalta.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6: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3"/>
    <w:docVar w:name="DQCStatus" w:val="Green"/>
    <w:docVar w:name="DQCVersion" w:val="3"/>
    <w:docVar w:name="DQCWithWarnings" w:val="0"/>
    <w:docVar w:name="LW_ACCOMPAGNANT" w:val="asiakirjaan"/>
    <w:docVar w:name="LW_ACCOMPAGNANT.CP" w:val="asiakirjaan"/>
    <w:docVar w:name="LW_ANNEX_NBR_FIRST" w:val="1"/>
    <w:docVar w:name="LW_ANNEX_NBR_LAST" w:val="11"/>
    <w:docVar w:name="LW_CONFIDENCE" w:val=" "/>
    <w:docVar w:name="LW_CONST_RESTREINT_UE" w:val="RESTREINT UE"/>
    <w:docVar w:name="LW_CORRIGENDUM" w:val="&lt;UNUSED&gt;"/>
    <w:docVar w:name="LW_COVERPAGE_GUID" w:val="3DDF2DA1C54545259E1E7B83138ACD17"/>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LIITTEET"/>
    <w:docVar w:name="LW_TYPE.DOC.CP" w:val="LIITTEET"/>
    <w:docVar w:name="LW_TYPEACTEPRINCIPAL" w:val="ehdotus EUROOPAN PARLAMENTIN JA NEUVOSTON ASETUKSEKSI_x000b__x000b_energiaunionin hallinnosta,_x000b__x000b_direktiivin 94/22/EY, direktiivin 98/70/EY, direktiivin  2009/31/EY, asetuksen&lt;LWCR:NBS&gt;(EY) N:o 663/663, asetuksen (EY) N:o&lt;LWCR:NBS&gt;715/715, direktiivin 2009/73/EY, neuvoston&lt;LWCR:NBS&gt;direktiivin 2009/119/EY, direktiivin 2010/31/EU, direktiivin 2012/27/EU, direktiivin 2013/30/EU ja neuvoston direktiivin (EU) 2015/652 muuttamisesta sekä asetuksen (EU) N:o 525/2013 kumoamisesta"/>
    <w:docVar w:name="LW_TYPEACTEPRINCIPAL.CP" w:val="ehdotus EUROOPAN PARLAMENTIN JA NEUVOSTON ASETUKSEKSI_x000b__x000b_energiaunionin hallinnosta,_x000b__x000b_direktiivin 94/22/EY, direktiivin 98/70/EY, direktiivin  2009/31/EY, asetuksen (EY) N:o 663/663, asetuksen (EY) N:o 715/715, direktiivin 2009/73/EY, neuvoston direktiivin 2009/119/EY, direktiivin 2010/31/EU, direktiivin 2012/27/EU, direktiivin 2013/30/EU ja neuvoston direktiivin (EU) 2015/652 muuttamisesta sekä asetuksen (EU) N:o 525/2013 kumoamises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fi-FI"/>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fi-FI"/>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2CA8430A-BDBD-4B2F-B209-53936FF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33</Pages>
  <Words>7216</Words>
  <Characters>61343</Characters>
  <Application>Microsoft Office Word</Application>
  <DocSecurity>0</DocSecurity>
  <Lines>1226</Lines>
  <Paragraphs>634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2016-11-29T10:32:00Z</cp:lastPrinted>
  <dcterms:created xsi:type="dcterms:W3CDTF">2016-12-22T09:57:00Z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