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ED8774C37AB4E45B15C21FBD703D753" style="width:451.35pt;height:488.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PŘÍLOHA I</w:t>
      </w:r>
    </w:p>
    <w:p>
      <w:pPr>
        <w:jc w:val="center"/>
        <w:rPr>
          <w:noProof/>
        </w:rPr>
      </w:pPr>
      <w:r>
        <w:rPr>
          <w:b/>
          <w:noProof/>
        </w:rPr>
        <w:t>OBECNÝ RÁMEC PRO INTEGROVANÉ VNITROSTÁTNÍ PLÁNY V OBLASTI ENERGETIKY A KLIMATU</w:t>
      </w:r>
    </w:p>
    <w:p>
      <w:pPr>
        <w:jc w:val="center"/>
        <w:rPr>
          <w:rFonts w:eastAsia="Times New Roman"/>
          <w:b/>
          <w:noProof/>
          <w:color w:val="000000"/>
          <w:szCs w:val="24"/>
        </w:rPr>
      </w:pPr>
      <w:r>
        <w:rPr>
          <w:b/>
          <w:noProof/>
          <w:color w:val="000000"/>
        </w:rPr>
        <w:t>Část 1</w:t>
      </w:r>
    </w:p>
    <w:p>
      <w:pPr>
        <w:jc w:val="center"/>
        <w:rPr>
          <w:i/>
          <w:noProof/>
        </w:rPr>
      </w:pPr>
      <w:r>
        <w:rPr>
          <w:i/>
          <w:noProof/>
          <w:color w:val="000000"/>
        </w:rPr>
        <w:t>Obecný rámec</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ČÁST A: VNITROSTÁTNÍ PLÁN</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PŘEHLED A POSTUP PRO VYPRACOVÁNÍ PLÁNU</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Shrnutí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Politický, hospodářský, environmentální a sociální kontext plánu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Zastřešující strategie pokrývající všech pět dimenzí energetické unie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Přehledová tabulka obsahující hlavní cíle, politiky a opatření plánu</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Přehled současné politické situace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a evropský energetický systém a politický kontext vnitrostátního plánu</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Současné politiky a opatření v oblasti energetiky a klimatu v rámci pěti dimenzí energetické unie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Hlavní otázky přeshraničního významu</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Správní struktura provádění vnitrostátních politik v oblasti energetiky a klimatu</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Konzultace a zapojení vnitrostátních a evropských subjektů a jejich výsledek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Zapojení Parlamentu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Zapojení místních a regionálních subjektů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Konzultace zúčastněných stran, včetně sociálních partnerů, a účast občanské společnosti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Konzultace s ostatními členskými státy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Iterativní proces s Evropskou komisí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Regionální spolupráce na přípravě plánu</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Prvky podléhající společnému nebo koordinovanému plánovaní s ostatními členskými státy</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Vysvětlení pojetí regionální spolupráce v rámci plánu</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VNITROSTÁTNÍ CÍLE</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„Dekarbonizace“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Emise skleníkových plynů a jejich pohlcování (pro plán na období let 2021 až 2030, rámcový cíl pro rok 2030 dosáhnout v rámci národního hospodářství ve srovnání s rokem 1990 alespoň 40% snížení emisí skleníkových plynů)</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Závazný vnitrostátní cíl členského státu do roku 2030 pro skleníkové plyny v </w:t>
            </w:r>
            <w:r>
              <w:rPr>
                <w:rFonts w:ascii="Times New Roman" w:hAnsi="Times New Roman"/>
                <w:noProof/>
              </w:rPr>
              <w:lastRenderedPageBreak/>
              <w:t>odvětvích, jež nespadají do systému obchodování s emisemi, roční závazné vnitrostátní limity</w:t>
            </w:r>
            <w:r>
              <w:rPr>
                <w:rStyle w:val="FootnoteReference"/>
                <w:rFonts w:ascii="Times New Roman" w:hAnsi="Times New Roman"/>
                <w:noProof/>
              </w:rPr>
              <w:footnoteReference w:id="3"/>
            </w:r>
            <w:r>
              <w:rPr>
                <w:rFonts w:ascii="Times New Roman" w:hAnsi="Times New Roman"/>
                <w:noProof/>
              </w:rPr>
              <w:t xml:space="preserve"> a závazky podle nařízení LULUCF</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Případně další vnitrostátní cíle shodné se stávajícími dlouhodobými nízkoemisními strategiemi. Případně další cíle, včetně odvětvových a adaptačních cílů</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Obnovitelná energie (Rámcový cíl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Plánovaný podíl energie z obnovitelných zdrojů na hrubé konečné spotřebě energie členského státu v roce 2030 jako jeho vnitrostátní příspěvek k dosažení závazného cíle EU ve výši nejméně 27 % do roku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Lineární trajektorie celkového podílu obnovitelné energie na hrubé konečné spotřebě energie v období 2021–2030 pro dosažení závazného cíle na úrovni EU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Trajektorie pro odvětvový podíl obnovitelné energie na konečné spotřebě energie v období 2021–2030 v odvětví elektřiny, vytápění a chlazení a dopravy</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Trajektorie podle technologie na výrobu energie z obnovitelných zdrojů, kterou členský stát plánuje použít k dosažení souhrnné a odvětvové trajektorie pro obnovitelnou energii v období 2021–2030, zahrnující očekávanou hrubou konečnou spotřebu energie na technologii a odvětví v Mtoe a celkový plánovaný instalovaný výkon (rozdělený na nový výkon a modernizaci) na technologii a odvětví v MW</w:t>
            </w:r>
          </w:p>
          <w:p>
            <w:pPr>
              <w:pStyle w:val="ListParagraph"/>
              <w:numPr>
                <w:ilvl w:val="3"/>
                <w:numId w:val="1"/>
              </w:numPr>
              <w:spacing w:after="120" w:line="240" w:lineRule="auto"/>
              <w:contextualSpacing w:val="0"/>
              <w:rPr>
                <w:noProof/>
              </w:rPr>
            </w:pPr>
            <w:r>
              <w:rPr>
                <w:rFonts w:ascii="Times New Roman" w:hAnsi="Times New Roman"/>
                <w:noProof/>
              </w:rPr>
              <w:t>Trajektorie k poptávce bioenergie, rozložená na teplo, elektřinu a dopravu, a k dodávce biomasy podle výchozích surovin a rozdílu mezi domácí výrobou a dovozem. V případě lesní biomasy posouzení jejího zdroje a dopadu na propad LULUCF</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Případně další vnitrostátní trajektorie a cíle včetně dlouhodobých a odvětvových (např. podíl pokročilých biopaliv, podíl obnovitelné energie na dálkovém vytápění, použití obnovitelné energie v budovách, obnovitelná energie vyráběná městy, energetickými společenstvími a vlastními spotřebiteli)</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Dimenze „Energetická účinnost“ (Rámcový cíl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Orientační vnitrostátní příspěvek v oblasti energetické účinnosti k dosažení závazného cíle Unie v této oblasti v rozsahu 30 % v roce 2030 podle čl. 1 odst. 1 a čl. 3 odst. 4 směrnice 2012/2016/EU [ve znění návrhu COM(2016) 761], založený na primární či konečné spotřebě energie, primární či konečné úspoře energie nebo na energetické náročnosti; vyjádřený jako absolutní úroveň primární spotřeby energie a konečné spotřeby energie v roce 2020 a 2030, s lineární trajektorií pro daný příspěvek od roku 2021 a dále; zahrnující základní metodiku a použité konverzní faktory</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Kumulativní objem úspor energie, jehož má být dosaženo v období 2021–2030 podle článku 7 směrnice 2012/27/EU [ve znění návrhu COM(2016) 761] pojednávajícím o povinném zvyšování energetické účinnosti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Cíle pro dlouhodobou renovaci vnitrostátního fondu obytných a komerčních </w:t>
            </w:r>
            <w:r>
              <w:rPr>
                <w:rFonts w:ascii="Times New Roman" w:hAnsi="Times New Roman"/>
                <w:noProof/>
              </w:rPr>
              <w:lastRenderedPageBreak/>
              <w:t>budov (jak veřejných, tak soukromých)</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Celková podlahová plocha k renovaci nebo odpovídající roční úspora energie, jichž má být dosaženo v období let 2021 až 2030 podle článku 5 směrnice 2012/27/EU pojednávajícím o renovaci budov veřejných subjektů</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Případně další vnitrostátní cíle, zahrnující dlouhodobé cíle nebo strategie a odvětvové cíle. Vnitrostátní cíle v oblastech jako energetická účinnost v odvětví dopravy a z hlediska vytápění a chlazení</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Dimenze „Bezpečnost dodávek energie“ </w:t>
            </w:r>
          </w:p>
          <w:p>
            <w:pPr>
              <w:pStyle w:val="ListParagraph"/>
              <w:numPr>
                <w:ilvl w:val="3"/>
                <w:numId w:val="1"/>
              </w:numPr>
              <w:rPr>
                <w:rFonts w:ascii="Times New Roman" w:hAnsi="Times New Roman" w:cs="Times New Roman"/>
                <w:noProof/>
              </w:rPr>
            </w:pPr>
            <w:r>
              <w:rPr>
                <w:rFonts w:ascii="Times New Roman" w:hAnsi="Times New Roman"/>
                <w:noProof/>
              </w:rPr>
              <w:t xml:space="preserve">Vnitrostátní cíle z hlediska zvyšování diverzifikace energetických zdrojů a dodávek z třetích zemí, skladování a reakce na straně poptávky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z hlediska snižování závislosti na dovozu energií z třetích zemí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z hlediska připravenosti vypořádat se s omezením nebo přerušením dodávky energetického zdroje (včetně plynu a elektřiny) a popřípadě časový rámec pro dosažení cílů</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z hlediska rozmístění domácích zdrojů energie (zejména obnovitelných zdrojů energie)</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„Vnitřní trh s energií“</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Propojitelnost elektroenergetických soustav (Rámcový cíl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Úroveň propojitelnosti elektroenergetických soustav, které si členský stát přeje dosáhnout v roce 2030 ve vztahu k cíli Evropské rady z října 2014</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Infrastruktura pro přenos energie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Hlavní vnitrostátní cíle pro infrastrukturu sloužící k přenosu elektřiny a přepravě plynu, které jsou nezbytné pro dosažení cílů v rámci všech dimenzí uvedených v bodě 2</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Případně hlavní zamýšlené infrastrukturní projekty jiné než Projekty společného zájmu (PCIs)</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Integrace trhu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související s dalšími aspekty vnitřního trhu s energií, jako např. integrace a propojování trhu, pokud to připadá v úvahu, včetně časového rámce pro dosažení cílů</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z hlediska zajištění přiměřenosti elektrizační soustavy, pokud to připadá v úvahu, jakož i flexibility elektrizační soustavy z hlediska výroby energie z obnovitelných zdrojů, včetně časového rámce pro dosažení cílů</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Vnitrostátní cíle v oblasti ochrany spotřebitelů energie a zlepšení </w:t>
            </w:r>
            <w:r>
              <w:rPr>
                <w:rFonts w:ascii="Times New Roman" w:hAnsi="Times New Roman"/>
                <w:noProof/>
              </w:rPr>
              <w:lastRenderedPageBreak/>
              <w:t>konkurenceschopnosti odvětví maloobchodního prodeje energie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Energetická chudoba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z hlediska energetické chudoby, včetně časového rámce pro jejich dosažení</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Dimenze „Výzkum, inovace a konkurenceschopnost“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cíle a cílové oblasti financování pro veřejný i soukromý výzkum a inovace vztahující se k energetické unii, včetně časového rámce pro dosažení cílů, je-li to vhodné; odrážející priority strategie energetické unie a plánu SET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Případně vnitrostátní cíle zahrnující dlouhodobé cíle (2050) v oblasti zavedení nízkouhlíkových technologií, včetně oblasti dekarbonizace průmyslových odvětví náročných na energii a uhlík a popřípadě také související infrastruktury pro dopravu a skladování uhlíku</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Vnitrostátní cíle z hlediska konkurenceschopnosti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POLITIKY A OPATŘENÍ</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„Dekarbonizace“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Emise skleníkových plynů a jejich pohlcování (pro plán na období let 2021 až 2030, rámcový cíl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pro dosažení cíle stanoveného nařízením [ ] [ESR], jak je uvedeno v bodě 2.1.1, a politiky a opatření pro dodržení nařízení [ ] [LULUCF], pokrývající všechna klíčová odvětví produkující emise a odvětví podporující jejich pohlcování, s přihlédnutím k dlouhodobému cíli stát se nízkouhlíkovým hospodářstvím v horizontu 50 let, a zajišťující rovnováhu mezi emisemi a jejich pohlcováním v souladu s Pařížskou dohodou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Regionální spolupráce v této oblasti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Aniž je v této oblasti na vnitrostátní úrovni dotčena platnost pravidel pro poskytování státní podpory, finančních opatření včetně podpory EU a využití evropských fondů, pokud to připadá v úvahu</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Obnovitelná energie (Rámcový cíl 2030)</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Politiky a opatření k dosažení vnitrostátního příspěvku k závaznému unijnímu cíli pro rok 2030 pro obnovitelnou energii a trajektorie uvedené v bodě 2.1.2, včetně konkrétních odvětvových a technologických opatření</w:t>
            </w:r>
            <w:r>
              <w:rPr>
                <w:rStyle w:val="FootnoteReference"/>
                <w:rFonts w:ascii="Times New Roman" w:hAnsi="Times New Roman"/>
                <w:noProof/>
              </w:rPr>
              <w:footnoteReference w:id="7"/>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Konkrétní opatření pro regionální spolupráci, jakož i odhadovaná přebytečná výroba energie z obnovitelných zdrojů, která by mohla být přesunuta do jiného členského státu za účelem dosažení vnitrostátního příspěvku a trajektorií uvedených v bodě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Konkrétní opatření v otázce finanční podpory, včetně podpory EU a využití evropských fondů, pro účely propagace výroby a užití energie z obnovitelných zdrojů v oblasti elektřiny, vytápění a chlazení a dopravy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Konkrétní opatření pro zavedení jednotného kontaktního místa, zjednodušení administrativních postupů, poskytování informací a školení a posílení </w:t>
            </w:r>
            <w:r>
              <w:rPr>
                <w:rFonts w:ascii="Times New Roman" w:hAnsi="Times New Roman"/>
                <w:noProof/>
              </w:rPr>
              <w:lastRenderedPageBreak/>
              <w:t>spotřebitelů energie z obnovitelných zdrojů a energetických společenství</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Posouzení nutnosti stavět novou infrastrukturu pro dálkové vytápění a chlazení, vyráběné z obnovitelných zdrojů energie</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Konkrétní opatření na podporu využívání energie z biomasy, zejména pro další zvýšení využívání biomasy, zohledňující:</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dostupnost biomasy: domácí potenciál i dovoz z třetích zemí</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jiná použití biomasy dalšími odvětvími (zemědělská a lesnická odvětví); jakož i opatření pro udržitelnost výroby a užití biomasy</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Další prvky této dimenze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Vnitrostátní politiky a opatření postihující odvětví, jež spadají do systému obchodování s emisemi, a posouzení komplementarity a dopadů na evropský systém obchodování s emisemi, pokud to připadá v úvahu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Strategie, plány a opatření v otázce přizpůsobení se změně klimatu</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Politiky a opatření k dosažení jiných vnitrostátních cílů, pokud připadají v úvahu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nízkoemisní mobility (včetně elektrifikace dopravy)</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Dimenze „Energetická účinnost“ (Rámcový cíl 2030)</w:t>
            </w:r>
          </w:p>
          <w:p>
            <w:pPr>
              <w:spacing w:before="0"/>
              <w:rPr>
                <w:noProof/>
                <w:sz w:val="22"/>
              </w:rPr>
            </w:pPr>
            <w:r>
              <w:rPr>
                <w:noProof/>
                <w:sz w:val="22"/>
              </w:rPr>
              <w:t>Plánované politiky, opatření a programy k dosažení orientačního vnitrostátního cíle v oblasti energetické účinnosti pro rok 2030, jakož i další cíle uvedené v bodu 2.2, včetně plánovaných opatření a nástrojů (také finanční povahy) k propagaci energetické náročnosti budov, zejména pokud jde o následující: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Systémy povinného zvyšování energetické účinnosti a náhradní opatření podle článku 7 směrnice 2012/27/EU [ve znění návrhu COM(2016) 761] (bude připraveno v souladu s přílohou II)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Dlouhodobá strategie na renovaci vnitrostátního fondu obytných a komerčních budov (jak veřejných, tak i soukromých),</w:t>
            </w:r>
            <w:r>
              <w:rPr>
                <w:rStyle w:val="FootnoteReference"/>
                <w:rFonts w:ascii="Times New Roman" w:hAnsi="Times New Roman"/>
                <w:noProof/>
              </w:rPr>
              <w:t xml:space="preserve"> </w:t>
            </w:r>
            <w:r>
              <w:rPr>
                <w:rStyle w:val="FootnoteReference"/>
                <w:rFonts w:ascii="Times New Roman" w:hAnsi="Times New Roman"/>
                <w:noProof/>
              </w:rPr>
              <w:footnoteReference w:id="8"/>
            </w:r>
            <w:r>
              <w:rPr>
                <w:rFonts w:ascii="Times New Roman" w:hAnsi="Times New Roman"/>
                <w:noProof/>
              </w:rPr>
              <w:t xml:space="preserve"> včetně politik a opatření na podporu nákladově efektivních rozsáhlých renovací či rozsáhlých renovací prováděných v několika fázích</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Popis politiky a opatření na podporu energetických služeb ve veřejném sektoru a opatření k odstranění právních a jiných překážek, které brání příjímání smluv o energetické náročnosti, a jiné modely služeb energetické účinnosti</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Další plánované politiky, opatření a programy k dosažení orientačního vnitrostátního cíle v oblasti energetické účinnosti pro rok 2030, jakož i další cíle uvedené v bodu 2.2 (např. opatření na podporu příkladné úlohy budov veřejných subjektů a </w:t>
            </w:r>
            <w:r>
              <w:rPr>
                <w:rStyle w:val="Emphasis"/>
                <w:rFonts w:ascii="Times New Roman" w:hAnsi="Times New Roman"/>
                <w:i w:val="0"/>
                <w:noProof/>
              </w:rPr>
              <w:t>energeticky</w:t>
            </w:r>
            <w:r>
              <w:rPr>
                <w:rStyle w:val="st"/>
                <w:rFonts w:ascii="Times New Roman" w:hAnsi="Times New Roman"/>
                <w:noProof/>
              </w:rPr>
              <w:t xml:space="preserve"> </w:t>
            </w:r>
            <w:r>
              <w:rPr>
                <w:rStyle w:val="Emphasis"/>
                <w:rFonts w:ascii="Times New Roman" w:hAnsi="Times New Roman"/>
                <w:i w:val="0"/>
                <w:noProof/>
              </w:rPr>
              <w:t>účinného zadávání veřejných zakázek</w:t>
            </w:r>
            <w:r>
              <w:rPr>
                <w:rFonts w:ascii="Times New Roman" w:hAnsi="Times New Roman"/>
                <w:noProof/>
              </w:rPr>
              <w:t>, opatření na podporu energetických auditů a systémů hospodaření s energií</w:t>
            </w:r>
            <w:r>
              <w:rPr>
                <w:rStyle w:val="FootnoteReference"/>
                <w:rFonts w:ascii="Times New Roman" w:hAnsi="Times New Roman"/>
                <w:noProof/>
              </w:rPr>
              <w:footnoteReference w:id="10"/>
            </w:r>
            <w:r>
              <w:rPr>
                <w:rFonts w:ascii="Times New Roman" w:hAnsi="Times New Roman"/>
                <w:noProof/>
              </w:rPr>
              <w:t>, opatření pro informovanost a vzdělávání spotřebitelů</w:t>
            </w:r>
            <w:r>
              <w:rPr>
                <w:rStyle w:val="FootnoteReference"/>
                <w:rFonts w:ascii="Times New Roman" w:hAnsi="Times New Roman"/>
                <w:noProof/>
              </w:rPr>
              <w:footnoteReference w:id="11"/>
            </w:r>
            <w:r>
              <w:rPr>
                <w:rFonts w:ascii="Times New Roman" w:hAnsi="Times New Roman"/>
                <w:noProof/>
              </w:rPr>
              <w:t xml:space="preserve"> a další opatření na podporu energetické účinnosti</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Popis opatření, jejichž smyslem je vyvíjení kroků k využití potenciálu infrastruktury v oblasti plynu a elektřiny z hlediska energetické účinnosti</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Případná regionální spolupráce v této oblasti</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Finanční opatření včetně podpory EU a využití evropských fondů v dané oblasti na vnitrostátní úrovni</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Dimenze „Bezpečnost dodávek energie“</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cílů stanovených v bodě 2.3</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Regionální spolupráce v této oblasti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Finanční opatření včetně podpory EU a využití evropských fondů v dané oblasti na vnitrostátní úrovni, pokud to připadá v úvahu</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„Vnitřní trh s energií“</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Elektrizační infrastruktura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cílové úrovně propojitelnosti uvedené v bodě 2.4.1</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Regionální spolupráce v této oblasti</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Případná finanční opatření včetně podpory EU a využití evropských fondů v dané oblasti na vnitrostátní úrovni</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Infrastruktura pro přenos energie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klíčových infrastrukturních cílů uvedených v bodě 2.4.2 včetně případných konkrétních opatření, jež zajistí provedení projektů společného zájmu (PCI) a dalších hlavních infrastrukturních projektů</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Regionální spolupráce v této oblasti</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Případná finanční opatření včetně podpory EU a využití evropských fondů v dané oblasti na vnitrostátní úrovni</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Integrace trhu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cílů stanovených v bodě 2.4.3</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Opatření ke zvýšení flexibility energetického systému s ohledem na výrobu energie z obnovitelných zdrojů, včetně zavádění propojování vnitrodenního trhu a přeshraničních vyrovnávacích trhů</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Opatření pro zajištění přednostního přístupu do sítě a odeslání elektřiny vyrobené z obnovitelných zdrojů energie nebo vysoce účinnou kombinovanou </w:t>
            </w:r>
            <w:r>
              <w:rPr>
                <w:rFonts w:ascii="Times New Roman" w:hAnsi="Times New Roman"/>
                <w:noProof/>
              </w:rPr>
              <w:lastRenderedPageBreak/>
              <w:t>výrobou tepla a elektřiny a opatření k zabránění krácení nebo zpětného odeslání této elektřiny</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Politiky a opatření na ochranu spotřebitelů, zejména zranitelných a energeticky chudých spotřebitelů, a k posílení konkurenceschopnosti a soutěživosti maloobchodního trhu s energií</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Popis opatření umožňujících a rozvíjejících reakci na straně poptávky, včetně opatření, jež se dotýkají sazeb na podporu dynamické tvorby cen</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Energetická chudoba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k dosažení cílů stanovených v bodě 2.4.4</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Dimenze „Výzkum, inovace a konkurenceschopnost“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Politiky a opatření včetně těch, které mají vést k dosažení cílů stanovených v bodě 2.5</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Spolupráce s dalšími členskými státy v této oblasti, včetně informací o tom, jak jsou cíle a politiky plánu SET převáděny do vnitrostátního kontextu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Případná finanční opatření včetně podpory EU a využití evropských fondů v dané oblasti na vnitrostátní úrovni</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ODDÍL B: ANALYTICKÝ ZÁKLAD</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SOUČASNÝ STAV A ODHADY SE STÁVAJÍCÍMI POLITIKAMI A OPATŘENÍMI</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Odhadovaný vývoj hlavních vnějších faktorů ovlivňujících vývojové změny energetického systému a emisí skleníkových plynů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Makroekonomické předpovědi (HDP a populační růst)</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Změny v odvětvích, které by měly mít dopad na energetický systém a emise skleníkových plynů</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Globální energetické trendy, mezinárodní ceny fosilního paliva, cena uhlíku v systému obchodování s emisemi</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Vývojové změny nákladů na technologie</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„Dekarbonizace“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Emise skleníkových plynů a jejich pohlcování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Trendy v současných emisích skleníkových plynů a jejich pohlcování v systému obchodování s emisemi, nařízení o společném úsilí a odvětví LULUCF a jednotlivá energetická odvětví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vývojových změn v odvětvích při uplatňování stávajících politik a opatření alespoň do roku 2040 (jakož i pro rok 2030)</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Obnovitelná energie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Současný podíl obnovitelné energie na hrubé konečné spotřebě energie a v jednotlivých odvětvích (vytápění a chlazení, elektřina a doprava), jakož i na technologii v každém z těchto odvětví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vývoje při uplatňování stávajících politik a opatření alespoň do roku 2040 (jakož i pro rok 2030)</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Dimenze „Energetická účinnost“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Současná primární a konečná spotřeba energie v rámci hospodářství a na odvětví (včetně průmyslu, bydlení, služeb a dopravy)</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Současný potenciál pro použití vysoce účinné kombinované výroby tepla a elektřiny a účinného dálkového vytápění a chlazení</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Odhady přihlížející ke stávajícím politikám, opatřením a programům energetické účinnosti popsaným v bodě 1.2. ii) pro primární a konečnou spotřebu energie v každém odvětví alespoň do roku 2040 (jakož i pro rok 2030)</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Nákladově optimální úrovně minimálních požadavků energetické náročnosti vyplývající z vnitrostátních výpočtů, v souladu s článkem 5 směrnice 2010/31/EU</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Dimenze „Bezpečnost dodávek energie“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Současná skladba zdrojů energie, domácí zdroje energie, závislost na dovozu, včetně příslušných rizik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vývoje při uplatňování stávajících politik a opatření alespoň do roku 2040 (jakož i pro rok 2030)</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„Vnitřní trh s energií“</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Propojitelnost elektroenergetických soustav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Současná úroveň propojitelnosti a hlavní propojovací vedení</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požadavků na rozšíření propojovacích vedení alespoň do roku 2040 (jakož i pro rok 2030)</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Infrastruktura pro přenos energie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Klíčové rysy stávající infrastruktury pro přenos elektřiny a přepravu plynu</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požadavků na rozšíření sítí alespoň do roku 2040 (jakož i pro rok 2030)</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Trhy s elektřinou a plynem, ceny energií</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Současný stav trhů s elektřinou a plynem, včetně cen energií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Odhady vývoje při uplatňování stávajících politik a opatření alespoň do roku 2040 (jakož i pro rok 2030)</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Dimenze „Výzkum, inovace a konkurenceschopnost“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Současný stav odvětví nízkouhlíkových technologií a jeho postavení na globálním trhu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Současná úroveň veřejného i soukromého výzkumu a inovací investujících do nízkouhlíkových technologií, současný počet patentů a současný počet badatelů</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Současná úroveň nákladů na energie včetně těch vynaložených v mezinárodním kontextu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vývojových změn v bodech i. až iii. při uplatňování stávajících politik a opatření alespoň do roku 2040 (jakož i pro rok 2030)</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POSOUZENÍ DOPADU PLÁNOVANÝCH POLITIK A OPATŘENÍ</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 xml:space="preserve">Dopady plánovaných politik a opatření popsaných v oddílu 3 o energetickém systému a emisích skleníkových plynů </w:t>
            </w:r>
            <w:r>
              <w:rPr>
                <w:rFonts w:ascii="Times New Roman" w:hAnsi="Times New Roman"/>
                <w:noProof/>
              </w:rPr>
              <w:t>a jejich pohlcování, včetně srovnání s odhady podle stávajících politik a opatření (popsanými v oddílu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Odhady vývoje energetického systému a emisí skleníkových plynů a jejich pohlcování, jakož i emisí látek znečišťujících ovzduší v souladu se směrnicí [navrženou prostřednictvím COM/2013/0920],</w:t>
            </w:r>
            <w:r>
              <w:rPr>
                <w:rStyle w:val="FootnoteReference"/>
                <w:rFonts w:ascii="Times New Roman" w:hAnsi="Times New Roman"/>
                <w:noProof/>
              </w:rPr>
              <w:footnoteReference w:id="31"/>
            </w:r>
            <w:r>
              <w:rPr>
                <w:rFonts w:ascii="Times New Roman" w:hAnsi="Times New Roman"/>
                <w:noProof/>
              </w:rPr>
              <w:t xml:space="preserve"> sestavené v souladu s plánovanými politikami a opatřeními na dobu ještě nejméně deseti let po uplynutí plánem předpokládaného období (včetně posledního roku plánem předpokládaného období), včetně příslušných politik a opatření EU.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Posouzení vzájemného působení jednotlivých politik (stávajících a plánovaných politik a opatření v rámci jednoho politického rozměru a stávajících a plánovaných politik a opatření z různých rozměrů) alespoň do posledního roku plánem předpokládaného období</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Makroekonomické, environmentální, technické a sociální dopady (z hlediska nákladů a přínosů, jakož i nákladové efektivity) plánovaných politik a opatření popsaných v oddílu 3</w:t>
            </w:r>
            <w:r>
              <w:rPr>
                <w:rFonts w:ascii="Times New Roman" w:hAnsi="Times New Roman"/>
                <w:noProof/>
              </w:rPr>
              <w:t xml:space="preserve"> alespoň do posledního roku plánem předpokládaného období, včetně srovnání s odhady podle stávajících politik a opatření </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Dopady plánovaných politik a opatření popsaných v oddílu 3 na jiné členské státy a regionální spolupráci </w:t>
            </w:r>
            <w:r>
              <w:rPr>
                <w:rFonts w:ascii="Times New Roman" w:hAnsi="Times New Roman"/>
                <w:noProof/>
              </w:rPr>
              <w:t xml:space="preserve">alespoň do posledního roku plánem předpokládaného období, včetně srovnání s odhady podle stávajících politik a opatření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Dopady na energetický systém v sousedních a jiných členských zemích v co nejširší oblasti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Dopady na ceny energií, veřejné služby a integraci trhu s energií</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Dopady na regionální spolupráci</w:t>
            </w:r>
          </w:p>
        </w:tc>
      </w:tr>
    </w:tbl>
    <w:p>
      <w:pPr>
        <w:rPr>
          <w:noProof/>
        </w:rPr>
      </w:pPr>
    </w:p>
    <w:p>
      <w:pPr>
        <w:jc w:val="center"/>
        <w:rPr>
          <w:rFonts w:eastAsia="Times New Roman"/>
          <w:b/>
          <w:noProof/>
          <w:color w:val="000000"/>
          <w:szCs w:val="24"/>
        </w:rPr>
      </w:pPr>
      <w:r>
        <w:rPr>
          <w:b/>
          <w:noProof/>
          <w:color w:val="000000"/>
        </w:rPr>
        <w:t>Část 2</w:t>
      </w:r>
    </w:p>
    <w:p>
      <w:pPr>
        <w:jc w:val="center"/>
        <w:rPr>
          <w:rFonts w:eastAsia="Times New Roman"/>
          <w:i/>
          <w:noProof/>
          <w:color w:val="000000"/>
          <w:szCs w:val="24"/>
        </w:rPr>
      </w:pPr>
      <w:r>
        <w:rPr>
          <w:i/>
          <w:noProof/>
          <w:color w:val="000000"/>
        </w:rPr>
        <w:t>Podrobný seznam parametrů a proměnných, které se uvedou v oddílu B vnitrostátních plánů</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lastRenderedPageBreak/>
        <w:t>V oddíle B „Analytický základ“ vnitrostátních plánů budou uvedeny následující parametry, proměnné, energetické bilance a ukazatele:</w:t>
      </w:r>
    </w:p>
    <w:p>
      <w:pPr>
        <w:pStyle w:val="NumPar1"/>
        <w:numPr>
          <w:ilvl w:val="0"/>
          <w:numId w:val="12"/>
        </w:numPr>
        <w:rPr>
          <w:b/>
          <w:noProof/>
        </w:rPr>
      </w:pPr>
      <w:r>
        <w:rPr>
          <w:b/>
          <w:noProof/>
        </w:rPr>
        <w:t>Všeobecné parametry a proměnné</w:t>
      </w:r>
    </w:p>
    <w:p>
      <w:pPr>
        <w:pStyle w:val="Point0"/>
        <w:rPr>
          <w:rFonts w:eastAsia="Times New Roman"/>
          <w:noProof/>
          <w:szCs w:val="24"/>
        </w:rPr>
      </w:pPr>
      <w:r>
        <w:rPr>
          <w:noProof/>
        </w:rPr>
        <w:t>1)</w:t>
      </w:r>
      <w:r>
        <w:rPr>
          <w:noProof/>
        </w:rPr>
        <w:tab/>
        <w:t>obyvatelstvo [v milionech]</w:t>
      </w:r>
    </w:p>
    <w:p>
      <w:pPr>
        <w:pStyle w:val="Point0"/>
        <w:rPr>
          <w:rFonts w:eastAsia="Times New Roman"/>
          <w:noProof/>
          <w:szCs w:val="24"/>
        </w:rPr>
      </w:pPr>
      <w:r>
        <w:rPr>
          <w:noProof/>
        </w:rPr>
        <w:t>2)</w:t>
      </w:r>
      <w:r>
        <w:rPr>
          <w:noProof/>
        </w:rPr>
        <w:tab/>
        <w:t>HDP [v milionech eur]</w:t>
      </w:r>
    </w:p>
    <w:p>
      <w:pPr>
        <w:pStyle w:val="Point0"/>
        <w:rPr>
          <w:rFonts w:eastAsia="Times New Roman"/>
          <w:noProof/>
          <w:szCs w:val="24"/>
        </w:rPr>
      </w:pPr>
      <w:r>
        <w:rPr>
          <w:noProof/>
        </w:rPr>
        <w:t>3)</w:t>
      </w:r>
      <w:r>
        <w:rPr>
          <w:noProof/>
        </w:rPr>
        <w:tab/>
        <w:t>odvětvová hrubá přidaná hodnota (vč. hlavních odvětví průmyslu, stavebnictví, služeb a zemědělství) [v milionech eur]</w:t>
      </w:r>
    </w:p>
    <w:p>
      <w:pPr>
        <w:pStyle w:val="Point0"/>
        <w:rPr>
          <w:rFonts w:eastAsia="Times New Roman"/>
          <w:noProof/>
          <w:szCs w:val="24"/>
        </w:rPr>
      </w:pPr>
      <w:r>
        <w:rPr>
          <w:noProof/>
        </w:rPr>
        <w:t>4)</w:t>
      </w:r>
      <w:r>
        <w:rPr>
          <w:noProof/>
        </w:rPr>
        <w:tab/>
        <w:t>počet domácností [v tisících]</w:t>
      </w:r>
    </w:p>
    <w:p>
      <w:pPr>
        <w:pStyle w:val="Point0"/>
        <w:rPr>
          <w:rFonts w:eastAsia="Times New Roman"/>
          <w:noProof/>
          <w:szCs w:val="24"/>
        </w:rPr>
      </w:pPr>
      <w:r>
        <w:rPr>
          <w:noProof/>
        </w:rPr>
        <w:t>5)</w:t>
      </w:r>
      <w:r>
        <w:rPr>
          <w:noProof/>
        </w:rPr>
        <w:tab/>
        <w:t>velikost domácnosti [v počtu obyvatel na domácnost]</w:t>
      </w:r>
    </w:p>
    <w:p>
      <w:pPr>
        <w:pStyle w:val="Point0"/>
        <w:rPr>
          <w:rFonts w:eastAsia="Times New Roman"/>
          <w:noProof/>
          <w:szCs w:val="24"/>
        </w:rPr>
      </w:pPr>
      <w:r>
        <w:rPr>
          <w:noProof/>
        </w:rPr>
        <w:t>6)</w:t>
      </w:r>
      <w:r>
        <w:rPr>
          <w:noProof/>
        </w:rPr>
        <w:tab/>
        <w:t>disponibilní příjem domácností [v eurech]</w:t>
      </w:r>
    </w:p>
    <w:p>
      <w:pPr>
        <w:pStyle w:val="Point0"/>
        <w:rPr>
          <w:noProof/>
        </w:rPr>
      </w:pPr>
      <w:r>
        <w:rPr>
          <w:noProof/>
        </w:rPr>
        <w:t>7)</w:t>
      </w:r>
      <w:r>
        <w:rPr>
          <w:noProof/>
        </w:rPr>
        <w:tab/>
        <w:t>počet osobokilometrů: všechny druhy dopravy, např. rozdělení na silniční (pokud možno auta a autobusy zvlášť), železniční, leteckou a tuzemskou lodní dopravu (v relevantních případech) [v milionech osbkm]</w:t>
      </w:r>
    </w:p>
    <w:p>
      <w:pPr>
        <w:pStyle w:val="Point0"/>
        <w:rPr>
          <w:rFonts w:eastAsia="Times New Roman"/>
          <w:noProof/>
          <w:szCs w:val="24"/>
        </w:rPr>
      </w:pPr>
      <w:r>
        <w:rPr>
          <w:noProof/>
        </w:rPr>
        <w:t>8)</w:t>
      </w:r>
      <w:r>
        <w:rPr>
          <w:noProof/>
        </w:rPr>
        <w:tab/>
        <w:t>tunokilometry nákladní dopravy: všechny druhy dopravy kromě mezinárodní námořní dopravy, např. rozdělení na silniční, železniční, leteckou, tuzemskou lodní (vnitrozemskou vodní a vnitrostátní námořní) dopravu [v milionech tkm]</w:t>
      </w:r>
    </w:p>
    <w:p>
      <w:pPr>
        <w:pStyle w:val="Point0"/>
        <w:rPr>
          <w:rFonts w:eastAsia="Times New Roman"/>
          <w:noProof/>
          <w:szCs w:val="24"/>
        </w:rPr>
      </w:pPr>
      <w:r>
        <w:rPr>
          <w:noProof/>
        </w:rPr>
        <w:t>9)</w:t>
      </w:r>
      <w:r>
        <w:rPr>
          <w:noProof/>
        </w:rPr>
        <w:tab/>
        <w:t>mezinárodní dovozní ceny ropy, plynu a uhlí [v eurech na GJ nebo v eurech na toe] - v souladu s doporučeními Komise</w:t>
      </w:r>
    </w:p>
    <w:p>
      <w:pPr>
        <w:pStyle w:val="Point0"/>
        <w:rPr>
          <w:rFonts w:eastAsia="Times New Roman"/>
          <w:noProof/>
          <w:szCs w:val="24"/>
        </w:rPr>
      </w:pPr>
      <w:r>
        <w:rPr>
          <w:noProof/>
        </w:rPr>
        <w:t>10)</w:t>
      </w:r>
      <w:r>
        <w:rPr>
          <w:noProof/>
        </w:rPr>
        <w:tab/>
        <w:t>cena uhlíku v evropském systému obchodování s emisemi [v eurech na EUA]</w:t>
      </w:r>
      <w:r>
        <w:rPr>
          <w:rStyle w:val="FootnoteReference"/>
          <w:noProof/>
        </w:rPr>
        <w:t xml:space="preserve"> </w:t>
      </w:r>
      <w:r>
        <w:rPr>
          <w:noProof/>
        </w:rPr>
        <w:t>- v souladu s doporučeními Komise</w:t>
      </w:r>
    </w:p>
    <w:p>
      <w:pPr>
        <w:pStyle w:val="Point0"/>
        <w:rPr>
          <w:rFonts w:eastAsia="Times New Roman"/>
          <w:noProof/>
          <w:szCs w:val="24"/>
        </w:rPr>
      </w:pPr>
      <w:r>
        <w:rPr>
          <w:noProof/>
        </w:rPr>
        <w:t>11)</w:t>
      </w:r>
      <w:r>
        <w:rPr>
          <w:noProof/>
        </w:rPr>
        <w:tab/>
        <w:t>předpoklady směnných kurzů eura a amerického dolaru (připadá-li v úvahu) [v eurech na měnu a v USD na měnu]</w:t>
      </w:r>
    </w:p>
    <w:p>
      <w:pPr>
        <w:pStyle w:val="Point0"/>
        <w:rPr>
          <w:rFonts w:eastAsia="Times New Roman"/>
          <w:noProof/>
          <w:szCs w:val="24"/>
        </w:rPr>
      </w:pPr>
      <w:r>
        <w:rPr>
          <w:noProof/>
        </w:rPr>
        <w:t>12)</w:t>
      </w:r>
      <w:r>
        <w:rPr>
          <w:noProof/>
        </w:rPr>
        <w:tab/>
        <w:t>počet vytápěcích denostupňů (HDD)</w:t>
      </w:r>
    </w:p>
    <w:p>
      <w:pPr>
        <w:pStyle w:val="Point0"/>
        <w:rPr>
          <w:rFonts w:eastAsia="Times New Roman"/>
          <w:noProof/>
          <w:szCs w:val="24"/>
        </w:rPr>
      </w:pPr>
      <w:r>
        <w:rPr>
          <w:noProof/>
        </w:rPr>
        <w:t>13)</w:t>
      </w:r>
      <w:r>
        <w:rPr>
          <w:noProof/>
        </w:rPr>
        <w:tab/>
        <w:t>počet chladicích denostupňů (CDD)</w:t>
      </w:r>
    </w:p>
    <w:p>
      <w:pPr>
        <w:pStyle w:val="Point0"/>
        <w:rPr>
          <w:rFonts w:eastAsia="Times New Roman"/>
          <w:noProof/>
          <w:szCs w:val="24"/>
        </w:rPr>
      </w:pPr>
      <w:r>
        <w:rPr>
          <w:noProof/>
        </w:rPr>
        <w:t>14)</w:t>
      </w:r>
      <w:r>
        <w:rPr>
          <w:noProof/>
        </w:rPr>
        <w:tab/>
        <w:t>předpoklady technologických nákladů použité při modelování u hlavních příslušných technologií</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Energetické bilance a ukazatele</w:t>
      </w:r>
    </w:p>
    <w:p>
      <w:pPr>
        <w:pStyle w:val="NumPar2"/>
        <w:rPr>
          <w:rFonts w:eastAsia="Times New Roman"/>
          <w:b/>
          <w:noProof/>
          <w:szCs w:val="24"/>
        </w:rPr>
      </w:pPr>
      <w:r>
        <w:rPr>
          <w:b/>
          <w:noProof/>
        </w:rPr>
        <w:t>Dodávky energie</w:t>
      </w:r>
    </w:p>
    <w:p>
      <w:pPr>
        <w:pStyle w:val="Point0"/>
        <w:rPr>
          <w:rFonts w:eastAsia="Times New Roman"/>
          <w:noProof/>
          <w:szCs w:val="24"/>
        </w:rPr>
      </w:pPr>
      <w:r>
        <w:rPr>
          <w:noProof/>
        </w:rPr>
        <w:t>1)</w:t>
      </w:r>
      <w:r>
        <w:rPr>
          <w:noProof/>
        </w:rPr>
        <w:tab/>
        <w:t>domácí výroba podle typu paliva (všechny energetické produkty: jaderná energie, obnovitelné zdroje energie, surová ropa, uhlí, zemní plyn) [v ktoe]</w:t>
      </w:r>
    </w:p>
    <w:p>
      <w:pPr>
        <w:pStyle w:val="Point0"/>
        <w:rPr>
          <w:rFonts w:eastAsia="Times New Roman"/>
          <w:noProof/>
          <w:szCs w:val="24"/>
        </w:rPr>
      </w:pPr>
      <w:r>
        <w:rPr>
          <w:noProof/>
        </w:rPr>
        <w:t>2)</w:t>
      </w:r>
      <w:r>
        <w:rPr>
          <w:noProof/>
        </w:rPr>
        <w:tab/>
        <w:t xml:space="preserve">čistý dovoz podle typu paliva (včetně elektřiny a rozdělený na vnitroevropský a mimoevropský čistý dovoz) [v ktoe] </w:t>
      </w:r>
    </w:p>
    <w:p>
      <w:pPr>
        <w:pStyle w:val="Point0"/>
        <w:rPr>
          <w:rFonts w:eastAsia="Times New Roman"/>
          <w:noProof/>
          <w:szCs w:val="24"/>
        </w:rPr>
      </w:pPr>
      <w:r>
        <w:rPr>
          <w:noProof/>
        </w:rPr>
        <w:t>3)</w:t>
      </w:r>
      <w:r>
        <w:rPr>
          <w:noProof/>
        </w:rPr>
        <w:tab/>
        <w:t>závislost na dovozu z třetích zemí [v %]</w:t>
      </w:r>
    </w:p>
    <w:p>
      <w:pPr>
        <w:pStyle w:val="Point0"/>
        <w:rPr>
          <w:rFonts w:eastAsia="Times New Roman"/>
          <w:noProof/>
          <w:szCs w:val="24"/>
        </w:rPr>
      </w:pPr>
      <w:r>
        <w:rPr>
          <w:noProof/>
        </w:rPr>
        <w:t>4)</w:t>
      </w:r>
      <w:r>
        <w:rPr>
          <w:noProof/>
        </w:rPr>
        <w:tab/>
        <w:t>hlavní zdroje dovozu (země) pro hlavní nositele energie (včetně plynu a elektřiny)</w:t>
      </w:r>
    </w:p>
    <w:p>
      <w:pPr>
        <w:pStyle w:val="Point0"/>
        <w:rPr>
          <w:rFonts w:eastAsia="Times New Roman"/>
          <w:noProof/>
          <w:szCs w:val="24"/>
        </w:rPr>
      </w:pPr>
      <w:r>
        <w:rPr>
          <w:noProof/>
        </w:rPr>
        <w:lastRenderedPageBreak/>
        <w:t>5)</w:t>
      </w:r>
      <w:r>
        <w:rPr>
          <w:noProof/>
        </w:rPr>
        <w:tab/>
        <w:t>hrubá domácí spotřeba podle zdroje typu paliva (vč. tuhých látek, všechny energetické produkty: druhotné teplo, elektřina, jaderná energie, obnovitelné zdroje energie, odpad, surová ropa a ropné produkty, uhlí, zemní plyn) [v ktoe]</w:t>
      </w:r>
    </w:p>
    <w:p>
      <w:pPr>
        <w:pStyle w:val="NumPar2"/>
        <w:rPr>
          <w:rFonts w:eastAsia="Times New Roman"/>
          <w:b/>
          <w:noProof/>
          <w:szCs w:val="24"/>
        </w:rPr>
      </w:pPr>
      <w:r>
        <w:rPr>
          <w:b/>
          <w:noProof/>
        </w:rPr>
        <w:t>Elektřina a teplo</w:t>
      </w:r>
    </w:p>
    <w:p>
      <w:pPr>
        <w:pStyle w:val="Point0"/>
        <w:rPr>
          <w:rFonts w:eastAsia="Times New Roman"/>
          <w:noProof/>
          <w:szCs w:val="24"/>
        </w:rPr>
      </w:pPr>
      <w:r>
        <w:rPr>
          <w:noProof/>
        </w:rPr>
        <w:t>1)</w:t>
      </w:r>
      <w:r>
        <w:rPr>
          <w:noProof/>
        </w:rPr>
        <w:tab/>
        <w:t>hrubá výroba elektřiny [v GWhe]</w:t>
      </w:r>
    </w:p>
    <w:p>
      <w:pPr>
        <w:pStyle w:val="Point0"/>
        <w:rPr>
          <w:rFonts w:eastAsia="Times New Roman"/>
          <w:noProof/>
          <w:szCs w:val="24"/>
        </w:rPr>
      </w:pPr>
      <w:r>
        <w:rPr>
          <w:noProof/>
        </w:rPr>
        <w:t>2)</w:t>
      </w:r>
      <w:r>
        <w:rPr>
          <w:noProof/>
        </w:rPr>
        <w:tab/>
        <w:t>hrubá výroba elektřiny podle paliva (všechny energetické produkty) [v GWhe]</w:t>
      </w:r>
    </w:p>
    <w:p>
      <w:pPr>
        <w:pStyle w:val="Point0"/>
        <w:rPr>
          <w:rFonts w:eastAsia="Times New Roman"/>
          <w:noProof/>
          <w:szCs w:val="24"/>
        </w:rPr>
      </w:pPr>
      <w:r>
        <w:rPr>
          <w:noProof/>
        </w:rPr>
        <w:t>3)</w:t>
      </w:r>
      <w:r>
        <w:rPr>
          <w:noProof/>
        </w:rPr>
        <w:tab/>
        <w:t xml:space="preserve">podíl kombinované výroby tepla a elektřiny na celkové výrobě elektřiny a tepla [v procentech] </w:t>
      </w:r>
    </w:p>
    <w:p>
      <w:pPr>
        <w:pStyle w:val="Point0"/>
        <w:rPr>
          <w:rFonts w:eastAsia="Times New Roman"/>
          <w:noProof/>
          <w:szCs w:val="24"/>
        </w:rPr>
      </w:pPr>
      <w:r>
        <w:rPr>
          <w:noProof/>
        </w:rPr>
        <w:t>4)</w:t>
      </w:r>
      <w:r>
        <w:rPr>
          <w:noProof/>
        </w:rPr>
        <w:tab/>
        <w:t>kapacita výroby elektřiny podle zdroje, včetně vyřazení a nových investic [v MW]</w:t>
      </w:r>
    </w:p>
    <w:p>
      <w:pPr>
        <w:pStyle w:val="Point0"/>
        <w:rPr>
          <w:rFonts w:eastAsia="Times New Roman"/>
          <w:noProof/>
          <w:szCs w:val="24"/>
        </w:rPr>
      </w:pPr>
      <w:r>
        <w:rPr>
          <w:noProof/>
        </w:rPr>
        <w:t>5)</w:t>
      </w:r>
      <w:r>
        <w:rPr>
          <w:noProof/>
        </w:rPr>
        <w:tab/>
        <w:t>výroba tepla z tepelných elektráren</w:t>
      </w:r>
    </w:p>
    <w:p>
      <w:pPr>
        <w:pStyle w:val="Point0"/>
        <w:rPr>
          <w:rFonts w:eastAsia="Times New Roman"/>
          <w:noProof/>
          <w:szCs w:val="24"/>
        </w:rPr>
      </w:pPr>
      <w:r>
        <w:rPr>
          <w:noProof/>
        </w:rPr>
        <w:t>6)</w:t>
      </w:r>
      <w:r>
        <w:rPr>
          <w:noProof/>
        </w:rPr>
        <w:tab/>
        <w:t>výroba tepla z kombinované výroby vč. odpadního tepla z průmyslových procesů</w:t>
      </w:r>
    </w:p>
    <w:p>
      <w:pPr>
        <w:pStyle w:val="Point0"/>
        <w:rPr>
          <w:rFonts w:eastAsia="Times New Roman"/>
          <w:noProof/>
          <w:szCs w:val="24"/>
        </w:rPr>
      </w:pPr>
      <w:r>
        <w:rPr>
          <w:noProof/>
        </w:rPr>
        <w:t>7)</w:t>
      </w:r>
      <w:r>
        <w:rPr>
          <w:noProof/>
        </w:rPr>
        <w:tab/>
        <w:t>přeshraniční možnosti propojení pro plyn a elektřinu [Definice pro elektřinu v souladu s výstupem probíhajících jednání v základu 15% cílového propojení] a jejich odhadované míry spotřeby</w:t>
      </w:r>
    </w:p>
    <w:p>
      <w:pPr>
        <w:pStyle w:val="NumPar2"/>
        <w:rPr>
          <w:rFonts w:eastAsia="Times New Roman"/>
          <w:b/>
          <w:noProof/>
          <w:szCs w:val="24"/>
        </w:rPr>
      </w:pPr>
      <w:r>
        <w:rPr>
          <w:b/>
          <w:noProof/>
        </w:rPr>
        <w:t>Transformační sektor</w:t>
      </w:r>
    </w:p>
    <w:p>
      <w:pPr>
        <w:pStyle w:val="Point0"/>
        <w:rPr>
          <w:noProof/>
        </w:rPr>
      </w:pPr>
      <w:r>
        <w:rPr>
          <w:noProof/>
        </w:rPr>
        <w:t>1)</w:t>
      </w:r>
      <w:r>
        <w:rPr>
          <w:noProof/>
        </w:rPr>
        <w:tab/>
        <w:t xml:space="preserve">spotřeba paliva při výrobě v tepelných elektrárnách (vč. pevných látek, ropy, plynu) [v ktoe] </w:t>
      </w:r>
    </w:p>
    <w:p>
      <w:pPr>
        <w:pStyle w:val="Point0"/>
        <w:rPr>
          <w:noProof/>
        </w:rPr>
      </w:pPr>
      <w:r>
        <w:rPr>
          <w:noProof/>
        </w:rPr>
        <w:t>2)</w:t>
      </w:r>
      <w:r>
        <w:rPr>
          <w:noProof/>
        </w:rPr>
        <w:tab/>
        <w:t>spotřeba paliva u dalších transformačních procesů [v ktoe]</w:t>
      </w:r>
    </w:p>
    <w:p>
      <w:pPr>
        <w:pStyle w:val="NumPar2"/>
        <w:rPr>
          <w:rFonts w:eastAsia="Times New Roman"/>
          <w:b/>
          <w:noProof/>
          <w:szCs w:val="24"/>
        </w:rPr>
      </w:pPr>
      <w:r>
        <w:rPr>
          <w:b/>
          <w:noProof/>
        </w:rPr>
        <w:t>Spotřeba energie</w:t>
      </w:r>
    </w:p>
    <w:p>
      <w:pPr>
        <w:pStyle w:val="Point0"/>
        <w:rPr>
          <w:rFonts w:eastAsia="Times New Roman"/>
          <w:noProof/>
          <w:szCs w:val="24"/>
        </w:rPr>
      </w:pPr>
      <w:r>
        <w:rPr>
          <w:noProof/>
        </w:rPr>
        <w:t>1)</w:t>
      </w:r>
      <w:r>
        <w:rPr>
          <w:noProof/>
        </w:rPr>
        <w:tab/>
        <w:t>primární a konečná spotřeba energie [v ktoe]</w:t>
      </w:r>
    </w:p>
    <w:p>
      <w:pPr>
        <w:pStyle w:val="Point0"/>
        <w:rPr>
          <w:rFonts w:eastAsia="Times New Roman"/>
          <w:noProof/>
          <w:szCs w:val="24"/>
        </w:rPr>
      </w:pPr>
      <w:r>
        <w:rPr>
          <w:noProof/>
        </w:rPr>
        <w:t>2)</w:t>
      </w:r>
      <w:r>
        <w:rPr>
          <w:noProof/>
        </w:rPr>
        <w:tab/>
        <w:t xml:space="preserve">konečná spotřeba energie podle odvětví (vč. průmyslu, dopravy (pokud možno rozdělené na osobní a nákladní), domácností, služeb, zemědělství) [v ktoe] </w:t>
      </w:r>
    </w:p>
    <w:p>
      <w:pPr>
        <w:pStyle w:val="Point0"/>
        <w:rPr>
          <w:rFonts w:eastAsia="Times New Roman"/>
          <w:noProof/>
          <w:szCs w:val="24"/>
        </w:rPr>
      </w:pPr>
      <w:r>
        <w:rPr>
          <w:noProof/>
        </w:rPr>
        <w:t>3)</w:t>
      </w:r>
      <w:r>
        <w:rPr>
          <w:noProof/>
        </w:rPr>
        <w:tab/>
        <w:t>konečná spotřeba energie podle paliva (všechny energetické produkty) [v ktoe]</w:t>
      </w:r>
    </w:p>
    <w:p>
      <w:pPr>
        <w:pStyle w:val="Point0"/>
        <w:rPr>
          <w:rFonts w:eastAsia="Times New Roman"/>
          <w:noProof/>
          <w:szCs w:val="24"/>
        </w:rPr>
      </w:pPr>
      <w:r>
        <w:rPr>
          <w:noProof/>
        </w:rPr>
        <w:t>4)</w:t>
      </w:r>
      <w:r>
        <w:rPr>
          <w:noProof/>
        </w:rPr>
        <w:tab/>
        <w:t>konečná neenergetická spotřeba [v ktoe]</w:t>
      </w:r>
    </w:p>
    <w:p>
      <w:pPr>
        <w:pStyle w:val="Point0"/>
        <w:rPr>
          <w:rFonts w:eastAsia="Times New Roman"/>
          <w:noProof/>
          <w:szCs w:val="24"/>
        </w:rPr>
      </w:pPr>
      <w:r>
        <w:rPr>
          <w:noProof/>
        </w:rPr>
        <w:t>5)</w:t>
      </w:r>
      <w:r>
        <w:rPr>
          <w:noProof/>
        </w:rPr>
        <w:tab/>
        <w:t>primární energetická náročnost celého hospodářství (primární spotřeba energie na HDP) [v toe/euro]</w:t>
      </w:r>
    </w:p>
    <w:p>
      <w:pPr>
        <w:pStyle w:val="Point0"/>
        <w:rPr>
          <w:rFonts w:eastAsia="Times New Roman"/>
          <w:noProof/>
          <w:szCs w:val="24"/>
        </w:rPr>
      </w:pPr>
      <w:r>
        <w:rPr>
          <w:noProof/>
        </w:rPr>
        <w:t>6)</w:t>
      </w:r>
      <w:r>
        <w:rPr>
          <w:noProof/>
        </w:rPr>
        <w:tab/>
        <w:t>konečná energetická náročnost podle odvětví (vč. průmyslu, bydlení, terciéru, osobní dopravy (vč. rozdělení na osobní a nákladní dopravu, je-li to možné), nákladní dopravy)</w:t>
      </w:r>
    </w:p>
    <w:p>
      <w:pPr>
        <w:pStyle w:val="NumPar2"/>
        <w:rPr>
          <w:rFonts w:eastAsia="Times New Roman"/>
          <w:b/>
          <w:noProof/>
          <w:szCs w:val="24"/>
        </w:rPr>
      </w:pPr>
      <w:r>
        <w:rPr>
          <w:b/>
          <w:noProof/>
        </w:rPr>
        <w:t>Ceny</w:t>
      </w:r>
    </w:p>
    <w:p>
      <w:pPr>
        <w:pStyle w:val="Point0"/>
        <w:rPr>
          <w:rFonts w:eastAsia="Times New Roman"/>
          <w:noProof/>
          <w:szCs w:val="24"/>
        </w:rPr>
      </w:pPr>
      <w:r>
        <w:rPr>
          <w:noProof/>
        </w:rPr>
        <w:t>1)</w:t>
      </w:r>
      <w:r>
        <w:rPr>
          <w:noProof/>
        </w:rPr>
        <w:tab/>
        <w:t>ceny elektřiny podle typu využívajícího odvětví (bydlení, průmysl, terciér)</w:t>
      </w:r>
    </w:p>
    <w:p>
      <w:pPr>
        <w:pStyle w:val="Point0"/>
        <w:rPr>
          <w:rFonts w:eastAsia="Times New Roman"/>
          <w:noProof/>
          <w:szCs w:val="24"/>
        </w:rPr>
      </w:pPr>
      <w:r>
        <w:rPr>
          <w:noProof/>
        </w:rPr>
        <w:t>2)</w:t>
      </w:r>
      <w:r>
        <w:rPr>
          <w:noProof/>
        </w:rPr>
        <w:tab/>
        <w:t>vnitrostátní maloobchodní ceny paliva (včetně daní, na zdroj a odvětví) [v euro/ktoe]</w:t>
      </w:r>
    </w:p>
    <w:p>
      <w:pPr>
        <w:pStyle w:val="NumPar2"/>
        <w:rPr>
          <w:rFonts w:eastAsia="Times New Roman"/>
          <w:b/>
          <w:noProof/>
          <w:szCs w:val="24"/>
        </w:rPr>
      </w:pPr>
      <w:r>
        <w:rPr>
          <w:b/>
          <w:noProof/>
        </w:rPr>
        <w:t>Investice</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investiční náklady do energetiky v porovnání s HDP (a v porovnání s hrubou přidanou hodnotou pro průmysl)</w:t>
      </w:r>
    </w:p>
    <w:p>
      <w:pPr>
        <w:pStyle w:val="NumPar2"/>
        <w:rPr>
          <w:rFonts w:eastAsia="Times New Roman"/>
          <w:b/>
          <w:noProof/>
          <w:szCs w:val="24"/>
        </w:rPr>
      </w:pPr>
      <w:r>
        <w:rPr>
          <w:b/>
          <w:noProof/>
        </w:rPr>
        <w:t>Energie z obnovitelných zdrojů</w:t>
      </w:r>
    </w:p>
    <w:p>
      <w:pPr>
        <w:pStyle w:val="Point0"/>
        <w:rPr>
          <w:rFonts w:eastAsia="Times New Roman"/>
          <w:noProof/>
          <w:szCs w:val="24"/>
        </w:rPr>
      </w:pPr>
      <w:r>
        <w:rPr>
          <w:noProof/>
        </w:rPr>
        <w:lastRenderedPageBreak/>
        <w:t>1)</w:t>
      </w:r>
      <w:r>
        <w:rPr>
          <w:noProof/>
        </w:rPr>
        <w:tab/>
        <w:t>hrubá konečná spotřeba energie z obnovitelných zdrojů a podíl obnovitelné energie na hrubé konečné spotřebě energie a podle odvětví (elektřina, vytápění a chlazení, doprava) a technologie</w:t>
      </w:r>
    </w:p>
    <w:p>
      <w:pPr>
        <w:pStyle w:val="Point0"/>
        <w:rPr>
          <w:noProof/>
          <w:szCs w:val="24"/>
        </w:rPr>
      </w:pPr>
      <w:r>
        <w:rPr>
          <w:noProof/>
        </w:rPr>
        <w:t>2)</w:t>
      </w:r>
      <w:r>
        <w:rPr>
          <w:noProof/>
        </w:rPr>
        <w:tab/>
        <w:t>výroba elektřiny a tepla z obnovitelných zdrojů energie v budovách (podle definice v čl. 2 odst. 1 směrnice 2010/31/EU); zahrnuty budou údaje o energii vyrobené, spotřebované a dodané do sítě solárními fotovoltaickými systémy, solárními termálními systémy, biomasou, tepelnými čerpadly, geotermálními systémy, jakož i dalšími decentralizovanými systémy výroby obnovitelné energie)</w:t>
      </w:r>
    </w:p>
    <w:p>
      <w:pPr>
        <w:pStyle w:val="Point0"/>
        <w:rPr>
          <w:rFonts w:eastAsia="Times New Roman"/>
          <w:noProof/>
          <w:szCs w:val="24"/>
        </w:rPr>
      </w:pPr>
      <w:r>
        <w:rPr>
          <w:noProof/>
        </w:rPr>
        <w:t>3)</w:t>
      </w:r>
      <w:r>
        <w:rPr>
          <w:noProof/>
        </w:rPr>
        <w:tab/>
        <w:t>případně další vnitrostátní trajektorie včetně dlouhodobých a odvětvových (podíl biopaliv z potravinářských plodin a pokročilých biopaliv, podíl obnovitelné energie na dálkovém vytápění, jakož i obnovitelné energie vyrobené městy a energetickými společenstvími podle definice v článku 22 [přepracovaného znění směrnice 2009/28/ES navrženého prostřednictvím COM(2016) 767])</w:t>
      </w:r>
    </w:p>
    <w:p>
      <w:pPr>
        <w:pStyle w:val="NumPar1"/>
        <w:rPr>
          <w:b/>
          <w:noProof/>
        </w:rPr>
      </w:pPr>
      <w:r>
        <w:rPr>
          <w:b/>
          <w:noProof/>
        </w:rPr>
        <w:t>Ukazatele spojené s emisemi skleníkových plynů a jejich pohlcováním</w:t>
      </w:r>
    </w:p>
    <w:p>
      <w:pPr>
        <w:pStyle w:val="Point0"/>
        <w:rPr>
          <w:rFonts w:eastAsia="Times New Roman"/>
          <w:noProof/>
        </w:rPr>
      </w:pPr>
      <w:r>
        <w:rPr>
          <w:noProof/>
        </w:rPr>
        <w:t>1)</w:t>
      </w:r>
      <w:r>
        <w:rPr>
          <w:noProof/>
        </w:rPr>
        <w:tab/>
        <w:t>emise skleníkových plynů podle oblasti politiky (systém obchodování s emisemi, nařízení o společném úsilí a LULUCF)</w:t>
      </w:r>
    </w:p>
    <w:p>
      <w:pPr>
        <w:pStyle w:val="Point0"/>
        <w:rPr>
          <w:rFonts w:eastAsia="Times New Roman"/>
          <w:noProof/>
          <w:szCs w:val="24"/>
        </w:rPr>
      </w:pPr>
      <w:r>
        <w:rPr>
          <w:noProof/>
        </w:rPr>
        <w:t>2)</w:t>
      </w:r>
      <w:r>
        <w:rPr>
          <w:noProof/>
        </w:rPr>
        <w:tab/>
        <w:t>emise skleníkových plynů podle odvětví IPCC a na plyn (případně rozdělené na systém obchodování s emisemi a rozhodnutí o „sdílení úsilí“) [v tCO</w:t>
      </w:r>
      <w:r>
        <w:rPr>
          <w:noProof/>
          <w:vertAlign w:val="subscript"/>
        </w:rPr>
        <w:t>2</w:t>
      </w:r>
      <w:r>
        <w:rPr>
          <w:noProof/>
        </w:rPr>
        <w:t>eq]</w:t>
      </w:r>
    </w:p>
    <w:p>
      <w:pPr>
        <w:pStyle w:val="Point0"/>
        <w:rPr>
          <w:rFonts w:eastAsia="Times New Roman"/>
          <w:noProof/>
          <w:szCs w:val="24"/>
        </w:rPr>
      </w:pPr>
      <w:r>
        <w:rPr>
          <w:noProof/>
        </w:rPr>
        <w:t>3)</w:t>
      </w:r>
      <w:r>
        <w:rPr>
          <w:noProof/>
        </w:rPr>
        <w:tab/>
        <w:t>uhlíková náročnost celého hospodářství [v tCO</w:t>
      </w:r>
      <w:r>
        <w:rPr>
          <w:noProof/>
          <w:vertAlign w:val="subscript"/>
        </w:rPr>
        <w:t>2</w:t>
      </w:r>
      <w:r>
        <w:rPr>
          <w:noProof/>
        </w:rPr>
        <w:t>eq/ HDP]</w:t>
      </w:r>
    </w:p>
    <w:p>
      <w:pPr>
        <w:pStyle w:val="Point0"/>
        <w:rPr>
          <w:rFonts w:eastAsia="Times New Roman"/>
          <w:noProof/>
          <w:szCs w:val="24"/>
        </w:rPr>
      </w:pPr>
      <w:r>
        <w:rPr>
          <w:noProof/>
        </w:rPr>
        <w:t>4)</w:t>
      </w:r>
      <w:r>
        <w:rPr>
          <w:noProof/>
        </w:rPr>
        <w:tab/>
        <w:t>ukazatele spojené s emisemi CO</w:t>
      </w:r>
      <w:r>
        <w:rPr>
          <w:noProof/>
          <w:vertAlign w:val="subscript"/>
        </w:rPr>
        <w:t>2</w:t>
      </w:r>
    </w:p>
    <w:p>
      <w:pPr>
        <w:pStyle w:val="Point1"/>
        <w:rPr>
          <w:rFonts w:eastAsia="Times New Roman"/>
          <w:noProof/>
          <w:szCs w:val="24"/>
        </w:rPr>
      </w:pPr>
      <w:r>
        <w:rPr>
          <w:noProof/>
        </w:rPr>
        <w:t>a)</w:t>
      </w:r>
      <w:r>
        <w:rPr>
          <w:noProof/>
        </w:rPr>
        <w:tab/>
        <w:t>uhlíková náročnost výroby elektřiny a páry [v tCO</w:t>
      </w:r>
      <w:r>
        <w:rPr>
          <w:noProof/>
          <w:vertAlign w:val="subscript"/>
        </w:rPr>
        <w:t>2</w:t>
      </w:r>
      <w:r>
        <w:rPr>
          <w:noProof/>
        </w:rPr>
        <w:t>eq/MWh]</w:t>
      </w:r>
    </w:p>
    <w:p>
      <w:pPr>
        <w:pStyle w:val="Point1"/>
        <w:rPr>
          <w:rFonts w:eastAsia="Times New Roman"/>
          <w:noProof/>
          <w:szCs w:val="24"/>
        </w:rPr>
      </w:pPr>
      <w:r>
        <w:rPr>
          <w:noProof/>
        </w:rPr>
        <w:t>b)</w:t>
      </w:r>
      <w:r>
        <w:rPr>
          <w:noProof/>
        </w:rPr>
        <w:tab/>
        <w:t>uhlíková náročnost konečné poptávky energie podle odvětví, vč. průmyslu, bydlení, terciéru, osobní dopravy, nákladní dopravy) [v tCO</w:t>
      </w:r>
      <w:r>
        <w:rPr>
          <w:noProof/>
          <w:vertAlign w:val="subscript"/>
        </w:rPr>
        <w:t>2</w:t>
      </w:r>
      <w:r>
        <w:rPr>
          <w:noProof/>
        </w:rPr>
        <w:t xml:space="preserve">eq/toe] </w:t>
      </w:r>
    </w:p>
    <w:p>
      <w:pPr>
        <w:pStyle w:val="Point0"/>
        <w:rPr>
          <w:rFonts w:eastAsia="Times New Roman"/>
          <w:noProof/>
          <w:szCs w:val="24"/>
        </w:rPr>
      </w:pPr>
      <w:r>
        <w:rPr>
          <w:noProof/>
        </w:rPr>
        <w:t>5)</w:t>
      </w:r>
      <w:r>
        <w:rPr>
          <w:noProof/>
        </w:rPr>
        <w:tab/>
        <w:t>parametry spojené s jinými emisemi než CO</w:t>
      </w:r>
      <w:r>
        <w:rPr>
          <w:noProof/>
          <w:vertAlign w:val="subscript"/>
        </w:rPr>
        <w:t>2</w:t>
      </w:r>
    </w:p>
    <w:p>
      <w:pPr>
        <w:pStyle w:val="Point1"/>
        <w:rPr>
          <w:rFonts w:eastAsia="Times New Roman"/>
          <w:noProof/>
          <w:szCs w:val="24"/>
        </w:rPr>
      </w:pPr>
      <w:r>
        <w:rPr>
          <w:noProof/>
        </w:rPr>
        <w:t>a)</w:t>
      </w:r>
      <w:r>
        <w:rPr>
          <w:noProof/>
        </w:rPr>
        <w:tab/>
        <w:t>hospodářská zvířata: mléčný skot [na 1000 hlav] nemléčný skot [na 1000 hlav], ovce [na 1000 hlav] prasata [na 1000 hlav], drůbež [na 1000 hlav]</w:t>
      </w:r>
    </w:p>
    <w:p>
      <w:pPr>
        <w:pStyle w:val="Point1"/>
        <w:rPr>
          <w:rFonts w:eastAsia="Times New Roman"/>
          <w:noProof/>
          <w:szCs w:val="24"/>
        </w:rPr>
      </w:pPr>
      <w:r>
        <w:rPr>
          <w:noProof/>
        </w:rPr>
        <w:t>b)</w:t>
      </w:r>
      <w:r>
        <w:rPr>
          <w:noProof/>
        </w:rPr>
        <w:tab/>
        <w:t>přísun dusíku z používání umělých hnojiv [v kt dusíku]</w:t>
      </w:r>
    </w:p>
    <w:p>
      <w:pPr>
        <w:pStyle w:val="Point1"/>
        <w:rPr>
          <w:rFonts w:eastAsia="Times New Roman"/>
          <w:noProof/>
          <w:szCs w:val="24"/>
        </w:rPr>
      </w:pPr>
      <w:r>
        <w:rPr>
          <w:noProof/>
        </w:rPr>
        <w:t>c)</w:t>
      </w:r>
      <w:r>
        <w:rPr>
          <w:noProof/>
        </w:rPr>
        <w:tab/>
        <w:t>přísun dusíku z používání hnoje [v kt dusíku]</w:t>
      </w:r>
    </w:p>
    <w:p>
      <w:pPr>
        <w:pStyle w:val="Point1"/>
        <w:rPr>
          <w:rFonts w:eastAsia="Times New Roman"/>
          <w:noProof/>
          <w:szCs w:val="24"/>
        </w:rPr>
      </w:pPr>
      <w:r>
        <w:rPr>
          <w:noProof/>
        </w:rPr>
        <w:t>d)</w:t>
      </w:r>
      <w:r>
        <w:rPr>
          <w:noProof/>
        </w:rPr>
        <w:tab/>
        <w:t>navázaný dusík z plodin, které vážou dusík [v kt dusíku]</w:t>
      </w:r>
    </w:p>
    <w:p>
      <w:pPr>
        <w:pStyle w:val="Point1"/>
        <w:rPr>
          <w:rFonts w:eastAsia="Times New Roman"/>
          <w:noProof/>
          <w:szCs w:val="24"/>
        </w:rPr>
      </w:pPr>
      <w:r>
        <w:rPr>
          <w:noProof/>
        </w:rPr>
        <w:t>e)</w:t>
      </w:r>
      <w:r>
        <w:rPr>
          <w:noProof/>
        </w:rPr>
        <w:tab/>
        <w:t>dusík ve zbytcích plodin vrácených do půdy [v kt dusíku]</w:t>
      </w:r>
    </w:p>
    <w:p>
      <w:pPr>
        <w:pStyle w:val="Point1"/>
        <w:rPr>
          <w:rFonts w:eastAsia="Times New Roman"/>
          <w:noProof/>
          <w:szCs w:val="24"/>
        </w:rPr>
      </w:pPr>
      <w:r>
        <w:rPr>
          <w:noProof/>
        </w:rPr>
        <w:t>f)</w:t>
      </w:r>
      <w:r>
        <w:rPr>
          <w:noProof/>
        </w:rPr>
        <w:tab/>
        <w:t>plocha obdělávaných organických půd [v hektarech]</w:t>
      </w:r>
    </w:p>
    <w:p>
      <w:pPr>
        <w:pStyle w:val="Point1"/>
        <w:rPr>
          <w:rFonts w:eastAsia="Times New Roman"/>
          <w:noProof/>
          <w:szCs w:val="24"/>
        </w:rPr>
      </w:pPr>
      <w:r>
        <w:rPr>
          <w:noProof/>
        </w:rPr>
        <w:t>g)</w:t>
      </w:r>
      <w:r>
        <w:rPr>
          <w:noProof/>
        </w:rPr>
        <w:tab/>
        <w:t>tvorba tuhého komunálního odpadu (TKO)</w:t>
      </w:r>
    </w:p>
    <w:p>
      <w:pPr>
        <w:pStyle w:val="Point1"/>
        <w:rPr>
          <w:rFonts w:eastAsia="Times New Roman"/>
          <w:noProof/>
          <w:szCs w:val="24"/>
        </w:rPr>
      </w:pPr>
      <w:r>
        <w:rPr>
          <w:noProof/>
        </w:rPr>
        <w:t>h)</w:t>
      </w:r>
      <w:r>
        <w:rPr>
          <w:noProof/>
        </w:rPr>
        <w:tab/>
        <w:t>tuhý komunální odpad (TKO) uložený na skládkách</w:t>
      </w:r>
    </w:p>
    <w:p>
      <w:pPr>
        <w:pStyle w:val="Point1"/>
        <w:rPr>
          <w:rFonts w:eastAsia="Times New Roman"/>
          <w:noProof/>
          <w:szCs w:val="24"/>
        </w:rPr>
      </w:pPr>
      <w:r>
        <w:rPr>
          <w:noProof/>
        </w:rPr>
        <w:t>i)</w:t>
      </w:r>
      <w:r>
        <w:rPr>
          <w:noProof/>
        </w:rPr>
        <w:tab/>
        <w:t>podíl využití CH</w:t>
      </w:r>
      <w:r>
        <w:rPr>
          <w:noProof/>
          <w:vertAlign w:val="subscript"/>
        </w:rPr>
        <w:t>4</w:t>
      </w:r>
      <w:r>
        <w:rPr>
          <w:noProof/>
        </w:rPr>
        <w:t xml:space="preserve"> na celkové tvorbě CH</w:t>
      </w:r>
      <w:r>
        <w:rPr>
          <w:noProof/>
          <w:vertAlign w:val="subscript"/>
        </w:rPr>
        <w:t>4</w:t>
      </w:r>
      <w:r>
        <w:rPr>
          <w:noProof/>
        </w:rPr>
        <w:t xml:space="preserve"> ze skládek (v %)</w:t>
      </w:r>
    </w:p>
    <w:p>
      <w:pPr>
        <w:rPr>
          <w:b/>
          <w:noProof/>
          <w:szCs w:val="24"/>
        </w:rPr>
      </w:pPr>
      <w:r>
        <w:rPr>
          <w:noProof/>
        </w:rPr>
        <w:br w:type="page"/>
      </w:r>
    </w:p>
    <w:p>
      <w:pPr>
        <w:pStyle w:val="Annexetitre"/>
        <w:rPr>
          <w:b w:val="0"/>
          <w:i/>
          <w:noProof/>
          <w:szCs w:val="24"/>
          <w:u w:val="none"/>
        </w:rPr>
      </w:pPr>
      <w:r>
        <w:rPr>
          <w:b w:val="0"/>
          <w:i/>
          <w:noProof/>
          <w:u w:val="none"/>
        </w:rPr>
        <w:lastRenderedPageBreak/>
        <w:t>PŘÍLOHA II</w:t>
      </w:r>
    </w:p>
    <w:p>
      <w:pPr>
        <w:jc w:val="center"/>
        <w:rPr>
          <w:noProof/>
        </w:rPr>
      </w:pPr>
      <w:r>
        <w:rPr>
          <w:b/>
          <w:noProof/>
        </w:rPr>
        <w:t>OZNÁMENÍ OPATŘENÍ A METODIK, KTERÉ ČLENSKÉ STÁTY PŘIJALY ZA ÚČELEM PROVEDENÍ ČLÁNKU 7 SMĚRNICE 2012/27/EU [VE ZNĚNÍ NÁVRHU COM(2016) 761]</w:t>
      </w:r>
    </w:p>
    <w:p>
      <w:pPr>
        <w:pStyle w:val="Text2"/>
        <w:ind w:left="0"/>
        <w:rPr>
          <w:noProof/>
          <w:szCs w:val="24"/>
        </w:rPr>
      </w:pPr>
      <w:r>
        <w:rPr>
          <w:noProof/>
        </w:rPr>
        <w:t xml:space="preserve">V souladu s přílohou V bodem 4 směrnice 2012/27/EU členské státy oznámí Komisi své navrhované podrobné metodiky pro fungování systémů povinného zvyšování energetické účinnosti a náhradní opatření uvedená v článcích 7a a 7b a v čl. 20 odst. 6 výše uvedené směrnice. </w:t>
      </w:r>
    </w:p>
    <w:p>
      <w:pPr>
        <w:pStyle w:val="NumPar1"/>
        <w:numPr>
          <w:ilvl w:val="0"/>
          <w:numId w:val="11"/>
        </w:numPr>
        <w:rPr>
          <w:noProof/>
          <w:szCs w:val="24"/>
        </w:rPr>
      </w:pPr>
      <w:r>
        <w:rPr>
          <w:noProof/>
        </w:rPr>
        <w:t>Výpočet úrovně požadavku úspor energie, jichž má být dosaženo za celé období od 1. ledna 2021 do 31. prosince 2030, kde se ukazuje, jak jsou zohledněny následující prvky:</w:t>
      </w:r>
    </w:p>
    <w:p>
      <w:pPr>
        <w:pStyle w:val="Point1"/>
        <w:rPr>
          <w:noProof/>
        </w:rPr>
      </w:pPr>
      <w:r>
        <w:rPr>
          <w:noProof/>
        </w:rPr>
        <w:t>a)</w:t>
      </w:r>
      <w:r>
        <w:rPr>
          <w:noProof/>
        </w:rPr>
        <w:tab/>
        <w:t>objem ročního prodeje energie konečným zákazníkům všech distributorů energie nebo všech maloobchodních prodejců energie, který se vypočte na základě průměrného prodeje během tří let (2016, 2017, 2018) před 1. lednem 2019 [v ktoe];</w:t>
      </w:r>
    </w:p>
    <w:p>
      <w:pPr>
        <w:pStyle w:val="Point1"/>
        <w:rPr>
          <w:noProof/>
          <w:szCs w:val="24"/>
        </w:rPr>
      </w:pPr>
      <w:r>
        <w:rPr>
          <w:noProof/>
        </w:rPr>
        <w:t>b)</w:t>
      </w:r>
      <w:r>
        <w:rPr>
          <w:noProof/>
        </w:rPr>
        <w:tab/>
        <w:t>objem prodeje energie využívané při přepravě vyňatý z tohoto výpočtu [v ktoe];</w:t>
      </w:r>
    </w:p>
    <w:p>
      <w:pPr>
        <w:pStyle w:val="Point1"/>
        <w:rPr>
          <w:noProof/>
          <w:szCs w:val="24"/>
        </w:rPr>
      </w:pPr>
      <w:r>
        <w:rPr>
          <w:noProof/>
        </w:rPr>
        <w:t>c)</w:t>
      </w:r>
      <w:r>
        <w:rPr>
          <w:noProof/>
        </w:rPr>
        <w:tab/>
        <w:t>objem energie vyrobené pro vlastní použití vyňatý z tohoto výpočtu [v ktoe];</w:t>
      </w:r>
    </w:p>
    <w:p>
      <w:pPr>
        <w:pStyle w:val="Point1"/>
        <w:rPr>
          <w:noProof/>
          <w:szCs w:val="24"/>
        </w:rPr>
      </w:pPr>
      <w:r>
        <w:rPr>
          <w:noProof/>
        </w:rPr>
        <w:t>d)</w:t>
      </w:r>
      <w:r>
        <w:rPr>
          <w:noProof/>
        </w:rPr>
        <w:tab/>
        <w:t>zdroje použité při výpočtu údajů o prodeji energie, včetně odůvodnění využití alternativních statistických zdrojů, a jakékoli rozdíly ve výsledných veličinách (pokud jsou použity jiné zdroje než Eurostat);</w:t>
      </w:r>
    </w:p>
    <w:p>
      <w:pPr>
        <w:pStyle w:val="Point1"/>
        <w:rPr>
          <w:noProof/>
          <w:szCs w:val="24"/>
        </w:rPr>
      </w:pPr>
      <w:r>
        <w:rPr>
          <w:noProof/>
        </w:rPr>
        <w:t>e)</w:t>
      </w:r>
      <w:r>
        <w:rPr>
          <w:noProof/>
        </w:rPr>
        <w:tab/>
        <w:t>kumulativní objem úspor energie, jichž má být dosaženo za celé období od 1. ledna 2021 do 31. prosince 2030 (před uplatněním osvobození podle odstavce 2) [v ktoe];</w:t>
      </w:r>
    </w:p>
    <w:p>
      <w:pPr>
        <w:pStyle w:val="Point1"/>
        <w:rPr>
          <w:noProof/>
          <w:szCs w:val="24"/>
        </w:rPr>
      </w:pPr>
      <w:r>
        <w:rPr>
          <w:noProof/>
        </w:rPr>
        <w:t>f)</w:t>
      </w:r>
      <w:r>
        <w:rPr>
          <w:noProof/>
        </w:rPr>
        <w:tab/>
        <w:t>uplatnění osvobození pod písmeny b), c), d) a e) uvedených v čl. 7 odst. 2 a 3 směrnice 2012/27/EU:</w:t>
      </w:r>
    </w:p>
    <w:p>
      <w:pPr>
        <w:pStyle w:val="Text2"/>
        <w:rPr>
          <w:noProof/>
          <w:szCs w:val="24"/>
        </w:rPr>
      </w:pPr>
      <w:r>
        <w:rPr>
          <w:noProof/>
        </w:rPr>
        <w:t>i) objem prodeje energie využívané při průmyslových činnostech [v ktoe] uvedených v příloze I směrnice 2003/87/ES vyňatý z tohoto výpočtu v souladu s písmenem b),</w:t>
      </w:r>
    </w:p>
    <w:p>
      <w:pPr>
        <w:pStyle w:val="Text2"/>
        <w:rPr>
          <w:noProof/>
          <w:szCs w:val="24"/>
        </w:rPr>
      </w:pPr>
      <w:r>
        <w:rPr>
          <w:noProof/>
        </w:rPr>
        <w:t>ii) objem úspor energie [v ktoe] dosažených v odvětvích přeměny, distribuce a přenosu či přepravy energie v souladu s písmenem c),</w:t>
      </w:r>
    </w:p>
    <w:p>
      <w:pPr>
        <w:pStyle w:val="Text2"/>
        <w:rPr>
          <w:noProof/>
          <w:szCs w:val="24"/>
        </w:rPr>
      </w:pPr>
      <w:r>
        <w:rPr>
          <w:noProof/>
        </w:rPr>
        <w:t>iii) objem úspor energie [v ktoe] vyplývajících z individuálních opatření nově zavedených od 31. prosince 2008, jejichž dopad bude pokračovat i v roce 2020 a dále,</w:t>
      </w:r>
      <w:r>
        <w:rPr>
          <w:rStyle w:val="CommentReference"/>
          <w:noProof/>
          <w:sz w:val="24"/>
        </w:rPr>
        <w:t xml:space="preserve"> </w:t>
      </w:r>
      <w:r>
        <w:rPr>
          <w:noProof/>
        </w:rPr>
        <w:t xml:space="preserve">a to v souladu s písmenem d); </w:t>
      </w:r>
    </w:p>
    <w:p>
      <w:pPr>
        <w:pStyle w:val="Text2"/>
        <w:rPr>
          <w:noProof/>
          <w:szCs w:val="24"/>
        </w:rPr>
      </w:pPr>
      <w:r>
        <w:rPr>
          <w:noProof/>
        </w:rPr>
        <w:t>iv) objem energie vyrobené na povrchu nebo uvnitř budov pro jejich vlastní využití jako důsledek politických opatření podporujících novou instalaci technologií obnovitelné energie v souladu s písmenem e) [v ktoe];</w:t>
      </w:r>
    </w:p>
    <w:p>
      <w:pPr>
        <w:pStyle w:val="Point1"/>
        <w:rPr>
          <w:noProof/>
          <w:szCs w:val="24"/>
        </w:rPr>
      </w:pPr>
      <w:r>
        <w:rPr>
          <w:noProof/>
        </w:rPr>
        <w:t>g)</w:t>
      </w:r>
      <w:r>
        <w:rPr>
          <w:noProof/>
        </w:rPr>
        <w:tab/>
        <w:t>celkový kumulativní objem úspor energie (po uplatnění osvobození podle odstavce 2) [v ktoe].</w:t>
      </w:r>
    </w:p>
    <w:p>
      <w:pPr>
        <w:pStyle w:val="NumPar1"/>
        <w:rPr>
          <w:b/>
          <w:noProof/>
          <w:szCs w:val="24"/>
        </w:rPr>
      </w:pPr>
      <w:r>
        <w:rPr>
          <w:b/>
          <w:noProof/>
        </w:rPr>
        <w:t>Politická opatření, jejichž cílem je dosáhnout úspor požadovaných v čl. 7 odst. 1 směrnice 2012/27/EU:</w:t>
      </w:r>
    </w:p>
    <w:p>
      <w:pPr>
        <w:pStyle w:val="NumPar2"/>
        <w:rPr>
          <w:b/>
          <w:noProof/>
          <w:szCs w:val="24"/>
        </w:rPr>
      </w:pPr>
      <w:r>
        <w:rPr>
          <w:b/>
          <w:noProof/>
        </w:rPr>
        <w:lastRenderedPageBreak/>
        <w:t>Systémy povinného zvyšování energetické účinnosti uvedené v článku 7a směrnice 2012/27/EU:</w:t>
      </w:r>
    </w:p>
    <w:p>
      <w:pPr>
        <w:pStyle w:val="Point1"/>
        <w:rPr>
          <w:noProof/>
        </w:rPr>
      </w:pPr>
      <w:r>
        <w:rPr>
          <w:noProof/>
        </w:rPr>
        <w:t>a)</w:t>
      </w:r>
      <w:r>
        <w:rPr>
          <w:noProof/>
        </w:rPr>
        <w:tab/>
        <w:t>popis systému povinného zvyšování energetické účinnosti;</w:t>
      </w:r>
    </w:p>
    <w:p>
      <w:pPr>
        <w:pStyle w:val="Point1"/>
        <w:rPr>
          <w:noProof/>
          <w:szCs w:val="24"/>
        </w:rPr>
      </w:pPr>
      <w:r>
        <w:rPr>
          <w:noProof/>
        </w:rPr>
        <w:t>b)</w:t>
      </w:r>
      <w:r>
        <w:rPr>
          <w:noProof/>
        </w:rPr>
        <w:tab/>
        <w:t>očekávaný kumulativní a roční objem úspor a trvání kontrolního období;</w:t>
      </w:r>
    </w:p>
    <w:p>
      <w:pPr>
        <w:pStyle w:val="Point1"/>
        <w:rPr>
          <w:noProof/>
          <w:szCs w:val="24"/>
        </w:rPr>
      </w:pPr>
      <w:r>
        <w:rPr>
          <w:noProof/>
        </w:rPr>
        <w:t>c)</w:t>
      </w:r>
      <w:r>
        <w:rPr>
          <w:noProof/>
        </w:rPr>
        <w:tab/>
        <w:t>povinné strany a jejich závazky;</w:t>
      </w:r>
    </w:p>
    <w:p>
      <w:pPr>
        <w:pStyle w:val="Point1"/>
        <w:rPr>
          <w:noProof/>
          <w:szCs w:val="24"/>
        </w:rPr>
      </w:pPr>
      <w:r>
        <w:rPr>
          <w:noProof/>
        </w:rPr>
        <w:t>d)</w:t>
      </w:r>
      <w:r>
        <w:rPr>
          <w:noProof/>
        </w:rPr>
        <w:tab/>
        <w:t>cílová odvětví;</w:t>
      </w:r>
    </w:p>
    <w:p>
      <w:pPr>
        <w:pStyle w:val="Point1"/>
        <w:rPr>
          <w:noProof/>
          <w:szCs w:val="24"/>
        </w:rPr>
      </w:pPr>
      <w:r>
        <w:rPr>
          <w:noProof/>
        </w:rPr>
        <w:t>e)</w:t>
      </w:r>
      <w:r>
        <w:rPr>
          <w:noProof/>
        </w:rPr>
        <w:tab/>
        <w:t>způsobilá opatření plánovaná v rámci tohoto opatření;</w:t>
      </w:r>
    </w:p>
    <w:p>
      <w:pPr>
        <w:pStyle w:val="Point1"/>
        <w:rPr>
          <w:noProof/>
          <w:szCs w:val="24"/>
        </w:rPr>
      </w:pPr>
      <w:r>
        <w:rPr>
          <w:noProof/>
        </w:rPr>
        <w:t>f)</w:t>
      </w:r>
      <w:r>
        <w:rPr>
          <w:noProof/>
        </w:rPr>
        <w:tab/>
        <w:t>informace o uplatnění ustanovení čl. 7 odst. 7 směrnice 2012/27/EU:</w:t>
      </w:r>
    </w:p>
    <w:p>
      <w:pPr>
        <w:pStyle w:val="Text2"/>
        <w:rPr>
          <w:noProof/>
          <w:szCs w:val="24"/>
        </w:rPr>
      </w:pPr>
      <w:r>
        <w:rPr>
          <w:noProof/>
        </w:rPr>
        <w:t>i) konkrétní opatření, podíl úspor, jichž má být dosaženo v domácnostech postižených energetickou chudobou a v oblasti sociálního bydlení v souladu s písmenem a);</w:t>
      </w:r>
    </w:p>
    <w:p>
      <w:pPr>
        <w:pStyle w:val="Text2"/>
        <w:rPr>
          <w:noProof/>
          <w:szCs w:val="24"/>
        </w:rPr>
      </w:pPr>
      <w:r>
        <w:rPr>
          <w:noProof/>
        </w:rPr>
        <w:t>ii) úspory energie dosažené poskytovateli energetických služeb nebo jinými třetími stranami v souladu s písmenem b);</w:t>
      </w:r>
    </w:p>
    <w:p>
      <w:pPr>
        <w:pStyle w:val="Text2"/>
        <w:rPr>
          <w:noProof/>
          <w:szCs w:val="24"/>
        </w:rPr>
      </w:pPr>
      <w:r>
        <w:rPr>
          <w:noProof/>
        </w:rPr>
        <w:t>iii) započítávání úspor v souladu s písmenem c);</w:t>
      </w:r>
    </w:p>
    <w:p>
      <w:pPr>
        <w:pStyle w:val="Point1"/>
        <w:rPr>
          <w:noProof/>
          <w:szCs w:val="24"/>
        </w:rPr>
      </w:pPr>
      <w:r>
        <w:rPr>
          <w:noProof/>
        </w:rPr>
        <w:t>g)</w:t>
      </w:r>
      <w:r>
        <w:rPr>
          <w:noProof/>
        </w:rPr>
        <w:tab/>
        <w:t>informace o obchodování s úsporami energie (připadá-li to v úvahu).</w:t>
      </w:r>
    </w:p>
    <w:p>
      <w:pPr>
        <w:pStyle w:val="NumPar2"/>
        <w:rPr>
          <w:b/>
          <w:noProof/>
          <w:szCs w:val="24"/>
        </w:rPr>
      </w:pPr>
      <w:r>
        <w:rPr>
          <w:b/>
          <w:noProof/>
        </w:rPr>
        <w:t>Alternativní opatření uvedená v článku 7b a v čl. 20 odst. 6 směrnice 2012/27/EU (kromě zdanění):</w:t>
      </w:r>
    </w:p>
    <w:p>
      <w:pPr>
        <w:pStyle w:val="Point1"/>
        <w:rPr>
          <w:noProof/>
          <w:szCs w:val="24"/>
        </w:rPr>
      </w:pPr>
      <w:r>
        <w:rPr>
          <w:noProof/>
        </w:rPr>
        <w:t>a)</w:t>
      </w:r>
      <w:r>
        <w:rPr>
          <w:noProof/>
        </w:rPr>
        <w:tab/>
        <w:t>druh politického opatření;</w:t>
      </w:r>
    </w:p>
    <w:p>
      <w:pPr>
        <w:pStyle w:val="Point1"/>
        <w:rPr>
          <w:noProof/>
          <w:szCs w:val="24"/>
        </w:rPr>
      </w:pPr>
      <w:r>
        <w:rPr>
          <w:noProof/>
        </w:rPr>
        <w:t>b)</w:t>
      </w:r>
      <w:r>
        <w:rPr>
          <w:noProof/>
        </w:rPr>
        <w:tab/>
        <w:t>stručný popis politického opatření zahrnující hlavní rysy návrhu pro každé oznámené politické opatření;</w:t>
      </w:r>
    </w:p>
    <w:p>
      <w:pPr>
        <w:pStyle w:val="Point1"/>
        <w:rPr>
          <w:noProof/>
          <w:szCs w:val="24"/>
        </w:rPr>
      </w:pPr>
      <w:r>
        <w:rPr>
          <w:noProof/>
        </w:rPr>
        <w:t>c)</w:t>
      </w:r>
      <w:r>
        <w:rPr>
          <w:noProof/>
        </w:rPr>
        <w:tab/>
        <w:t>očekávaný celkový kumulativní a roční objem úspor na každé opatření a/nebo objem úspor energie za kterékoli dílčí období;</w:t>
      </w:r>
    </w:p>
    <w:p>
      <w:pPr>
        <w:pStyle w:val="Point1"/>
        <w:rPr>
          <w:noProof/>
          <w:szCs w:val="24"/>
        </w:rPr>
      </w:pPr>
      <w:r>
        <w:rPr>
          <w:noProof/>
        </w:rPr>
        <w:t>d)</w:t>
      </w:r>
      <w:r>
        <w:rPr>
          <w:noProof/>
        </w:rPr>
        <w:tab/>
        <w:t>prováděcí, zúčastněné a pověřené strany a jejich závazky při provádění politických opatření;</w:t>
      </w:r>
    </w:p>
    <w:p>
      <w:pPr>
        <w:pStyle w:val="Point1"/>
        <w:rPr>
          <w:noProof/>
          <w:szCs w:val="24"/>
        </w:rPr>
      </w:pPr>
      <w:r>
        <w:rPr>
          <w:noProof/>
        </w:rPr>
        <w:t>e)</w:t>
      </w:r>
      <w:r>
        <w:rPr>
          <w:noProof/>
        </w:rPr>
        <w:tab/>
        <w:t>cílová odvětví;</w:t>
      </w:r>
    </w:p>
    <w:p>
      <w:pPr>
        <w:pStyle w:val="Point1"/>
        <w:rPr>
          <w:noProof/>
          <w:szCs w:val="24"/>
        </w:rPr>
      </w:pPr>
      <w:r>
        <w:rPr>
          <w:noProof/>
        </w:rPr>
        <w:t>f)</w:t>
      </w:r>
      <w:r>
        <w:rPr>
          <w:noProof/>
        </w:rPr>
        <w:tab/>
        <w:t>způsobilá opatření plánovaná v rámci tohoto opatření;</w:t>
      </w:r>
    </w:p>
    <w:p>
      <w:pPr>
        <w:pStyle w:val="Point1"/>
        <w:rPr>
          <w:noProof/>
          <w:szCs w:val="24"/>
        </w:rPr>
      </w:pPr>
      <w:r>
        <w:rPr>
          <w:noProof/>
        </w:rPr>
        <w:t>g)</w:t>
      </w:r>
      <w:r>
        <w:rPr>
          <w:noProof/>
        </w:rPr>
        <w:tab/>
        <w:t>konkrétní politická opatření nebo individuální opatření zaměřená na energetickou chudobu.</w:t>
      </w:r>
    </w:p>
    <w:p>
      <w:pPr>
        <w:pStyle w:val="NumPar2"/>
        <w:rPr>
          <w:b/>
          <w:noProof/>
          <w:szCs w:val="24"/>
        </w:rPr>
      </w:pPr>
      <w:r>
        <w:rPr>
          <w:b/>
          <w:noProof/>
        </w:rPr>
        <w:t>Informace o daňových opatřeních:</w:t>
      </w:r>
    </w:p>
    <w:p>
      <w:pPr>
        <w:pStyle w:val="Point1"/>
        <w:rPr>
          <w:noProof/>
        </w:rPr>
      </w:pPr>
      <w:r>
        <w:rPr>
          <w:noProof/>
        </w:rPr>
        <w:t>a)</w:t>
      </w:r>
      <w:r>
        <w:rPr>
          <w:noProof/>
        </w:rPr>
        <w:tab/>
        <w:t>stručný popis daňového opatření;</w:t>
      </w:r>
    </w:p>
    <w:p>
      <w:pPr>
        <w:pStyle w:val="Point1"/>
        <w:rPr>
          <w:noProof/>
          <w:szCs w:val="24"/>
        </w:rPr>
      </w:pPr>
      <w:r>
        <w:rPr>
          <w:noProof/>
        </w:rPr>
        <w:t>b)</w:t>
      </w:r>
      <w:r>
        <w:rPr>
          <w:noProof/>
        </w:rPr>
        <w:tab/>
        <w:t>délka trvání daňového opatření;</w:t>
      </w:r>
    </w:p>
    <w:p>
      <w:pPr>
        <w:pStyle w:val="Point1"/>
        <w:rPr>
          <w:noProof/>
          <w:szCs w:val="24"/>
        </w:rPr>
      </w:pPr>
      <w:r>
        <w:rPr>
          <w:noProof/>
        </w:rPr>
        <w:t>c)</w:t>
      </w:r>
      <w:r>
        <w:rPr>
          <w:noProof/>
        </w:rPr>
        <w:tab/>
        <w:t>očekávaný kumulativní a roční objem úspor na opatření;</w:t>
      </w:r>
    </w:p>
    <w:p>
      <w:pPr>
        <w:pStyle w:val="Point1"/>
        <w:rPr>
          <w:noProof/>
          <w:szCs w:val="24"/>
        </w:rPr>
      </w:pPr>
      <w:r>
        <w:rPr>
          <w:noProof/>
        </w:rPr>
        <w:t>d)</w:t>
      </w:r>
      <w:r>
        <w:rPr>
          <w:noProof/>
        </w:rPr>
        <w:tab/>
        <w:t>cílová odvětví;</w:t>
      </w:r>
    </w:p>
    <w:p>
      <w:pPr>
        <w:pStyle w:val="Point1"/>
        <w:rPr>
          <w:noProof/>
          <w:szCs w:val="24"/>
        </w:rPr>
      </w:pPr>
      <w:r>
        <w:rPr>
          <w:noProof/>
        </w:rPr>
        <w:t>e)</w:t>
      </w:r>
      <w:r>
        <w:rPr>
          <w:noProof/>
        </w:rPr>
        <w:tab/>
        <w:t>adicionalita úspor energie popsáním přístupu k výpočtu úspor, včetně elasticity cen použité v souladu s přílohou V bodem 4.</w:t>
      </w:r>
    </w:p>
    <w:p>
      <w:pPr>
        <w:pStyle w:val="NumPar1"/>
        <w:rPr>
          <w:b/>
          <w:noProof/>
          <w:szCs w:val="24"/>
        </w:rPr>
      </w:pPr>
      <w:r>
        <w:rPr>
          <w:b/>
          <w:noProof/>
        </w:rPr>
        <w:t>Metodika výpočtu pro opatření oznámená podle článků 7a, 7b a čl. 20 odst. 6 směrnice 2012/27/EU (kromě daňových opatření):</w:t>
      </w:r>
    </w:p>
    <w:p>
      <w:pPr>
        <w:pStyle w:val="Point1"/>
        <w:rPr>
          <w:noProof/>
          <w:szCs w:val="24"/>
        </w:rPr>
      </w:pPr>
      <w:r>
        <w:rPr>
          <w:noProof/>
        </w:rPr>
        <w:lastRenderedPageBreak/>
        <w:t>a)</w:t>
      </w:r>
      <w:r>
        <w:rPr>
          <w:noProof/>
        </w:rPr>
        <w:tab/>
        <w:t>použité metody měření uvedené v příloze V bodu 1 směrnice 2012/27/EU;</w:t>
      </w:r>
    </w:p>
    <w:p>
      <w:pPr>
        <w:pStyle w:val="Point1"/>
        <w:rPr>
          <w:noProof/>
          <w:szCs w:val="24"/>
        </w:rPr>
      </w:pPr>
      <w:r>
        <w:rPr>
          <w:noProof/>
        </w:rPr>
        <w:t>b)</w:t>
      </w:r>
      <w:r>
        <w:rPr>
          <w:noProof/>
        </w:rPr>
        <w:tab/>
        <w:t>metoda pro vyjádření úspor energie (primární nebo konečné úspory energie);</w:t>
      </w:r>
    </w:p>
    <w:p>
      <w:pPr>
        <w:pStyle w:val="Point1"/>
        <w:rPr>
          <w:noProof/>
          <w:szCs w:val="24"/>
        </w:rPr>
      </w:pPr>
      <w:r>
        <w:rPr>
          <w:noProof/>
        </w:rPr>
        <w:t>c)</w:t>
      </w:r>
      <w:r>
        <w:rPr>
          <w:noProof/>
        </w:rPr>
        <w:tab/>
        <w:t>životní cykly individuálních opatření a přístup použitý pro zohlednění životního cyklu úspor;</w:t>
      </w:r>
    </w:p>
    <w:p>
      <w:pPr>
        <w:pStyle w:val="Point1"/>
        <w:rPr>
          <w:noProof/>
          <w:szCs w:val="24"/>
        </w:rPr>
      </w:pPr>
      <w:r>
        <w:rPr>
          <w:noProof/>
        </w:rPr>
        <w:t>d)</w:t>
      </w:r>
      <w:r>
        <w:rPr>
          <w:noProof/>
        </w:rPr>
        <w:tab/>
        <w:t>stručný popis metodiky výpočtu včetně toho, jak jsou zajišťovány adicionalita a významnost úspor;</w:t>
      </w:r>
    </w:p>
    <w:p>
      <w:pPr>
        <w:pStyle w:val="Point1"/>
        <w:rPr>
          <w:noProof/>
          <w:szCs w:val="24"/>
        </w:rPr>
      </w:pPr>
      <w:r>
        <w:rPr>
          <w:noProof/>
        </w:rPr>
        <w:t>e)</w:t>
      </w:r>
      <w:r>
        <w:rPr>
          <w:noProof/>
        </w:rPr>
        <w:tab/>
        <w:t>informace o tom, jak se řeší možná překrývání politických a individuálních opatření tak, aby se úspory energie nezapočítávaly dvakrát;</w:t>
      </w:r>
    </w:p>
    <w:p>
      <w:pPr>
        <w:pStyle w:val="Point1"/>
        <w:rPr>
          <w:noProof/>
          <w:szCs w:val="24"/>
        </w:rPr>
      </w:pPr>
      <w:r>
        <w:rPr>
          <w:noProof/>
        </w:rPr>
        <w:t>f)</w:t>
      </w:r>
      <w:r>
        <w:rPr>
          <w:noProof/>
        </w:rPr>
        <w:tab/>
        <w:t>klimatické rozdíly a použitý přístup (připadá-li to v úvahu).</w:t>
      </w:r>
    </w:p>
    <w:p>
      <w:pPr>
        <w:pStyle w:val="NumPar1"/>
        <w:rPr>
          <w:b/>
          <w:noProof/>
          <w:szCs w:val="24"/>
        </w:rPr>
      </w:pPr>
      <w:r>
        <w:rPr>
          <w:b/>
          <w:noProof/>
        </w:rPr>
        <w:t>Sledování a ověřování</w:t>
      </w:r>
    </w:p>
    <w:p>
      <w:pPr>
        <w:pStyle w:val="Point1"/>
        <w:rPr>
          <w:noProof/>
        </w:rPr>
      </w:pPr>
      <w:r>
        <w:rPr>
          <w:noProof/>
        </w:rPr>
        <w:t>a)</w:t>
      </w:r>
      <w:r>
        <w:rPr>
          <w:noProof/>
        </w:rPr>
        <w:tab/>
        <w:t>stručný popis systému sledování a ověřování a procesu ověřování;</w:t>
      </w:r>
    </w:p>
    <w:p>
      <w:pPr>
        <w:pStyle w:val="Point1"/>
        <w:rPr>
          <w:noProof/>
          <w:szCs w:val="24"/>
        </w:rPr>
      </w:pPr>
      <w:r>
        <w:rPr>
          <w:noProof/>
        </w:rPr>
        <w:t>b)</w:t>
      </w:r>
      <w:r>
        <w:rPr>
          <w:noProof/>
        </w:rPr>
        <w:tab/>
        <w:t>prováděcí veřejný orgán a jeho hlavní povinnosti při řízení systému sledování a ověřování ve vztahu k systému povinného zvyšování energetické účinnosti a/nebo alternativním opatřením;</w:t>
      </w:r>
    </w:p>
    <w:p>
      <w:pPr>
        <w:pStyle w:val="Point1"/>
        <w:rPr>
          <w:noProof/>
          <w:szCs w:val="24"/>
        </w:rPr>
      </w:pPr>
      <w:r>
        <w:rPr>
          <w:noProof/>
        </w:rPr>
        <w:t>c)</w:t>
      </w:r>
      <w:r>
        <w:rPr>
          <w:noProof/>
        </w:rPr>
        <w:tab/>
        <w:t>nezávislost sledování a ověřování na povinných, zúčastněných i pověřených stranách;</w:t>
      </w:r>
    </w:p>
    <w:p>
      <w:pPr>
        <w:pStyle w:val="Point1"/>
        <w:rPr>
          <w:noProof/>
          <w:szCs w:val="24"/>
        </w:rPr>
      </w:pPr>
      <w:r>
        <w:rPr>
          <w:noProof/>
        </w:rPr>
        <w:t>d)</w:t>
      </w:r>
      <w:r>
        <w:rPr>
          <w:noProof/>
        </w:rPr>
        <w:tab/>
        <w:t>statisticky významná část opatření ke zvýšení energetické účinnosti a část a kritéria použité k určení a výběru reprezentativního vzorku;</w:t>
      </w:r>
    </w:p>
    <w:p>
      <w:pPr>
        <w:pStyle w:val="Point1"/>
        <w:rPr>
          <w:noProof/>
          <w:szCs w:val="24"/>
        </w:rPr>
      </w:pPr>
      <w:r>
        <w:rPr>
          <w:noProof/>
        </w:rPr>
        <w:t>e)</w:t>
      </w:r>
      <w:r>
        <w:rPr>
          <w:noProof/>
        </w:rPr>
        <w:tab/>
        <w:t>ohlašovací povinnost pro povinné strany (úspory dosažené na každou z povinných stran nebo každou podskupinou povinných stran a celkem v rámci tohoto systému);</w:t>
      </w:r>
    </w:p>
    <w:p>
      <w:pPr>
        <w:pStyle w:val="Point1"/>
        <w:rPr>
          <w:noProof/>
          <w:szCs w:val="24"/>
        </w:rPr>
      </w:pPr>
      <w:r>
        <w:rPr>
          <w:noProof/>
        </w:rPr>
        <w:t>f)</w:t>
      </w:r>
      <w:r>
        <w:rPr>
          <w:noProof/>
        </w:rPr>
        <w:tab/>
        <w:t>zveřejnění úspor energie dosažených (každý rok) v rámci systému povinného zvyšování energetické účinnosti a alternativních opatření;</w:t>
      </w:r>
    </w:p>
    <w:p>
      <w:pPr>
        <w:pStyle w:val="Point1"/>
        <w:rPr>
          <w:noProof/>
          <w:szCs w:val="24"/>
        </w:rPr>
      </w:pPr>
      <w:r>
        <w:rPr>
          <w:noProof/>
        </w:rPr>
        <w:t>g)</w:t>
      </w:r>
      <w:r>
        <w:rPr>
          <w:noProof/>
        </w:rPr>
        <w:tab/>
        <w:t>informace o sankcích za porušení vnitrostátních předpisů;</w:t>
      </w:r>
    </w:p>
    <w:p>
      <w:pPr>
        <w:pStyle w:val="Point1"/>
        <w:rPr>
          <w:noProof/>
        </w:rPr>
      </w:pPr>
      <w:r>
        <w:rPr>
          <w:noProof/>
        </w:rPr>
        <w:t>h)</w:t>
      </w:r>
      <w:r>
        <w:rPr>
          <w:noProof/>
        </w:rPr>
        <w:tab/>
        <w:t>informace o plánovaných opatřeních v případě, že pokrok není uspokojivý.</w:t>
      </w:r>
    </w:p>
    <w:p>
      <w:pPr>
        <w:rPr>
          <w:noProof/>
          <w:szCs w:val="24"/>
        </w:rPr>
      </w:pPr>
      <w:r>
        <w:rPr>
          <w:noProof/>
        </w:rPr>
        <w:br w:type="page"/>
      </w:r>
    </w:p>
    <w:p>
      <w:pPr>
        <w:pStyle w:val="Annexetitre"/>
        <w:rPr>
          <w:b w:val="0"/>
          <w:i/>
          <w:noProof/>
          <w:szCs w:val="24"/>
          <w:u w:val="none"/>
        </w:rPr>
      </w:pPr>
      <w:r>
        <w:rPr>
          <w:b w:val="0"/>
          <w:i/>
          <w:noProof/>
          <w:u w:val="none"/>
        </w:rPr>
        <w:lastRenderedPageBreak/>
        <w:t>PŘÍLOHA III</w:t>
      </w:r>
    </w:p>
    <w:p>
      <w:pPr>
        <w:jc w:val="center"/>
        <w:rPr>
          <w:noProof/>
        </w:rPr>
      </w:pPr>
      <w:r>
        <w:rPr>
          <w:b/>
          <w:noProof/>
        </w:rPr>
        <w:t>INFORMACE O INVENTURÁCH SKLENÍKOVÝCH PLYNŮ</w:t>
      </w:r>
    </w:p>
    <w:p>
      <w:pPr>
        <w:jc w:val="center"/>
        <w:rPr>
          <w:noProof/>
        </w:rPr>
      </w:pPr>
      <w:r>
        <w:rPr>
          <w:b/>
          <w:noProof/>
          <w:color w:val="000000"/>
        </w:rPr>
        <w:t>Část 1</w:t>
      </w:r>
    </w:p>
    <w:p>
      <w:pPr>
        <w:spacing w:after="0"/>
        <w:rPr>
          <w:rFonts w:eastAsia="Times New Roman"/>
          <w:noProof/>
          <w:szCs w:val="24"/>
        </w:rPr>
      </w:pPr>
      <w:r>
        <w:rPr>
          <w:noProof/>
        </w:rPr>
        <w:t>Informace, které musí být obsaženy ve zprávách podle čl. 23 odst. 2:</w:t>
      </w:r>
    </w:p>
    <w:p>
      <w:pPr>
        <w:pStyle w:val="Point0"/>
        <w:rPr>
          <w:noProof/>
          <w:szCs w:val="24"/>
        </w:rPr>
      </w:pPr>
      <w:r>
        <w:rPr>
          <w:noProof/>
        </w:rPr>
        <w:t>a)</w:t>
      </w:r>
      <w:r>
        <w:rPr>
          <w:noProof/>
        </w:rPr>
        <w:tab/>
        <w:t>antropogenní emise skleníkových plynů uvedených v části 2 této přílohy a antropogenní emise skleníkových plynů uvedených v čl. 2 odst. 1 nařízení [ ] [ESR] za rok X-2;</w:t>
      </w:r>
    </w:p>
    <w:p>
      <w:pPr>
        <w:pStyle w:val="Point0"/>
        <w:rPr>
          <w:noProof/>
          <w:szCs w:val="24"/>
        </w:rPr>
      </w:pPr>
      <w:r>
        <w:rPr>
          <w:noProof/>
        </w:rPr>
        <w:t>b)</w:t>
      </w:r>
      <w:r>
        <w:rPr>
          <w:noProof/>
        </w:rPr>
        <w:tab/>
        <w:t>údaje o antropogenních emisích oxidu uhelnatého (CO), oxidu siřičitého (SO</w:t>
      </w:r>
      <w:r>
        <w:rPr>
          <w:noProof/>
          <w:vertAlign w:val="subscript"/>
        </w:rPr>
        <w:t>2</w:t>
      </w:r>
      <w:r>
        <w:rPr>
          <w:noProof/>
        </w:rPr>
        <w:t>), oxidů dusíku (NO</w:t>
      </w:r>
      <w:r>
        <w:rPr>
          <w:noProof/>
          <w:vertAlign w:val="subscript"/>
        </w:rPr>
        <w:t>x</w:t>
      </w:r>
      <w:r>
        <w:rPr>
          <w:noProof/>
        </w:rPr>
        <w:t>) a těkavých organických sloučenin za rok X-2, které jsou v souladu s údaji již vykazovanými podle článku 7 směrnice 2001/81/ES;</w:t>
      </w:r>
    </w:p>
    <w:p>
      <w:pPr>
        <w:pStyle w:val="Point0"/>
        <w:rPr>
          <w:noProof/>
          <w:szCs w:val="24"/>
        </w:rPr>
      </w:pPr>
      <w:r>
        <w:rPr>
          <w:noProof/>
        </w:rPr>
        <w:t>c)</w:t>
      </w:r>
      <w:r>
        <w:rPr>
          <w:noProof/>
        </w:rPr>
        <w:tab/>
        <w:t>antropogenní emise skleníkových plynů podle zdrojů a pohlcování CO</w:t>
      </w:r>
      <w:r>
        <w:rPr>
          <w:noProof/>
          <w:vertAlign w:val="subscript"/>
        </w:rPr>
        <w:t>2</w:t>
      </w:r>
      <w:r>
        <w:rPr>
          <w:noProof/>
        </w:rPr>
        <w:t xml:space="preserve"> pomocí propadů, vyvolané činnostmi v oblasti LULUCF za rok X-2, v souladu s metodikami uvedenými v části 3 této přílohy. Tyto údaje budou důležité taktéž pro zprávu o splnění požadavků podle článku 12 nařízení [ ] [LULUCF];</w:t>
      </w:r>
    </w:p>
    <w:p>
      <w:pPr>
        <w:pStyle w:val="Point0"/>
        <w:rPr>
          <w:noProof/>
          <w:szCs w:val="24"/>
        </w:rPr>
      </w:pPr>
      <w:r>
        <w:rPr>
          <w:noProof/>
        </w:rPr>
        <w:t>d)</w:t>
      </w:r>
      <w:r>
        <w:rPr>
          <w:noProof/>
        </w:rPr>
        <w:tab/>
        <w:t xml:space="preserve">jakékoli změny údajů uvedených v písmenech a) až c) za období mezi příslušným referenčním rokem nebo obdobím a rokem X-3, včetně důvodů těchto změn; </w:t>
      </w:r>
    </w:p>
    <w:p>
      <w:pPr>
        <w:pStyle w:val="Point0"/>
        <w:rPr>
          <w:noProof/>
          <w:szCs w:val="24"/>
        </w:rPr>
      </w:pPr>
      <w:r>
        <w:rPr>
          <w:noProof/>
        </w:rPr>
        <w:t>e)</w:t>
      </w:r>
      <w:r>
        <w:rPr>
          <w:noProof/>
        </w:rPr>
        <w:tab/>
        <w:t xml:space="preserve">údaje o ukazatelích za rok X-2, jak jsou uvedeny v části 4 této přílohy; </w:t>
      </w:r>
    </w:p>
    <w:p>
      <w:pPr>
        <w:pStyle w:val="Point0"/>
        <w:rPr>
          <w:noProof/>
          <w:szCs w:val="24"/>
        </w:rPr>
      </w:pPr>
      <w:r>
        <w:rPr>
          <w:noProof/>
        </w:rPr>
        <w:t>f)</w:t>
      </w:r>
      <w:r>
        <w:rPr>
          <w:noProof/>
        </w:rPr>
        <w:tab/>
        <w:t xml:space="preserve">souhrnné údaje o uzavřených převodech podle článku 5 nařízení [ ] [ESR] a článku 11 nařízení [ ] [LULUCF] za rok X-1; </w:t>
      </w:r>
    </w:p>
    <w:p>
      <w:pPr>
        <w:pStyle w:val="Point0"/>
        <w:rPr>
          <w:noProof/>
          <w:szCs w:val="24"/>
        </w:rPr>
      </w:pPr>
      <w:r>
        <w:rPr>
          <w:noProof/>
        </w:rPr>
        <w:t>g)</w:t>
      </w:r>
      <w:r>
        <w:rPr>
          <w:noProof/>
        </w:rPr>
        <w:tab/>
        <w:t xml:space="preserve">informace o krocích podniknutých za účelem zlepšení odhadů inventur, zejména v oblastech inventury, které byly na základě odborných přezkumů předmětem úprav nebo doporučení; </w:t>
      </w:r>
    </w:p>
    <w:p>
      <w:pPr>
        <w:pStyle w:val="Point0"/>
        <w:rPr>
          <w:noProof/>
          <w:szCs w:val="24"/>
        </w:rPr>
      </w:pPr>
      <w:r>
        <w:rPr>
          <w:noProof/>
        </w:rPr>
        <w:t>h)</w:t>
      </w:r>
      <w:r>
        <w:rPr>
          <w:noProof/>
        </w:rPr>
        <w:tab/>
        <w:t xml:space="preserve">skutečné nebo odhadované příděly ověřených emisí vykazovaných provozovateli zařízení podle směrnice 2003/87/ES na kategorie zdrojů národní inventury skleníkových plynů a poměr těchto ověřených emisí k celkovým vykázaným emisím skleníkových plynů z těchto kategorií zdrojů za rok X-2; </w:t>
      </w:r>
    </w:p>
    <w:p>
      <w:pPr>
        <w:pStyle w:val="Point0"/>
        <w:rPr>
          <w:noProof/>
          <w:szCs w:val="24"/>
        </w:rPr>
      </w:pPr>
      <w:r>
        <w:rPr>
          <w:noProof/>
        </w:rPr>
        <w:t>i)</w:t>
      </w:r>
      <w:r>
        <w:rPr>
          <w:noProof/>
        </w:rPr>
        <w:tab/>
        <w:t xml:space="preserve">výsledky kontrol souladu emisí vykázaných v inventurách skleníkových plynů za rok X-2 s ověřenými emisemi vykázanými v souladu se směrnicí 2003/87/ES; </w:t>
      </w:r>
    </w:p>
    <w:p>
      <w:pPr>
        <w:pStyle w:val="Point0"/>
        <w:rPr>
          <w:noProof/>
          <w:szCs w:val="24"/>
        </w:rPr>
      </w:pPr>
      <w:r>
        <w:rPr>
          <w:noProof/>
        </w:rPr>
        <w:t>j)</w:t>
      </w:r>
      <w:r>
        <w:rPr>
          <w:noProof/>
        </w:rPr>
        <w:tab/>
        <w:t>výsledky kontrol souladu údajů použitých pro odhad emisí při sestavování inventur skleníkových plynů za rok X-2 s:</w:t>
      </w:r>
    </w:p>
    <w:p>
      <w:pPr>
        <w:pStyle w:val="Point1"/>
        <w:rPr>
          <w:noProof/>
          <w:szCs w:val="24"/>
        </w:rPr>
      </w:pPr>
      <w:r>
        <w:rPr>
          <w:noProof/>
        </w:rPr>
        <w:t>i)</w:t>
      </w:r>
      <w:r>
        <w:rPr>
          <w:noProof/>
        </w:rPr>
        <w:tab/>
        <w:t xml:space="preserve">údaji použitými pro sestavení inventur látek znečišťujících ovzduší podle směrnice 2001/81/ES; </w:t>
      </w:r>
    </w:p>
    <w:p>
      <w:pPr>
        <w:pStyle w:val="Point1"/>
        <w:rPr>
          <w:noProof/>
          <w:szCs w:val="24"/>
        </w:rPr>
      </w:pPr>
      <w:r>
        <w:rPr>
          <w:noProof/>
        </w:rPr>
        <w:t>ii)</w:t>
      </w:r>
      <w:r>
        <w:rPr>
          <w:noProof/>
        </w:rPr>
        <w:tab/>
        <w:t xml:space="preserve">údaji vykazovanými podle čl. 19 odst. 1 a přílohy VII nařízení (EU) č. 517/2014; </w:t>
      </w:r>
    </w:p>
    <w:p>
      <w:pPr>
        <w:pStyle w:val="Point1"/>
        <w:rPr>
          <w:noProof/>
          <w:szCs w:val="24"/>
        </w:rPr>
      </w:pPr>
      <w:r>
        <w:rPr>
          <w:noProof/>
        </w:rPr>
        <w:t>iii)</w:t>
      </w:r>
      <w:r>
        <w:rPr>
          <w:noProof/>
        </w:rPr>
        <w:tab/>
        <w:t xml:space="preserve">energetickými údaji vykazovanými v souladu s článkem 4 a přílohou B nařízení (ES) č. 1099/2008; </w:t>
      </w:r>
    </w:p>
    <w:p>
      <w:pPr>
        <w:pStyle w:val="Point0"/>
        <w:rPr>
          <w:noProof/>
          <w:szCs w:val="24"/>
        </w:rPr>
      </w:pPr>
      <w:r>
        <w:rPr>
          <w:noProof/>
        </w:rPr>
        <w:t>k)</w:t>
      </w:r>
      <w:r>
        <w:rPr>
          <w:noProof/>
        </w:rPr>
        <w:tab/>
        <w:t xml:space="preserve">popis změn vnitrostátního inventurního systému; </w:t>
      </w:r>
    </w:p>
    <w:p>
      <w:pPr>
        <w:pStyle w:val="Point0"/>
        <w:rPr>
          <w:noProof/>
          <w:szCs w:val="24"/>
        </w:rPr>
      </w:pPr>
      <w:r>
        <w:rPr>
          <w:noProof/>
        </w:rPr>
        <w:t>l)</w:t>
      </w:r>
      <w:r>
        <w:rPr>
          <w:noProof/>
        </w:rPr>
        <w:tab/>
        <w:t xml:space="preserve">popis změn vnitrostátního registru; </w:t>
      </w:r>
    </w:p>
    <w:p>
      <w:pPr>
        <w:pStyle w:val="Point0"/>
        <w:rPr>
          <w:noProof/>
          <w:szCs w:val="24"/>
        </w:rPr>
      </w:pPr>
      <w:r>
        <w:rPr>
          <w:noProof/>
        </w:rPr>
        <w:t>m)</w:t>
      </w:r>
      <w:r>
        <w:rPr>
          <w:noProof/>
        </w:rPr>
        <w:tab/>
        <w:t xml:space="preserve">informace o plánu v oblasti zajištění kvality a kontroly kvality, obecné hodnocení nejistoty, obecné posouzení úplnosti a jakékoli další prvky zprávy o vnitrostátní </w:t>
      </w:r>
      <w:r>
        <w:rPr>
          <w:noProof/>
        </w:rPr>
        <w:lastRenderedPageBreak/>
        <w:t>inventuře skleníkových plynů nezbytné pro přípravu zprávy o inventuře skleníkových plynů v Unii;</w:t>
      </w:r>
    </w:p>
    <w:p>
      <w:pPr>
        <w:pStyle w:val="Point0"/>
        <w:rPr>
          <w:noProof/>
          <w:szCs w:val="24"/>
        </w:rPr>
      </w:pPr>
      <w:r>
        <w:rPr>
          <w:noProof/>
        </w:rPr>
        <w:t>n)</w:t>
      </w:r>
      <w:r>
        <w:rPr>
          <w:noProof/>
        </w:rPr>
        <w:tab/>
        <w:t>informace o záměrech členského státu využít flexibility v čl. 5 odst. 4 a 5 nařízení [ ] [ESR].</w:t>
      </w:r>
    </w:p>
    <w:p>
      <w:pPr>
        <w:spacing w:after="0"/>
        <w:rPr>
          <w:noProof/>
          <w:szCs w:val="24"/>
        </w:rPr>
      </w:pPr>
      <w:r>
        <w:rPr>
          <w:noProof/>
        </w:rPr>
        <w:t xml:space="preserve">Členský stát může požádat o výjimku z písmene c), chce-li použít jinou metodiku, než která je uvedena v části 3 této přílohy, pokud se požadovaného zlepšení metodiky nepodařilo dosáhnout tak, aby se zlepšení projevilo v inventurách skleníkových plynů za období 2021 až 2030, nebo náklady zlepšení metodiky by byly neúměrně vysoké ve srovnání s přínosy aplikace takové metodiky za účelem zlepšení započítávání emisí a jejich pohlcování vzhledem k malému významu emisí a jejich pohlcování z příslušných úložišť uhlíku. Členské státy, které si přejí výjimky využít, podají Komisi do 31. prosince 2020 odůvodněnou žádost, v níž uvedou časový harmonogram upřesňující, do kterého data by zlepšení metodiky mohlo být provedeno, a/nebo navrženou alternativní metodiku, a dále posouzení možných dopadů na přesnost započítávání. Komise může požádat, aby jí v konkrétně udané lhůtě přiměřené délky byly předloženy doplňující informace. Komise udělí výjimku, shledá-li, že je žádost opodstatněná. Je-li žádost zamítnuta, Komise své rozhodnutí odůvodní. </w:t>
      </w:r>
    </w:p>
    <w:p>
      <w:pPr>
        <w:spacing w:after="0"/>
        <w:jc w:val="center"/>
        <w:rPr>
          <w:rFonts w:eastAsia="Times New Roman"/>
          <w:b/>
          <w:noProof/>
          <w:color w:val="000000"/>
          <w:szCs w:val="24"/>
        </w:rPr>
      </w:pPr>
      <w:r>
        <w:rPr>
          <w:b/>
          <w:noProof/>
          <w:color w:val="000000"/>
        </w:rPr>
        <w:t>Část 2</w:t>
      </w:r>
    </w:p>
    <w:p>
      <w:pPr>
        <w:spacing w:after="0"/>
        <w:rPr>
          <w:noProof/>
          <w:color w:val="000000"/>
          <w:szCs w:val="24"/>
        </w:rPr>
      </w:pPr>
      <w:r>
        <w:rPr>
          <w:noProof/>
          <w:color w:val="000000"/>
        </w:rPr>
        <w:t xml:space="preserve">Sledované skleníkové plyny jsou: </w:t>
      </w:r>
    </w:p>
    <w:p>
      <w:pPr>
        <w:spacing w:after="0"/>
        <w:rPr>
          <w:rFonts w:eastAsia="Times New Roman"/>
          <w:noProof/>
          <w:color w:val="000000"/>
          <w:szCs w:val="24"/>
        </w:rPr>
      </w:pPr>
      <w:r>
        <w:rPr>
          <w:noProof/>
          <w:color w:val="000000"/>
        </w:rPr>
        <w:t>oxid uhličitý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methan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oxid dusný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fluorid sírový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fluorid dusitý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částečně fluorované uhlovodíky (HFC):</w:t>
      </w:r>
    </w:p>
    <w:tbl>
      <w:tblPr>
        <w:tblW w:w="5000" w:type="pct"/>
        <w:tblCellSpacing w:w="0" w:type="dxa"/>
        <w:tblCellMar>
          <w:left w:w="0" w:type="dxa"/>
          <w:right w:w="0" w:type="dxa"/>
        </w:tblCellMar>
        <w:tblLook w:val="04A0" w:firstRow="1" w:lastRow="0" w:firstColumn="1" w:lastColumn="0" w:noHBand="0" w:noVBand="1"/>
      </w:tblPr>
      <w:tblGrid>
        <w:gridCol w:w="404"/>
        <w:gridCol w:w="8669"/>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nebo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zcela fluorované uhlovodíky (PFC):</w:t>
      </w:r>
    </w:p>
    <w:tbl>
      <w:tblPr>
        <w:tblW w:w="5000" w:type="pct"/>
        <w:tblCellSpacing w:w="0" w:type="dxa"/>
        <w:tblCellMar>
          <w:left w:w="0" w:type="dxa"/>
          <w:right w:w="0" w:type="dxa"/>
        </w:tblCellMar>
        <w:tblLook w:val="04A0" w:firstRow="1" w:lastRow="0" w:firstColumn="1" w:lastColumn="0" w:noHBand="0" w:noVBand="1"/>
      </w:tblPr>
      <w:tblGrid>
        <w:gridCol w:w="567"/>
        <w:gridCol w:w="8506"/>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Perfluormethan,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Perfluorethan,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Perfluorpropan,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Perfluorcyklobutan,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Perfluorcyklopropan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Perfluorbutan,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Perfluorpentan,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Perfluorhexan,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Část 3 - Metodiky monitorování a vykazování v oblasti LULUCF</w:t>
      </w:r>
    </w:p>
    <w:p>
      <w:pPr>
        <w:rPr>
          <w:noProof/>
        </w:rPr>
      </w:pPr>
      <w:r>
        <w:rPr>
          <w:noProof/>
        </w:rPr>
        <w:t xml:space="preserve">Prostorově přesné údaje o změnách ve využívání půdy za účelem určení a sledování kategorií využití půdy a přechodů mezi jednotlivými kategoriemi využití půdy. </w:t>
      </w:r>
    </w:p>
    <w:p>
      <w:pPr>
        <w:rPr>
          <w:noProof/>
        </w:rPr>
      </w:pPr>
      <w:r>
        <w:rPr>
          <w:noProof/>
        </w:rPr>
        <w:t xml:space="preserve">Metodika úrovně 1 používající globálně stanovené standardní emisní faktory a hodnoty parametrů v souladu s pokyny IPCC z roku 2006 pro národní inventury skleníkových plynů. </w:t>
      </w:r>
    </w:p>
    <w:p>
      <w:pPr>
        <w:rPr>
          <w:noProof/>
        </w:rPr>
      </w:pPr>
      <w:r>
        <w:rPr>
          <w:noProof/>
        </w:rPr>
        <w:t xml:space="preserve">V případě emisí a pohlcení pro zásobník uhlíku představující nejméně 25–30 % emisí nebo pohlcení v kategorii zdroje nebo propadu, jež je v národním inventurním systému členského státu upřednostněna, jelikož její odhad má významný vliv na celkovou inventuru skleníkových plynů v dané zemi z hlediska absolutní úrovně emisí a pohlcení, trendů emisí a pohlcení nebo nejistoty s ohledem na emise a pohlcení v kategoriích využití půdy, alespoň metodika úrovně 2 používající vnitrostátně stanovené emisní faktory a hodnoty parametrů přizpůsobené situaci v daném členském státě v souladu s pokyny IPCC z roku 2006 pro národní inventury skleníkových plynů. </w:t>
      </w:r>
    </w:p>
    <w:p>
      <w:pPr>
        <w:rPr>
          <w:noProof/>
        </w:rPr>
      </w:pPr>
      <w:r>
        <w:rPr>
          <w:noProof/>
        </w:rPr>
        <w:t>Členské státy se vybízejí, aby uplatňovaly metodiku úrovně 3 používající neparametrické modelování přizpůsobené situaci v jednotlivých členských státech a popisující fyzikální interakci biofyzikálního systému v souladu s pokyny IPCC z roku 2006 pro národní inventury skleníkových plynů.</w:t>
      </w:r>
    </w:p>
    <w:p>
      <w:pPr>
        <w:jc w:val="center"/>
        <w:rPr>
          <w:b/>
          <w:noProof/>
        </w:rPr>
      </w:pPr>
      <w:r>
        <w:rPr>
          <w:b/>
          <w:noProof/>
        </w:rPr>
        <w:t>Část 4 - Ukazatele inventury</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Název ukazatele</w:t>
            </w:r>
          </w:p>
        </w:tc>
        <w:tc>
          <w:tcPr>
            <w:tcW w:w="3795" w:type="pct"/>
          </w:tcPr>
          <w:p>
            <w:pPr>
              <w:pStyle w:val="AFWTable"/>
              <w:rPr>
                <w:rFonts w:ascii="Times New Roman" w:hAnsi="Times New Roman" w:cs="Times New Roman"/>
                <w:noProof/>
              </w:rPr>
            </w:pPr>
            <w:r>
              <w:rPr>
                <w:rFonts w:ascii="Times New Roman" w:hAnsi="Times New Roman"/>
                <w:noProof/>
              </w:rPr>
              <w:t>Ukazatel</w:t>
            </w:r>
          </w:p>
        </w:tc>
      </w:tr>
      <w:tr>
        <w:tc>
          <w:tcPr>
            <w:tcW w:w="1205" w:type="pct"/>
          </w:tcPr>
          <w:p>
            <w:pPr>
              <w:pStyle w:val="AFWTable"/>
              <w:rPr>
                <w:rFonts w:ascii="Times New Roman" w:hAnsi="Times New Roman" w:cs="Times New Roman"/>
                <w:b/>
                <w:noProof/>
              </w:rPr>
            </w:pPr>
            <w:r>
              <w:rPr>
                <w:rFonts w:ascii="Times New Roman" w:hAnsi="Times New Roman"/>
                <w:noProof/>
              </w:rPr>
              <w:t>PŘEMĚNA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z veřejných elektráren a z elektráren pro vlastní spotřebu v t/TJ</w:t>
            </w:r>
          </w:p>
          <w:p>
            <w:pPr>
              <w:pStyle w:val="AFWTable"/>
              <w:rPr>
                <w:rFonts w:ascii="Times New Roman" w:hAnsi="Times New Roman" w:cs="Times New Roman"/>
                <w:noProof/>
              </w:rPr>
            </w:pPr>
            <w:r>
              <w:rPr>
                <w:rFonts w:ascii="Times New Roman" w:hAnsi="Times New Roman"/>
                <w:noProof/>
              </w:rPr>
              <w:t>Emise CO</w:t>
            </w:r>
            <w:r>
              <w:rPr>
                <w:rFonts w:ascii="Times New Roman" w:hAnsi="Times New Roman"/>
                <w:noProof/>
                <w:vertAlign w:val="subscript"/>
              </w:rPr>
              <w:t>2</w:t>
            </w:r>
            <w:r>
              <w:rPr>
                <w:rFonts w:ascii="Times New Roman" w:hAnsi="Times New Roman"/>
                <w:noProof/>
              </w:rPr>
              <w:t xml:space="preserve"> z veřejných tepelných elektráren a z tepelných elektráren pro vlastní spotřebu v kt, rozdělené podle typu produktů – výkon u veřejných tepelných elektráren a tepelných elektráren pro vlastní spotřebu v PJ</w:t>
            </w:r>
          </w:p>
        </w:tc>
      </w:tr>
      <w:tr>
        <w:tc>
          <w:tcPr>
            <w:tcW w:w="1205" w:type="pct"/>
          </w:tcPr>
          <w:p>
            <w:pPr>
              <w:pStyle w:val="AFWTable"/>
              <w:rPr>
                <w:rFonts w:ascii="Times New Roman" w:hAnsi="Times New Roman" w:cs="Times New Roman"/>
                <w:b/>
                <w:noProof/>
              </w:rPr>
            </w:pPr>
            <w:r>
              <w:rPr>
                <w:rFonts w:ascii="Times New Roman" w:hAnsi="Times New Roman"/>
                <w:noProof/>
              </w:rPr>
              <w:t>PŘEMĚNA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z elektráren pro vlastní spotřebu v t/TJ</w:t>
            </w:r>
          </w:p>
          <w:p>
            <w:pPr>
              <w:pStyle w:val="AFWTable"/>
              <w:rPr>
                <w:rFonts w:ascii="Times New Roman" w:hAnsi="Times New Roman" w:cs="Times New Roman"/>
                <w:noProof/>
              </w:rPr>
            </w:pPr>
            <w:r>
              <w:rPr>
                <w:rFonts w:ascii="Times New Roman" w:hAnsi="Times New Roman"/>
                <w:noProof/>
              </w:rPr>
              <w:t>Emise CO</w:t>
            </w:r>
            <w:r>
              <w:rPr>
                <w:rFonts w:ascii="Times New Roman" w:hAnsi="Times New Roman"/>
                <w:noProof/>
                <w:vertAlign w:val="subscript"/>
              </w:rPr>
              <w:t>2</w:t>
            </w:r>
            <w:r>
              <w:rPr>
                <w:rFonts w:ascii="Times New Roman" w:hAnsi="Times New Roman"/>
                <w:noProof/>
              </w:rPr>
              <w:t xml:space="preserve"> z elektráren pro vlastní spotřebu v kt, rozdělené podle typu produktů – výkon u </w:t>
            </w:r>
            <w:r>
              <w:rPr>
                <w:rFonts w:ascii="Times New Roman" w:hAnsi="Times New Roman"/>
                <w:noProof/>
              </w:rPr>
              <w:lastRenderedPageBreak/>
              <w:t>tepelných elektráren pro vlastní spotřebu v PJ</w:t>
            </w:r>
          </w:p>
        </w:tc>
      </w:tr>
      <w:tr>
        <w:tc>
          <w:tcPr>
            <w:tcW w:w="1205" w:type="pct"/>
          </w:tcPr>
          <w:p>
            <w:pPr>
              <w:pStyle w:val="AFWTable"/>
              <w:rPr>
                <w:rFonts w:ascii="Times New Roman" w:hAnsi="Times New Roman" w:cs="Times New Roman"/>
                <w:b/>
                <w:noProof/>
              </w:rPr>
            </w:pPr>
            <w:r>
              <w:rPr>
                <w:rFonts w:ascii="Times New Roman" w:hAnsi="Times New Roman"/>
                <w:noProof/>
              </w:rPr>
              <w:lastRenderedPageBreak/>
              <w:t>PRŮMYSL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Celková náročnost vůči CO</w:t>
            </w:r>
            <w:r>
              <w:rPr>
                <w:rFonts w:ascii="Times New Roman" w:hAnsi="Times New Roman"/>
                <w:noProof/>
                <w:vertAlign w:val="subscript"/>
              </w:rPr>
              <w:t>2</w:t>
            </w:r>
            <w:r>
              <w:rPr>
                <w:rFonts w:ascii="Times New Roman" w:hAnsi="Times New Roman"/>
                <w:noProof/>
              </w:rPr>
              <w:t xml:space="preserve"> — ocelářský a hutní průmysl, v t/mil. eur</w:t>
            </w:r>
          </w:p>
          <w:p>
            <w:pPr>
              <w:pStyle w:val="AFWTable"/>
              <w:rPr>
                <w:rFonts w:ascii="Times New Roman" w:hAnsi="Times New Roman" w:cs="Times New Roman"/>
                <w:noProof/>
              </w:rPr>
            </w:pPr>
            <w:r>
              <w:rPr>
                <w:rFonts w:ascii="Times New Roman" w:hAnsi="Times New Roman"/>
                <w:noProof/>
              </w:rPr>
              <w:t>Celkové emise CO</w:t>
            </w:r>
            <w:r>
              <w:rPr>
                <w:rFonts w:ascii="Times New Roman" w:hAnsi="Times New Roman"/>
                <w:noProof/>
                <w:vertAlign w:val="subscript"/>
              </w:rPr>
              <w:t>2</w:t>
            </w:r>
            <w:r>
              <w:rPr>
                <w:rFonts w:ascii="Times New Roman" w:hAnsi="Times New Roman"/>
                <w:noProof/>
              </w:rPr>
              <w:t xml:space="preserve"> z ocelářského a hutního průmyslu v kt, rozdělené podle hrubé přidané hodnoty – ocelářský a hutní průmysl</w:t>
            </w:r>
          </w:p>
        </w:tc>
      </w:tr>
      <w:tr>
        <w:tc>
          <w:tcPr>
            <w:tcW w:w="1205" w:type="pct"/>
          </w:tcPr>
          <w:p>
            <w:pPr>
              <w:pStyle w:val="AFWTable"/>
              <w:rPr>
                <w:rFonts w:ascii="Times New Roman" w:hAnsi="Times New Roman" w:cs="Times New Roman"/>
                <w:b/>
                <w:noProof/>
              </w:rPr>
            </w:pPr>
            <w:r>
              <w:rPr>
                <w:rFonts w:ascii="Times New Roman" w:hAnsi="Times New Roman"/>
                <w:noProof/>
              </w:rPr>
              <w:t>PRŮMYSL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Energetická náročnost vůči CO</w:t>
            </w:r>
            <w:r>
              <w:rPr>
                <w:rFonts w:ascii="Times New Roman" w:hAnsi="Times New Roman"/>
                <w:noProof/>
                <w:vertAlign w:val="subscript"/>
              </w:rPr>
              <w:t>2</w:t>
            </w:r>
            <w:r>
              <w:rPr>
                <w:rFonts w:ascii="Times New Roman" w:hAnsi="Times New Roman"/>
                <w:noProof/>
              </w:rPr>
              <w:t xml:space="preserve"> — chemický průmysl</w:t>
            </w:r>
            <w:r>
              <w:rPr>
                <w:rFonts w:ascii="Times New Roman" w:hAnsi="Times New Roman"/>
                <w:noProof/>
                <w:vertAlign w:val="subscript"/>
              </w:rPr>
              <w:t>,</w:t>
            </w:r>
            <w:r>
              <w:rPr>
                <w:rFonts w:ascii="Times New Roman" w:hAnsi="Times New Roman"/>
                <w:noProof/>
              </w:rPr>
              <w:t xml:space="preserve"> v t/mil. eur</w:t>
            </w:r>
          </w:p>
          <w:p>
            <w:pPr>
              <w:pStyle w:val="AFWTable"/>
              <w:rPr>
                <w:rFonts w:ascii="Times New Roman" w:hAnsi="Times New Roman" w:cs="Times New Roman"/>
                <w:noProof/>
              </w:rPr>
            </w:pPr>
            <w:r>
              <w:rPr>
                <w:rFonts w:ascii="Times New Roman" w:hAnsi="Times New Roman"/>
                <w:noProof/>
              </w:rPr>
              <w:t>Energetické emise CO</w:t>
            </w:r>
            <w:r>
              <w:rPr>
                <w:rFonts w:ascii="Times New Roman" w:hAnsi="Times New Roman"/>
                <w:noProof/>
                <w:vertAlign w:val="subscript"/>
              </w:rPr>
              <w:t>2</w:t>
            </w:r>
            <w:r>
              <w:rPr>
                <w:rFonts w:ascii="Times New Roman" w:hAnsi="Times New Roman"/>
                <w:noProof/>
              </w:rPr>
              <w:t xml:space="preserve"> z chemického průmyslu v kt, rozdělené podle hrubé přidané hodnoty – chemický průmysl</w:t>
            </w:r>
          </w:p>
        </w:tc>
      </w:tr>
      <w:tr>
        <w:tc>
          <w:tcPr>
            <w:tcW w:w="1205" w:type="pct"/>
          </w:tcPr>
          <w:p>
            <w:pPr>
              <w:pStyle w:val="AFWTable"/>
              <w:rPr>
                <w:rFonts w:ascii="Times New Roman" w:hAnsi="Times New Roman" w:cs="Times New Roman"/>
                <w:b/>
                <w:noProof/>
              </w:rPr>
            </w:pPr>
            <w:r>
              <w:rPr>
                <w:rFonts w:ascii="Times New Roman" w:hAnsi="Times New Roman"/>
                <w:noProof/>
              </w:rPr>
              <w:t>PRŮMYSL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Energetická náročnost vůči CO</w:t>
            </w:r>
            <w:r>
              <w:rPr>
                <w:rFonts w:ascii="Times New Roman" w:hAnsi="Times New Roman"/>
                <w:noProof/>
                <w:vertAlign w:val="subscript"/>
              </w:rPr>
              <w:t>2</w:t>
            </w:r>
            <w:r>
              <w:rPr>
                <w:rFonts w:ascii="Times New Roman" w:hAnsi="Times New Roman"/>
                <w:noProof/>
              </w:rPr>
              <w:t xml:space="preserve"> – sklářský a hrnčířský průmysl, průmysl stavebních materiálů, v t/mil. eur</w:t>
            </w:r>
          </w:p>
          <w:p>
            <w:pPr>
              <w:pStyle w:val="AFWTable"/>
              <w:rPr>
                <w:rFonts w:ascii="Times New Roman" w:hAnsi="Times New Roman" w:cs="Times New Roman"/>
                <w:noProof/>
              </w:rPr>
            </w:pPr>
            <w:r>
              <w:rPr>
                <w:rFonts w:ascii="Times New Roman" w:hAnsi="Times New Roman"/>
                <w:noProof/>
              </w:rPr>
              <w:t>Energetické emise CO</w:t>
            </w:r>
            <w:r>
              <w:rPr>
                <w:rFonts w:ascii="Times New Roman" w:hAnsi="Times New Roman"/>
                <w:noProof/>
                <w:vertAlign w:val="subscript"/>
              </w:rPr>
              <w:t>2</w:t>
            </w:r>
            <w:r>
              <w:rPr>
                <w:rFonts w:ascii="Times New Roman" w:hAnsi="Times New Roman"/>
                <w:noProof/>
              </w:rPr>
              <w:t xml:space="preserve"> ze sklářského a hrnčířského průmyslu a průmyslu stavebních materiálů v kt, rozdělené podle hrubé přidané hodnoty – sklářský a hrnčířský průmysl, průmysl stavebních materiálů</w:t>
            </w:r>
          </w:p>
        </w:tc>
      </w:tr>
      <w:tr>
        <w:tc>
          <w:tcPr>
            <w:tcW w:w="1205" w:type="pct"/>
          </w:tcPr>
          <w:p>
            <w:pPr>
              <w:pStyle w:val="AFWTable"/>
              <w:rPr>
                <w:rFonts w:ascii="Times New Roman" w:hAnsi="Times New Roman" w:cs="Times New Roman"/>
                <w:b/>
                <w:noProof/>
              </w:rPr>
            </w:pPr>
            <w:r>
              <w:rPr>
                <w:rFonts w:ascii="Times New Roman" w:hAnsi="Times New Roman"/>
                <w:noProof/>
              </w:rPr>
              <w:t>PRŮMYSL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Energetická náročnost vůči CO</w:t>
            </w:r>
            <w:r>
              <w:rPr>
                <w:rFonts w:ascii="Times New Roman" w:hAnsi="Times New Roman"/>
                <w:noProof/>
                <w:vertAlign w:val="subscript"/>
              </w:rPr>
              <w:t>2</w:t>
            </w:r>
            <w:r>
              <w:rPr>
                <w:rFonts w:ascii="Times New Roman" w:hAnsi="Times New Roman"/>
                <w:noProof/>
              </w:rPr>
              <w:t xml:space="preserve"> – potravinářský, nápojový a tabákový průmysl, v t/mil. eur</w:t>
            </w:r>
          </w:p>
          <w:p>
            <w:pPr>
              <w:pStyle w:val="AFWTable"/>
              <w:rPr>
                <w:rFonts w:ascii="Times New Roman" w:hAnsi="Times New Roman" w:cs="Times New Roman"/>
                <w:noProof/>
              </w:rPr>
            </w:pPr>
            <w:r>
              <w:rPr>
                <w:rFonts w:ascii="Times New Roman" w:hAnsi="Times New Roman"/>
                <w:noProof/>
              </w:rPr>
              <w:t>Energetické emise CO</w:t>
            </w:r>
            <w:r>
              <w:rPr>
                <w:rFonts w:ascii="Times New Roman" w:hAnsi="Times New Roman"/>
                <w:noProof/>
                <w:vertAlign w:val="subscript"/>
              </w:rPr>
              <w:t>2</w:t>
            </w:r>
            <w:r>
              <w:rPr>
                <w:rFonts w:ascii="Times New Roman" w:hAnsi="Times New Roman"/>
                <w:noProof/>
              </w:rPr>
              <w:t xml:space="preserve"> z potravinářského, nápojového a tabákového průmyslu v kt, rozdělené podle hrubé přidané hodnoty – potravinářský, nápojový a tabákový průmysl, v mil. eur (EC95)</w:t>
            </w:r>
          </w:p>
        </w:tc>
      </w:tr>
      <w:tr>
        <w:tc>
          <w:tcPr>
            <w:tcW w:w="1205" w:type="pct"/>
          </w:tcPr>
          <w:p>
            <w:pPr>
              <w:pStyle w:val="AFWTable"/>
              <w:rPr>
                <w:rFonts w:ascii="Times New Roman" w:hAnsi="Times New Roman" w:cs="Times New Roman"/>
                <w:b/>
                <w:noProof/>
              </w:rPr>
            </w:pPr>
            <w:r>
              <w:rPr>
                <w:rFonts w:ascii="Times New Roman" w:hAnsi="Times New Roman"/>
                <w:noProof/>
              </w:rPr>
              <w:t>PRŮMYSL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Energetická náročnost vůči CO</w:t>
            </w:r>
            <w:r>
              <w:rPr>
                <w:rFonts w:ascii="Times New Roman" w:hAnsi="Times New Roman"/>
                <w:noProof/>
                <w:vertAlign w:val="subscript"/>
              </w:rPr>
              <w:t>2</w:t>
            </w:r>
            <w:r>
              <w:rPr>
                <w:rFonts w:ascii="Times New Roman" w:hAnsi="Times New Roman"/>
                <w:noProof/>
              </w:rPr>
              <w:t xml:space="preserve"> – papír a papírenský průmysl, v t/mil. eur Energetické emise CO</w:t>
            </w:r>
            <w:r>
              <w:rPr>
                <w:rFonts w:ascii="Times New Roman" w:hAnsi="Times New Roman"/>
                <w:noProof/>
                <w:vertAlign w:val="subscript"/>
              </w:rPr>
              <w:t>2</w:t>
            </w:r>
            <w:r>
              <w:rPr>
                <w:rFonts w:ascii="Times New Roman" w:hAnsi="Times New Roman"/>
                <w:noProof/>
              </w:rPr>
              <w:t xml:space="preserve"> z papíru a papírenského průmyslu v kt – Hrubá přidaná hodnota – papír a papírenský průmysl, v mil. eur (EC95)</w:t>
            </w:r>
          </w:p>
        </w:tc>
      </w:tr>
      <w:tr>
        <w:tc>
          <w:tcPr>
            <w:tcW w:w="1205" w:type="pct"/>
          </w:tcPr>
          <w:p>
            <w:pPr>
              <w:pStyle w:val="AFWTable"/>
              <w:rPr>
                <w:rFonts w:ascii="Times New Roman" w:hAnsi="Times New Roman" w:cs="Times New Roman"/>
                <w:b/>
                <w:noProof/>
              </w:rPr>
            </w:pPr>
            <w:r>
              <w:rPr>
                <w:rFonts w:ascii="Times New Roman" w:hAnsi="Times New Roman"/>
                <w:noProof/>
              </w:rPr>
              <w:t>DOMÁCNOST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domácností z vytápění, v t/m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Emise CO</w:t>
            </w:r>
            <w:r>
              <w:rPr>
                <w:rFonts w:ascii="Times New Roman" w:hAnsi="Times New Roman"/>
                <w:noProof/>
                <w:vertAlign w:val="subscript"/>
              </w:rPr>
              <w:t>2</w:t>
            </w:r>
            <w:r>
              <w:rPr>
                <w:rFonts w:ascii="Times New Roman" w:hAnsi="Times New Roman"/>
                <w:noProof/>
              </w:rPr>
              <w:t xml:space="preserve"> domácností z vytápění, rozdělené podle výměry plochy trvale obydlených obydlí, v mil.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SLUŽBY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komerčního a veřejného sektoru z vytápění, v kg/m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Emise CO</w:t>
            </w:r>
            <w:r>
              <w:rPr>
                <w:rFonts w:ascii="Times New Roman" w:hAnsi="Times New Roman"/>
                <w:noProof/>
                <w:vertAlign w:val="subscript"/>
              </w:rPr>
              <w:t>2</w:t>
            </w:r>
            <w:r>
              <w:rPr>
                <w:rFonts w:ascii="Times New Roman" w:hAnsi="Times New Roman"/>
                <w:noProof/>
              </w:rPr>
              <w:t xml:space="preserve"> z vytápění v komerčním a veřejném sektoru v kt, rozdělené podle výměry plochy služebních budov v mil.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DOPRAVA B0</w:t>
            </w: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z nafty z osobních automobilů, v g/100 km</w:t>
            </w:r>
          </w:p>
        </w:tc>
      </w:tr>
      <w:tr>
        <w:tc>
          <w:tcPr>
            <w:tcW w:w="1205" w:type="pct"/>
          </w:tcPr>
          <w:p>
            <w:pPr>
              <w:pStyle w:val="AFWTable"/>
              <w:rPr>
                <w:rFonts w:ascii="Times New Roman" w:hAnsi="Times New Roman" w:cs="Times New Roman"/>
                <w:b/>
                <w:noProof/>
              </w:rPr>
            </w:pPr>
            <w:r>
              <w:rPr>
                <w:rFonts w:ascii="Times New Roman" w:hAnsi="Times New Roman"/>
                <w:noProof/>
              </w:rPr>
              <w:t>DOPRAVA B0</w:t>
            </w:r>
          </w:p>
        </w:tc>
        <w:tc>
          <w:tcPr>
            <w:tcW w:w="3795" w:type="pct"/>
          </w:tcPr>
          <w:p>
            <w:pPr>
              <w:pStyle w:val="AFWTable"/>
              <w:rPr>
                <w:rFonts w:ascii="Times New Roman" w:hAnsi="Times New Roman" w:cs="Times New Roman"/>
                <w:noProof/>
              </w:rPr>
            </w:pPr>
            <w:r>
              <w:rPr>
                <w:rFonts w:ascii="Times New Roman" w:hAnsi="Times New Roman"/>
                <w:noProof/>
              </w:rPr>
              <w:t>Specifické emise CO</w:t>
            </w:r>
            <w:r>
              <w:rPr>
                <w:rFonts w:ascii="Times New Roman" w:hAnsi="Times New Roman"/>
                <w:noProof/>
                <w:vertAlign w:val="subscript"/>
              </w:rPr>
              <w:t>2</w:t>
            </w:r>
            <w:r>
              <w:rPr>
                <w:rFonts w:ascii="Times New Roman" w:hAnsi="Times New Roman"/>
                <w:noProof/>
              </w:rPr>
              <w:t xml:space="preserve"> z benzínu z osobních automobilů, v g/100 km</w:t>
            </w:r>
          </w:p>
        </w:tc>
      </w:tr>
    </w:tbl>
    <w:p>
      <w:pPr>
        <w:rPr>
          <w:rFonts w:eastAsia="Times New Roman"/>
          <w:noProof/>
          <w:color w:val="000000"/>
          <w:szCs w:val="24"/>
        </w:rPr>
      </w:pPr>
    </w:p>
    <w:p>
      <w:pPr>
        <w:pStyle w:val="Annexetitre"/>
        <w:rPr>
          <w:b w:val="0"/>
          <w:i/>
          <w:noProof/>
          <w:u w:val="none"/>
        </w:rPr>
      </w:pPr>
      <w:r>
        <w:rPr>
          <w:b w:val="0"/>
          <w:i/>
          <w:noProof/>
          <w:u w:val="none"/>
        </w:rPr>
        <w:t>PŘÍLOHA IV</w:t>
      </w:r>
    </w:p>
    <w:p>
      <w:pPr>
        <w:jc w:val="center"/>
        <w:rPr>
          <w:noProof/>
        </w:rPr>
      </w:pPr>
      <w:r>
        <w:rPr>
          <w:b/>
          <w:noProof/>
        </w:rPr>
        <w:t>INFORMACE O POLITIKÁCH A OPATŘENÍCH V OBLASTI EMISÍ SKLENÍKOVÝCH PLYNŮ</w:t>
      </w:r>
    </w:p>
    <w:p>
      <w:pPr>
        <w:rPr>
          <w:noProof/>
        </w:rPr>
      </w:pPr>
      <w:r>
        <w:rPr>
          <w:noProof/>
        </w:rPr>
        <w:t>Informace, které musí být obsaženy ve zprávách podle článku 16:</w:t>
      </w:r>
    </w:p>
    <w:p>
      <w:pPr>
        <w:pStyle w:val="Point0"/>
        <w:rPr>
          <w:noProof/>
        </w:rPr>
      </w:pPr>
      <w:r>
        <w:rPr>
          <w:noProof/>
        </w:rPr>
        <w:t>a)</w:t>
      </w:r>
      <w:r>
        <w:rPr>
          <w:noProof/>
        </w:rPr>
        <w:tab/>
        <w:t xml:space="preserve">popis vnitrostátního systému pro podávání zpráv o politikách a opatřeních a pro vykazování odhadů antropogenních emisí skleníkových plynů ze zdrojů a pohlcování pomocí propadů v souladu s čl. 32 odst. 1 nebo informace o jakýchkoli změnách tohoto systému, pokud byl již tento popis poskytnut; </w:t>
      </w:r>
    </w:p>
    <w:p>
      <w:pPr>
        <w:pStyle w:val="Point0"/>
        <w:rPr>
          <w:noProof/>
        </w:rPr>
      </w:pPr>
      <w:r>
        <w:rPr>
          <w:noProof/>
        </w:rPr>
        <w:t>b)</w:t>
      </w:r>
      <w:r>
        <w:rPr>
          <w:noProof/>
        </w:rPr>
        <w:tab/>
        <w:t>aktualizace týkající se dlouhodobých nízkoemisních strategií uvedených v článku 14 a pokroku při provádění těchto strategií;</w:t>
      </w:r>
    </w:p>
    <w:p>
      <w:pPr>
        <w:pStyle w:val="Point0"/>
        <w:rPr>
          <w:noProof/>
        </w:rPr>
      </w:pPr>
      <w:r>
        <w:rPr>
          <w:noProof/>
        </w:rPr>
        <w:t>c)</w:t>
      </w:r>
      <w:r>
        <w:rPr>
          <w:noProof/>
        </w:rPr>
        <w:tab/>
        <w:t xml:space="preserve">informace o vnitrostátních politikách a opatřeních nebo souborech opatření a o provádění politik a opatření nebo souborů opatření Unie, které omezují nebo snižují emise skleníkových plynů ze zdrojů nebo podporují pohlcování pomocí propadů, poskytované v rozlišení podle odvětví a uspořádané podle jednotlivých plynů nebo skupin plynů (HFC a PFC) uvedených v části 2 přílohy III. Tyto informace musí odkazovat na platné a příslušné vnitrostátní nebo unijní politiky a zahrnují: </w:t>
      </w:r>
    </w:p>
    <w:p>
      <w:pPr>
        <w:pStyle w:val="Point1"/>
        <w:rPr>
          <w:noProof/>
        </w:rPr>
      </w:pPr>
      <w:r>
        <w:rPr>
          <w:noProof/>
        </w:rPr>
        <w:t>i)</w:t>
      </w:r>
      <w:r>
        <w:rPr>
          <w:noProof/>
        </w:rPr>
        <w:tab/>
        <w:t>cíl politiky nebo opatření a stručný popis politiky nebo opatření;</w:t>
      </w:r>
    </w:p>
    <w:p>
      <w:pPr>
        <w:pStyle w:val="Point1"/>
        <w:rPr>
          <w:noProof/>
        </w:rPr>
      </w:pPr>
      <w:r>
        <w:rPr>
          <w:noProof/>
        </w:rPr>
        <w:t>ii)</w:t>
      </w:r>
      <w:r>
        <w:rPr>
          <w:noProof/>
        </w:rPr>
        <w:tab/>
        <w:t>druh politického nástroje;</w:t>
      </w:r>
    </w:p>
    <w:p>
      <w:pPr>
        <w:pStyle w:val="Point1"/>
        <w:rPr>
          <w:noProof/>
        </w:rPr>
      </w:pPr>
      <w:r>
        <w:rPr>
          <w:noProof/>
        </w:rPr>
        <w:t>iii)</w:t>
      </w:r>
      <w:r>
        <w:rPr>
          <w:noProof/>
        </w:rPr>
        <w:tab/>
        <w:t>stav provádění politiky nebo opatření nebo souborů opatření;</w:t>
      </w:r>
    </w:p>
    <w:p>
      <w:pPr>
        <w:pStyle w:val="Point1"/>
        <w:rPr>
          <w:noProof/>
        </w:rPr>
      </w:pPr>
      <w:r>
        <w:rPr>
          <w:noProof/>
        </w:rPr>
        <w:t>iv)</w:t>
      </w:r>
      <w:r>
        <w:rPr>
          <w:noProof/>
        </w:rPr>
        <w:tab/>
        <w:t>ukazatele použité ke sledování a hodnocení pokroku v průběhu času;</w:t>
      </w:r>
    </w:p>
    <w:p>
      <w:pPr>
        <w:pStyle w:val="Point1"/>
        <w:rPr>
          <w:noProof/>
        </w:rPr>
      </w:pPr>
      <w:r>
        <w:rPr>
          <w:noProof/>
        </w:rPr>
        <w:t>v)</w:t>
      </w:r>
      <w:r>
        <w:rPr>
          <w:noProof/>
        </w:rPr>
        <w:tab/>
        <w:t xml:space="preserve">kvantitativní odhady účinků na emise podle zdrojů a pohlcování pomocí propadů skleníkových plynů rozdělené podle: </w:t>
      </w:r>
    </w:p>
    <w:p>
      <w:pPr>
        <w:pStyle w:val="Tiret2"/>
        <w:numPr>
          <w:ilvl w:val="0"/>
          <w:numId w:val="2"/>
        </w:numPr>
        <w:rPr>
          <w:noProof/>
        </w:rPr>
      </w:pPr>
      <w:r>
        <w:rPr>
          <w:noProof/>
        </w:rPr>
        <w:t xml:space="preserve">výsledků předběžných hodnocení účinků jednotlivých politik a opatření nebo jejich souborů týkajících se zmírňování změny klimatu. Odhady se </w:t>
      </w:r>
      <w:r>
        <w:rPr>
          <w:noProof/>
        </w:rPr>
        <w:lastRenderedPageBreak/>
        <w:t>poskytují na období čtyř po sobě jdoucích budoucích let končící číslicí 0 nebo 5, které bezprostředně následují po roce, za nějž se podává zpráva, přičemž se rozlišuje mezi emisemi skleníkových plynů, na něž se vztahují směrnice 2003/87/ES, nařízení [ ] [ESR] a nařízení [ ] [LULUCF];</w:t>
      </w:r>
    </w:p>
    <w:p>
      <w:pPr>
        <w:pStyle w:val="Tiret2"/>
        <w:rPr>
          <w:noProof/>
        </w:rPr>
      </w:pPr>
      <w:r>
        <w:rPr>
          <w:noProof/>
        </w:rPr>
        <w:t>výsledků následných hodnocení účinků jednotlivých politik a opatření nebo jejich souborů týkajících se zmírňování změny klimatu, jsou-li k dispozici, přičemž se rozlišuje mezi emisemi skleníkových plynů, na něž se vztahují směrnice 2003/87/ES, nařízení [ ] [ESR] a nařízení [ ] [LULUCF];</w:t>
      </w:r>
    </w:p>
    <w:p>
      <w:pPr>
        <w:pStyle w:val="Point1"/>
        <w:rPr>
          <w:noProof/>
        </w:rPr>
      </w:pPr>
      <w:r>
        <w:rPr>
          <w:noProof/>
        </w:rPr>
        <w:t>vi)</w:t>
      </w:r>
      <w:r>
        <w:rPr>
          <w:noProof/>
        </w:rPr>
        <w:tab/>
        <w:t>odhady předpokládaných nákladů a přínosů politik a opatření, jakož i odhady realizovaných nákladů a přínosů politik a opatření;</w:t>
      </w:r>
    </w:p>
    <w:p>
      <w:pPr>
        <w:pStyle w:val="Point1"/>
        <w:rPr>
          <w:noProof/>
        </w:rPr>
      </w:pPr>
      <w:r>
        <w:rPr>
          <w:noProof/>
        </w:rPr>
        <w:t>vii)</w:t>
      </w:r>
      <w:r>
        <w:rPr>
          <w:noProof/>
        </w:rPr>
        <w:tab/>
        <w:t xml:space="preserve">všechny odkazy na hodnocení nákladů a účinků vnitrostátních politik a opatření, na informace o provádění politik a opatření Unie, které omezují nebo snižují emise skleníkových plynů ze zdrojů nebo podporují pohlcování pomocí propadů, a na podpůrné technické zprávy; </w:t>
      </w:r>
    </w:p>
    <w:p>
      <w:pPr>
        <w:pStyle w:val="Point1"/>
        <w:rPr>
          <w:noProof/>
        </w:rPr>
      </w:pPr>
      <w:r>
        <w:rPr>
          <w:noProof/>
        </w:rPr>
        <w:t>viii)</w:t>
      </w:r>
      <w:r>
        <w:rPr>
          <w:noProof/>
        </w:rPr>
        <w:tab/>
        <w:t>hodnocení přispění politiky nebo opatření k dosažení dlouhodobé nízkoemisní strategie uvedené v článku 14;</w:t>
      </w:r>
    </w:p>
    <w:p>
      <w:pPr>
        <w:pStyle w:val="Point0"/>
        <w:rPr>
          <w:noProof/>
        </w:rPr>
      </w:pPr>
      <w:r>
        <w:rPr>
          <w:noProof/>
        </w:rPr>
        <w:t>d)</w:t>
      </w:r>
      <w:r>
        <w:rPr>
          <w:noProof/>
        </w:rPr>
        <w:tab/>
        <w:t>informace o plánovaných dodatečných politikách a opatřeních, jejichž smyslem je omezit emise skleníkových plynů nad rámec vnitrostátních závazků podle nařízení [ ] [ESR] a nařízení [ ] [LULUCF];</w:t>
      </w:r>
    </w:p>
    <w:p>
      <w:pPr>
        <w:pStyle w:val="Point0"/>
        <w:rPr>
          <w:noProof/>
        </w:rPr>
      </w:pPr>
      <w:r>
        <w:rPr>
          <w:noProof/>
        </w:rPr>
        <w:t>e)</w:t>
      </w:r>
      <w:r>
        <w:rPr>
          <w:noProof/>
        </w:rPr>
        <w:tab/>
        <w:t>informace o spojitosti mezi jednotlivými politikami a opatřeními vykázanými v souladu s písmenem c) a tím, jakým způsobem tyto politiky a opatření přispívají k jednotlivým odhadovaným scénářům.</w:t>
      </w:r>
    </w:p>
    <w:p>
      <w:pPr>
        <w:pStyle w:val="Annexetitre"/>
        <w:rPr>
          <w:b w:val="0"/>
          <w:i/>
          <w:noProof/>
          <w:u w:val="none"/>
        </w:rPr>
      </w:pPr>
      <w:r>
        <w:rPr>
          <w:b w:val="0"/>
          <w:i/>
          <w:noProof/>
          <w:u w:val="none"/>
        </w:rPr>
        <w:t>PŘÍLOHA V</w:t>
      </w:r>
    </w:p>
    <w:p>
      <w:pPr>
        <w:jc w:val="center"/>
        <w:rPr>
          <w:noProof/>
        </w:rPr>
      </w:pPr>
      <w:r>
        <w:rPr>
          <w:b/>
          <w:noProof/>
        </w:rPr>
        <w:t>INFORMACE O ODHADECH V OBLASTI EMISÍ SKLENÍKOVÝCH PLYNŮ</w:t>
      </w:r>
    </w:p>
    <w:p>
      <w:pPr>
        <w:rPr>
          <w:rFonts w:eastAsia="Times New Roman"/>
          <w:noProof/>
          <w:color w:val="000000"/>
          <w:sz w:val="19"/>
          <w:szCs w:val="19"/>
        </w:rPr>
      </w:pPr>
      <w:r>
        <w:rPr>
          <w:noProof/>
        </w:rPr>
        <w:t>Informace, které musí být obsaženy ve zprávách podle článku 16:</w:t>
      </w:r>
    </w:p>
    <w:p>
      <w:pPr>
        <w:pStyle w:val="Point0"/>
        <w:rPr>
          <w:noProof/>
        </w:rPr>
      </w:pPr>
      <w:r>
        <w:rPr>
          <w:noProof/>
        </w:rPr>
        <w:t>a)</w:t>
      </w:r>
      <w:r>
        <w:rPr>
          <w:noProof/>
        </w:rPr>
        <w:tab/>
        <w:t xml:space="preserve">odhady bez opatření, jsou-li k dispozici, odhady s opatřeními a odhady s dodatečnými opatřeními; </w:t>
      </w:r>
    </w:p>
    <w:p>
      <w:pPr>
        <w:pStyle w:val="Point0"/>
        <w:rPr>
          <w:noProof/>
        </w:rPr>
      </w:pPr>
      <w:r>
        <w:rPr>
          <w:noProof/>
        </w:rPr>
        <w:t>b)</w:t>
      </w:r>
      <w:r>
        <w:rPr>
          <w:noProof/>
        </w:rPr>
        <w:tab/>
        <w:t xml:space="preserve">celkové odhady skleníkových plynů a samostatné odhady předpokládaných emisí skleníkových plynů pro zdroje emisí, na něž se vztahuje směrnice 2003/87/ES a nařízení [ ] [ESR] a odhadované emise podle zdrojů a jejich pohlcování podle propadů v souladu s nařízením [ ] [LULUCF]; </w:t>
      </w:r>
    </w:p>
    <w:p>
      <w:pPr>
        <w:pStyle w:val="Point0"/>
        <w:rPr>
          <w:noProof/>
        </w:rPr>
      </w:pPr>
      <w:r>
        <w:rPr>
          <w:noProof/>
        </w:rPr>
        <w:t>c)</w:t>
      </w:r>
      <w:r>
        <w:rPr>
          <w:noProof/>
        </w:rPr>
        <w:tab/>
        <w:t xml:space="preserve">dopad politik a opatření určených podle čl. 16 odst. 1 písm. a). Jestliže tyto politiky a opatření zahrnuty nejsou, je zapotřebí tuto skutečnost jasně uvést a vysvětlit; </w:t>
      </w:r>
    </w:p>
    <w:p>
      <w:pPr>
        <w:pStyle w:val="Point0"/>
        <w:rPr>
          <w:noProof/>
        </w:rPr>
      </w:pPr>
      <w:r>
        <w:rPr>
          <w:noProof/>
        </w:rPr>
        <w:t>d)</w:t>
      </w:r>
      <w:r>
        <w:rPr>
          <w:noProof/>
        </w:rPr>
        <w:tab/>
        <w:t xml:space="preserve">výsledky analýzy citlivosti provedené za účelem sestavení odhadů a informace o použitých modelech a parametrech; </w:t>
      </w:r>
    </w:p>
    <w:p>
      <w:pPr>
        <w:pStyle w:val="Point0"/>
        <w:rPr>
          <w:noProof/>
        </w:rPr>
      </w:pPr>
      <w:r>
        <w:rPr>
          <w:noProof/>
        </w:rPr>
        <w:t>e)</w:t>
      </w:r>
      <w:r>
        <w:rPr>
          <w:noProof/>
        </w:rPr>
        <w:tab/>
        <w:t xml:space="preserve">veškeré příslušné odkazy na hodnocení a technické zprávy, na nichž jsou založeny odhady uvedené v čl. 16 odst. 4. </w:t>
      </w:r>
    </w:p>
    <w:p>
      <w:pPr>
        <w:pStyle w:val="Annexetitre"/>
        <w:rPr>
          <w:b w:val="0"/>
          <w:i/>
          <w:noProof/>
          <w:u w:val="none"/>
        </w:rPr>
      </w:pPr>
      <w:r>
        <w:rPr>
          <w:b w:val="0"/>
          <w:i/>
          <w:noProof/>
          <w:u w:val="none"/>
        </w:rPr>
        <w:t>PŘÍLOHA VI</w:t>
      </w:r>
    </w:p>
    <w:p>
      <w:pPr>
        <w:jc w:val="center"/>
        <w:rPr>
          <w:noProof/>
        </w:rPr>
      </w:pPr>
      <w:r>
        <w:rPr>
          <w:b/>
          <w:noProof/>
        </w:rPr>
        <w:lastRenderedPageBreak/>
        <w:t>INFORMACE O VNITROSTÁTNÍCH ADAPTAČNÍCH OPATŘENÍCH, FINANČNÍ A TECHNOLOGICKÉ PODPOŘE POSKYTNUTÉ ROZVOJOVÝM ZEMÍM, VÝNOSECH Z DRAŽEB</w:t>
      </w:r>
    </w:p>
    <w:p>
      <w:pPr>
        <w:jc w:val="center"/>
        <w:rPr>
          <w:b/>
          <w:noProof/>
        </w:rPr>
      </w:pPr>
      <w:r>
        <w:rPr>
          <w:b/>
          <w:noProof/>
        </w:rPr>
        <w:t>Část 1</w:t>
      </w:r>
    </w:p>
    <w:p>
      <w:pPr>
        <w:jc w:val="center"/>
        <w:rPr>
          <w:i/>
          <w:noProof/>
        </w:rPr>
      </w:pPr>
      <w:r>
        <w:rPr>
          <w:i/>
          <w:noProof/>
        </w:rPr>
        <w:t>Podávání zpráv o adaptaci</w:t>
      </w:r>
    </w:p>
    <w:p>
      <w:pPr>
        <w:pStyle w:val="NormalWeb"/>
        <w:rPr>
          <w:noProof/>
        </w:rPr>
      </w:pPr>
      <w:r>
        <w:rPr>
          <w:noProof/>
        </w:rPr>
        <w:t>Informace, které musí být obsaženy ve zprávách podle čl. 17 odst. 1:</w:t>
      </w:r>
    </w:p>
    <w:p>
      <w:pPr>
        <w:pStyle w:val="Point0"/>
        <w:rPr>
          <w:noProof/>
        </w:rPr>
      </w:pPr>
      <w:r>
        <w:rPr>
          <w:noProof/>
        </w:rPr>
        <w:t>a)</w:t>
      </w:r>
      <w:r>
        <w:rPr>
          <w:noProof/>
        </w:rPr>
        <w:tab/>
        <w:t>hlavní cíle, plány a institucionální rámec pro adaptaci;</w:t>
      </w:r>
    </w:p>
    <w:p>
      <w:pPr>
        <w:pStyle w:val="Point0"/>
        <w:rPr>
          <w:noProof/>
        </w:rPr>
      </w:pPr>
      <w:r>
        <w:rPr>
          <w:noProof/>
        </w:rPr>
        <w:t>b)</w:t>
      </w:r>
      <w:r>
        <w:rPr>
          <w:noProof/>
        </w:rPr>
        <w:tab/>
        <w:t xml:space="preserve">odhady klimatických změn, včetně extrémních meteorologických jevů, dopady klimatických změn, posouzení klimatické zranitelnosti, rizik a hlavních klimatických nebezpečí; </w:t>
      </w:r>
    </w:p>
    <w:p>
      <w:pPr>
        <w:pStyle w:val="Point0"/>
        <w:rPr>
          <w:noProof/>
        </w:rPr>
      </w:pPr>
      <w:r>
        <w:rPr>
          <w:noProof/>
        </w:rPr>
        <w:t>c)</w:t>
      </w:r>
      <w:r>
        <w:rPr>
          <w:noProof/>
        </w:rPr>
        <w:tab/>
        <w:t>adaptační schopnost;</w:t>
      </w:r>
    </w:p>
    <w:p>
      <w:pPr>
        <w:pStyle w:val="Point0"/>
        <w:rPr>
          <w:noProof/>
        </w:rPr>
      </w:pPr>
      <w:r>
        <w:rPr>
          <w:noProof/>
        </w:rPr>
        <w:t>d)</w:t>
      </w:r>
      <w:r>
        <w:rPr>
          <w:noProof/>
        </w:rPr>
        <w:tab/>
        <w:t>adaptační plány a strategie;</w:t>
      </w:r>
    </w:p>
    <w:p>
      <w:pPr>
        <w:pStyle w:val="Point0"/>
        <w:rPr>
          <w:noProof/>
        </w:rPr>
      </w:pPr>
      <w:r>
        <w:rPr>
          <w:noProof/>
        </w:rPr>
        <w:t>e)</w:t>
      </w:r>
      <w:r>
        <w:rPr>
          <w:noProof/>
        </w:rPr>
        <w:tab/>
        <w:t>institucionální rámec, včetně vertikálního a horizontálního řízení a koordinace, systémy sledování a hodnocení;</w:t>
      </w:r>
    </w:p>
    <w:p>
      <w:pPr>
        <w:pStyle w:val="Point0"/>
        <w:rPr>
          <w:noProof/>
        </w:rPr>
      </w:pPr>
      <w:r>
        <w:rPr>
          <w:noProof/>
        </w:rPr>
        <w:t>f)</w:t>
      </w:r>
      <w:r>
        <w:rPr>
          <w:noProof/>
        </w:rPr>
        <w:tab/>
        <w:t>pokrok v implementaci, včetně osvědčených postupů a změn řízení.</w:t>
      </w:r>
    </w:p>
    <w:p>
      <w:pPr>
        <w:jc w:val="center"/>
        <w:rPr>
          <w:b/>
          <w:noProof/>
        </w:rPr>
      </w:pPr>
      <w:r>
        <w:rPr>
          <w:b/>
          <w:noProof/>
        </w:rPr>
        <w:t>Část 2</w:t>
      </w:r>
    </w:p>
    <w:p>
      <w:pPr>
        <w:jc w:val="center"/>
        <w:rPr>
          <w:i/>
          <w:noProof/>
        </w:rPr>
      </w:pPr>
      <w:r>
        <w:rPr>
          <w:i/>
          <w:noProof/>
        </w:rPr>
        <w:t>Podávání zpráv o podpoře poskytované rozvojovým zemím</w:t>
      </w:r>
    </w:p>
    <w:p>
      <w:pPr>
        <w:rPr>
          <w:noProof/>
        </w:rPr>
      </w:pPr>
      <w:r>
        <w:rPr>
          <w:noProof/>
        </w:rPr>
        <w:t>Informace, které musí být obsaženy ve zprávách podle čl. 17 odst. 2 písm. a):</w:t>
      </w:r>
    </w:p>
    <w:p>
      <w:pPr>
        <w:pStyle w:val="Point0"/>
        <w:rPr>
          <w:noProof/>
        </w:rPr>
      </w:pPr>
      <w:r>
        <w:rPr>
          <w:noProof/>
        </w:rPr>
        <w:t>a)</w:t>
      </w:r>
      <w:r>
        <w:rPr>
          <w:noProof/>
        </w:rPr>
        <w:tab/>
        <w:t>údaje o finanční podpoře vyčleněné a poskytnuté rozvojovým zemím v roce X-1, zahrnující:</w:t>
      </w:r>
    </w:p>
    <w:p>
      <w:pPr>
        <w:pStyle w:val="Point1"/>
        <w:rPr>
          <w:noProof/>
        </w:rPr>
      </w:pPr>
      <w:r>
        <w:rPr>
          <w:noProof/>
        </w:rPr>
        <w:t>i)</w:t>
      </w:r>
      <w:r>
        <w:rPr>
          <w:noProof/>
        </w:rPr>
        <w:tab/>
        <w:t>kvantitativní údaje o veřejných a uvolněných finančních prostředcích členských států. Údaje o finančních tocích se musí zakládat na tzv. „ukazatelích z Ria“ pro podporu spojenou se zmírňováním změny klimatu a podporu spojenou s přizpůsobováním se změně klimatu a další sledovací systémy, které představil výbor pro rozvojovou pomoc OECD;</w:t>
      </w:r>
    </w:p>
    <w:p>
      <w:pPr>
        <w:pStyle w:val="Point1"/>
        <w:rPr>
          <w:noProof/>
        </w:rPr>
      </w:pPr>
      <w:r>
        <w:rPr>
          <w:noProof/>
        </w:rPr>
        <w:t>ii)</w:t>
      </w:r>
      <w:r>
        <w:rPr>
          <w:noProof/>
        </w:rPr>
        <w:tab/>
        <w:t>kvalitativní metodické údaje popisující metodu použitou k výpočtu kvantitativních údajů, včetně vysvětlení metodiky měření jejich dat a případně také další informace o definicích a metodikách použitých k určení výpočtů, zejména v případě údajů vykazovaných o uvolněných finančních tocích;</w:t>
      </w:r>
    </w:p>
    <w:p>
      <w:pPr>
        <w:pStyle w:val="Point1"/>
        <w:rPr>
          <w:noProof/>
        </w:rPr>
      </w:pPr>
      <w:r>
        <w:rPr>
          <w:noProof/>
        </w:rPr>
        <w:t>iii)</w:t>
      </w:r>
      <w:r>
        <w:rPr>
          <w:noProof/>
        </w:rPr>
        <w:tab/>
        <w:t>dostupné údaje o činnostech členských států spojených s projekty přenosu technologií nebo s projekty budování kapacit pro rozvojové země podle UNFCCC hrazených z veřejných prostředků, včetně informace, zda se přenesená technologie nebo projekt budování kapacit použily k zmírnění dopadů nebo přizpůsobení se dopadům změny klimatu, dále údaje o přijímající zemi, objemu poskytnuté podpory a druhu přenesené technologie nebo projektu budováni kapacity;</w:t>
      </w:r>
    </w:p>
    <w:p>
      <w:pPr>
        <w:pStyle w:val="Point0"/>
        <w:rPr>
          <w:noProof/>
        </w:rPr>
      </w:pPr>
      <w:r>
        <w:rPr>
          <w:noProof/>
        </w:rPr>
        <w:t>b)</w:t>
      </w:r>
      <w:r>
        <w:rPr>
          <w:noProof/>
        </w:rPr>
        <w:tab/>
        <w:t>údaje za rok X a následující roky o plánovaném poskytování podpory, včetně údajů o plánovaných činnostech spojených s projekty přenosu technologií nebo s projekty budování kapacit pro rozvojové země podle UNFCCC hrazených z veřejných prostředků a o technologiích určených k přenosu a projektech budování kapacity, včetně informace, zda je přenesená technologie nebo projekt budování kapacit určen ke zmírnění dopadů nebo přizpůsobení se dopadům změny klimatu, dále údaje o přijímající zemi, objemu poskytnuté podpory a druhu přenesené technologie nebo projektu budováni kapacity.</w:t>
      </w:r>
    </w:p>
    <w:p>
      <w:pPr>
        <w:jc w:val="center"/>
        <w:rPr>
          <w:b/>
          <w:noProof/>
        </w:rPr>
      </w:pPr>
      <w:r>
        <w:rPr>
          <w:b/>
          <w:noProof/>
        </w:rPr>
        <w:t>Část 3</w:t>
      </w:r>
    </w:p>
    <w:p>
      <w:pPr>
        <w:jc w:val="center"/>
        <w:rPr>
          <w:i/>
          <w:noProof/>
        </w:rPr>
      </w:pPr>
      <w:r>
        <w:rPr>
          <w:i/>
          <w:noProof/>
        </w:rPr>
        <w:t>Podávání zpráv o výnosech z dražeb</w:t>
      </w:r>
    </w:p>
    <w:p>
      <w:pPr>
        <w:rPr>
          <w:noProof/>
        </w:rPr>
      </w:pPr>
      <w:r>
        <w:rPr>
          <w:noProof/>
        </w:rPr>
        <w:t>Informace, které musí být obsaženy ve zprávách podle čl. 17 odst. 2 písm. b):</w:t>
      </w:r>
    </w:p>
    <w:p>
      <w:pPr>
        <w:pStyle w:val="Point0"/>
        <w:rPr>
          <w:noProof/>
        </w:rPr>
      </w:pPr>
      <w:r>
        <w:rPr>
          <w:noProof/>
        </w:rPr>
        <w:t>a)</w:t>
      </w:r>
      <w:r>
        <w:rPr>
          <w:noProof/>
        </w:rPr>
        <w:tab/>
        <w:t xml:space="preserve">informace o použití výnosů v roce X-1, které členský stát získal z dražeb povolenek v souladu s čl. 10 odst. 1 směrnice 2003/87/ES, včetně informací o těchto výnosech, které byly použity k jednomu nebo více z účelů uvedených v čl. 10 odst. 3 uvedené směrnice, nebo o ekvivalentu těchto výnosů ve finanční hodnotě a o opatřeních přijatých podle uvedeného článku; </w:t>
      </w:r>
    </w:p>
    <w:p>
      <w:pPr>
        <w:pStyle w:val="Point0"/>
        <w:rPr>
          <w:noProof/>
        </w:rPr>
      </w:pPr>
      <w:r>
        <w:rPr>
          <w:noProof/>
        </w:rPr>
        <w:t>b)</w:t>
      </w:r>
      <w:r>
        <w:rPr>
          <w:noProof/>
        </w:rPr>
        <w:tab/>
        <w:t xml:space="preserve">informace o používání všech výnosů, podle určení členského státu, které členský stát získal z dražeb povolenek v oblasti letectví v souladu s čl. 3d odst. 1 nebo 2 směrnice 2003/87/ES; tyto informace se poskytnou v souladu s čl. 3d odst. 4 uvedené směrnice; </w:t>
      </w:r>
    </w:p>
    <w:p>
      <w:pPr>
        <w:rPr>
          <w:noProof/>
        </w:rPr>
      </w:pPr>
      <w:r>
        <w:rPr>
          <w:noProof/>
        </w:rPr>
        <w:t>Výnosy z dražeb, které nebyly vyplaceny v okamžiku, kdy členský stát podává Komisi zprávu v souladu s čl. 17 odst. 2 písm. b), se kvantifikují a vykazují ve zprávách na následující roky.</w:t>
      </w:r>
    </w:p>
    <w:p>
      <w:pPr>
        <w:pStyle w:val="Annexetitre"/>
        <w:rPr>
          <w:b w:val="0"/>
          <w:i/>
          <w:noProof/>
          <w:u w:val="none"/>
        </w:rPr>
      </w:pPr>
      <w:r>
        <w:rPr>
          <w:b w:val="0"/>
          <w:i/>
          <w:noProof/>
          <w:u w:val="none"/>
        </w:rPr>
        <w:t>PŘÍLOHA VII</w:t>
      </w:r>
    </w:p>
    <w:p>
      <w:pPr>
        <w:jc w:val="center"/>
        <w:rPr>
          <w:noProof/>
        </w:rPr>
      </w:pPr>
      <w:r>
        <w:rPr>
          <w:b/>
          <w:noProof/>
        </w:rPr>
        <w:t>DALŠÍ POVINNOSTI PRO PODÁVÁNÍ ZPRÁV</w:t>
      </w:r>
    </w:p>
    <w:p>
      <w:pPr>
        <w:jc w:val="center"/>
        <w:rPr>
          <w:b/>
          <w:noProof/>
        </w:rPr>
      </w:pPr>
      <w:r>
        <w:rPr>
          <w:b/>
          <w:noProof/>
        </w:rPr>
        <w:t>Část 1</w:t>
      </w:r>
    </w:p>
    <w:p>
      <w:pPr>
        <w:jc w:val="center"/>
        <w:rPr>
          <w:i/>
          <w:noProof/>
        </w:rPr>
      </w:pPr>
      <w:r>
        <w:rPr>
          <w:i/>
          <w:noProof/>
        </w:rPr>
        <w:t>Další povinnosti pro podávání zpráv v oblasti obnovitelné energie</w:t>
      </w:r>
    </w:p>
    <w:p>
      <w:pPr>
        <w:rPr>
          <w:b/>
          <w:noProof/>
          <w:sz w:val="28"/>
          <w:szCs w:val="28"/>
        </w:rPr>
      </w:pPr>
      <w:r>
        <w:rPr>
          <w:noProof/>
        </w:rPr>
        <w:t>Není-li uvedeno jinak, budou v souladu s čl. 18 písm. b) bodem 6 zahrnuty následující doplňkové informace:</w:t>
      </w:r>
    </w:p>
    <w:p>
      <w:pPr>
        <w:pStyle w:val="Point0"/>
        <w:rPr>
          <w:noProof/>
        </w:rPr>
      </w:pPr>
      <w:r>
        <w:rPr>
          <w:noProof/>
        </w:rPr>
        <w:t>a)</w:t>
      </w:r>
      <w:r>
        <w:rPr>
          <w:noProof/>
        </w:rPr>
        <w:tab/>
        <w:t>fungování systému potvrzení o původu elektřiny, plynu a vytápění a chlazení z obnovitelných zdrojů energie, úrovně vydávání a rušení potvrzení původu a výsledná roční vnitrostátní spotřeba obnovitelné energie, jakož i opatření přijatá za účelem zajištění spolehlivosti systému a jeho ochrany proti podvodům;</w:t>
      </w:r>
    </w:p>
    <w:p>
      <w:pPr>
        <w:pStyle w:val="Point0"/>
        <w:rPr>
          <w:noProof/>
        </w:rPr>
      </w:pPr>
      <w:r>
        <w:rPr>
          <w:noProof/>
        </w:rPr>
        <w:t>b)</w:t>
      </w:r>
      <w:r>
        <w:rPr>
          <w:noProof/>
        </w:rPr>
        <w:tab/>
        <w:t>souhrnné údaje z vnitrostátních databází uvedené v čl. 25 odst. 4 [přepracovaného znění směrnice 2009/28/ES navrženého prostřednictvím COM(2016) 767] o biopalivech a bioplynu vyrobených ze surovin uvedených v příloze IX [přepracovaného znění směrnice 2009/28/ES navrženého prostřednictvím COM(2016) 767], obnovitelných pohonných hmotách, které nemají biologický původ, používaných v dopravě, o fosilních palivech a elektřině vyráběných z odpadu a nabízených na trhu dodavateli paliv, včetně informací o druhu paliv, jejich energetickém obsahu a případně i jejich surovinové základně a při dostupnosti dat i jejich účinnosti v oblasti úspory skleníkových plynů; v případě, že vnitrostátní databáze neobsahuje aktuální hodnoty, mohou členské státy použít typické hodnoty nebo případně standardní hodnoty uvedené v části A a B přílohy V [přepracovaného znění směrnice 2009/28/ES navrženého prostřednictvím COM(2016) 767];</w:t>
      </w:r>
    </w:p>
    <w:p>
      <w:pPr>
        <w:pStyle w:val="Point0"/>
        <w:rPr>
          <w:noProof/>
        </w:rPr>
      </w:pPr>
      <w:r>
        <w:rPr>
          <w:noProof/>
        </w:rPr>
        <w:t>c)</w:t>
      </w:r>
      <w:r>
        <w:rPr>
          <w:noProof/>
        </w:rPr>
        <w:tab/>
        <w:t>vývoj dostupnosti, původu a užití zdrojů biomasy pro energetické účely;</w:t>
      </w:r>
    </w:p>
    <w:p>
      <w:pPr>
        <w:pStyle w:val="Point0"/>
        <w:rPr>
          <w:noProof/>
        </w:rPr>
      </w:pPr>
      <w:r>
        <w:rPr>
          <w:noProof/>
        </w:rPr>
        <w:t>d)</w:t>
      </w:r>
      <w:r>
        <w:rPr>
          <w:noProof/>
        </w:rPr>
        <w:tab/>
        <w:t>změny cen komodit a využívání půdy v rámci členského státu spojené se zvýšeným využitím biomasy a jiných forem energie z obnovitelných zdrojů;</w:t>
      </w:r>
    </w:p>
    <w:p>
      <w:pPr>
        <w:pStyle w:val="Point0"/>
        <w:rPr>
          <w:noProof/>
        </w:rPr>
      </w:pPr>
      <w:r>
        <w:rPr>
          <w:noProof/>
        </w:rPr>
        <w:t>e)</w:t>
      </w:r>
      <w:r>
        <w:rPr>
          <w:noProof/>
        </w:rPr>
        <w:tab/>
        <w:t>odhadovaná přebytečná výroba energie z obnovitelných zdrojů, která by mohla být převedena do jiných členských států tak, aby tyto mohly dodržet čl. 3 odst. 7 [přepracovaného znění směrnice 2009/28/ES navrženého prostřednictvím COM(2016) 767] a splnit vnitrostátní příspěvky a trajektorie uvedené v čl. 5 písm. a) bodu 2 této směrnice;</w:t>
      </w:r>
    </w:p>
    <w:p>
      <w:pPr>
        <w:pStyle w:val="Point0"/>
        <w:rPr>
          <w:noProof/>
        </w:rPr>
      </w:pPr>
      <w:r>
        <w:rPr>
          <w:noProof/>
        </w:rPr>
        <w:t>f)</w:t>
      </w:r>
      <w:r>
        <w:rPr>
          <w:noProof/>
        </w:rPr>
        <w:tab/>
        <w:t>odhadovaná poptávka energie z obnovitelných zdrojů, která musí být do roku 2030 uspokojena jinými prostředky než domácí výrobou, včetně dovážených surovin pro zpracování biomasy;</w:t>
      </w:r>
    </w:p>
    <w:p>
      <w:pPr>
        <w:pStyle w:val="Point0"/>
        <w:rPr>
          <w:noProof/>
        </w:rPr>
      </w:pPr>
      <w:r>
        <w:rPr>
          <w:noProof/>
        </w:rPr>
        <w:t>g)</w:t>
      </w:r>
      <w:r>
        <w:rPr>
          <w:noProof/>
        </w:rPr>
        <w:tab/>
        <w:t>vývoj a podíl biopaliv vyrobených ze vstupních surovin uvedených na seznamu v příloze IX [přepracovaného znění směrnice 2009/28/ES navrženého prostřednictvím COM(2016) 767], včetně posouzení stavu zdrojů se zaměřením na aspekty udržitelnosti související s dopadem nahrazení potravin a krmiv výrobou biopaliv, s náležitým zohledněním zásad hierarchie způsobů nakládání s odpady podle směrnice 2008/98/ES a zásady kaskádového využívání biomasy s přihlédnutím k regionálním a místním hospodářským a technologickým podmínkám, udržení nezbytných zásob uhlíku v půdě a kvality půdy a ekosystémů;</w:t>
      </w:r>
    </w:p>
    <w:p>
      <w:pPr>
        <w:pStyle w:val="Point0"/>
        <w:rPr>
          <w:noProof/>
        </w:rPr>
      </w:pPr>
      <w:r>
        <w:rPr>
          <w:noProof/>
        </w:rPr>
        <w:t>h)</w:t>
      </w:r>
      <w:r>
        <w:rPr>
          <w:noProof/>
        </w:rPr>
        <w:tab/>
        <w:t>odhadovaný dopad výroby nebo užívání biopaliv, biokapalin a paliv z biomasy na biologickou rozmanitost, vodní zdroje, dostupnost a kvalitu vody, kvalitu půdy a vzduchu v členských státech;</w:t>
      </w:r>
    </w:p>
    <w:p>
      <w:pPr>
        <w:pStyle w:val="Point0"/>
        <w:rPr>
          <w:noProof/>
        </w:rPr>
      </w:pPr>
      <w:r>
        <w:rPr>
          <w:noProof/>
        </w:rPr>
        <w:t>i)</w:t>
      </w:r>
      <w:r>
        <w:rPr>
          <w:noProof/>
        </w:rPr>
        <w:tab/>
        <w:t>rizika nebo zaznamenané případy podvodu ve spotřebitelském řetězci biopaliv, biokapalin a paliv z biomasy;</w:t>
      </w:r>
    </w:p>
    <w:p>
      <w:pPr>
        <w:pStyle w:val="Point0"/>
        <w:rPr>
          <w:noProof/>
        </w:rPr>
      </w:pPr>
      <w:r>
        <w:rPr>
          <w:noProof/>
        </w:rPr>
        <w:t>j)</w:t>
      </w:r>
      <w:r>
        <w:rPr>
          <w:noProof/>
        </w:rPr>
        <w:tab/>
        <w:t>informace o tom, jak byl odhadnut podíl biologicky rozložitelného odpadu v odpadu použitém k výrobě energie a jaké kroky byly podniknuty za účelem zlepšení a ověření těchto odhadů;</w:t>
      </w:r>
    </w:p>
    <w:p>
      <w:pPr>
        <w:pStyle w:val="Point0"/>
        <w:rPr>
          <w:noProof/>
        </w:rPr>
      </w:pPr>
      <w:r>
        <w:rPr>
          <w:noProof/>
        </w:rPr>
        <w:t>k)</w:t>
      </w:r>
      <w:r>
        <w:rPr>
          <w:noProof/>
        </w:rPr>
        <w:tab/>
        <w:t>výroba elektřiny a tepla z obnovitelných zdrojů energie v budovách (podle definice v čl. 2 odst. 1 směrnice 2010/31/EU). Zahrnuty budou dílčí údaje o energii vyrobené, spotřebované a dodané do sítě solárními fotovoltaickými systémy, solárními termálními systémy, biomasou, tepelnými čerpadly, geotermálními systémy, jakož i dalšími decentralizovanými systémy výroby obnovitelné energie);</w:t>
      </w:r>
    </w:p>
    <w:p>
      <w:pPr>
        <w:pStyle w:val="Point0"/>
        <w:rPr>
          <w:noProof/>
        </w:rPr>
      </w:pPr>
      <w:r>
        <w:rPr>
          <w:noProof/>
        </w:rPr>
        <w:t>l)</w:t>
      </w:r>
      <w:r>
        <w:rPr>
          <w:noProof/>
        </w:rPr>
        <w:tab/>
        <w:t>případně podíl biopaliv z potravinářských plodin a pokročilých biopaliv, podíl obnovitelné energie na dálkovém vytápění, jakož i obnovitelné energie vyrobené městy a energetickými společenstvími podle definice v článku 22 [přepracovaného znění směrnice 2009/28/ES navrženého prostřednictvím COM(2016) 767]);</w:t>
      </w:r>
    </w:p>
    <w:p>
      <w:pPr>
        <w:pStyle w:val="Point0"/>
        <w:rPr>
          <w:noProof/>
        </w:rPr>
      </w:pPr>
      <w:r>
        <w:rPr>
          <w:noProof/>
        </w:rPr>
        <w:t>m)</w:t>
      </w:r>
      <w:r>
        <w:rPr>
          <w:noProof/>
        </w:rPr>
        <w:tab/>
        <w:t>primární dodávky pevné biomasy (v 1000 m</w:t>
      </w:r>
      <w:r>
        <w:rPr>
          <w:noProof/>
          <w:vertAlign w:val="superscript"/>
        </w:rPr>
        <w:t>3</w:t>
      </w:r>
      <w:r>
        <w:rPr>
          <w:noProof/>
        </w:rPr>
        <w:t>, kromě odst. 1 písm. b) podbodu iii), který je uváděn v tunách):</w:t>
      </w:r>
    </w:p>
    <w:p>
      <w:pPr>
        <w:pStyle w:val="Point1"/>
        <w:rPr>
          <w:noProof/>
        </w:rPr>
      </w:pPr>
      <w:r>
        <w:rPr>
          <w:noProof/>
        </w:rPr>
        <w:t>1)</w:t>
      </w:r>
      <w:r>
        <w:rPr>
          <w:noProof/>
        </w:rPr>
        <w:tab/>
        <w:t xml:space="preserve">lesní biomasa používaná pro výrobu energie (domácí výroba, dovoz a vývoz): </w:t>
      </w:r>
    </w:p>
    <w:p>
      <w:pPr>
        <w:pStyle w:val="Point2"/>
        <w:rPr>
          <w:noProof/>
        </w:rPr>
      </w:pPr>
      <w:r>
        <w:rPr>
          <w:noProof/>
        </w:rPr>
        <w:t>a)</w:t>
      </w:r>
      <w:r>
        <w:rPr>
          <w:noProof/>
        </w:rPr>
        <w:tab/>
        <w:t>primární biomasa z lesů používaná přímo na výrobu energie:</w:t>
      </w:r>
    </w:p>
    <w:p>
      <w:pPr>
        <w:pStyle w:val="Point3"/>
        <w:rPr>
          <w:noProof/>
        </w:rPr>
      </w:pPr>
      <w:r>
        <w:rPr>
          <w:noProof/>
        </w:rPr>
        <w:t>i)</w:t>
      </w:r>
      <w:r>
        <w:rPr>
          <w:noProof/>
        </w:rPr>
        <w:tab/>
        <w:t xml:space="preserve">větve a koruny stromů (vykazování je dobrovolné);  </w:t>
      </w:r>
    </w:p>
    <w:p>
      <w:pPr>
        <w:pStyle w:val="Point3"/>
        <w:rPr>
          <w:noProof/>
        </w:rPr>
      </w:pPr>
      <w:r>
        <w:rPr>
          <w:noProof/>
        </w:rPr>
        <w:t>ii)</w:t>
      </w:r>
      <w:r>
        <w:rPr>
          <w:noProof/>
        </w:rPr>
        <w:tab/>
        <w:t>pařezy (vykazování je dobrovolné);</w:t>
      </w:r>
    </w:p>
    <w:p>
      <w:pPr>
        <w:pStyle w:val="Point3"/>
        <w:rPr>
          <w:noProof/>
        </w:rPr>
      </w:pPr>
      <w:r>
        <w:rPr>
          <w:noProof/>
        </w:rPr>
        <w:t>iii)</w:t>
      </w:r>
      <w:r>
        <w:rPr>
          <w:noProof/>
        </w:rPr>
        <w:tab/>
        <w:t xml:space="preserve">kulatina (dělená na průmyslovou kulatinu a palivové dřevo); </w:t>
      </w:r>
    </w:p>
    <w:p>
      <w:pPr>
        <w:pStyle w:val="Point2"/>
        <w:rPr>
          <w:noProof/>
        </w:rPr>
      </w:pPr>
      <w:r>
        <w:rPr>
          <w:noProof/>
        </w:rPr>
        <w:t>b)</w:t>
      </w:r>
      <w:r>
        <w:rPr>
          <w:noProof/>
        </w:rPr>
        <w:tab/>
        <w:t xml:space="preserve">druhotné průmyslové produkty z lesních zdrojů používané přímo pro výrobu energie: </w:t>
      </w:r>
    </w:p>
    <w:p>
      <w:pPr>
        <w:pStyle w:val="Point3"/>
        <w:rPr>
          <w:noProof/>
        </w:rPr>
      </w:pPr>
      <w:r>
        <w:rPr>
          <w:noProof/>
        </w:rPr>
        <w:t>i)</w:t>
      </w:r>
      <w:r>
        <w:rPr>
          <w:noProof/>
        </w:rPr>
        <w:tab/>
        <w:t>kůra (vykazování je dobrovolné);</w:t>
      </w:r>
    </w:p>
    <w:p>
      <w:pPr>
        <w:pStyle w:val="Point3"/>
        <w:rPr>
          <w:noProof/>
        </w:rPr>
      </w:pPr>
      <w:r>
        <w:rPr>
          <w:noProof/>
        </w:rPr>
        <w:t>ii)</w:t>
      </w:r>
      <w:r>
        <w:rPr>
          <w:noProof/>
        </w:rPr>
        <w:tab/>
        <w:t>štěpiny, piliny a další částečky dřeva;</w:t>
      </w:r>
    </w:p>
    <w:p>
      <w:pPr>
        <w:pStyle w:val="Point3"/>
        <w:rPr>
          <w:noProof/>
        </w:rPr>
      </w:pPr>
      <w:r>
        <w:rPr>
          <w:noProof/>
        </w:rPr>
        <w:t>iii)</w:t>
      </w:r>
      <w:r>
        <w:rPr>
          <w:noProof/>
        </w:rPr>
        <w:tab/>
        <w:t>černý louh a surový tallový olej;</w:t>
      </w:r>
    </w:p>
    <w:p>
      <w:pPr>
        <w:pStyle w:val="Point2"/>
        <w:rPr>
          <w:noProof/>
        </w:rPr>
      </w:pPr>
      <w:r>
        <w:rPr>
          <w:noProof/>
        </w:rPr>
        <w:t>c)</w:t>
      </w:r>
      <w:r>
        <w:rPr>
          <w:noProof/>
        </w:rPr>
        <w:tab/>
        <w:t>dřevo od konečného spotřebitele používané přímo na výrobu energie</w:t>
      </w:r>
    </w:p>
    <w:p>
      <w:pPr>
        <w:pStyle w:val="Point2"/>
        <w:rPr>
          <w:noProof/>
        </w:rPr>
      </w:pPr>
      <w:r>
        <w:rPr>
          <w:noProof/>
        </w:rPr>
        <w:t>d)</w:t>
      </w:r>
      <w:r>
        <w:rPr>
          <w:noProof/>
        </w:rPr>
        <w:tab/>
        <w:t xml:space="preserve">palivo ze zpracovaného dřeva, vyrobené ze surovin, které nebyly započítány v souladu s body 1a), 1b) nebo 1c): </w:t>
      </w:r>
    </w:p>
    <w:p>
      <w:pPr>
        <w:pStyle w:val="Point3"/>
        <w:rPr>
          <w:noProof/>
        </w:rPr>
      </w:pPr>
      <w:r>
        <w:rPr>
          <w:noProof/>
        </w:rPr>
        <w:t>i)</w:t>
      </w:r>
      <w:r>
        <w:rPr>
          <w:noProof/>
        </w:rPr>
        <w:tab/>
        <w:t>dřevěné uhlí;</w:t>
      </w:r>
    </w:p>
    <w:p>
      <w:pPr>
        <w:pStyle w:val="Point3"/>
        <w:rPr>
          <w:noProof/>
        </w:rPr>
      </w:pPr>
      <w:r>
        <w:rPr>
          <w:noProof/>
        </w:rPr>
        <w:t>ii)</w:t>
      </w:r>
      <w:r>
        <w:rPr>
          <w:noProof/>
        </w:rPr>
        <w:tab/>
        <w:t>dřevěné pelety a dřevěné brikety;</w:t>
      </w:r>
    </w:p>
    <w:p>
      <w:pPr>
        <w:pStyle w:val="Point1"/>
        <w:rPr>
          <w:noProof/>
        </w:rPr>
      </w:pPr>
      <w:r>
        <w:rPr>
          <w:noProof/>
        </w:rPr>
        <w:t>2)</w:t>
      </w:r>
      <w:r>
        <w:rPr>
          <w:noProof/>
        </w:rPr>
        <w:tab/>
        <w:t>zemědělská biomasa používaná pro výrobu energie (domácí výroba, dovoz a vývoz):</w:t>
      </w:r>
    </w:p>
    <w:p>
      <w:pPr>
        <w:pStyle w:val="Point2letter"/>
        <w:numPr>
          <w:ilvl w:val="5"/>
          <w:numId w:val="27"/>
        </w:numPr>
        <w:rPr>
          <w:noProof/>
        </w:rPr>
      </w:pPr>
      <w:r>
        <w:rPr>
          <w:noProof/>
        </w:rPr>
        <w:t>energetické plodiny pro výrobu elektřiny a tepla (včetně rychle rostoucích dřevin pěstovaných na výmladkových plantážích);</w:t>
      </w:r>
    </w:p>
    <w:p>
      <w:pPr>
        <w:pStyle w:val="Point2letter"/>
        <w:rPr>
          <w:noProof/>
        </w:rPr>
      </w:pPr>
      <w:r>
        <w:rPr>
          <w:noProof/>
        </w:rPr>
        <w:t>rezidua zemědělských plodin pro výrobu elektřiny a tepla;</w:t>
      </w:r>
    </w:p>
    <w:p>
      <w:pPr>
        <w:pStyle w:val="Point1"/>
        <w:rPr>
          <w:noProof/>
        </w:rPr>
      </w:pPr>
      <w:r>
        <w:rPr>
          <w:noProof/>
        </w:rPr>
        <w:t>3)</w:t>
      </w:r>
      <w:r>
        <w:rPr>
          <w:noProof/>
        </w:rPr>
        <w:tab/>
        <w:t xml:space="preserve">biomasa z organického odpadu používaná pro výrobu energie (domácí výroba, dovoz a vývoz): </w:t>
      </w:r>
    </w:p>
    <w:p>
      <w:pPr>
        <w:pStyle w:val="Point2"/>
        <w:rPr>
          <w:noProof/>
        </w:rPr>
      </w:pPr>
      <w:r>
        <w:rPr>
          <w:noProof/>
        </w:rPr>
        <w:t>a)</w:t>
      </w:r>
      <w:r>
        <w:rPr>
          <w:noProof/>
        </w:rPr>
        <w:tab/>
        <w:t>podíl organických složek na průmyslovém odpadu;</w:t>
      </w:r>
    </w:p>
    <w:p>
      <w:pPr>
        <w:pStyle w:val="Point2"/>
        <w:rPr>
          <w:noProof/>
        </w:rPr>
      </w:pPr>
      <w:r>
        <w:rPr>
          <w:noProof/>
        </w:rPr>
        <w:t>b)</w:t>
      </w:r>
      <w:r>
        <w:rPr>
          <w:noProof/>
        </w:rPr>
        <w:tab/>
        <w:t>podíl organických složek na komunálním odpadu;</w:t>
      </w:r>
    </w:p>
    <w:p>
      <w:pPr>
        <w:pStyle w:val="Point2"/>
        <w:rPr>
          <w:noProof/>
        </w:rPr>
      </w:pPr>
      <w:r>
        <w:rPr>
          <w:noProof/>
        </w:rPr>
        <w:t>c)</w:t>
      </w:r>
      <w:r>
        <w:rPr>
          <w:noProof/>
        </w:rPr>
        <w:tab/>
        <w:t>odpadní kaly;</w:t>
      </w:r>
    </w:p>
    <w:p>
      <w:pPr>
        <w:pStyle w:val="Point0"/>
        <w:rPr>
          <w:noProof/>
        </w:rPr>
      </w:pPr>
      <w:r>
        <w:rPr>
          <w:noProof/>
        </w:rPr>
        <w:t>n)</w:t>
      </w:r>
      <w:r>
        <w:rPr>
          <w:noProof/>
        </w:rPr>
        <w:tab/>
        <w:t>konečná spotřeba energie pevné biomasy (objem pevné biomasy použité pro výrobu energie v následujících odvětvích):</w:t>
      </w:r>
    </w:p>
    <w:p>
      <w:pPr>
        <w:pStyle w:val="Point1"/>
        <w:rPr>
          <w:noProof/>
        </w:rPr>
      </w:pPr>
      <w:r>
        <w:rPr>
          <w:noProof/>
        </w:rPr>
        <w:t>1)</w:t>
      </w:r>
      <w:r>
        <w:rPr>
          <w:noProof/>
        </w:rPr>
        <w:tab/>
        <w:t>energetické odvětví:</w:t>
      </w:r>
    </w:p>
    <w:p>
      <w:pPr>
        <w:pStyle w:val="Point2"/>
        <w:rPr>
          <w:noProof/>
        </w:rPr>
      </w:pPr>
      <w:r>
        <w:rPr>
          <w:noProof/>
        </w:rPr>
        <w:t>a)</w:t>
      </w:r>
      <w:r>
        <w:rPr>
          <w:noProof/>
        </w:rPr>
        <w:tab/>
        <w:t>elektřina;</w:t>
      </w:r>
    </w:p>
    <w:p>
      <w:pPr>
        <w:pStyle w:val="Point2"/>
        <w:rPr>
          <w:noProof/>
        </w:rPr>
      </w:pPr>
      <w:r>
        <w:rPr>
          <w:noProof/>
        </w:rPr>
        <w:t>b)</w:t>
      </w:r>
      <w:r>
        <w:rPr>
          <w:noProof/>
        </w:rPr>
        <w:tab/>
        <w:t>kombinovaná výroba elektřiny a tepla;</w:t>
      </w:r>
    </w:p>
    <w:p>
      <w:pPr>
        <w:pStyle w:val="Point2"/>
        <w:rPr>
          <w:noProof/>
        </w:rPr>
      </w:pPr>
      <w:r>
        <w:rPr>
          <w:noProof/>
        </w:rPr>
        <w:t>c)</w:t>
      </w:r>
      <w:r>
        <w:rPr>
          <w:noProof/>
        </w:rPr>
        <w:tab/>
        <w:t xml:space="preserve">teplo; </w:t>
      </w:r>
    </w:p>
    <w:p>
      <w:pPr>
        <w:pStyle w:val="Point1"/>
        <w:rPr>
          <w:noProof/>
        </w:rPr>
      </w:pPr>
      <w:r>
        <w:rPr>
          <w:noProof/>
        </w:rPr>
        <w:t>2)</w:t>
      </w:r>
      <w:r>
        <w:rPr>
          <w:noProof/>
        </w:rPr>
        <w:tab/>
        <w:t>interní spotřeba průmyslového sektoru (spotřebovaná a závodně vyrobená elektřina, kombinovaná výroba tepla a elektřiny a teplo);</w:t>
      </w:r>
    </w:p>
    <w:p>
      <w:pPr>
        <w:pStyle w:val="Point1"/>
        <w:rPr>
          <w:noProof/>
        </w:rPr>
      </w:pPr>
      <w:r>
        <w:rPr>
          <w:noProof/>
        </w:rPr>
        <w:t>3)</w:t>
      </w:r>
      <w:r>
        <w:rPr>
          <w:noProof/>
        </w:rPr>
        <w:tab/>
        <w:t>přímá konečná spotřeba v oblasti bydlení;</w:t>
      </w:r>
    </w:p>
    <w:p>
      <w:pPr>
        <w:pStyle w:val="Point1"/>
        <w:rPr>
          <w:noProof/>
        </w:rPr>
      </w:pPr>
      <w:r>
        <w:rPr>
          <w:noProof/>
        </w:rPr>
        <w:t>4)</w:t>
      </w:r>
      <w:r>
        <w:rPr>
          <w:noProof/>
        </w:rPr>
        <w:tab/>
        <w:t>ostatní.</w:t>
      </w:r>
    </w:p>
    <w:p>
      <w:pPr>
        <w:rPr>
          <w:noProof/>
        </w:rPr>
      </w:pPr>
    </w:p>
    <w:p>
      <w:pPr>
        <w:jc w:val="center"/>
        <w:rPr>
          <w:b/>
          <w:noProof/>
          <w:szCs w:val="24"/>
        </w:rPr>
      </w:pPr>
      <w:r>
        <w:rPr>
          <w:b/>
          <w:noProof/>
        </w:rPr>
        <w:t>Část 2</w:t>
      </w:r>
    </w:p>
    <w:p>
      <w:pPr>
        <w:jc w:val="center"/>
        <w:rPr>
          <w:i/>
          <w:noProof/>
          <w:szCs w:val="24"/>
        </w:rPr>
      </w:pPr>
      <w:r>
        <w:rPr>
          <w:i/>
          <w:noProof/>
        </w:rPr>
        <w:t>Další povinnosti pro podávání zpráv v oblasti energetické účinnosti</w:t>
      </w:r>
    </w:p>
    <w:p>
      <w:pPr>
        <w:rPr>
          <w:b/>
          <w:noProof/>
          <w:szCs w:val="24"/>
        </w:rPr>
      </w:pPr>
      <w:r>
        <w:rPr>
          <w:noProof/>
        </w:rPr>
        <w:t>V oblasti energetické účinnosti budou v souladu s čl. 19 písm. c) zahrnuty následující doplňkové informace:</w:t>
      </w:r>
    </w:p>
    <w:p>
      <w:pPr>
        <w:pStyle w:val="Point0"/>
        <w:rPr>
          <w:noProof/>
        </w:rPr>
      </w:pPr>
      <w:r>
        <w:rPr>
          <w:noProof/>
        </w:rPr>
        <w:t>a)</w:t>
      </w:r>
      <w:r>
        <w:rPr>
          <w:noProof/>
        </w:rPr>
        <w:tab/>
        <w:t>hlavní legislativní a nelegislativní politiky, opatření, finanční opatření a programy, které byly provedeny v roce X-2 a X-1 (kde X je rok, kdy má být zpráva podána) za účelem dosažení jejich cílů stanovených v souladu s čl. 4 písm. b) a které podporují trhy s energetickými službami, zlepšují energetickou náročnost budov, opatření k využití potenciálu infrastruktury v oblasti plynu a elektřiny a vytápění a chlazení z hlediska energetické účinnosti, zlepšení informování a kvalifikace, jiná opatření na podporu energetické účinnosti;</w:t>
      </w:r>
    </w:p>
    <w:p>
      <w:pPr>
        <w:pStyle w:val="Point0"/>
        <w:rPr>
          <w:noProof/>
          <w:szCs w:val="24"/>
        </w:rPr>
      </w:pPr>
      <w:r>
        <w:rPr>
          <w:noProof/>
        </w:rPr>
        <w:t>b)</w:t>
      </w:r>
      <w:r>
        <w:rPr>
          <w:noProof/>
        </w:rPr>
        <w:tab/>
        <w:t>úspory energie dosažené pomocí článku 7 směrnice 2012/27/EU [ve znění návrhu COM(2016) 761] v letech X-3 a X-2;</w:t>
      </w:r>
    </w:p>
    <w:p>
      <w:pPr>
        <w:pStyle w:val="Point0"/>
        <w:rPr>
          <w:noProof/>
          <w:szCs w:val="24"/>
        </w:rPr>
      </w:pPr>
      <w:r>
        <w:rPr>
          <w:noProof/>
        </w:rPr>
        <w:t>c)</w:t>
      </w:r>
      <w:r>
        <w:rPr>
          <w:noProof/>
        </w:rPr>
        <w:tab/>
        <w:t>pokrok v každém odvětví a důvody, proč spotřeba energie zůstala stabilní nebo rostla v roce X-3 a X-2 v odvětvích konečné spotřeby energie;</w:t>
      </w:r>
    </w:p>
    <w:p>
      <w:pPr>
        <w:pStyle w:val="Point0"/>
        <w:rPr>
          <w:noProof/>
          <w:szCs w:val="24"/>
        </w:rPr>
      </w:pPr>
      <w:r>
        <w:rPr>
          <w:noProof/>
        </w:rPr>
        <w:t>d)</w:t>
      </w:r>
      <w:r>
        <w:rPr>
          <w:noProof/>
        </w:rPr>
        <w:tab/>
        <w:t>celková podlahová plocha budov s celkovou užitnou podlahovou plochou přesahující 250 m</w:t>
      </w:r>
      <w:r>
        <w:rPr>
          <w:noProof/>
          <w:vertAlign w:val="superscript"/>
        </w:rPr>
        <w:t>2</w:t>
      </w:r>
      <w:r>
        <w:rPr>
          <w:noProof/>
        </w:rPr>
        <w:t xml:space="preserve"> ve vlastnictví nebo užívání ústředních vládních institucí členských států, které k 1. lednu roku X-2 a X-1 nesplnily požadavky energetické náročnosti uvedené v čl. 5 odst. 1 směrnice 2012/27/EU;</w:t>
      </w:r>
    </w:p>
    <w:p>
      <w:pPr>
        <w:pStyle w:val="Point0"/>
        <w:rPr>
          <w:noProof/>
          <w:szCs w:val="24"/>
        </w:rPr>
      </w:pPr>
      <w:r>
        <w:rPr>
          <w:noProof/>
        </w:rPr>
        <w:t>e)</w:t>
      </w:r>
      <w:r>
        <w:rPr>
          <w:noProof/>
        </w:rPr>
        <w:tab/>
        <w:t>celková podlahová plocha vytápěných nebo chlazených budov ve vlastnictví a v užívání ústředních vládních institucí členských států, které byly renovovány v roce X-3 a X-2 podle čl. 5 odst. 1 směrnice 2012/27/EU, nebo objem úspor energie ve způsobilých budovách ve vlastnictví a v užívání jejich ústředních vládních institucí podle čl. 5 odst. 6 směrnice 2012/27/EU;</w:t>
      </w:r>
    </w:p>
    <w:p>
      <w:pPr>
        <w:pStyle w:val="Point0"/>
        <w:rPr>
          <w:noProof/>
          <w:szCs w:val="24"/>
        </w:rPr>
      </w:pPr>
      <w:r>
        <w:rPr>
          <w:noProof/>
        </w:rPr>
        <w:t>f)</w:t>
      </w:r>
      <w:r>
        <w:rPr>
          <w:noProof/>
        </w:rPr>
        <w:tab/>
        <w:t>počet energetických auditů vypracovaných v roce X-3 a X-2. Dále celkový počet velkých společností na jejich území, na něž se vztahuje čl. 8 odst. 4 směrnice 2012/27/EU, a počet energetických auditů vypracovaných v těchto podnicích v roce X-3 a X-2;</w:t>
      </w:r>
    </w:p>
    <w:p>
      <w:pPr>
        <w:pStyle w:val="Point0"/>
        <w:rPr>
          <w:noProof/>
          <w:szCs w:val="24"/>
        </w:rPr>
      </w:pPr>
      <w:r>
        <w:rPr>
          <w:noProof/>
        </w:rPr>
        <w:t>g)</w:t>
      </w:r>
      <w:r>
        <w:rPr>
          <w:noProof/>
        </w:rPr>
        <w:tab/>
        <w:t>použitý vnitrostátní primární energetický faktor pro elektřinu;</w:t>
      </w:r>
    </w:p>
    <w:p>
      <w:pPr>
        <w:pStyle w:val="Point0"/>
        <w:rPr>
          <w:noProof/>
          <w:szCs w:val="24"/>
        </w:rPr>
      </w:pPr>
      <w:r>
        <w:rPr>
          <w:noProof/>
        </w:rPr>
        <w:t>h)</w:t>
      </w:r>
      <w:r>
        <w:rPr>
          <w:noProof/>
        </w:rPr>
        <w:tab/>
        <w:t>počet a podlahová plocha nových a zrenovovaných budov s téměř nulovou spotřebou energie v roce X-2 a X-1 podle článku 9 směrnice 2010/31/EU;</w:t>
      </w:r>
    </w:p>
    <w:p>
      <w:pPr>
        <w:pStyle w:val="Point0"/>
        <w:rPr>
          <w:noProof/>
        </w:rPr>
      </w:pPr>
      <w:r>
        <w:rPr>
          <w:noProof/>
        </w:rPr>
        <w:t>i)</w:t>
      </w:r>
      <w:r>
        <w:rPr>
          <w:noProof/>
        </w:rPr>
        <w:tab/>
        <w:t>internetový odkaz na webovou stránku, kde lze dohledat seznam nebo rozhraní poskytovatelů energetických služeb uvedené v čl. 18 odst. 1 písm. c) směrnice 2012/27/EU.</w:t>
      </w:r>
    </w:p>
    <w:p>
      <w:pPr>
        <w:pStyle w:val="Annexetitre"/>
        <w:rPr>
          <w:b w:val="0"/>
          <w:i/>
          <w:noProof/>
          <w:szCs w:val="24"/>
          <w:u w:val="none"/>
        </w:rPr>
      </w:pPr>
      <w:r>
        <w:rPr>
          <w:b w:val="0"/>
          <w:i/>
          <w:noProof/>
          <w:u w:val="none"/>
        </w:rPr>
        <w:t>PŘÍLOHA VIII</w:t>
      </w:r>
    </w:p>
    <w:p>
      <w:pPr>
        <w:jc w:val="center"/>
        <w:rPr>
          <w:noProof/>
        </w:rPr>
      </w:pPr>
      <w:r>
        <w:rPr>
          <w:b/>
          <w:noProof/>
        </w:rPr>
        <w:t>ZPRÁVA UNIE O UDRŽITELNOSTI V OBLASTI BIOENERGIE</w:t>
      </w:r>
    </w:p>
    <w:p>
      <w:pPr>
        <w:rPr>
          <w:noProof/>
          <w:szCs w:val="24"/>
        </w:rPr>
      </w:pPr>
      <w:r>
        <w:rPr>
          <w:noProof/>
        </w:rPr>
        <w:t>Zpráva EU o udržitelnosti v oblasti bioenergie zabývající se energií z biomasy, která má být Komisí schválena každé dva roky společně se zprávou o stavu energetické unie podle čl. 29 odst. 2 písm. d), bude obsahovat alespoň následující informace:</w:t>
      </w:r>
    </w:p>
    <w:p>
      <w:pPr>
        <w:pStyle w:val="Point0"/>
        <w:rPr>
          <w:noProof/>
          <w:szCs w:val="24"/>
        </w:rPr>
      </w:pPr>
      <w:r>
        <w:rPr>
          <w:noProof/>
        </w:rPr>
        <w:t>a)</w:t>
      </w:r>
      <w:r>
        <w:rPr>
          <w:noProof/>
        </w:rPr>
        <w:tab/>
        <w:t>relativní environmentální výhody a náklady jednotlivých biopaliv, biokapalin a paliv vyráběných z biomasy, účinky dovozních politik Unie na tuto oblast, důsledky zabezpečení dodávek energie a možnosti, jak zajistit vyrovnaný přístup mezi domácí výrobou a dovozem;</w:t>
      </w:r>
    </w:p>
    <w:p>
      <w:pPr>
        <w:pStyle w:val="Point0"/>
        <w:rPr>
          <w:noProof/>
          <w:szCs w:val="24"/>
        </w:rPr>
      </w:pPr>
      <w:r>
        <w:rPr>
          <w:noProof/>
        </w:rPr>
        <w:t>b)</w:t>
      </w:r>
      <w:r>
        <w:rPr>
          <w:noProof/>
        </w:rPr>
        <w:tab/>
        <w:t>dopad výroby a používání biomasy na udržitelnost v Unii a třetích zemích, včetně dopadů na biologickou rozmanitost;</w:t>
      </w:r>
    </w:p>
    <w:p>
      <w:pPr>
        <w:pStyle w:val="Point0"/>
        <w:rPr>
          <w:noProof/>
          <w:szCs w:val="24"/>
        </w:rPr>
      </w:pPr>
      <w:r>
        <w:rPr>
          <w:noProof/>
        </w:rPr>
        <w:t>c)</w:t>
      </w:r>
      <w:r>
        <w:rPr>
          <w:noProof/>
        </w:rPr>
        <w:tab/>
        <w:t xml:space="preserve">data a analýzy současné a předpokládané dostupnosti udržitelné biomasy a poptávky po ní, včetně dopadu rostoucí poptávky po biomase na odvětví využívající biomasu; </w:t>
      </w:r>
    </w:p>
    <w:p>
      <w:pPr>
        <w:pStyle w:val="Point0"/>
        <w:rPr>
          <w:noProof/>
          <w:szCs w:val="24"/>
        </w:rPr>
      </w:pPr>
      <w:r>
        <w:rPr>
          <w:noProof/>
        </w:rPr>
        <w:t>d)</w:t>
      </w:r>
      <w:r>
        <w:rPr>
          <w:noProof/>
        </w:rPr>
        <w:tab/>
        <w:t>technologický vývoj, dostupnost a udržitelnost biopaliv vyrobených ze vstupních surovin uvedených na seznamu v příloze IX [přepracovaného znění směrnice 2009/28/ES navrženého prostřednictvím COM(2016) 767]), včetně posouzení dopadu nahrazení potravin a krmiv výrobou biopaliv, s náležitým zohledněním zásad hierarchie způsobů nakládání s odpady podle směrnice 2008/98/ES a zásady kaskádového využívání biomasy s přihlédnutím k regionálním a místním hospodářským a technickým podmínkám, udržení nezbytných zásob uhlíku v půdě a kvality půdy a ekosystémů;</w:t>
      </w:r>
    </w:p>
    <w:p>
      <w:pPr>
        <w:pStyle w:val="Point0"/>
        <w:rPr>
          <w:noProof/>
          <w:szCs w:val="24"/>
        </w:rPr>
      </w:pPr>
      <w:r>
        <w:rPr>
          <w:noProof/>
        </w:rPr>
        <w:t>e)</w:t>
      </w:r>
      <w:r>
        <w:rPr>
          <w:noProof/>
        </w:rPr>
        <w:tab/>
        <w:t>informace o dostupných výsledcích vědeckého výzkumu ohledně nepřímých změn ve využívání půdy ve vztahu ke všem způsobům výroby a analýza těchto výsledků, včetně posouzení, zda lze zmenšit míru neurčitosti zjištěnou při analýze, z níž vycházejí odhady emisí vyplývajících z nepřímé změny ve využívání půdy, a zda lze přitom započítat faktor případného dopadu politik Unie, jako jsou politiky v oblasti životního prostředí, klimatu a zemědělství; a</w:t>
      </w:r>
    </w:p>
    <w:p>
      <w:pPr>
        <w:pStyle w:val="Point0"/>
        <w:rPr>
          <w:noProof/>
          <w:szCs w:val="24"/>
        </w:rPr>
      </w:pPr>
      <w:r>
        <w:rPr>
          <w:noProof/>
        </w:rPr>
        <w:t>f)</w:t>
      </w:r>
      <w:r>
        <w:rPr>
          <w:noProof/>
        </w:rPr>
        <w:tab/>
        <w:t>s ohledem na třetí země i členské státy, které jsou významnými zdroji biopaliva, biokapalin a paliv z biomasy spotřebovaných v rámci Unie, informace o vnitrostátních opatřeních přijatých za účelem dodržování kritérií udržitelnosti a kritérií pro úsporu emisí skleníkových plynů stanovených v čl. 26 odst. 2 až 7 [přepracovaného znění směrnice 2009/28/ES navrženého prostřednictvím COM(2016) 767] na ochranu půdy, vody a ovzduší.</w:t>
      </w:r>
    </w:p>
    <w:p>
      <w:pPr>
        <w:rPr>
          <w:noProof/>
          <w:szCs w:val="24"/>
        </w:rPr>
      </w:pPr>
      <w:r>
        <w:rPr>
          <w:noProof/>
        </w:rPr>
        <w:t>Při podávání zpráv o úspoře emisí skleníkových plynů při používání biomasy použije Komise objemy vykázané členskými státy podle části 1 písm. b) přílohy IX , včetně předběžných průměrných hodnot odhadovaných emisí vyplývajících z nepřímé změny ve využívání půdy a souvisejícího rozmezí odvozeného z analýzy citlivosti uvedených v příloze VIII [přepracovaného znění směrnice 2009/28/ES navrženého prostřednictvím COM(2016) 767]). Komise zveřejní údaje o předběžných průměrných hodnotách odhadovaných emisí vyplývajících z nepřímé změny ve využívání půdy a souvisejícím rozmezí odvozeném z analýzy citlivosti. Komise dále zhodnotí, zda a jak se odhad přímých úspor emisí změní, započítají-li se druhotné produkty v rámci substitučního přístupu.</w:t>
      </w:r>
    </w:p>
    <w:p>
      <w:pPr>
        <w:pStyle w:val="Annexetitre"/>
        <w:rPr>
          <w:b w:val="0"/>
          <w:i/>
          <w:noProof/>
          <w:szCs w:val="24"/>
          <w:u w:val="none"/>
        </w:rPr>
      </w:pPr>
      <w:r>
        <w:rPr>
          <w:b w:val="0"/>
          <w:i/>
          <w:noProof/>
          <w:u w:val="none"/>
        </w:rPr>
        <w:t>PŘÍLOHA IX</w:t>
      </w:r>
    </w:p>
    <w:p>
      <w:pPr>
        <w:jc w:val="center"/>
        <w:rPr>
          <w:noProof/>
        </w:rPr>
      </w:pPr>
      <w:r>
        <w:rPr>
          <w:b/>
          <w:noProof/>
        </w:rPr>
        <w:t>NEPOVINNÉ SYSTÉMY, PRO KTERÉ KOMISE PŘIJALA ROZHODNUTÍ V SOULADU S ČL. 27 ODST. 4 [PŘEPRACOVANÉHO ZNĚNÍ SMĚRNICE 2009/28/ES NAVRŽENÉHO PROSTŘEDNICTVÍM COM(2016) 767]</w:t>
      </w:r>
    </w:p>
    <w:p>
      <w:pPr>
        <w:rPr>
          <w:noProof/>
          <w:szCs w:val="24"/>
        </w:rPr>
      </w:pPr>
      <w:r>
        <w:rPr>
          <w:noProof/>
        </w:rPr>
        <w:t>Zpráva o nepovinných systémech, pro které Komise přijala rozhodnutí v souladu s čl. 27 odst. 4 [přepracovaného znění 2009/28/ES navrženého prostřednictvím COM(2016) 767], která má být Komisí přijata každé dva roky společně se zprávou o stavu energetické unie podle čl. 29 odst. 2 písm. e), bude obsahovat hodnocení Komise alespoň u následujících prvků:</w:t>
      </w:r>
    </w:p>
    <w:p>
      <w:pPr>
        <w:pStyle w:val="Point0"/>
        <w:rPr>
          <w:noProof/>
          <w:szCs w:val="24"/>
        </w:rPr>
      </w:pPr>
      <w:r>
        <w:rPr>
          <w:noProof/>
        </w:rPr>
        <w:t>a)</w:t>
      </w:r>
      <w:r>
        <w:rPr>
          <w:noProof/>
        </w:rPr>
        <w:tab/>
        <w:t>nezávislosti, postupů a četnosti auditů, jak pokud jde o to, co je k těmto aspektům uvedeno v dokumentaci k příslušnému systému v době jeho schválení Komisí, tak v porovnání s osvědčenými odvětvovými postupy;</w:t>
      </w:r>
    </w:p>
    <w:p>
      <w:pPr>
        <w:pStyle w:val="Point0"/>
        <w:rPr>
          <w:noProof/>
        </w:rPr>
      </w:pPr>
      <w:r>
        <w:rPr>
          <w:noProof/>
        </w:rPr>
        <w:t>b)</w:t>
      </w:r>
      <w:r>
        <w:rPr>
          <w:noProof/>
        </w:rPr>
        <w:tab/>
        <w:t>dostupnosti, zkušeností a transparentnosti při uplatňování metod zjišťování nedodržení předpisů a řešení těchto případů, zejména s ohledem na řešení situací závažného pochybení na straně subjektů účastnících se daného systému nebo obvinění z těchto pochybení;</w:t>
      </w:r>
    </w:p>
    <w:p>
      <w:pPr>
        <w:pStyle w:val="Point0"/>
        <w:rPr>
          <w:noProof/>
        </w:rPr>
      </w:pPr>
      <w:r>
        <w:rPr>
          <w:noProof/>
        </w:rPr>
        <w:t>c)</w:t>
      </w:r>
      <w:r>
        <w:rPr>
          <w:noProof/>
        </w:rPr>
        <w:tab/>
        <w:t>transparentnosti, zejména ve vztahu k přístupnosti systému, dostupnosti překladů do příslušných jazyků zemí a regionů, z nichž suroviny pocházejí, přístupnosti seznamu certifikovaných hospodářských subjektů a příslušných certifikátů a přístupnosti auditorských zpráv;</w:t>
      </w:r>
    </w:p>
    <w:p>
      <w:pPr>
        <w:pStyle w:val="Point0"/>
        <w:rPr>
          <w:noProof/>
        </w:rPr>
      </w:pPr>
      <w:r>
        <w:rPr>
          <w:noProof/>
        </w:rPr>
        <w:t>d)</w:t>
      </w:r>
      <w:r>
        <w:rPr>
          <w:noProof/>
        </w:rPr>
        <w:tab/>
        <w:t>zapojení zúčastněných stran, zejména pokud jde o konzultace s původními a místními společenstvími před přijetím rozhodnutí v průběhu vytváření a přezkumu systému i v průběhu auditů a reakce na jejich příspěvky;</w:t>
      </w:r>
    </w:p>
    <w:p>
      <w:pPr>
        <w:pStyle w:val="Point0"/>
        <w:rPr>
          <w:noProof/>
        </w:rPr>
      </w:pPr>
      <w:r>
        <w:rPr>
          <w:noProof/>
        </w:rPr>
        <w:t>e)</w:t>
      </w:r>
      <w:r>
        <w:rPr>
          <w:noProof/>
        </w:rPr>
        <w:tab/>
        <w:t>celkové stability systému, především v kontextu pravidel pro akreditaci, kvalifikaci a nezávislost auditorů a příslušných orgánů systému;</w:t>
      </w:r>
    </w:p>
    <w:p>
      <w:pPr>
        <w:pStyle w:val="Point0"/>
        <w:rPr>
          <w:noProof/>
        </w:rPr>
      </w:pPr>
      <w:r>
        <w:rPr>
          <w:noProof/>
        </w:rPr>
        <w:t>f)</w:t>
      </w:r>
      <w:r>
        <w:rPr>
          <w:noProof/>
        </w:rPr>
        <w:tab/>
        <w:t>aktualizací daného systému v závislosti na trhu, množství certifikovaných vstupních surovin a biopaliv podle zemí původu a podle druhů, počtu účastníků;</w:t>
      </w:r>
    </w:p>
    <w:p>
      <w:pPr>
        <w:pStyle w:val="Point0"/>
        <w:rPr>
          <w:noProof/>
        </w:rPr>
      </w:pPr>
      <w:r>
        <w:rPr>
          <w:noProof/>
        </w:rPr>
        <w:t>g)</w:t>
      </w:r>
      <w:r>
        <w:rPr>
          <w:noProof/>
        </w:rPr>
        <w:tab/>
        <w:t>snadnosti a účinnosti zavádění metody, která sleduje doklady o souladu s kritérii udržitelnosti, jež jsou v rámci systému předávány jeho účastníkům, přičemž taková metoda má sloužit jako prostředek k předcházení podvodům, zejména se zaměřením na odhalování a potírání podezření z podvodů a jiných nesrovnalostí a na navazující opatření, a případně počtu odhalených případů podvodů a nesrovnalostí;</w:t>
      </w:r>
    </w:p>
    <w:p>
      <w:pPr>
        <w:pStyle w:val="Point0"/>
        <w:rPr>
          <w:noProof/>
        </w:rPr>
      </w:pPr>
      <w:r>
        <w:rPr>
          <w:noProof/>
        </w:rPr>
        <w:t>h)</w:t>
      </w:r>
      <w:r>
        <w:rPr>
          <w:noProof/>
        </w:rPr>
        <w:tab/>
        <w:t>možností subjektů získat oprávnění k uznávání a sledování certifikačních orgánů;</w:t>
      </w:r>
    </w:p>
    <w:p>
      <w:pPr>
        <w:pStyle w:val="Point0"/>
        <w:rPr>
          <w:noProof/>
        </w:rPr>
      </w:pPr>
      <w:r>
        <w:rPr>
          <w:noProof/>
        </w:rPr>
        <w:t>i)</w:t>
      </w:r>
      <w:r>
        <w:rPr>
          <w:noProof/>
        </w:rPr>
        <w:tab/>
        <w:t>kritérií pro uznávání nebo akreditaci certifikačních orgánů;</w:t>
      </w:r>
    </w:p>
    <w:p>
      <w:pPr>
        <w:pStyle w:val="Point0"/>
        <w:rPr>
          <w:noProof/>
        </w:rPr>
      </w:pPr>
      <w:r>
        <w:rPr>
          <w:noProof/>
        </w:rPr>
        <w:t>j)</w:t>
      </w:r>
      <w:r>
        <w:rPr>
          <w:noProof/>
        </w:rPr>
        <w:tab/>
        <w:t>pravidel, jak má být prováděno sledování certifikačních orgánů;</w:t>
      </w:r>
    </w:p>
    <w:p>
      <w:pPr>
        <w:pStyle w:val="Point0"/>
        <w:rPr>
          <w:noProof/>
        </w:rPr>
      </w:pPr>
      <w:r>
        <w:rPr>
          <w:noProof/>
        </w:rPr>
        <w:t>k)</w:t>
      </w:r>
      <w:r>
        <w:rPr>
          <w:noProof/>
        </w:rPr>
        <w:tab/>
        <w:t>způsobů usnadnění nebo zlepšení podpory osvědčených postupů.</w:t>
      </w:r>
    </w:p>
    <w:p>
      <w:pPr>
        <w:pStyle w:val="Annexetitre"/>
        <w:rPr>
          <w:b w:val="0"/>
          <w:i/>
          <w:noProof/>
          <w:u w:val="none"/>
        </w:rPr>
      </w:pPr>
      <w:r>
        <w:rPr>
          <w:b w:val="0"/>
          <w:i/>
          <w:noProof/>
          <w:u w:val="none"/>
        </w:rPr>
        <w:t>PŘÍLOHA X</w:t>
      </w:r>
    </w:p>
    <w:p>
      <w:pPr>
        <w:jc w:val="center"/>
        <w:rPr>
          <w:noProof/>
        </w:rPr>
      </w:pPr>
      <w:r>
        <w:rPr>
          <w:b/>
          <w:noProof/>
        </w:rPr>
        <w:t>NÁRODNÍ INVENTURNÍ SYSTÉMY</w:t>
      </w:r>
    </w:p>
    <w:p>
      <w:pPr>
        <w:rPr>
          <w:noProof/>
        </w:rPr>
      </w:pPr>
      <w:r>
        <w:rPr>
          <w:noProof/>
        </w:rPr>
        <w:t>Zdroje uvedené v článku 30 zahrnují:</w:t>
      </w:r>
    </w:p>
    <w:p>
      <w:pPr>
        <w:pStyle w:val="Point0"/>
        <w:rPr>
          <w:noProof/>
        </w:rPr>
      </w:pPr>
      <w:r>
        <w:rPr>
          <w:noProof/>
        </w:rPr>
        <w:t>a)</w:t>
      </w:r>
      <w:r>
        <w:rPr>
          <w:noProof/>
        </w:rPr>
        <w:tab/>
        <w:t xml:space="preserve">údaje a metody vykazované u činností a zařízení v souladu se směrnicí 2003/87/ES pro účely vypracování národních inventur skleníkových plynů za účelem zajištění jednotnosti emisí skleníkových plynů vykazovaných v rámci systému Unie pro obchodování s emisemi a v národních inventurách skleníkových plynů; </w:t>
      </w:r>
    </w:p>
    <w:p>
      <w:pPr>
        <w:pStyle w:val="Point0"/>
        <w:rPr>
          <w:noProof/>
        </w:rPr>
      </w:pPr>
      <w:r>
        <w:rPr>
          <w:noProof/>
        </w:rPr>
        <w:t>b)</w:t>
      </w:r>
      <w:r>
        <w:rPr>
          <w:noProof/>
        </w:rPr>
        <w:tab/>
        <w:t xml:space="preserve">údaje o fluorovaných plynech v jednotlivých oblastech shromážděná prostřednictvím systémů podávání zpráv podle článku 20 nařízení (EU) č. 517/2014 pro účely vypracování národních inventur skleníkových plynů; </w:t>
      </w:r>
    </w:p>
    <w:p>
      <w:pPr>
        <w:pStyle w:val="Point0"/>
        <w:rPr>
          <w:noProof/>
        </w:rPr>
      </w:pPr>
      <w:r>
        <w:rPr>
          <w:noProof/>
        </w:rPr>
        <w:t>c)</w:t>
      </w:r>
      <w:r>
        <w:rPr>
          <w:noProof/>
        </w:rPr>
        <w:tab/>
        <w:t xml:space="preserve">emise, výchozí údaje a metodiky vykazované zařízeními podle nařízení (ES) č. 166/2006 pro účely vypracování národních inventur skleníkových plynů; </w:t>
      </w:r>
    </w:p>
    <w:p>
      <w:pPr>
        <w:pStyle w:val="Point0"/>
        <w:rPr>
          <w:noProof/>
        </w:rPr>
      </w:pPr>
      <w:r>
        <w:rPr>
          <w:noProof/>
        </w:rPr>
        <w:t>d)</w:t>
      </w:r>
      <w:r>
        <w:rPr>
          <w:noProof/>
        </w:rPr>
        <w:tab/>
        <w:t xml:space="preserve">údaje vykazované podle nařízení (ES) č. 1099/2008; </w:t>
      </w:r>
    </w:p>
    <w:p>
      <w:pPr>
        <w:pStyle w:val="Point0"/>
        <w:rPr>
          <w:noProof/>
        </w:rPr>
      </w:pPr>
      <w:r>
        <w:rPr>
          <w:noProof/>
        </w:rPr>
        <w:t>e)</w:t>
      </w:r>
      <w:r>
        <w:rPr>
          <w:noProof/>
        </w:rPr>
        <w:tab/>
        <w:t>údaje shromážděné prostřednictvím zeměpisného sledování pozemků v rámci stávajících programů a průzkumů Unie a členských států včetně rámcového průzkumu LUCAS o využívání půdy a jejího krajinného krytu a včetně Evropského programu pozorování Země Copernicus.</w:t>
      </w:r>
    </w:p>
    <w:p>
      <w:pPr>
        <w:pStyle w:val="Annexetitre"/>
        <w:rPr>
          <w:b w:val="0"/>
          <w:i/>
          <w:noProof/>
          <w:u w:val="none"/>
        </w:rPr>
      </w:pPr>
      <w:r>
        <w:rPr>
          <w:b w:val="0"/>
          <w:i/>
          <w:noProof/>
          <w:u w:val="none"/>
        </w:rPr>
        <w:t>PŘÍLOHA XI</w:t>
      </w:r>
    </w:p>
    <w:p>
      <w:pPr>
        <w:jc w:val="center"/>
        <w:rPr>
          <w:noProof/>
        </w:rPr>
      </w:pPr>
      <w:r>
        <w:rPr>
          <w:b/>
          <w:noProof/>
        </w:rPr>
        <w:t>SROVNÁVACÍ TABULKA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3"/>
        <w:gridCol w:w="6960"/>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Nařízení (EU) č.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Toto nařízení</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 odst.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14</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30 odst. 1; čl. 30 odst. 2; čl. 30 odst. 6; příloha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30 odst. 3; čl. 30 odst.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23 odst. 2; čl. 23 odst. 3; čl. 23 odst. 5; čl. 23 odst. 6; příloha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23 odst. 1 písm. a); čl. 23 odst. 1 poslední pododstavec; čl. 23 odst.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30 odst. 4; čl. 30 odst. 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33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32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16 odst. 1 písm. a); čl. 16 odst. 3; čl. 16 odst. 4; příloha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16 odst. 1 písm. b); čl. 16 odst. 2; čl. 16 odst. 3; čl. 16 odst. 4; příloha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17 odst. 1; příloha VI, část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17 odst. 2 písm. a); příloha VI, část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17 odst. 2 písm. b); čl. 17 odst. 3; čl. 17 odst. 4; příloha VI, část 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15 odst. 2 písm. e); čl. 15 odst. 2 druhý pododstavec</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19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25 odst. 1 písm. c); čl. 25 odst. 4; čl. 25 odst. 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 34 odst. 1 písm. d); čl. 34 odst. 1 písm. e); čl. 34 odst. 1 písm. f); čl. 34 odst. 1 písm. g); čl. 34 odst. 1 písm.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35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37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50</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Článek 29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Musí být zajištěna soudržnost s dlouhodobými nízkoemisními strategiemi podle článku 14. </w:t>
      </w:r>
    </w:p>
  </w:footnote>
  <w:footnote w:id="3">
    <w:p>
      <w:pPr>
        <w:pStyle w:val="FootnoteText"/>
      </w:pPr>
      <w:r>
        <w:rPr>
          <w:rStyle w:val="FootnoteReference"/>
        </w:rPr>
        <w:footnoteRef/>
      </w:r>
      <w:r>
        <w:tab/>
        <w:t>Pro plán na období let 2021 až 2030: Závazný vnitrostátní cíl členského státu do roku 2030 pro skleníkové plyny v odvětvích, jež nespadají do systému obchodování s emisemi, a roční závazné limity stanovené v souladu s nařízením [ ] [ESR].</w:t>
      </w:r>
    </w:p>
  </w:footnote>
  <w:footnote w:id="4">
    <w:p>
      <w:pPr>
        <w:pStyle w:val="FootnoteText"/>
      </w:pPr>
      <w:r>
        <w:rPr>
          <w:rStyle w:val="FootnoteReference"/>
        </w:rPr>
        <w:footnoteRef/>
      </w:r>
      <w:r>
        <w:tab/>
        <w:t>Nařízení [ ] [LULUCF].</w:t>
      </w:r>
    </w:p>
  </w:footnote>
  <w:footnote w:id="5">
    <w:p>
      <w:pPr>
        <w:pStyle w:val="FootnoteText"/>
      </w:pPr>
      <w:r>
        <w:rPr>
          <w:rStyle w:val="FootnoteReference"/>
        </w:rPr>
        <w:footnoteRef/>
      </w:r>
      <w:r>
        <w:tab/>
        <w:t>Musí být zajištěna soudržnost s plány preventivních opatření a plány pro stav nouze podle nařízení [navrženého prostřednictvím COM(2016) 52] o opatřeních na zajištění bezpečnosti dodávek zemního plynu a o zrušení nařízení Rady (EU) č. 994/2010 a plány připravenosti na hrozby podle nařízení [navrženého prostřednictvím COM(2016) 862] o rizikové připravenosti v odvětví elektřiny a o zrušení směrnice 2005/89/ES.</w:t>
      </w:r>
    </w:p>
  </w:footnote>
  <w:footnote w:id="6">
    <w:p>
      <w:pPr>
        <w:pStyle w:val="FootnoteText"/>
      </w:pPr>
      <w:r>
        <w:rPr>
          <w:rStyle w:val="FootnoteReference"/>
        </w:rPr>
        <w:footnoteRef/>
      </w:r>
      <w:r>
        <w:tab/>
        <w:t>V souladu s nařízením Evropského parlamentu a Rady (EU) č. 347/2013 ze dne 17. dubna 2013, kterým se stanoví hlavní směry pro transevropské energetické sítě a kterým se zrušuje rozhodnutí č. 1364/2006/ES a mění nařízení (ES) č. 713/2009, (ES) č. 714/2009 a (ES) č. 715/2009 (Úř. věst. L 115, 25.4.2013, s. 39).</w:t>
      </w:r>
    </w:p>
  </w:footnote>
  <w:footnote w:id="7">
    <w:p>
      <w:pPr>
        <w:pStyle w:val="FootnoteText"/>
      </w:pPr>
      <w:r>
        <w:rPr>
          <w:rStyle w:val="FootnoteReference"/>
        </w:rPr>
        <w:footnoteRef/>
      </w:r>
      <w:r>
        <w:tab/>
        <w:t>Při plánování těchto opatření členské státy vezmou v úvahu konec životnosti stávajících instalací a modernizační potenciál.</w:t>
      </w:r>
    </w:p>
  </w:footnote>
  <w:footnote w:id="8">
    <w:p>
      <w:pPr>
        <w:pStyle w:val="FootnoteText"/>
      </w:pPr>
      <w:r>
        <w:rPr>
          <w:rStyle w:val="FootnoteReference"/>
        </w:rPr>
        <w:footnoteRef/>
      </w:r>
      <w:r>
        <w:tab/>
        <w:t>V souladu s článkem 2a směrnice 2010/31/EU [ve znění návrhu COM(2016) 765].</w:t>
      </w:r>
    </w:p>
  </w:footnote>
  <w:footnote w:id="9">
    <w:p>
      <w:pPr>
        <w:pStyle w:val="FootnoteText"/>
      </w:pPr>
      <w:r>
        <w:rPr>
          <w:rStyle w:val="FootnoteReference"/>
        </w:rPr>
        <w:footnoteRef/>
      </w:r>
      <w:r>
        <w:tab/>
        <w:t>V souladu s článkem 18 směrnice 2012/27/EU.</w:t>
      </w:r>
    </w:p>
  </w:footnote>
  <w:footnote w:id="10">
    <w:p>
      <w:pPr>
        <w:pStyle w:val="FootnoteText"/>
      </w:pPr>
      <w:r>
        <w:rPr>
          <w:rStyle w:val="FootnoteReference"/>
        </w:rPr>
        <w:footnoteRef/>
      </w:r>
      <w:r>
        <w:tab/>
        <w:t>V souladu s článkem 8 směrnice 2012/27/EU.</w:t>
      </w:r>
    </w:p>
  </w:footnote>
  <w:footnote w:id="11">
    <w:p>
      <w:pPr>
        <w:pStyle w:val="FootnoteText"/>
      </w:pPr>
      <w:r>
        <w:rPr>
          <w:rStyle w:val="FootnoteReference"/>
        </w:rPr>
        <w:footnoteRef/>
      </w:r>
      <w:r>
        <w:tab/>
        <w:t>V souladu s články 12 a 17 směrnice 2012/27/EU.</w:t>
      </w:r>
    </w:p>
  </w:footnote>
  <w:footnote w:id="12">
    <w:p>
      <w:pPr>
        <w:pStyle w:val="FootnoteText"/>
      </w:pPr>
      <w:r>
        <w:rPr>
          <w:rStyle w:val="FootnoteReference"/>
        </w:rPr>
        <w:footnoteRef/>
      </w:r>
      <w:r>
        <w:tab/>
        <w:t>V souladu s článkem 19 směrnice 2012/27/EU.</w:t>
      </w:r>
    </w:p>
  </w:footnote>
  <w:footnote w:id="13">
    <w:p>
      <w:pPr>
        <w:pStyle w:val="FootnoteText"/>
      </w:pPr>
      <w:r>
        <w:rPr>
          <w:rStyle w:val="FootnoteReference"/>
        </w:rPr>
        <w:footnoteRef/>
      </w:r>
      <w:r>
        <w:tab/>
        <w:t>V souladu s čl. 15 odst. 2 směrnice 2012/27/EU.</w:t>
      </w:r>
    </w:p>
  </w:footnote>
  <w:footnote w:id="14">
    <w:p>
      <w:pPr>
        <w:pStyle w:val="FootnoteText"/>
      </w:pPr>
      <w:r>
        <w:rPr>
          <w:rStyle w:val="FootnoteReference"/>
        </w:rPr>
        <w:footnoteRef/>
      </w:r>
      <w:r>
        <w:tab/>
        <w:t>Politiky a opatření odrážejí první zásadu energetické účinnosti.</w:t>
      </w:r>
    </w:p>
  </w:footnote>
  <w:footnote w:id="15">
    <w:p>
      <w:pPr>
        <w:pStyle w:val="FootnoteText"/>
      </w:pPr>
      <w:r>
        <w:rPr>
          <w:rStyle w:val="FootnoteReference"/>
        </w:rPr>
        <w:footnoteRef/>
      </w:r>
      <w:r>
        <w:tab/>
        <w:t>Musí být zajištěna soudržnost s plány preventivních opatření a plány pro stav nouze podle nařízení [navrženého prostřednictvím COM(2016) 52] o opatřeních na zajištění bezpečnosti dodávek zemního plynu a o zrušení nařízení Rady (EU) č. 994/2010 a plány připravenosti na hrozby podle nařízení [navrženého prostřednictvím COM(2016) 862] o rizikové připravenosti v odvětví elektřiny a o zrušení směrnice 2005/89/ES.</w:t>
      </w:r>
    </w:p>
  </w:footnote>
  <w:footnote w:id="16">
    <w:p>
      <w:pPr>
        <w:pStyle w:val="FootnoteText"/>
      </w:pPr>
      <w:r>
        <w:rPr>
          <w:rStyle w:val="FootnoteReference"/>
        </w:rPr>
        <w:footnoteRef/>
      </w:r>
      <w:r>
        <w:tab/>
        <w:t>Politiky a opatření odrážejí první zásadu energetické účinnosti.</w:t>
      </w:r>
    </w:p>
  </w:footnote>
  <w:footnote w:id="17">
    <w:p>
      <w:pPr>
        <w:pStyle w:val="FootnoteText"/>
      </w:pPr>
      <w:r>
        <w:rPr>
          <w:rStyle w:val="FootnoteReference"/>
        </w:rPr>
        <w:footnoteRef/>
      </w:r>
      <w:r>
        <w:tab/>
        <w:t>Jiné než regionální skupiny PCI ustavené podle nařízení (EU) č. 347/2013.</w:t>
      </w:r>
    </w:p>
  </w:footnote>
  <w:footnote w:id="18">
    <w:p>
      <w:pPr>
        <w:pStyle w:val="FootnoteText"/>
      </w:pPr>
      <w:r>
        <w:rPr>
          <w:rStyle w:val="FootnoteReference"/>
        </w:rPr>
        <w:footnoteRef/>
      </w:r>
      <w:r>
        <w:tab/>
        <w:t>Jiné než regionální skupiny PCI ustavené podle nařízení (EU) č. 347/2013.</w:t>
      </w:r>
    </w:p>
  </w:footnote>
  <w:footnote w:id="19">
    <w:p>
      <w:pPr>
        <w:pStyle w:val="FootnoteText"/>
      </w:pPr>
      <w:r>
        <w:rPr>
          <w:rStyle w:val="FootnoteReference"/>
        </w:rPr>
        <w:footnoteRef/>
      </w:r>
      <w:r>
        <w:tab/>
        <w:t>V souladu s [přepracovaným zněním směrnice 2009/72/EC navrženým prostřednictvím COM(2016) 864 a přepracovaným zněním nařízení (EC) č. 714/2009 navrženým prostřednictvím COM(2016) 861].</w:t>
      </w:r>
    </w:p>
  </w:footnote>
  <w:footnote w:id="20">
    <w:p>
      <w:pPr>
        <w:pStyle w:val="FootnoteText"/>
      </w:pPr>
      <w:r>
        <w:rPr>
          <w:rStyle w:val="FootnoteReference"/>
        </w:rPr>
        <w:footnoteRef/>
      </w:r>
      <w:r>
        <w:tab/>
        <w:t>V souladu s čl. 15 odst. 8 směrnice 2012/27/EU.</w:t>
      </w:r>
    </w:p>
  </w:footnote>
  <w:footnote w:id="21">
    <w:p>
      <w:pPr>
        <w:pStyle w:val="FootnoteText"/>
      </w:pPr>
      <w:r>
        <w:rPr>
          <w:rStyle w:val="FootnoteReference"/>
        </w:rPr>
        <w:footnoteRef/>
      </w:r>
      <w:r>
        <w:tab/>
        <w:t>Viz část 2 pro podrobný seznam parametrů a proměnných, které se uvedou v oddílu B plánu.</w:t>
      </w:r>
    </w:p>
  </w:footnote>
  <w:footnote w:id="22">
    <w:p>
      <w:pPr>
        <w:pStyle w:val="FootnoteText"/>
      </w:pPr>
      <w:r>
        <w:rPr>
          <w:rStyle w:val="FootnoteReference"/>
        </w:rPr>
        <w:footnoteRef/>
      </w:r>
      <w:r>
        <w:tab/>
        <w:t xml:space="preserve">Současný stav musí odrážet datum předložení vnitrostátního plánu (nebo poslední dostupné datum). Stávající politiky a opatření zahrnují provedené a přijaté politiky a opatření. Přijaté politiky a opatření jsou ty, kvůli nimž bylo před datem předložení vnitrostátního plánu přijato oficiální rozhodnutí vlády a u nichž existuje jasný závazek přistoupit k jejich provedení. Provedené politiky a opatření jsou ty, na něž se k datu předložení vnitrostátního plánu vztahuje jedno nebo více z následujících prohlášení: vnitrostátní právní úprava je platná, byla uzavřena jedna nebo více dobrovolných dohod, finanční zdroje byly alokovány, lidské zdroje byly mobilizovány. </w:t>
      </w:r>
    </w:p>
  </w:footnote>
  <w:footnote w:id="23">
    <w:p>
      <w:pPr>
        <w:pStyle w:val="FootnoteText"/>
      </w:pPr>
      <w:r>
        <w:rPr>
          <w:rStyle w:val="FootnoteReference"/>
        </w:rPr>
        <w:footnoteRef/>
      </w:r>
      <w:r>
        <w:tab/>
        <w:t>Výběr vnějších faktorů se může zakládat na předpokladech učiněných v referenčním scénáři EU pro rok 2016 nebo jiných pozdějších politických scénářích pro stejné proměnné. Užitečným zdrojem údajů při vytváření vnitrostátních odhadů za použití stávajících politik a opatření a při posuzování dopadu mohou být dále rovněž konkrétní výsledky členských států ve vztahu k referenčnímu scénáři EU pro rok 2016 nebo jiným pozdějším politickým scénářům.</w:t>
      </w:r>
    </w:p>
  </w:footnote>
  <w:footnote w:id="24">
    <w:p>
      <w:pPr>
        <w:pStyle w:val="FootnoteText"/>
      </w:pPr>
      <w:r>
        <w:rPr>
          <w:rStyle w:val="FootnoteReference"/>
        </w:rPr>
        <w:footnoteRef/>
      </w:r>
      <w:r>
        <w:tab/>
        <w:t>V souladu s čl. 14 odst. 1 směrnice 2012/27/EU.</w:t>
      </w:r>
    </w:p>
  </w:footnote>
  <w:footnote w:id="25">
    <w:p>
      <w:pPr>
        <w:pStyle w:val="FootnoteText"/>
      </w:pPr>
      <w:r>
        <w:rPr>
          <w:rStyle w:val="FootnoteReference"/>
        </w:rPr>
        <w:footnoteRef/>
      </w:r>
      <w:r>
        <w:tab/>
        <w:t>Tento referenční odhad běžné praxe poslouží jako základ pro cíl roku 2030 v oblasti primární a konečné spotřeby energie, který je popsán v bodě 2.3, a pro konverzní faktory.</w:t>
      </w:r>
    </w:p>
  </w:footnote>
  <w:footnote w:id="26">
    <w:p>
      <w:pPr>
        <w:pStyle w:val="FootnoteText"/>
      </w:pPr>
      <w:r>
        <w:rPr>
          <w:rStyle w:val="FootnoteReference"/>
        </w:rPr>
        <w:footnoteRef/>
      </w:r>
      <w:r>
        <w:tab/>
        <w:t>S odvoláním na přehledy stávající přenosové infrastruktury sestavené provozovateli přenosových soustav (TSO).</w:t>
      </w:r>
    </w:p>
  </w:footnote>
  <w:footnote w:id="27">
    <w:p>
      <w:pPr>
        <w:pStyle w:val="FootnoteText"/>
      </w:pPr>
      <w:r>
        <w:rPr>
          <w:rStyle w:val="FootnoteReference"/>
        </w:rPr>
        <w:footnoteRef/>
      </w:r>
      <w:r>
        <w:tab/>
        <w:t>S odvoláním na vnitrostátní plány rozvoje sítí a regionální investiční plány TSO.</w:t>
      </w:r>
    </w:p>
  </w:footnote>
  <w:footnote w:id="28">
    <w:p>
      <w:pPr>
        <w:pStyle w:val="FootnoteText"/>
      </w:pPr>
      <w:r>
        <w:rPr>
          <w:rStyle w:val="FootnoteReference"/>
        </w:rPr>
        <w:footnoteRef/>
      </w:r>
      <w:r>
        <w:tab/>
        <w:t>S odvoláním na přehledy stávající přenosové infrastruktury sestavené TSO.</w:t>
      </w:r>
    </w:p>
  </w:footnote>
  <w:footnote w:id="29">
    <w:p>
      <w:pPr>
        <w:pStyle w:val="FootnoteText"/>
      </w:pPr>
      <w:r>
        <w:rPr>
          <w:rStyle w:val="FootnoteReference"/>
        </w:rPr>
        <w:footnoteRef/>
      </w:r>
      <w:r>
        <w:tab/>
        <w:t>S odvoláním na vnitrostátní plány rozvoje sítí a regionální investiční plány TSO.</w:t>
      </w:r>
    </w:p>
  </w:footnote>
  <w:footnote w:id="30">
    <w:p>
      <w:pPr>
        <w:pStyle w:val="FootnoteText"/>
      </w:pPr>
      <w:r>
        <w:rPr>
          <w:rStyle w:val="FootnoteReference"/>
        </w:rPr>
        <w:footnoteRef/>
      </w:r>
      <w:r>
        <w:tab/>
        <w:t>Plánované politiky a opatření jsou projednávané možnosti, které mají reálnou šanci být přijaty a provedeny po datu předložení vnitrostátního plánu. Výsledné odhady podle oddílu 5.1.i tedy budou zahrnovat nejen provedené a přijaté politiky a opatření (odhady se stávajícími politikami a opatřeními), ale také plánované politiky a opatření.</w:t>
      </w:r>
    </w:p>
  </w:footnote>
  <w:footnote w:id="31">
    <w:p>
      <w:pPr>
        <w:pStyle w:val="FootnoteText"/>
      </w:pPr>
      <w:r>
        <w:rPr>
          <w:rStyle w:val="FootnoteReference"/>
        </w:rPr>
        <w:footnoteRef/>
      </w:r>
      <w:r>
        <w:tab/>
        <w:t>Směrnice [navržená prostřednictvím COM/2013/0920] o snížení národních emisí některých látek znečišťujících ovzduší a o změně směrnice 2003/35/ES a zrušení směrnice 2001/81/ES.</w:t>
      </w:r>
    </w:p>
  </w:footnote>
  <w:footnote w:id="32">
    <w:p>
      <w:pPr>
        <w:pStyle w:val="FootnoteText"/>
      </w:pPr>
      <w:r>
        <w:rPr>
          <w:rStyle w:val="FootnoteReference"/>
        </w:rPr>
        <w:footnoteRef/>
      </w:r>
      <w:r>
        <w:tab/>
        <w:t xml:space="preserve">Pro plán na období let 2021 až 2030: Pro každý parametr / proměnnou na seznamu budou jak v oddíle 4, tak v oddíle 5 uvedeny trendy pro období 2005–2040 (případně 2005–2050) včetně roku 2030, a to v pětiletých intervalech. Parametr založený na rozdílu mezi vnějšími předpoklady a modelovým výstupem bude vyznačen. </w:t>
      </w:r>
    </w:p>
  </w:footnote>
  <w:footnote w:id="33">
    <w:p>
      <w:pPr>
        <w:pStyle w:val="FootnoteText"/>
      </w:pPr>
      <w:r>
        <w:rPr>
          <w:rStyle w:val="FootnoteReference"/>
        </w:rPr>
        <w:footnoteRef/>
      </w:r>
      <w:r>
        <w:tab/>
        <w:t>Pokud je to možné, uváděné údaje a odhady budou postaveny na údajích Eurostatu a metodice používané při vykazování evropských statistik v příslušných odvětvových právních úpravách a budou s nimi ve shodě, neboť evropské statistiky jsou základním zdrojem statistických údajů používaných při vykazování a monitorování, v souladu s nařízením (ES) č. 223/2009 o evropské statistice.</w:t>
      </w:r>
    </w:p>
  </w:footnote>
  <w:footnote w:id="34">
    <w:p>
      <w:pPr>
        <w:pStyle w:val="FootnoteText"/>
      </w:pPr>
      <w:r>
        <w:rPr>
          <w:rStyle w:val="FootnoteReference"/>
        </w:rPr>
        <w:footnoteRef/>
      </w:r>
      <w:r>
        <w:tab/>
        <w:t>Pozn.: Všechny odhady budou prováděny na základě stálých cen (jako základ poslouží ceny v roce 2016).</w:t>
      </w:r>
    </w:p>
  </w:footnote>
  <w:footnote w:id="35">
    <w:p>
      <w:pPr>
        <w:pStyle w:val="FootnoteText"/>
      </w:pPr>
      <w:r>
        <w:rPr>
          <w:rStyle w:val="FootnoteReference"/>
        </w:rPr>
        <w:footnoteRef/>
      </w:r>
      <w:r>
        <w:tab/>
        <w:t>Komise poskytne doporučení pro klíčové parametry pro odhady, které budou zahrnovat alespoň ceny dovozu ropy, plynu a uhlí, jakož i ceny uhlíku v evropském systému obchodování s emisemi.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6: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 w:val=" "/>
    <w:docVar w:name="LW_ACCOMPAGNANT.CP" w:val=" "/>
    <w:docVar w:name="LW_ANNEX_NBR_FIRST" w:val="1"/>
    <w:docVar w:name="LW_ANNEX_NBR_LAST" w:val="11"/>
    <w:docVar w:name="LW_CONFIDENCE" w:val=" "/>
    <w:docVar w:name="LW_CONST_RESTREINT_UE" w:val="RESTREINT UE"/>
    <w:docVar w:name="LW_CORRIGENDUM" w:val="&lt;UNUSED&gt;"/>
    <w:docVar w:name="LW_COVERPAGE_GUID" w:val="FED8774C37AB4E45B15C21FBD703D753"/>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V Bruselu dne "/>
    <w:docVar w:name="LW_EMISSION_SUFFIX" w:val=" "/>
    <w:docVar w:name="LW_ID_DOCSTRUCTURE" w:val="COM/ANNEX"/>
    <w:docVar w:name="LW_ID_DOCTYPE" w:val="SG-017"/>
    <w:docVar w:name="LW_LANGUE" w:val="CS"/>
    <w:docVar w:name="LW_MARKING" w:val="&lt;UNUSED&gt;"/>
    <w:docVar w:name="LW_NOM.INST" w:val="EVROPSKÁ KOMISE"/>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P\u344?ÍLOHY"/>
    <w:docVar w:name="LW_TYPE.DOC.CP" w:val="P\u344?ÍLOHY"/>
    <w:docVar w:name="LW_TYPEACTEPRINCIPAL" w:val="návrhu NA\u344?ÍZENÍ EVROPSKÉHO PARLAMENTU A RADY_x000b_o správ\u283? energetické unie,_x000b__x000b_kterým se m\u283?ní sm\u283?rnice 94/22/ES, sm\u283?rnice 98/70/ES, sm\u283?rnice 2009/31/ES, na\u345?ízení (ES) \u269?. 663/2009, na\u345?ízení (ES) \u269?. 715/2009, sm\u283?rnice 2009/73/ES, sm\u283?rnice Rady 2009/119/ES, sm\u283?rnice 2010/31/EU, _x000b_sm\u283?rnice 2012/27/EU, sm\u283?rnice 2013/30/EU a sm\u283?rnice Rady (EU) 2015/652 a zru\u353?uje na\u345?ízení (EU) \u269?. 525/2013"/>
    <w:docVar w:name="LW_TYPEACTEPRINCIPAL.CP" w:val="návrhu NA\u344?ÍZENÍ EVROPSKÉHO PARLAMENTU A RADY_x000b_o správ\u283? energetické unie,_x000b__x000b_kterým se m\u283?ní sm\u283?rnice 94/22/ES, sm\u283?rnice 98/70/ES, sm\u283?rnice 2009/31/ES, na\u345?ízení (ES) \u269?. 663/2009, na\u345?ízení (ES) \u269?. 715/2009, sm\u283?rnice 2009/73/ES, sm\u283?rnice Rady 2009/119/ES, sm\u283?rnice 2010/31/EU, _x000b_sm\u283?rnice 2012/27/EU, sm\u283?rnice 2013/30/EU a sm\u283?rnice Rady (EU) 2015/652 a zru\u353?uje na\u345?ízení (EU) \u269?. 525/201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cs-CZ"/>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cs-CZ"/>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BBCDED-B270-4793-A64E-8759FEA5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31</Pages>
  <Words>9034</Words>
  <Characters>53120</Characters>
  <Application>Microsoft Office Word</Application>
  <DocSecurity>0</DocSecurity>
  <Lines>1154</Lines>
  <Paragraphs>668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2016-11-29T10:32:00Z</cp:lastPrinted>
  <dcterms:created xsi:type="dcterms:W3CDTF">2016-12-22T09:13:00Z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