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259EB56D66C410B9537A42C19DECC8A"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pStyle w:val="NumPar1"/>
        <w:rPr>
          <w:noProof/>
        </w:rPr>
      </w:pPr>
      <w:bookmarkStart w:id="1" w:name="_GoBack"/>
      <w:bookmarkEnd w:id="1"/>
      <w:r>
        <w:rPr>
          <w:noProof/>
        </w:rPr>
        <w:lastRenderedPageBreak/>
        <w:t>Το παράρτημα Ι τροποποιείται ως εξής:</w:t>
      </w:r>
    </w:p>
    <w:p>
      <w:pPr>
        <w:pStyle w:val="Point1"/>
        <w:ind w:left="851" w:hanging="1"/>
        <w:rPr>
          <w:noProof/>
        </w:rPr>
      </w:pPr>
      <w:r>
        <w:rPr>
          <w:noProof/>
        </w:rPr>
        <w:t>α) Το μέρος I τροποποιείται ως εξής:</w:t>
      </w:r>
    </w:p>
    <w:p>
      <w:pPr>
        <w:pStyle w:val="Point2number"/>
        <w:rPr>
          <w:noProof/>
        </w:rPr>
      </w:pPr>
      <w:r>
        <w:rPr>
          <w:noProof/>
        </w:rPr>
        <w:t>Το τμήμα «ΣΛΟΒΑΚΙΑ» αντικαθίσταται από το ακόλουθο κείμενο:</w:t>
      </w:r>
    </w:p>
    <w:p>
      <w:pPr>
        <w:pStyle w:val="Point1"/>
        <w:ind w:left="851" w:hanging="1"/>
        <w:rPr>
          <w:noProof/>
        </w:rPr>
      </w:pPr>
      <w:r>
        <w:rPr>
          <w:noProof/>
        </w:rPr>
        <w:tab/>
      </w:r>
      <w:r>
        <w:rPr>
          <w:noProof/>
        </w:rPr>
        <w:tab/>
        <w:t>«ΣΛΟΒΑΚΙΑ</w:t>
      </w:r>
    </w:p>
    <w:p>
      <w:pPr>
        <w:pStyle w:val="Point1"/>
        <w:ind w:left="1440" w:firstLine="0"/>
        <w:rPr>
          <w:noProof/>
        </w:rPr>
      </w:pPr>
      <w:r>
        <w:rPr>
          <w:noProof/>
        </w:rPr>
        <w:t>Η υποκατάστατη παροχή διατροφής τέκνων (επίδομα διατροφής τέκνων) σύμφωνα με τον νόμο αριθ. 452/2004 περί υποκατάστατης παροχής διατροφής τέκνων, όπως τροποποιήθηκε και συμπληρώθηκε στον νόμο περί οικογενείας αριθ. 36/2005, όπως τροποποιήθηκε και συμπληρώθηκε από μετέπειτα κανονισμούς»·</w:t>
      </w:r>
    </w:p>
    <w:p>
      <w:pPr>
        <w:pStyle w:val="Point2number"/>
        <w:rPr>
          <w:noProof/>
        </w:rPr>
      </w:pPr>
      <w:r>
        <w:rPr>
          <w:noProof/>
        </w:rPr>
        <w:t>Το τμήμα «ΣΟΥΗΔΙΑ» αντικαθίσταται από το ακόλουθο κείμενο:</w:t>
      </w:r>
    </w:p>
    <w:p>
      <w:pPr>
        <w:pStyle w:val="Point1"/>
        <w:ind w:left="1395" w:firstLine="45"/>
        <w:rPr>
          <w:noProof/>
        </w:rPr>
      </w:pPr>
      <w:r>
        <w:rPr>
          <w:noProof/>
        </w:rPr>
        <w:t>«ΣΟΥΗΔΙΑ</w:t>
      </w:r>
    </w:p>
    <w:p>
      <w:pPr>
        <w:pStyle w:val="Point1"/>
        <w:ind w:left="851" w:firstLine="544"/>
        <w:rPr>
          <w:noProof/>
        </w:rPr>
      </w:pPr>
      <w:r>
        <w:rPr>
          <w:noProof/>
        </w:rPr>
        <w:t>Υποστήριξη διατροφής (κεφάλαια 17-19 του κώδικα κοινωνικής ασφάλισης)».</w:t>
      </w:r>
    </w:p>
    <w:p>
      <w:pPr>
        <w:pStyle w:val="Point1"/>
        <w:ind w:left="851" w:hanging="1"/>
        <w:rPr>
          <w:noProof/>
        </w:rPr>
      </w:pPr>
      <w:r>
        <w:rPr>
          <w:noProof/>
        </w:rPr>
        <w:t>β)</w:t>
      </w:r>
      <w:r>
        <w:rPr>
          <w:noProof/>
        </w:rPr>
        <w:tab/>
        <w:t>Το μέρος II τροποποιείται ως εξής:</w:t>
      </w:r>
    </w:p>
    <w:p>
      <w:pPr>
        <w:pStyle w:val="Point2number"/>
        <w:numPr>
          <w:ilvl w:val="4"/>
          <w:numId w:val="7"/>
        </w:numPr>
        <w:rPr>
          <w:noProof/>
        </w:rPr>
      </w:pPr>
      <w:r>
        <w:rPr>
          <w:noProof/>
        </w:rPr>
        <w:t>το τμήμα «ΟΥΓΓΑΡΙΑ» απαλείφεται·</w:t>
      </w:r>
    </w:p>
    <w:p>
      <w:pPr>
        <w:pStyle w:val="Point2number"/>
        <w:rPr>
          <w:noProof/>
        </w:rPr>
      </w:pPr>
      <w:r>
        <w:rPr>
          <w:noProof/>
        </w:rPr>
        <w:t>το τμήμα «ΡΟΥΜΑΝΙΑ» απαλείφεται·</w:t>
      </w:r>
    </w:p>
    <w:p>
      <w:pPr>
        <w:pStyle w:val="Point2number"/>
        <w:rPr>
          <w:noProof/>
        </w:rPr>
      </w:pPr>
      <w:r>
        <w:rPr>
          <w:noProof/>
        </w:rPr>
        <w:t>μετά το τμήμα «ΦΙΝΛΑΝΔΙΑ», προστίθεται νέο τμήμα με το ακόλουθο περιεχόμενο:</w:t>
      </w:r>
    </w:p>
    <w:p>
      <w:pPr>
        <w:pStyle w:val="Point1"/>
        <w:ind w:left="851" w:firstLine="566"/>
        <w:rPr>
          <w:noProof/>
        </w:rPr>
      </w:pPr>
      <w:r>
        <w:rPr>
          <w:noProof/>
        </w:rPr>
        <w:t xml:space="preserve">«ΣΟΥΗΔΙΑ </w:t>
      </w:r>
    </w:p>
    <w:p>
      <w:pPr>
        <w:pStyle w:val="Point1"/>
        <w:ind w:left="1440" w:hanging="34"/>
        <w:rPr>
          <w:noProof/>
        </w:rPr>
      </w:pPr>
      <w:r>
        <w:rPr>
          <w:noProof/>
        </w:rPr>
        <w:t>Επίδομα υιοθεσίας [Κεφάλαιο 21 του κώδικα κοινωνικής ασφάλισης (2001:110)]»</w:t>
      </w:r>
    </w:p>
    <w:p>
      <w:pPr>
        <w:pStyle w:val="NumPar1"/>
        <w:numPr>
          <w:ilvl w:val="0"/>
          <w:numId w:val="3"/>
        </w:numPr>
        <w:rPr>
          <w:noProof/>
        </w:rPr>
      </w:pPr>
      <w:r>
        <w:rPr>
          <w:noProof/>
        </w:rPr>
        <w:t>Στο παράρτημα ΙΙ, το τμήμα «ΙΣΠΑΝΙΑ-ΠΟΡΤΟΓΑΛΙΑ» απαλείφεται.</w:t>
      </w:r>
    </w:p>
    <w:p>
      <w:pPr>
        <w:pStyle w:val="NumPar1"/>
        <w:numPr>
          <w:ilvl w:val="0"/>
          <w:numId w:val="3"/>
        </w:numPr>
        <w:rPr>
          <w:noProof/>
        </w:rPr>
      </w:pPr>
      <w:r>
        <w:rPr>
          <w:noProof/>
        </w:rPr>
        <w:t>Στο παράρτημα III, τα τμήματα «ΕΣΘΟΝΙΑ», «ΙΣΠΑΝΙΑ», «ΚΡΟΑΤΙΑ», «ΙΤΑΛΙΑ», «ΛΙΘΟΥΑΝΙΑ», «ΟΥΓΓΑΡΙΑ», «ΚΑΤΩ ΧΩΡΕΣ», «ΦΙΝΛΑΝΔΙΑ» και «ΣΟΥΗΔΙΑ» απαλείφονται.</w:t>
      </w:r>
    </w:p>
    <w:p>
      <w:pPr>
        <w:pStyle w:val="NumPar1"/>
        <w:numPr>
          <w:ilvl w:val="0"/>
          <w:numId w:val="3"/>
        </w:numPr>
        <w:rPr>
          <w:noProof/>
        </w:rPr>
      </w:pPr>
      <w:r>
        <w:rPr>
          <w:noProof/>
        </w:rPr>
        <w:t>Το παράρτημα IV τροποποιείται ως εξής:</w:t>
      </w:r>
    </w:p>
    <w:p>
      <w:pPr>
        <w:pStyle w:val="Point1letter"/>
        <w:numPr>
          <w:ilvl w:val="0"/>
          <w:numId w:val="0"/>
        </w:numPr>
        <w:ind w:left="850"/>
        <w:rPr>
          <w:noProof/>
        </w:rPr>
      </w:pPr>
      <w:r>
        <w:rPr>
          <w:noProof/>
        </w:rPr>
        <w:t>α)</w:t>
      </w:r>
      <w:r>
        <w:rPr>
          <w:noProof/>
        </w:rPr>
        <w:tab/>
        <w:t>μετά το τμήμα «ΓΕΡΜΑΝΙΑ» παρεμβάλλεται το τμήμα «ΕΣΘΟΝΙΑ»·</w:t>
      </w:r>
    </w:p>
    <w:p>
      <w:pPr>
        <w:pStyle w:val="Point1letter"/>
        <w:numPr>
          <w:ilvl w:val="0"/>
          <w:numId w:val="0"/>
        </w:numPr>
        <w:ind w:left="850"/>
        <w:rPr>
          <w:noProof/>
        </w:rPr>
      </w:pPr>
      <w:r>
        <w:rPr>
          <w:noProof/>
        </w:rPr>
        <w:t>β)</w:t>
      </w:r>
      <w:r>
        <w:rPr>
          <w:noProof/>
        </w:rPr>
        <w:tab/>
        <w:t>μετά το τμήμα «ΚΥΠΡΟΣ» παρεμβάλλεται το τμήμα «ΛΙΘΟΥΑΝΙΑ»·</w:t>
      </w:r>
    </w:p>
    <w:p>
      <w:pPr>
        <w:pStyle w:val="Point1letter"/>
        <w:numPr>
          <w:ilvl w:val="0"/>
          <w:numId w:val="0"/>
        </w:numPr>
        <w:ind w:left="850"/>
        <w:rPr>
          <w:noProof/>
        </w:rPr>
      </w:pPr>
      <w:r>
        <w:rPr>
          <w:noProof/>
        </w:rPr>
        <w:t>γ)</w:t>
      </w:r>
      <w:r>
        <w:rPr>
          <w:noProof/>
        </w:rPr>
        <w:tab/>
        <w:t>μετά το τμήμα «ΟΥΓΓΑΡΙΑ» παρεμβάλλεται το τμήμα «ΜΑΛΤΑ»·</w:t>
      </w:r>
    </w:p>
    <w:p>
      <w:pPr>
        <w:pStyle w:val="Point1letter"/>
        <w:numPr>
          <w:ilvl w:val="0"/>
          <w:numId w:val="0"/>
        </w:numPr>
        <w:ind w:left="850"/>
        <w:rPr>
          <w:noProof/>
        </w:rPr>
      </w:pPr>
      <w:r>
        <w:rPr>
          <w:noProof/>
        </w:rPr>
        <w:t>δ)</w:t>
      </w:r>
      <w:r>
        <w:rPr>
          <w:noProof/>
        </w:rPr>
        <w:tab/>
        <w:t>μετά το τμήμα «ΠΟΛΩΝΙΑ» παρεμβάλλεται το τμήμα «ΠΟΡΤΟΓΑΛΙΑ»·</w:t>
      </w:r>
    </w:p>
    <w:p>
      <w:pPr>
        <w:pStyle w:val="Point1letter"/>
        <w:numPr>
          <w:ilvl w:val="0"/>
          <w:numId w:val="0"/>
        </w:numPr>
        <w:ind w:left="850"/>
        <w:rPr>
          <w:noProof/>
        </w:rPr>
      </w:pPr>
      <w:r>
        <w:rPr>
          <w:noProof/>
        </w:rPr>
        <w:t>ε)</w:t>
      </w:r>
      <w:r>
        <w:rPr>
          <w:noProof/>
        </w:rPr>
        <w:tab/>
        <w:t>μετά το τμήμα «ΠΟΡΤΟΓΑΛΙΑ» παρεμβάλλεται το τμήμα «ΡΟΥΜΑΝΙΑ»·</w:t>
      </w:r>
    </w:p>
    <w:p>
      <w:pPr>
        <w:pStyle w:val="Point1letter"/>
        <w:numPr>
          <w:ilvl w:val="0"/>
          <w:numId w:val="0"/>
        </w:numPr>
        <w:ind w:left="850"/>
        <w:rPr>
          <w:noProof/>
        </w:rPr>
      </w:pPr>
      <w:r>
        <w:rPr>
          <w:noProof/>
        </w:rPr>
        <w:t>στ)</w:t>
      </w:r>
      <w:r>
        <w:rPr>
          <w:noProof/>
        </w:rPr>
        <w:tab/>
        <w:t>μετά το τμήμα «ΣΛΟΒΕΝΙΑ» παρεμβάλλεται το τμήμα «ΣΛΟΒΑΚΙΑ»·</w:t>
      </w:r>
    </w:p>
    <w:p>
      <w:pPr>
        <w:pStyle w:val="Point1letter"/>
        <w:numPr>
          <w:ilvl w:val="0"/>
          <w:numId w:val="0"/>
        </w:numPr>
        <w:ind w:left="850"/>
        <w:rPr>
          <w:noProof/>
        </w:rPr>
      </w:pPr>
      <w:r>
        <w:rPr>
          <w:noProof/>
        </w:rPr>
        <w:t>ζ)</w:t>
      </w:r>
      <w:r>
        <w:rPr>
          <w:noProof/>
        </w:rPr>
        <w:tab/>
        <w:t>μετά το τμήμα «ΣΛΟΒΑΚΙΑ» παρεμβάλλεται το τμήμα «ΦΙΝΛΑΝΔΙΑ»·</w:t>
      </w:r>
    </w:p>
    <w:p>
      <w:pPr>
        <w:pStyle w:val="Point1letter"/>
        <w:numPr>
          <w:ilvl w:val="0"/>
          <w:numId w:val="0"/>
        </w:numPr>
        <w:ind w:left="850"/>
        <w:rPr>
          <w:noProof/>
        </w:rPr>
      </w:pPr>
      <w:r>
        <w:rPr>
          <w:noProof/>
        </w:rPr>
        <w:t>η)</w:t>
      </w:r>
      <w:r>
        <w:rPr>
          <w:noProof/>
        </w:rPr>
        <w:tab/>
        <w:t>μετά το τμήμα «ΣΟΥΗΔΙΑ» παρεμβάλλεται το τμήμα «ΗΝΩΜΕΝΟ ΒΑΣΙΛΕΙΟ».</w:t>
      </w:r>
    </w:p>
    <w:p>
      <w:pPr>
        <w:pStyle w:val="NumPar1"/>
        <w:numPr>
          <w:ilvl w:val="0"/>
          <w:numId w:val="3"/>
        </w:numPr>
        <w:rPr>
          <w:noProof/>
        </w:rPr>
      </w:pPr>
      <w:r>
        <w:rPr>
          <w:noProof/>
        </w:rPr>
        <w:t>Το παράρτημα X τροποποιείται ως εξής:</w:t>
      </w:r>
    </w:p>
    <w:p>
      <w:pPr>
        <w:pStyle w:val="Point1"/>
        <w:ind w:left="851" w:hanging="1"/>
        <w:rPr>
          <w:noProof/>
        </w:rPr>
      </w:pPr>
      <w:r>
        <w:rPr>
          <w:noProof/>
        </w:rPr>
        <w:t xml:space="preserve">α) το τμήμα «ΤΣΕΧΙΚΗ ΔΗΜΟΚΡΑΤΙΑ» απαλείφεται· </w:t>
      </w:r>
    </w:p>
    <w:p>
      <w:pPr>
        <w:pStyle w:val="Point1"/>
        <w:ind w:left="851" w:hanging="1"/>
        <w:rPr>
          <w:noProof/>
        </w:rPr>
      </w:pPr>
      <w:r>
        <w:rPr>
          <w:noProof/>
        </w:rPr>
        <w:t>β) στο τμήμα «ΓΕΡΜΑΝΙΑ», το στοιχείο β) αντικαθίσταται από το ακόλουθο κείμενο:</w:t>
      </w:r>
    </w:p>
    <w:p>
      <w:pPr>
        <w:pStyle w:val="Point1"/>
        <w:ind w:left="851" w:hanging="1"/>
        <w:rPr>
          <w:noProof/>
        </w:rPr>
      </w:pPr>
      <w:r>
        <w:rPr>
          <w:noProof/>
        </w:rPr>
        <w:t>«β) Παροχές για την κάλυψη των εξόδων διαβίωσης στο πλαίσιο της βασικής διάταξης για άτομα που αναζητούν εργασία σύμφωνα με τον τόμο II του κοινωνικού κώδικα</w:t>
      </w:r>
      <w:r>
        <w:rPr>
          <w:noProof/>
          <w:sz w:val="21"/>
        </w:rPr>
        <w:t>.»·</w:t>
      </w:r>
    </w:p>
    <w:p>
      <w:pPr>
        <w:pStyle w:val="Point1"/>
        <w:ind w:left="851" w:hanging="1"/>
        <w:rPr>
          <w:noProof/>
        </w:rPr>
      </w:pPr>
      <w:r>
        <w:rPr>
          <w:noProof/>
        </w:rPr>
        <w:t xml:space="preserve">γ) στο τμήμα «ΕΣΘΟΝΙΑ»: </w:t>
      </w:r>
    </w:p>
    <w:p>
      <w:pPr>
        <w:pStyle w:val="Point2number"/>
        <w:numPr>
          <w:ilvl w:val="4"/>
          <w:numId w:val="10"/>
        </w:numPr>
        <w:rPr>
          <w:noProof/>
        </w:rPr>
      </w:pPr>
      <w:r>
        <w:rPr>
          <w:noProof/>
        </w:rPr>
        <w:t>το στοιχείο α) απαλείφεται·</w:t>
      </w:r>
    </w:p>
    <w:p>
      <w:pPr>
        <w:pStyle w:val="Point2number"/>
        <w:rPr>
          <w:noProof/>
        </w:rPr>
      </w:pPr>
      <w:r>
        <w:rPr>
          <w:noProof/>
        </w:rPr>
        <w:t>στο στοιχείο β), η τελεία (.) αντικαθίσταται από άνω τελεία (·) και προστίθεται νέο στοιχείο:</w:t>
      </w:r>
    </w:p>
    <w:p>
      <w:pPr>
        <w:pStyle w:val="Point1"/>
        <w:ind w:left="1440" w:hanging="23"/>
        <w:rPr>
          <w:rFonts w:eastAsia="Arial Unicode MS"/>
          <w:noProof/>
          <w:szCs w:val="24"/>
        </w:rPr>
      </w:pPr>
      <w:r>
        <w:rPr>
          <w:noProof/>
        </w:rPr>
        <w:t xml:space="preserve">«γ) Επίδομα κηδείας (νόμος περί κρατικών παροχών κηδείας της 8ης Νοεμβρίου 2000).»· </w:t>
      </w:r>
    </w:p>
    <w:p>
      <w:pPr>
        <w:pStyle w:val="Point1"/>
        <w:ind w:left="851" w:hanging="1"/>
        <w:rPr>
          <w:noProof/>
        </w:rPr>
      </w:pPr>
      <w:r>
        <w:rPr>
          <w:noProof/>
        </w:rPr>
        <w:t xml:space="preserve">δ) στο τμήμα «ΟΥΓΓΑΡΙΑ», στο στοιχείο β) η άνω τελεία (·) αντικαθίσταται από τελεία (.) και το στοιχείο γ) απαλείφεται· </w:t>
      </w:r>
    </w:p>
    <w:p>
      <w:pPr>
        <w:pStyle w:val="Point1"/>
        <w:ind w:left="851" w:hanging="1"/>
        <w:rPr>
          <w:noProof/>
        </w:rPr>
      </w:pPr>
      <w:r>
        <w:rPr>
          <w:noProof/>
        </w:rPr>
        <w:t>ε) Μετά το τμήμα «ΠΟΡΤΟΓΑΛΙΑ» παρεμβάλλεται το ακόλουθο τμήμα «ΡΟΥΜΑΝΙΑ»:</w:t>
      </w:r>
    </w:p>
    <w:p>
      <w:pPr>
        <w:pStyle w:val="Point1"/>
        <w:ind w:left="851" w:hanging="1"/>
        <w:rPr>
          <w:noProof/>
        </w:rPr>
      </w:pPr>
      <w:r>
        <w:rPr>
          <w:noProof/>
        </w:rPr>
        <w:t>«ΡΟΥΜΑΝΙΑ</w:t>
      </w:r>
    </w:p>
    <w:p>
      <w:pPr>
        <w:pStyle w:val="Point1"/>
        <w:ind w:left="851" w:hanging="1"/>
        <w:rPr>
          <w:iCs/>
          <w:noProof/>
        </w:rPr>
      </w:pPr>
      <w:r>
        <w:rPr>
          <w:noProof/>
        </w:rPr>
        <w:t>Κοινωνικό επίδομα για τους συνταξιούχους (επείγον κυβερνητικό διάταγμα αριθ. 6/2009 περί θεσπίσεως ελάχιστης εγγυημένης κοινωνικής σύνταξης, που εγκρίθηκε με τον νόμο αριθ. 196/2009).»·</w:t>
      </w:r>
    </w:p>
    <w:p>
      <w:pPr>
        <w:pStyle w:val="Point1"/>
        <w:ind w:left="851" w:hanging="1"/>
        <w:rPr>
          <w:iCs/>
          <w:noProof/>
        </w:rPr>
      </w:pPr>
      <w:r>
        <w:rPr>
          <w:noProof/>
        </w:rPr>
        <w:t>στ) το τμήμα «ΣΛΟΒΕΝΙΑ» απαλείφεται·</w:t>
      </w:r>
    </w:p>
    <w:p>
      <w:pPr>
        <w:pStyle w:val="Point1"/>
        <w:ind w:left="851" w:hanging="1"/>
        <w:rPr>
          <w:iCs/>
          <w:noProof/>
        </w:rPr>
      </w:pPr>
      <w:r>
        <w:rPr>
          <w:noProof/>
        </w:rPr>
        <w:t>ζ) το τμήμα «ΣΟΥΗΔΙΑ» αντικαθίσταται από το ακόλουθο κείμενο:</w:t>
      </w:r>
    </w:p>
    <w:p>
      <w:pPr>
        <w:pStyle w:val="Point1"/>
        <w:ind w:left="851" w:hanging="1"/>
        <w:rPr>
          <w:iCs/>
          <w:noProof/>
        </w:rPr>
      </w:pPr>
      <w:r>
        <w:rPr>
          <w:noProof/>
        </w:rPr>
        <w:t>«ΣΟΥΗΔΙΑ</w:t>
      </w:r>
    </w:p>
    <w:p>
      <w:pPr>
        <w:pStyle w:val="Point1"/>
        <w:ind w:left="851" w:hanging="1"/>
        <w:rPr>
          <w:iCs/>
          <w:noProof/>
        </w:rPr>
      </w:pPr>
      <w:r>
        <w:rPr>
          <w:noProof/>
        </w:rPr>
        <w:t>α) Συμπληρώματα στέγασης για άτομα που λαμβάνουν σύνταξη (κεφάλαια 99-103 του κώδικα κοινωνικής ασφάλισης)·</w:t>
      </w:r>
    </w:p>
    <w:p>
      <w:pPr>
        <w:pStyle w:val="Point1"/>
        <w:rPr>
          <w:noProof/>
        </w:rPr>
      </w:pPr>
      <w:r>
        <w:rPr>
          <w:noProof/>
        </w:rPr>
        <w:t>β) Υποστήριξη διατροφής για τους ηλικιωμένους (κεφάλαιο 74 του κώδικα κοινωνικής ασφάλισης).»·</w:t>
      </w:r>
    </w:p>
    <w:p>
      <w:pPr>
        <w:pStyle w:val="Point1"/>
        <w:rPr>
          <w:rFonts w:eastAsia="Times New Roman"/>
          <w:noProof/>
        </w:rPr>
      </w:pPr>
      <w:r>
        <w:rPr>
          <w:noProof/>
        </w:rPr>
        <w:t>η) στο τμήμα «ΗΝΩΜΕΝΟ ΒΑΣΙΛΕΙΟ», η τελεία (.) στο τέλος του στοιχείου ε) αντικαθίσταται από άνω τελεία (·) και προστίθεται το ακόλουθο στοιχείο:</w:t>
      </w:r>
    </w:p>
    <w:p>
      <w:pPr>
        <w:pStyle w:val="Point1"/>
        <w:rPr>
          <w:rFonts w:eastAsia="Times New Roman"/>
          <w:noProof/>
        </w:rPr>
      </w:pPr>
      <w:r>
        <w:rPr>
          <w:noProof/>
        </w:rPr>
        <w:t xml:space="preserve">«στ) Επίδομα προσωπικής ανεξαρτησίας, σκέλος που αφορά την κινητικότητα (στη νομοθεσία της Μεγάλης Βρετανίας, μέρος 4 του Welfare Reform Act 2012 και στη νομοθεσία της Βόρειας Ιρλανδίας, μέρος 5 του Welfare Reform (Northern Ireland) Order 2015 [(S.I. 2015/2006 (N.I. 1)].».  </w:t>
      </w:r>
    </w:p>
    <w:p>
      <w:pPr>
        <w:pStyle w:val="NumPar1"/>
        <w:numPr>
          <w:ilvl w:val="0"/>
          <w:numId w:val="3"/>
        </w:numPr>
        <w:rPr>
          <w:noProof/>
        </w:rPr>
      </w:pPr>
      <w:r>
        <w:rPr>
          <w:noProof/>
        </w:rPr>
        <w:t>Το παράρτημα XI τροποποιείται ως εξής:</w:t>
      </w:r>
    </w:p>
    <w:p>
      <w:pPr>
        <w:pStyle w:val="Point1letter"/>
        <w:numPr>
          <w:ilvl w:val="0"/>
          <w:numId w:val="0"/>
        </w:numPr>
        <w:ind w:left="850"/>
        <w:rPr>
          <w:noProof/>
        </w:rPr>
      </w:pPr>
      <w:r>
        <w:rPr>
          <w:noProof/>
        </w:rPr>
        <w:t>α)</w:t>
      </w:r>
      <w:r>
        <w:rPr>
          <w:noProof/>
        </w:rPr>
        <w:tab/>
        <w:t xml:space="preserve"> Στο τμήμα «ΤΣΕΧΙΚΗ ΔΗΜΟΚΡΑΤΙΑ», το υπάρχον εδάφιο αριθμείται ως παράγραφος «1.» και προστίθεται νέα παράγραφος έπειτα από αυτήν με το ακόλουθο περιεχόμενο:</w:t>
      </w:r>
    </w:p>
    <w:p>
      <w:pPr>
        <w:pStyle w:val="Point1"/>
        <w:ind w:left="851" w:hanging="1"/>
        <w:rPr>
          <w:noProof/>
        </w:rPr>
      </w:pPr>
    </w:p>
    <w:p>
      <w:pPr>
        <w:pStyle w:val="Point1"/>
        <w:ind w:firstLine="0"/>
        <w:rPr>
          <w:noProof/>
        </w:rPr>
      </w:pPr>
      <w:r>
        <w:rPr>
          <w:noProof/>
        </w:rPr>
        <w:t xml:space="preserve">«2. Κατά παρέκκλιση από τα άρθρα 5 και 6 του παρόντος κανονισμού, για τη χορήγηση της συμπληρωματικής παροχής για τις περιόδους ασφάλισης που ολοκληρώθηκαν σύμφωνα με τη νομοθεσία της πρώην Τσεχικής και Σλοβακικής Ομοσπονδιακής Δημοκρατίας, μόνο οι περίοδοι ασφάλισης που πραγματοποιήθηκαν σύμφωνα με την τσεχική νομοθεσία μπορούν να ληφθούν υπόψη προκειμένου να εκπληρωθεί η προϋπόθεση για τουλάχιστον ένα έτος τσεχικής συνταξιοδοτικής ασφάλισης εντός του καθορισμένου διαστήματος μετά την ημερομηνία διάλυσης της Ομοσπονδίας [άρθρο 106α παράγραφος 1 στοιχείο β) του νόμου αριθ. 155/1995, περί συνταξιοδοτικής ασφάλισης).»·     </w:t>
      </w:r>
    </w:p>
    <w:p>
      <w:pPr>
        <w:pStyle w:val="Point1"/>
        <w:ind w:left="851" w:hanging="1"/>
        <w:rPr>
          <w:noProof/>
        </w:rPr>
      </w:pPr>
    </w:p>
    <w:p>
      <w:pPr>
        <w:pStyle w:val="Point1letter"/>
        <w:numPr>
          <w:ilvl w:val="0"/>
          <w:numId w:val="0"/>
        </w:numPr>
        <w:ind w:left="850"/>
        <w:rPr>
          <w:noProof/>
        </w:rPr>
      </w:pPr>
      <w:r>
        <w:rPr>
          <w:noProof/>
        </w:rPr>
        <w:t>β)</w:t>
      </w:r>
      <w:r>
        <w:rPr>
          <w:noProof/>
        </w:rPr>
        <w:tab/>
        <w:t xml:space="preserve">Στο τμήμα «ΓΕΡΜΑΝΙΑ», η παράγραφος 3 αντικαθίσταται από το ακόλουθο κείμενο: </w:t>
      </w:r>
    </w:p>
    <w:p>
      <w:pPr>
        <w:pStyle w:val="Point1"/>
        <w:ind w:firstLine="0"/>
        <w:rPr>
          <w:noProof/>
        </w:rPr>
      </w:pPr>
      <w:r>
        <w:rPr>
          <w:noProof/>
        </w:rPr>
        <w:t>«3.</w:t>
      </w:r>
      <w:r>
        <w:rPr>
          <w:noProof/>
        </w:rPr>
        <w:tab/>
        <w:t>Για τη χορήγηση παροχών σε χρήμα, σύμφωνα με το άρθρο 47 παράγραφος 1 του τόμου V του κοινωνικού κώδικα, το άρθρο 47 παράγραφος 1 του τόμου VII του κοινωνικού κώδικα, καθώς και το άρθρο 24i του τόμου V του κοινωνικού κώδικα, σε ασφαλισμένους που ζουν σε άλλο κράτος μέλος, τα γερμανικά ασφαλιστικά συστήματα υπολογίζουν τις καθαρές αποδοχές, οι οποίες χρησιμοποιούνται για τον υπολογισμό των παροχών, ως αν ο ασφαλισμένος ζούσε στη Γερμανία, εκτός εάν ο ασφαλισμένος ζητήσει υπολογισμό βάσει των πραγματικών καθαρών αποδοχών που εισπράττει. Για τους σκοπούς της χορήγησης παροχής γονικής άδειας δυνάμει του ομοσπονδιακού νόμου περί γονικού επιδόματος και γονικής αδείας (BEEG) σε πρόσωπα τα οποία κατοικούν σε άλλο κράτος μέλος, ο αρμόδιος φορέας για τη γερμανική παροχή γονικής άδειας υπολογίζει το μέσο μηνιαίο εισόδημα σύμφωνα με τα άρθρα 2γ έως 2στ του νόμου, το οποίο χρησιμοποιείται για τον υπολογισμό των παροχών, ως αν το πρόσωπο κατοικούσε στη Γερμανία. Στο πλαίσιο αυτό, αν εφαρμόζεται το φορολογικό κλιμάκιο IV σύμφωνα με τη δεύτερη περίοδο του άρθρου 2ε παράγραφος 3 του BEEG, επειδή ο δικαιούχος δεν υπαγόταν σε κανένα γερμανικό φορολογικό κλιμάκιο κατά τη διάρκεια της περιόδου υπολογισμού, ο δικαιούχος δύναται να ζητήσει τον υπολογισμό της παροχής γονικής άδειας με βάση το πραγματικό του καθαρό εισόδημα που φορολογείται στο κράτος μέλος κατοικίας.»·</w:t>
      </w:r>
    </w:p>
    <w:p>
      <w:pPr>
        <w:pStyle w:val="Point1letter"/>
        <w:numPr>
          <w:ilvl w:val="0"/>
          <w:numId w:val="0"/>
        </w:numPr>
        <w:ind w:left="850"/>
        <w:rPr>
          <w:noProof/>
        </w:rPr>
      </w:pPr>
      <w:r>
        <w:rPr>
          <w:noProof/>
        </w:rPr>
        <w:t>γ)</w:t>
      </w:r>
      <w:r>
        <w:rPr>
          <w:noProof/>
        </w:rPr>
        <w:tab/>
        <w:t>Στο τμήμα «ΕΣΘΟΝΙΑ», το υπάρχον εδάφιο αριθμείται ως παράγραφος 1 και προστίθεται νέα παράγραφος 2:</w:t>
      </w:r>
    </w:p>
    <w:p>
      <w:pPr>
        <w:pStyle w:val="Point0number"/>
        <w:numPr>
          <w:ilvl w:val="0"/>
          <w:numId w:val="0"/>
        </w:numPr>
        <w:ind w:left="1417"/>
        <w:rPr>
          <w:noProof/>
        </w:rPr>
      </w:pPr>
      <w:r>
        <w:rPr>
          <w:noProof/>
        </w:rPr>
        <w:t>«2. Για τον υπολογισμό του αναλογικού επιδόματος ικανότητας για εργασία, σύμφωνα με το άρθρο 52 παράγραφος 1 στοιχείο β) του παρόντος κανονισμού, οι περίοδοι κατοικίας που πραγματοποιήθηκαν στην Εσθονία θα ληφθούν υπόψη ξεκινώντας από την ηλικία των 16 ετών μέχρι τον χρόνο επέλευσης του γεγονότος.»·</w:t>
      </w:r>
    </w:p>
    <w:p>
      <w:pPr>
        <w:pStyle w:val="Point1letter"/>
        <w:numPr>
          <w:ilvl w:val="0"/>
          <w:numId w:val="0"/>
        </w:numPr>
        <w:ind w:left="850"/>
        <w:rPr>
          <w:noProof/>
        </w:rPr>
      </w:pPr>
      <w:r>
        <w:rPr>
          <w:noProof/>
        </w:rPr>
        <w:t>δ)</w:t>
      </w:r>
      <w:r>
        <w:rPr>
          <w:noProof/>
        </w:rPr>
        <w:tab/>
        <w:t xml:space="preserve">Στο τμήμα «ΚΑΤΩ ΧΩΡΕΣ», παρεμβάλλεται το εξής στοιχείο μετά την παράγραφο 1 στοιχείο στ): </w:t>
      </w:r>
    </w:p>
    <w:p>
      <w:pPr>
        <w:pStyle w:val="Point1"/>
        <w:ind w:firstLine="0"/>
        <w:rPr>
          <w:noProof/>
        </w:rPr>
      </w:pPr>
      <w:r>
        <w:rPr>
          <w:noProof/>
        </w:rPr>
        <w:t xml:space="preserve">«στ α). </w:t>
      </w:r>
      <w:r>
        <w:rPr>
          <w:noProof/>
        </w:rPr>
        <w:tab/>
        <w:t>Τα άτομα που αναφέρονται στο άρθρο 69 παράγραφος 1 του Zorgverzekeringswet (νόμος για την ασφάλιση υγείας) τα οποία, την τελευταία ημέρα του μήνα που προηγείται εκείνου κατά τη διάρκεια του οποίου συμπληρώνουν την ηλικία των 65 ετών, λαμβάνουν σύνταξη ή παροχή η οποία, σύμφωνα με το στοιχείο στ) του παρόντος τμήματος, εξομοιώνεται με σύνταξη που καταβάλλεται στο πλαίσιο της νομοθεσίας των Κάτω Χωρών, θεωρούνται αιτούντες σύνταξη για τους σκοπούς του άρθρου 22 του παρόντος κανονισμού έως ότου συμπληρώσουν την ηλικία συνταξιοδότησης που αναφέρεται στο άρθρο 7α του Algemene Ouderdomswet (γενικός νόμος για την ασφάλιση γήρατος).»·</w:t>
      </w:r>
    </w:p>
    <w:p>
      <w:pPr>
        <w:pStyle w:val="Point1letter"/>
        <w:numPr>
          <w:ilvl w:val="0"/>
          <w:numId w:val="0"/>
        </w:numPr>
        <w:ind w:left="850"/>
        <w:rPr>
          <w:noProof/>
        </w:rPr>
      </w:pPr>
      <w:r>
        <w:rPr>
          <w:noProof/>
        </w:rPr>
        <w:t>ε)</w:t>
      </w:r>
      <w:r>
        <w:rPr>
          <w:noProof/>
        </w:rPr>
        <w:tab/>
        <w:t>Μετά το τμήμα «ΑΥΣΤΡΙΑ» παρεμβάλλεται το ακόλουθο τμήμα «ΣΛΟΒΑΚΙΑ»:</w:t>
      </w:r>
    </w:p>
    <w:p>
      <w:pPr>
        <w:pStyle w:val="Point1"/>
        <w:ind w:left="851" w:firstLine="566"/>
        <w:rPr>
          <w:noProof/>
        </w:rPr>
      </w:pPr>
      <w:r>
        <w:rPr>
          <w:noProof/>
        </w:rPr>
        <w:t>«ΣΛΟΒΑΚΙΑ</w:t>
      </w:r>
    </w:p>
    <w:p>
      <w:pPr>
        <w:pStyle w:val="Point1"/>
        <w:ind w:firstLine="0"/>
        <w:rPr>
          <w:noProof/>
        </w:rPr>
      </w:pPr>
      <w:r>
        <w:rPr>
          <w:noProof/>
        </w:rPr>
        <w:t>Κατά παρέκκλιση από τα άρθρα 5 και 6 του παρόντος κανονισμού, για τη χορήγηση της συμπληρωματικής παροχής για τις περιόδους ασφάλισης που ολοκληρώθηκαν σύμφωνα με τη νομοθεσία της πρώην Τσεχικής και Σλοβακικής Ομοσπονδιακής Δημοκρατίας, μόνο οι περίοδοι ασφάλισης που πραγματοποιήθηκαν σύμφωνα με τη σλοβακική νομοθεσία μπορούν να ληφθούν υπόψη προκειμένου να εκπληρωθεί η προϋπόθεση για τουλάχιστον ένα έτος σλοβακικής συνταξιοδοτικής ασφάλισης εντός του καθορισμένου διαστήματος μετά την ημερομηνία διάλυσης της Ομοσπονδίας (</w:t>
      </w:r>
      <w:r>
        <w:rPr>
          <w:i/>
          <w:noProof/>
        </w:rPr>
        <w:t>άρθρο 69β παράγραφος 1 στοιχείο β) του νόμου αριθ. 461/2003, περί κοινωνικής ασφάλισης</w:t>
      </w:r>
      <w:r>
        <w:rPr>
          <w:noProof/>
        </w:rPr>
        <w:t xml:space="preserve">).»·  </w:t>
      </w:r>
    </w:p>
    <w:p>
      <w:pPr>
        <w:pStyle w:val="Point1letter"/>
        <w:numPr>
          <w:ilvl w:val="0"/>
          <w:numId w:val="0"/>
        </w:numPr>
        <w:ind w:left="850"/>
        <w:rPr>
          <w:noProof/>
        </w:rPr>
      </w:pPr>
      <w:r>
        <w:rPr>
          <w:noProof/>
        </w:rPr>
        <w:t>στ)</w:t>
      </w:r>
      <w:r>
        <w:rPr>
          <w:noProof/>
        </w:rPr>
        <w:tab/>
        <w:t>Στο τμήμα «ΣΟΥΗΔΙΑ»:</w:t>
      </w:r>
    </w:p>
    <w:p>
      <w:pPr>
        <w:pStyle w:val="Point2number"/>
        <w:numPr>
          <w:ilvl w:val="4"/>
          <w:numId w:val="8"/>
        </w:numPr>
        <w:rPr>
          <w:noProof/>
        </w:rPr>
      </w:pPr>
      <w:r>
        <w:rPr>
          <w:noProof/>
        </w:rPr>
        <w:t>απαλείφονται οι παράγραφοι 1 και 2·</w:t>
      </w:r>
    </w:p>
    <w:p>
      <w:pPr>
        <w:pStyle w:val="Point2number"/>
        <w:rPr>
          <w:noProof/>
        </w:rPr>
      </w:pPr>
      <w:r>
        <w:rPr>
          <w:noProof/>
        </w:rPr>
        <w:t xml:space="preserve">στην παράγραφο 3, η φράση «(νόμος 2000:798)» αντικαθίσταται από το ακόλουθο κείμενο: </w:t>
      </w:r>
    </w:p>
    <w:p>
      <w:pPr>
        <w:pStyle w:val="Point1"/>
        <w:ind w:firstLine="0"/>
        <w:rPr>
          <w:noProof/>
        </w:rPr>
      </w:pPr>
      <w:r>
        <w:rPr>
          <w:noProof/>
        </w:rPr>
        <w:t>«(κεφάλαιο 6 του νόμου για την εφαρμογή του κώδικα κοινωνικής ασφάλισης όσον αφορά τα κεφάλαια 53-74)»·</w:t>
      </w:r>
    </w:p>
    <w:p>
      <w:pPr>
        <w:pStyle w:val="Point2number"/>
        <w:rPr>
          <w:noProof/>
        </w:rPr>
      </w:pPr>
      <w:r>
        <w:rPr>
          <w:noProof/>
        </w:rPr>
        <w:t>στην παράγραφο 4:</w:t>
      </w:r>
    </w:p>
    <w:p>
      <w:pPr>
        <w:pStyle w:val="Tiret1"/>
        <w:tabs>
          <w:tab w:val="clear" w:pos="1417"/>
          <w:tab w:val="num" w:pos="2160"/>
        </w:tabs>
        <w:ind w:left="2160" w:hanging="720"/>
        <w:rPr>
          <w:noProof/>
        </w:rPr>
      </w:pPr>
      <w:r>
        <w:rPr>
          <w:noProof/>
        </w:rPr>
        <w:t>στην εισαγωγική φράση, η αναφορά στο «κεφάλαιο 8 του Lag (1962:381) om allmän forsäkring (εθνικού νόμου περί ασφαλίσεων)» αντικαθίσταται από την αναφορά στο «κεφάλαιο 34 του κώδικα κοινωνικής ασφάλισης»·</w:t>
      </w:r>
    </w:p>
    <w:p>
      <w:pPr>
        <w:pStyle w:val="Tiret1"/>
        <w:tabs>
          <w:tab w:val="clear" w:pos="1417"/>
          <w:tab w:val="num" w:pos="2160"/>
        </w:tabs>
        <w:ind w:left="2160" w:hanging="720"/>
        <w:rPr>
          <w:noProof/>
        </w:rPr>
      </w:pPr>
      <w:r>
        <w:rPr>
          <w:noProof/>
        </w:rPr>
        <w:t>στο στοιχείο β), η αναφορά στο «κεφάλαιο 8 παράγραφοι 2 και 8 του προαναφερθέντος νόμου» αντικαθίσταται από την αναφορά στο «κεφάλαιο 34 τμήματα 3, 10 και 11 του προαναφερθέντος νόμου» και η αναφορά στον «νόμο περί των συντάξεων γήρατος που συνδέονται με το εισόδημα (1998:674)» αντικαθίσταται από την αναφορά στο «κεφάλαιο 59 του κώδικα κοινωνικής ασφάλισης»·</w:t>
      </w:r>
    </w:p>
    <w:p>
      <w:pPr>
        <w:pStyle w:val="Point2number"/>
        <w:rPr>
          <w:noProof/>
        </w:rPr>
      </w:pPr>
      <w:r>
        <w:rPr>
          <w:noProof/>
        </w:rPr>
        <w:t>στην παράγραφο 5 στοιχείο α), η φράση «(νόμος 2000:461)» αντικαθίσταται από τη φράση «(κεφάλαιο 82 του κώδικα κοινωνικής ασφάλισης)».</w:t>
      </w:r>
    </w:p>
    <w:p>
      <w:pPr>
        <w:pStyle w:val="Point1letter"/>
        <w:numPr>
          <w:ilvl w:val="0"/>
          <w:numId w:val="0"/>
        </w:numPr>
        <w:ind w:left="850"/>
        <w:rPr>
          <w:noProof/>
        </w:rPr>
      </w:pPr>
      <w:r>
        <w:rPr>
          <w:noProof/>
        </w:rPr>
        <w:t>ζ)</w:t>
      </w:r>
      <w:r>
        <w:rPr>
          <w:noProof/>
        </w:rPr>
        <w:tab/>
        <w:t xml:space="preserve"> Στο τμήμα «ΗΝΩΜΕΝΟ ΒΑΣΙΛΕΙΟ»:</w:t>
      </w:r>
    </w:p>
    <w:p>
      <w:pPr>
        <w:pStyle w:val="Point2number"/>
        <w:numPr>
          <w:ilvl w:val="4"/>
          <w:numId w:val="9"/>
        </w:numPr>
        <w:rPr>
          <w:noProof/>
        </w:rPr>
      </w:pPr>
      <w:r>
        <w:rPr>
          <w:noProof/>
        </w:rPr>
        <w:t>οι παράγραφοι 1 και 2 αντικαθίστανται από το ακόλουθο κείμενο:</w:t>
      </w:r>
    </w:p>
    <w:p>
      <w:pPr>
        <w:pStyle w:val="Point1"/>
        <w:ind w:firstLine="0"/>
        <w:rPr>
          <w:noProof/>
        </w:rPr>
      </w:pPr>
      <w:r>
        <w:rPr>
          <w:noProof/>
        </w:rPr>
        <w:t xml:space="preserve">«1. Εφόσον, σύμφωνα με τη νομοθεσία του Ηνωμένου Βασιλείου, ένα πρόσωπο που έφτασε σε ηλικία συνταξιοδότησης πριν από τις 6 Απριλίου 2016 δικαιούται σύνταξη γήρατος εάν: </w:t>
      </w:r>
    </w:p>
    <w:p>
      <w:pPr>
        <w:pStyle w:val="Point1"/>
        <w:ind w:firstLine="0"/>
        <w:rPr>
          <w:noProof/>
        </w:rPr>
      </w:pPr>
      <w:r>
        <w:rPr>
          <w:noProof/>
        </w:rPr>
        <w:t>α) ληφθούν υπόψη οι εισφορές πρώην συζύγου ή καταχωρημένου/-ης συντρόφου ως να επρόκειτο για εισφορές του προσώπου αυτού· ή</w:t>
      </w:r>
    </w:p>
    <w:p>
      <w:pPr>
        <w:pStyle w:val="Point1"/>
        <w:ind w:firstLine="0"/>
        <w:rPr>
          <w:noProof/>
        </w:rPr>
      </w:pPr>
      <w:r>
        <w:rPr>
          <w:noProof/>
        </w:rPr>
        <w:t>β) οι σχετικοί όροι όσον αφορά τις εισφορές πληρούνται από τον/τη σύζυγο, τον/την καταχωρημένο/-η σύντροφο, τον/την πρώην σύζυγο ή τον/την πρώην καταχωρημένο/-η σύντροφο του προσώπου αυτού, τότε, υπό την προϋπόθεση ότι, σε κάθε περίπτωση, ο/η σύζυγος ή καταχωρημένος/-η σύντροφος ή πρώην σύζυγος ή πρώην καταχωρημένος/-η σύντροφος ασκεί ή ασκούσε δραστηριότητα μισθωτή ή μη μισθωτή και υπαγόταν στη νομοθεσία δύο ή περισσοτέρων κρατών μελών, εφαρμόζονται οι διατάξεις του κεφαλαίου 5 του τίτλου III του παρόντος κανονισμού για τον καθορισμό της θεμελίωσης δικαιώματος βάσει της νομοθεσίας του Ηνωμένου Βασιλείου. Στην περίπτωση αυτή, κάθε αναφορά του κεφαλαίου 5 σε «περιόδους ασφάλισης» νοείται ως αναφορά σε περιόδους ασφάλισης που πραγματοποιήθηκαν από:</w:t>
      </w:r>
    </w:p>
    <w:p>
      <w:pPr>
        <w:pStyle w:val="Point1"/>
        <w:ind w:firstLine="23"/>
        <w:rPr>
          <w:noProof/>
        </w:rPr>
      </w:pPr>
      <w:r>
        <w:rPr>
          <w:noProof/>
        </w:rPr>
        <w:t>i) σύζυγο, καταχωρημένο/-η σύντροφο, πρώην σύζυγο ή πρώην καταχωρημένο/-η σύντροφο όταν το αίτημα υποβάλλεται από:</w:t>
      </w:r>
    </w:p>
    <w:p>
      <w:pPr>
        <w:pStyle w:val="Tiret1"/>
        <w:ind w:firstLine="23"/>
        <w:rPr>
          <w:noProof/>
        </w:rPr>
      </w:pPr>
      <w:r>
        <w:rPr>
          <w:noProof/>
        </w:rPr>
        <w:t xml:space="preserve"> έγγαμο πρόσωπο ή καταχωρημένο/-η σύντροφο ή</w:t>
      </w:r>
    </w:p>
    <w:p>
      <w:pPr>
        <w:pStyle w:val="Tiret1"/>
        <w:tabs>
          <w:tab w:val="clear" w:pos="1417"/>
          <w:tab w:val="num" w:pos="2160"/>
        </w:tabs>
        <w:ind w:left="2160" w:hanging="720"/>
        <w:rPr>
          <w:noProof/>
        </w:rPr>
      </w:pPr>
      <w:r>
        <w:rPr>
          <w:noProof/>
        </w:rPr>
        <w:t xml:space="preserve"> πρόσωπο του οποίου ο γάμος ή το σύμφωνο συμβίωσης λύθηκε με άλλο τρόπο εκτός του θανάτου του/της συζύγου ή του/της καταχωρημένου/-ης συντρόφου· ή</w:t>
      </w:r>
    </w:p>
    <w:p>
      <w:pPr>
        <w:pStyle w:val="Point1"/>
        <w:ind w:left="1440" w:hanging="23"/>
        <w:rPr>
          <w:noProof/>
        </w:rPr>
      </w:pPr>
      <w:r>
        <w:rPr>
          <w:noProof/>
        </w:rPr>
        <w:t>ii) πρώην σύζυγο ή καταχωρημένο/-η σύντροφο, όταν το αίτημα υποβάλλεται από:</w:t>
      </w:r>
    </w:p>
    <w:p>
      <w:pPr>
        <w:pStyle w:val="Tiret1"/>
        <w:tabs>
          <w:tab w:val="clear" w:pos="1417"/>
          <w:tab w:val="num" w:pos="2160"/>
        </w:tabs>
        <w:ind w:left="2160" w:hanging="720"/>
        <w:rPr>
          <w:noProof/>
        </w:rPr>
      </w:pPr>
      <w:r>
        <w:rPr>
          <w:noProof/>
        </w:rPr>
        <w:t>χήρο/-α ή καταχωρημένο/-η σύντροφο ο/η οποίος/-α, αμέσως πριν από τη συντάξιμη ηλικία, δεν είχε δικαίωμα για επίδομα χηρευσάντων γονέων ή</w:t>
      </w:r>
    </w:p>
    <w:p>
      <w:pPr>
        <w:pStyle w:val="Tiret1"/>
        <w:tabs>
          <w:tab w:val="clear" w:pos="1417"/>
          <w:tab w:val="num" w:pos="2160"/>
        </w:tabs>
        <w:ind w:left="2160" w:hanging="720"/>
        <w:rPr>
          <w:noProof/>
        </w:rPr>
      </w:pPr>
      <w:r>
        <w:rPr>
          <w:noProof/>
        </w:rPr>
        <w:t>χήρα της οποίας ο σύζυγος αποβίωσε πριν από τις 9 Απριλίου 2001 και η οποία, αμέσως πριν από τη συντάξιμη ηλικία, δεν είχε δικαίωμα για επίδομα χήρας μητέρας, επίδομα χηρευσάντων γονέων ή σύνταξη χηρείας ή η οποία έχει δικαίωμα μόνο για σύνταξη χηρείας με βάση την ηλικία η οποία (σύνταξη) υπολογίζεται σύμφωνα με το άρθρο 52 παράγραφος 1 στοιχείο β) του παρόντος κανονισμού, νοουμένου ότι, για τον σκοπό αυτό, η «σύνταξη χηρείας λόγω ηλικίας» σημαίνει σύνταξη χηρείας που καταβάλλεται σε μειωμένο ποσοστό σύμφωνα με το άρθρο 39 παράγραφος 4 του νόμου περί εισφορών και παροχών κοινωνικής ασφάλισης (Social Security Contributions and Benefits Act 1992).</w:t>
      </w:r>
    </w:p>
    <w:p>
      <w:pPr>
        <w:pStyle w:val="Point1"/>
        <w:ind w:firstLine="0"/>
        <w:rPr>
          <w:noProof/>
        </w:rPr>
      </w:pPr>
      <w:r>
        <w:rPr>
          <w:noProof/>
        </w:rPr>
        <w:t xml:space="preserve">Το παρόν σημείο δεν ισχύει για πρόσωπα που έχουν συμπληρώσει την ηλικία συνταξιοδότησης στις 6 Απριλίου 2016 ή μετά την ημερομηνία αυτή. </w:t>
      </w:r>
    </w:p>
    <w:p>
      <w:pPr>
        <w:pStyle w:val="Point1"/>
        <w:ind w:firstLine="0"/>
        <w:rPr>
          <w:noProof/>
        </w:rPr>
      </w:pPr>
      <w:r>
        <w:rPr>
          <w:noProof/>
        </w:rPr>
        <w:t xml:space="preserve">2. </w:t>
      </w:r>
      <w:r>
        <w:rPr>
          <w:noProof/>
        </w:rPr>
        <w:tab/>
        <w:t>Για την εφαρμογή του άρθρου 6 του παρόντος κανονισμού στις διατάξεις που διέπουν το δικαίωμα σε επίδομα για βοήθεια από τρίτο πρόσωπο, επίδομα περίθαλψης αναπήρου, καθώς και επίδομα διαβίωσης σε περίπτωση ανικανότητας και επίδομα προσωπικής ανεξαρτησίας, λαμβάνεται υπόψη περίοδος μισθωτής δραστηριότητας, μη μισθωτής δραστηριότητας ή κατοικίας που πραγματοποιήθηκε στο έδαφος άλλου κράτους μέλους εκτός του Ηνωμένου Βασιλείου στον βαθμό που αυτό απαιτείται για την πλήρωση των όρων σχετικά με τις απαιτούμενες περιόδους παρουσίας στο Ηνωμένο Βασίλειο, πριν από την ημερομηνία γένεσης του δικαιώματος για το εν λόγω επίδομα.»</w:t>
      </w:r>
    </w:p>
    <w:p>
      <w:pPr>
        <w:pStyle w:val="Point2number"/>
        <w:rPr>
          <w:noProof/>
        </w:rPr>
      </w:pPr>
      <w:r>
        <w:rPr>
          <w:noProof/>
        </w:rPr>
        <w:t xml:space="preserve">η παράγραφος 4 αντικαθίσταται από το ακόλουθο κείμενο: </w:t>
      </w:r>
    </w:p>
    <w:p>
      <w:pPr>
        <w:pStyle w:val="Point1"/>
        <w:ind w:left="851" w:hanging="1"/>
        <w:rPr>
          <w:noProof/>
        </w:rPr>
      </w:pPr>
      <w:r>
        <w:rPr>
          <w:noProof/>
        </w:rPr>
        <w:t>«4.</w:t>
      </w:r>
      <w:r>
        <w:rPr>
          <w:noProof/>
        </w:rPr>
        <w:tab/>
        <w:t>Όπου εφαρμόζεται το άρθρο 46 του παρόντος κανονισμού, εάν ο ενδιαφερόμενος έχει ανικανότητα προς εργασία που οδηγεί σε αναπηρία ενώ υπόκειται στη νομοθεσία άλλου κράτους μέλους, το Ηνωμένο Βασίλειο, για τους σκοπούς του άρθρου 30A παράγραφος 5 του νόμου περί εισφορών και παροχών κοινωνικής ασφάλισης του 1992 του Μέρους 1 του Welfare Reform Act 2007 ή των αντίστοιχων διατάξεων της Βόρειας Ιρλανδίας, λαμβάνει υπόψη τυχόν περιόδους κατά τις οποίες το εν λόγω πρόσωπο έλαβε, λόγω της ανικανότητας προς εργασία:</w:t>
      </w:r>
    </w:p>
    <w:p>
      <w:pPr>
        <w:pStyle w:val="Point1"/>
        <w:ind w:left="851" w:hanging="1"/>
        <w:rPr>
          <w:noProof/>
        </w:rPr>
      </w:pPr>
      <w:r>
        <w:rPr>
          <w:noProof/>
        </w:rPr>
        <w:t>i)</w:t>
      </w:r>
      <w:r>
        <w:rPr>
          <w:noProof/>
        </w:rPr>
        <w:tab/>
        <w:t>παροχές ασθένειας σε χρήμα ή μισθό αντί γι’ αυτές ή</w:t>
      </w:r>
    </w:p>
    <w:p>
      <w:pPr>
        <w:pStyle w:val="Point1"/>
        <w:ind w:left="851" w:hanging="1"/>
        <w:rPr>
          <w:noProof/>
        </w:rPr>
      </w:pPr>
      <w:r>
        <w:rPr>
          <w:noProof/>
        </w:rPr>
        <w:t>ii)</w:t>
      </w:r>
      <w:r>
        <w:rPr>
          <w:noProof/>
        </w:rPr>
        <w:tab/>
        <w:t xml:space="preserve">παροχές κατά την έννοια των κεφαλαίων 4 και 5 του τίτλου ΙΙΙ του παρόντος κανονισμού, που χορηγήθηκαν για την αναπηρία στην οποία οδήγησε η ανικανότητα προς εργασία, βάσει της νομοθεσίας του άλλου κράτους μέλους, </w:t>
      </w:r>
    </w:p>
    <w:p>
      <w:pPr>
        <w:pStyle w:val="Point1"/>
        <w:ind w:left="851" w:hanging="1"/>
        <w:rPr>
          <w:noProof/>
        </w:rPr>
      </w:pPr>
      <w:r>
        <w:rPr>
          <w:noProof/>
        </w:rPr>
        <w:t>ως να ήταν περίοδοι καταβολής, κατά περίπτωση, παροχής ανικανότητας μικρής διάρκειας, που καταβάλλεται σύμφωνα με τα άρθρα 30A (1)-(4) του νόμου περί εισφορών και παροχών κοινωνικής ασφάλισης του 1992, επιδόματος απασχόλησης και στήριξης (φάση υπολογισμού) που καταβάλλεται σύμφωνα με το μέρος 1 του Welfare Reform Act 2007 ή τις αντίστοιχες διατάξεις της Βόρειας Ιρλανδίας.</w:t>
      </w:r>
    </w:p>
    <w:p>
      <w:pPr>
        <w:pStyle w:val="Point1"/>
        <w:ind w:left="851" w:hanging="1"/>
        <w:rPr>
          <w:noProof/>
        </w:rPr>
      </w:pPr>
      <w:r>
        <w:rPr>
          <w:noProof/>
        </w:rPr>
        <w:t>Κατά την εφαρμογή της παρούσας διάταξης λαμβάνονται υπόψη μόνον οι περίοδοι κατά τις οποίες το πρόσωπο θα ήταν ανίκανο προς εργασία κατά την έννοια της νομοθεσίας του Ηνωμένου Βασιλείου.».</w:t>
      </w:r>
    </w:p>
    <w:p>
      <w:pPr>
        <w:pStyle w:val="NumPar1"/>
        <w:numPr>
          <w:ilvl w:val="0"/>
          <w:numId w:val="3"/>
        </w:numPr>
        <w:rPr>
          <w:noProof/>
        </w:rPr>
      </w:pPr>
      <w:r>
        <w:rPr>
          <w:noProof/>
        </w:rPr>
        <w:t>Μετά το παράρτημα XI, προστίθενται τα ακόλουθα παραρτήματα:</w:t>
      </w:r>
    </w:p>
    <w:p>
      <w:pPr>
        <w:pStyle w:val="Point1"/>
        <w:jc w:val="center"/>
        <w:rPr>
          <w:noProof/>
        </w:rPr>
      </w:pPr>
      <w:r>
        <w:rPr>
          <w:noProof/>
        </w:rPr>
        <w:t>«ΠΑΡΑΡΤΗΜΑ XII</w:t>
      </w:r>
    </w:p>
    <w:p>
      <w:pPr>
        <w:pStyle w:val="Point1"/>
        <w:jc w:val="center"/>
        <w:rPr>
          <w:b/>
          <w:noProof/>
        </w:rPr>
      </w:pPr>
      <w:r>
        <w:rPr>
          <w:b/>
          <w:noProof/>
        </w:rPr>
        <w:t>ΠΑΡΟΧΕΣ ΣΕ ΧΡΗΜΑ ΓΙΑ ΜΑΚΡΟΧΡΟΝΙΑ ΦΡΟΝΤΙΔΑ ΚΑΤΑ ΠΑΡΕΚΚΛΙΣΗ ΑΠΟ ΤΟ ΑΡΘΡΟ 35Α ΠΑΡΑΓΡΑΦΟΣ 1 ΤΟΥ ΚΕΦΑΛΑΙΟΥ 1Α</w:t>
      </w:r>
    </w:p>
    <w:p>
      <w:pPr>
        <w:pStyle w:val="Point1"/>
        <w:jc w:val="center"/>
        <w:rPr>
          <w:noProof/>
        </w:rPr>
      </w:pPr>
      <w:r>
        <w:rPr>
          <w:noProof/>
        </w:rPr>
        <w:t>(άρθρο 35α παράγραφος 3)»·</w:t>
      </w:r>
    </w:p>
    <w:p>
      <w:pPr>
        <w:pStyle w:val="Point1"/>
        <w:jc w:val="center"/>
        <w:rPr>
          <w:noProof/>
        </w:rPr>
      </w:pPr>
      <w:r>
        <w:rPr>
          <w:noProof/>
        </w:rPr>
        <w:t>«ΠΑΡΑΡΤΗΜΑ XIII</w:t>
      </w:r>
    </w:p>
    <w:p>
      <w:pPr>
        <w:pStyle w:val="Point1"/>
        <w:jc w:val="center"/>
        <w:rPr>
          <w:b/>
          <w:noProof/>
        </w:rPr>
      </w:pPr>
      <w:r>
        <w:rPr>
          <w:b/>
          <w:noProof/>
        </w:rPr>
        <w:t>ΟΙΚΟΓΕΝΕΙΑΚΕΣ ΠΑΡΟΧΕΣ ΣΕ ΧΡΗΜΑ ΠΟΥ ΠΡΟΟΡΙΖΟΝΤΑΙ ΝΑ ΑΝΤΙΚΑΤΑΣΤΗΣΟΥΝ ΕΙΣΟΔΗΜΑ ΚΑΤΑ ΤΗ ΔΙΑΡΚΕΙΑ ΠΕΡΙΟΔΩΝ ΑΝΑΤΡΟΦΗΣ ΤΕΚΝΩΝ</w:t>
      </w:r>
    </w:p>
    <w:p>
      <w:pPr>
        <w:pStyle w:val="Point1"/>
        <w:jc w:val="center"/>
        <w:rPr>
          <w:noProof/>
        </w:rPr>
      </w:pPr>
      <w:r>
        <w:rPr>
          <w:noProof/>
        </w:rPr>
        <w:t>(άρθρο 68β)».</w:t>
      </w:r>
    </w:p>
    <w:p>
      <w:pPr>
        <w:pStyle w:val="Point1"/>
        <w:jc w:val="center"/>
        <w:rPr>
          <w:b/>
          <w:noProof/>
        </w:rPr>
      </w:pPr>
      <w:r>
        <w:rPr>
          <w:b/>
          <w:noProof/>
        </w:rPr>
        <w:t>Μέρος I Οικογενειακές παροχές σε χρήμα που προορίζονται να αντικαταστήσουν εισόδημα κατά τις περιόδους ανατροφής τέκνων</w:t>
      </w:r>
    </w:p>
    <w:p>
      <w:pPr>
        <w:pStyle w:val="Point1"/>
        <w:jc w:val="center"/>
        <w:rPr>
          <w:noProof/>
        </w:rPr>
      </w:pPr>
      <w:r>
        <w:rPr>
          <w:noProof/>
        </w:rPr>
        <w:t>(άρθρο 68β παράγραφος 1)</w:t>
      </w:r>
    </w:p>
    <w:p>
      <w:pPr>
        <w:pStyle w:val="Point1"/>
        <w:jc w:val="center"/>
        <w:rPr>
          <w:b/>
          <w:noProof/>
        </w:rPr>
      </w:pPr>
      <w:r>
        <w:rPr>
          <w:b/>
          <w:noProof/>
        </w:rPr>
        <w:t>Μέρος II Κράτη μέλη τα οποία χορηγούν πλήρως τις οικογενειακές παροχές που προβλέπονται στο άρθρο 65β παράγραφος 1</w:t>
      </w:r>
    </w:p>
    <w:p>
      <w:pPr>
        <w:pStyle w:val="Point1"/>
        <w:jc w:val="center"/>
        <w:rPr>
          <w:noProof/>
        </w:rPr>
      </w:pPr>
      <w:r>
        <w:rPr>
          <w:noProof/>
        </w:rPr>
        <w:t>(άρθρο 68β παράγραφος 2).»</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759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ADA88DE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887"/>
        </w:tabs>
        <w:ind w:left="1887"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u928?\u961?\u972?\u964?\u945?\u963?\u951?"/>
    <w:docVar w:name="LW_ANNEX_NBR_FIRST" w:val="1"/>
    <w:docVar w:name="LW_ANNEX_NBR_LAST" w:val="1"/>
    <w:docVar w:name="LW_CONFIDENCE" w:val=" "/>
    <w:docVar w:name="LW_CONST_RESTREINT_UE" w:val="RESTREINT UE"/>
    <w:docVar w:name="LW_CORRIGENDUM" w:val="&lt;UNUSED&gt;"/>
    <w:docVar w:name="LW_COVERPAGE_GUID" w:val="F259EB56D66C410B9537A42C19DECC8A"/>
    <w:docVar w:name="LW_CROSSREFERENCE" w:val="{SWD(2016) 460 final}_x000b_{SWD(2016) 461 final}"/>
    <w:docVar w:name="LW_DocType" w:val="NORMAL"/>
    <w:docVar w:name="LW_EMISSION" w:val="13.12.2016"/>
    <w:docVar w:name="LW_EMISSION_ISODATE" w:val="2016-12-13"/>
    <w:docVar w:name="LW_EMISSION_LOCATION" w:val="STR"/>
    <w:docVar w:name="LW_EMISSION_PREFIX" w:val="\u931?\u964?\u961?\u945?\u963?\u946?\u959?\u973?\u961?\u947?\u959?, "/>
    <w:docVar w:name="LW_EMISSION_SUFFIX" w:val=" "/>
    <w:docVar w:name="LW_ID_DOCTYPE_NONLW" w:val="CP-036"/>
    <w:docVar w:name="LW_LANGUE" w:val="EL"/>
    <w:docVar w:name="LW_MARKING" w:val="&lt;UNUSED&gt;"/>
    <w:docVar w:name="LW_NOM.INST" w:val="\u917?\u933?\u929?\u937?\u928?\u913?\u938?\u922?\u919? \u917?\u928?\u921?\u932?\u929?\u927?\u928?\u919?"/>
    <w:docVar w:name="LW_NOM.INST_JOINTDOC" w:val="&lt;EMPTY&gt;"/>
    <w:docVar w:name="LW_OBJETACTEPRINCIPAL.CP" w:val="\u963?\u967?\u949?\u964?\u953?\u954?\u940? \u956?\u949? \u964?\u951?\u957? \u964?\u961?\u959?\u960?\u959?\u960?\u959?\u943?\u951?\u963?\u951? \u964?\u959?\u965? \u954?\u945?\u957?\u959?\u957?\u953?\u963?\u956?\u959?\u973? (\u917?\u922?) \u945?\u961?\u953?\u952?. 883/2004 \u947?\u953?\u945? \u964?\u959?\u957? \u963?\u965?\u957?\u964?\u959?\u957?\u953?\u963?\u956?\u972? \u964?\u969?\u957? \u963?\u965?\u963?\u964?\u951?\u956?\u940?\u964?\u969?\u957? \u954?\u959?\u953?\u957?\u969?\u957?\u953?\u954?\u942?\u962? \u945?\u963?\u966?\u940?\u955?\u949?\u953?\u945?\u962? \u954?\u945?\u953? \u964?\u959?\u965? \u954?\u945?\u957?\u959?\u957?\u953?\u963?\u956?\u959?\u973? (\u917?\u922?) \u945?\u961?\u953?\u952?. 987/2009 \u947?\u953?\u945? \u954?\u945?\u952?\u959?\u961?\u953?\u963?\u956?\u972? \u964?\u951?\u962? \u948?\u953?\u945?\u948?\u953?\u954?\u945?\u963?\u943?\u945?\u962? \u949?\u966?\u945?\u961?\u956?\u959?\u947?\u942?\u962? \u964?\u959?\u965? \u954?\u945?\u957?\u959?\u957?\u953?\u963?\u956?\u959?\u973? (\u917?\u922?) \u945?\u961?\u953?\u952?. 883/2004_x000b__x000b_(\u922?\u949?\u943?\u956?\u949?\u957?\u959? \u960?\u959?\u965? \u960?\u945?\u961?\u959?\u965?\u963?\u953?\u940?\u950?\u949?\u953? \u949?\u957?\u948?\u953?\u945?\u966?\u941?\u961?\u959?\u957? \u947?\u953?\u945? \u964?\u959?\u957? \u917?\u927?\u935? \u954?\u945?\u953? \u964?\u951?\u957? \u917?\u955?\u946?\u949?\u964?\u943?\u945?)"/>
    <w:docVar w:name="LW_PART_NBR" w:val="1"/>
    <w:docVar w:name="LW_PART_NBR_TOTAL" w:val="1"/>
    <w:docVar w:name="LW_REF.INST.NEW" w:val="COM"/>
    <w:docVar w:name="LW_REF.INST.NEW_ADOPTED" w:val="final"/>
    <w:docVar w:name="LW_REF.INST.NEW_TEXT" w:val="(2016) 815"/>
    <w:docVar w:name="LW_REF.INTERNE" w:val="&lt;UNUSED&gt;"/>
    <w:docVar w:name="LW_SUPERTITRE" w:val="&lt;UNUSED&gt;"/>
    <w:docVar w:name="LW_TITRE.OBJ.CP" w:val="&lt;UNUSED&gt;"/>
    <w:docVar w:name="LW_TYPE.DOC.CP" w:val="\u928?\u913?\u929?\u913?\u929?\u932?\u919?\u924?\u913?_x000b_"/>
    <w:docVar w:name="LW_TYPEACTEPRINCIPAL.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tabs>
        <w:tab w:val="clear" w:pos="1887"/>
        <w:tab w:val="num" w:pos="1984"/>
      </w:tabs>
      <w:spacing w:before="120" w:after="120" w:line="240" w:lineRule="auto"/>
      <w:ind w:left="1984"/>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tabs>
        <w:tab w:val="clear" w:pos="1887"/>
        <w:tab w:val="num" w:pos="1984"/>
      </w:tabs>
      <w:spacing w:before="120" w:after="120" w:line="240" w:lineRule="auto"/>
      <w:ind w:left="1984"/>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4838">
      <w:bodyDiv w:val="1"/>
      <w:marLeft w:val="0"/>
      <w:marRight w:val="0"/>
      <w:marTop w:val="0"/>
      <w:marBottom w:val="0"/>
      <w:divBdr>
        <w:top w:val="none" w:sz="0" w:space="0" w:color="auto"/>
        <w:left w:val="none" w:sz="0" w:space="0" w:color="auto"/>
        <w:bottom w:val="none" w:sz="0" w:space="0" w:color="auto"/>
        <w:right w:val="none" w:sz="0" w:space="0" w:color="auto"/>
      </w:divBdr>
    </w:div>
    <w:div w:id="6426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1992</Words>
  <Characters>11537</Characters>
  <Application>Microsoft Office Word</Application>
  <DocSecurity>0</DocSecurity>
  <Lines>250</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LWCR</dc:creator>
  <cp:lastModifiedBy>DIGIT/A3</cp:lastModifiedBy>
  <cp:revision>33</cp:revision>
  <cp:lastPrinted>2017-01-09T08:38:00Z</cp:lastPrinted>
  <dcterms:created xsi:type="dcterms:W3CDTF">2016-12-12T15:38:00Z</dcterms:created>
  <dcterms:modified xsi:type="dcterms:W3CDTF">2017-01-11T09:56:00Z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