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44DAD659C3A4BA09E7E3B9220447F7B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LIITTEET</w:t>
      </w:r>
    </w:p>
    <w:p>
      <w:pPr>
        <w:pStyle w:val="Accompagnant"/>
        <w:rPr>
          <w:noProof/>
        </w:rPr>
      </w:pPr>
      <w:r>
        <w:rPr>
          <w:noProof/>
        </w:rPr>
        <w:t>asiakirjaan</w:t>
      </w:r>
    </w:p>
    <w:p>
      <w:pPr>
        <w:pStyle w:val="Typeacteprincipal"/>
        <w:rPr>
          <w:noProof/>
        </w:rPr>
      </w:pPr>
      <w:r>
        <w:rPr>
          <w:noProof/>
        </w:rPr>
        <w:t>Ehdotus Euroopan parlamentin ja neuvoston asetukseksi</w:t>
      </w:r>
    </w:p>
    <w:p>
      <w:pPr>
        <w:pStyle w:val="Objetacteprincipal"/>
        <w:rPr>
          <w:noProof/>
        </w:rPr>
      </w:pPr>
      <w:r>
        <w:rPr>
          <w:noProof/>
        </w:rPr>
        <w:t>Euroopan unioniin saapuvien tai sieltä poistuvien käteisvarojen valvonnasta ja asetuksen (EY) N:o 1889/2005 kumoamisesta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LIITE I</w:t>
      </w:r>
    </w:p>
    <w:p>
      <w:pPr>
        <w:pStyle w:val="Titreobjet"/>
        <w:rPr>
          <w:noProof/>
        </w:rPr>
      </w:pPr>
      <w:r>
        <w:rPr>
          <w:noProof/>
        </w:rPr>
        <w:t>Siirtokelpoiset haltijamaksuvälineet, erittäin likvidit arvon säilyttäjinä käytettävät hyödykkeet ja ennalta maksetut kortit, joita pidetään käteisvaroina 2 artiklan 1 kohdan a alakohdan ii, iii ja iv alakohdan mukaisesti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noProof/>
        </w:rPr>
        <w:tab/>
      </w:r>
      <w:r>
        <w:rPr>
          <w:rStyle w:val="Emphasis"/>
          <w:i w:val="0"/>
          <w:noProof/>
        </w:rPr>
        <w:t>Seuraavia siirtokelpoisia haltijamaksuvälineitä on pidettävä käteisvaroina 2 artiklan 1 kohdan a alakohdan ii alakohdan mukaisesti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matkasekit;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b)</w:t>
      </w:r>
      <w:r>
        <w:rPr>
          <w:noProof/>
        </w:rPr>
        <w:tab/>
        <w:t>sekit, velkakirjat sekä maksumääräykset, jotka ovat joko haltijakohtaisia, allekirjoitettuja mutta ilman maksunsaajan nimeä, rajoituksetta siirrettyjä, fiktiiviselle maksunsaajalle asetettuja tai muuten sellaisessa muodossa, että niiden omistusoikeus siirtyy luovutuksen yhteydessä.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Seuraavia erittäin likvidejä arvon säilyttäjinä käytettäviä hyödykkeitä </w:t>
      </w:r>
      <w:r>
        <w:rPr>
          <w:rStyle w:val="Emphasis"/>
          <w:i w:val="0"/>
          <w:noProof/>
        </w:rPr>
        <w:t>on pidettävä käteisvaroina 2 artiklan 1 kohdan a alakohdan iii mukaisesti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a)</w:t>
      </w:r>
      <w:r>
        <w:rPr>
          <w:noProof/>
        </w:rPr>
        <w:tab/>
        <w:t>kolikot, joiden kultapitoisuus on vähintään 90 prosenttia;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b)</w:t>
      </w:r>
      <w:r>
        <w:rPr>
          <w:noProof/>
        </w:rPr>
        <w:tab/>
        <w:t>arvometalli esim. tankoina, kimpaleina tai harkkoina, joiden kultapitoisuus on vähintään 99,5 prosenttia.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rStyle w:val="Emphasis"/>
          <w:i w:val="0"/>
          <w:noProof/>
        </w:rPr>
        <w:t>Seuraavia ennalta maksettuja kortteja on pidettävä käteisvaroina 2 artiklan 1 kohdan a alakohdan iv alakohdan mukaisesti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LIITE II</w:t>
      </w:r>
    </w:p>
    <w:p>
      <w:pPr>
        <w:jc w:val="center"/>
        <w:rPr>
          <w:b/>
          <w:noProof/>
        </w:rPr>
      </w:pPr>
      <w:r>
        <w:rPr>
          <w:b/>
          <w:noProof/>
        </w:rPr>
        <w:t>Vastaavuustaulukko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Asetus (EY) N:o 1889/2005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Tämä asetus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 artiklan 1 kohta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 artiklan 2 kohta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 artiklan 2 kohta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 artiklan 1 kohta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9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12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12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14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15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16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17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18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19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 artikla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Liite I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Liite II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1 11:48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asiakirjaan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644DAD659C3A4BA09E7E3B9220447F7B"/>
    <w:docVar w:name="LW_CROSSREFERENCE" w:val="{SWD(2016) 470 final}_x000b_{SWD(2016) 471 final}"/>
    <w:docVar w:name="LW_DocType" w:val="ANNEX"/>
    <w:docVar w:name="LW_EMISSION" w:val="21.12.2016"/>
    <w:docVar w:name="LW_EMISSION_ISODATE" w:val="2016-12-21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Euroopan unioniin saapuvien tai sieltä poistuvien käteisvarojen valvonnasta ja asetuksen (EY) N:o 1889/2005 kumoamisesta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LIITTEET"/>
    <w:docVar w:name="LW_TYPEACTEPRINCIPAL.CP" w:val="Ehdotus Euroopan parlamentin ja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255</Words>
  <Characters>1567</Characters>
  <Application>Microsoft Office Word</Application>
  <DocSecurity>0</DocSecurity>
  <Lines>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8</cp:revision>
  <cp:lastPrinted>2016-12-14T15:13:00Z</cp:lastPrinted>
  <dcterms:created xsi:type="dcterms:W3CDTF">2016-12-22T15:39:00Z</dcterms:created>
  <dcterms:modified xsi:type="dcterms:W3CDTF">2017-01-11T10:48:00Z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