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8D5866B64884F728DEAFECE753C8EF3" style="width:450.7pt;height:393.2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Style w:val="Text1"/>
        <w:ind w:left="0"/>
        <w:rPr>
          <w:noProof/>
          <w:szCs w:val="24"/>
        </w:rPr>
      </w:pPr>
      <w:r>
        <w:rPr>
          <w:noProof/>
        </w:rPr>
        <w:t>Komisija je 7. aprila 2016 sprejela akcijski načrt za DDV</w:t>
      </w:r>
      <w:r>
        <w:rPr>
          <w:rStyle w:val="FootnoteReference"/>
          <w:noProof/>
        </w:rPr>
        <w:footnoteReference w:id="1"/>
      </w:r>
      <w:r>
        <w:rPr>
          <w:noProof/>
        </w:rPr>
        <w:t>, ki vsebuje cilje in ukrepe za posodobitev sistema DDV v EU. Ta načrt temelji na delu, opravljenem po sporočilu o prihodnosti DDV</w:t>
      </w:r>
      <w:r>
        <w:rPr>
          <w:rStyle w:val="FootnoteReference"/>
          <w:noProof/>
        </w:rPr>
        <w:footnoteReference w:id="2"/>
      </w:r>
      <w:r>
        <w:rPr>
          <w:noProof/>
        </w:rPr>
        <w:t>, ki je potekalo po obsežnem postopku posvetovanja, ki ga je Komisija začela z zeleno knjigo o prihodnosti DDV</w:t>
      </w:r>
      <w:r>
        <w:rPr>
          <w:rStyle w:val="FootnoteReference"/>
          <w:noProof/>
        </w:rPr>
        <w:footnoteReference w:id="3"/>
      </w:r>
      <w:r>
        <w:rPr>
          <w:noProof/>
        </w:rPr>
        <w:t>.</w:t>
      </w:r>
    </w:p>
    <w:p>
      <w:pPr>
        <w:pStyle w:val="Text1"/>
        <w:ind w:left="0"/>
        <w:rPr>
          <w:noProof/>
          <w:szCs w:val="24"/>
        </w:rPr>
      </w:pPr>
      <w:r>
        <w:rPr>
          <w:noProof/>
        </w:rPr>
        <w:t>Eden od ključnih ukrepov, ki jih je Komisija napovedala v svojem akcijskem načrtu, je vzpostavitev zanesljivega enotnega evropskega območja DDV. Potrebna bo vzpostavitev dokončnega sistema DDV za čezmejno trgovino med podjetji (B2B) znotraj EU, da se nadomesti sedanji sistem, za katerega je bilo predvideno, da bo prehoden.</w:t>
      </w:r>
    </w:p>
    <w:p>
      <w:pPr>
        <w:pStyle w:val="Text1"/>
        <w:ind w:left="0"/>
        <w:rPr>
          <w:noProof/>
          <w:szCs w:val="24"/>
        </w:rPr>
      </w:pPr>
      <w:r>
        <w:rPr>
          <w:noProof/>
        </w:rPr>
        <w:t>Kot sta se dogovorila Evropski parlament in Svet, bo ta dokončni sistem DDV temeljil na načelu obdavčitve v namembni državi blaga (tako imenovano „načelo namembnega kraja“), medtem ko sedanji sistem temelji na oprostitvi dobave blaga v državi članici odhoda. Zato je Komisija napovedala, da namerava v letu 2017 predstaviti zakonodajni predlog za dokončni sistem DDV za čezmejno trgovino na podlagi te možnosti „obdavčitve“.</w:t>
      </w:r>
    </w:p>
    <w:p>
      <w:pPr>
        <w:pStyle w:val="Text1"/>
        <w:ind w:left="0"/>
        <w:rPr>
          <w:noProof/>
          <w:szCs w:val="24"/>
        </w:rPr>
      </w:pPr>
      <w:r>
        <w:rPr>
          <w:noProof/>
        </w:rPr>
        <w:t>Ker pa je verjetno, da bo za pripravo, sprejetje in izvedbo takšne velike spremembe potrebno kar nekaj časa, Komisija priznava, da mora sprejeti ukrepe tudi v zvezi z drugimi pobudami, zlasti glede nujnih ukrepov za boj proti goljufijam na področju DDV in posledično za zmanjšanje vrzeli pri pobiranju DDV, tj. razlika med pričakovanimi prihodki iz DDV in dejansko pobranim DDV s strani davčnih organov. Ta vrzel pri pobiranju DDV je dosegla skrb zbujajočo raven v višini skoraj 160 milijard EUR</w:t>
      </w:r>
      <w:r>
        <w:rPr>
          <w:rStyle w:val="FootnoteReference"/>
          <w:noProof/>
        </w:rPr>
        <w:footnoteReference w:id="4"/>
      </w:r>
      <w:r>
        <w:rPr>
          <w:noProof/>
        </w:rPr>
        <w:t>, pri čemer čezmejne goljufije vsako leto povzročijo izgubo prihodkov v višini približno 50 milijard EUR</w:t>
      </w:r>
      <w:r>
        <w:rPr>
          <w:rStyle w:val="FootnoteReference"/>
          <w:noProof/>
        </w:rPr>
        <w:footnoteReference w:id="5"/>
      </w:r>
      <w:r>
        <w:rPr>
          <w:noProof/>
        </w:rPr>
        <w:t>.</w:t>
      </w:r>
    </w:p>
    <w:p>
      <w:pPr>
        <w:pStyle w:val="Text1"/>
        <w:ind w:left="0"/>
        <w:rPr>
          <w:noProof/>
          <w:szCs w:val="24"/>
        </w:rPr>
      </w:pPr>
      <w:r>
        <w:rPr>
          <w:noProof/>
        </w:rPr>
        <w:t>Komisija je na zahtevo nekaterih držav članic kot enega teh nujnih ukrepov preučila možnost, da bi tem državam članicam dovolila, da uvedejo začasen splošni mehanizem obrnjene davčne obveznosti, ki bi odstopal od enega od splošnih načel direktive o DDV</w:t>
      </w:r>
      <w:r>
        <w:rPr>
          <w:rStyle w:val="FootnoteReference"/>
          <w:noProof/>
        </w:rPr>
        <w:footnoteReference w:id="6"/>
      </w:r>
      <w:r>
        <w:rPr>
          <w:noProof/>
        </w:rPr>
        <w:t xml:space="preserve">, tj. razdrobljenega plačila. Komisija se je strinjala, da bo v ta namen natančno preučila politične, pravne in gospodarske posledice takšnega začasnega splošnega mehanizma obrnjene davčne obveznosti ter nato predstavila svoje ugotovitve. </w:t>
      </w:r>
    </w:p>
    <w:p>
      <w:pPr>
        <w:pStyle w:val="Text1"/>
        <w:ind w:left="0"/>
        <w:rPr>
          <w:noProof/>
          <w:szCs w:val="24"/>
        </w:rPr>
      </w:pPr>
      <w:r>
        <w:rPr>
          <w:noProof/>
        </w:rPr>
        <w:t>Ta podrobna tehnična analiza splošnega mehanizma obrnjene davčne obveznosti s pragom za račun v višini 10 000 EUR je bila izvedena, nato pa predstavljena na seji Sveta ECOFIN z dne 17. junija 2016. Komisija je v okviru političnega dogovora o splošni politiki boja proti goljufijam v EU podala naslednjo izjavo v zapisnik seje Sveta ECOFIN: „Komisija se zavezuje, da bo do konca leta predstavila zakonodajni predlog, ki bo posameznim državam članicam dopuščal odstopanja od skupnega sistema davka na dodano vrednost, da bi lahko za domači promet nad določenim pragom uporabile splošni mehanizem obrnjene davčne obveznosti in s tem ohranile notranji trg.“</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rFonts w:eastAsia="Arial Unicode MS"/>
          <w:noProof/>
        </w:rPr>
      </w:pPr>
      <w:r>
        <w:rPr>
          <w:noProof/>
        </w:rPr>
        <w:t>Cilj zakonodajnega predloga ima omejena področje uporabe in trajanje ter ne posega v razvoj dokončnega sistema DDV, ki temelji na obdavčitvi čezmejne dobave.</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rPr>
          <w:noProof/>
        </w:rPr>
      </w:pPr>
      <w:r>
        <w:rPr>
          <w:noProof/>
        </w:rPr>
        <w:t>Direktiva spreminja direktivo o DDV na podlagi člena 113 Pogodbe o delovanju Evropske unije.</w:t>
      </w:r>
    </w:p>
    <w:p>
      <w:pPr>
        <w:rPr>
          <w:noProof/>
        </w:rPr>
      </w:pPr>
      <w:r>
        <w:rPr>
          <w:noProof/>
        </w:rPr>
        <w:t>Zaradi odstopanja od temeljnega načela razdrobljenih plačil je najboljša rešitev posebna pravna podlaga za takšno začasno uporabo splošnega mehanizma obrnjene davčne obveznosti za blago in storitve nad določenim pragom, kar je tudi v skladu z akcijskim načrtom za DDV.</w:t>
      </w:r>
    </w:p>
    <w:p>
      <w:pPr>
        <w:pStyle w:val="ManualHeading2"/>
        <w:rPr>
          <w:rFonts w:eastAsia="Arial Unicode MS"/>
          <w:noProof/>
          <w:u w:color="000000"/>
          <w:bdr w:val="nil"/>
        </w:rPr>
      </w:pPr>
      <w:r>
        <w:rPr>
          <w:noProof/>
        </w:rPr>
        <w:t>•</w:t>
      </w:r>
      <w:r>
        <w:rPr>
          <w:noProof/>
        </w:rPr>
        <w:tab/>
        <w:t xml:space="preserve">Subsidiarnost (za neizključno pristojnost) </w:t>
      </w:r>
    </w:p>
    <w:p>
      <w:pPr>
        <w:pStyle w:val="Text1"/>
        <w:ind w:left="0"/>
        <w:rPr>
          <w:noProof/>
        </w:rPr>
      </w:pPr>
      <w:r>
        <w:rPr>
          <w:noProof/>
        </w:rPr>
        <w:t>V skladu z načelom subsidiarnosti, kakor je določeno v členu 5(3) Pogodbe o Evropski uniji (v nadaljnjem besedilu: PEU), se lahko ukrepi na ravni EU sprejmejo le, če države članice zastavljenih ciljev ne morejo zadovoljivo doseči same, ampak jih je mogoče zaradi obsega ali učinkov predlaganega ukrepa lažje doseči na ravni EU.</w:t>
      </w:r>
    </w:p>
    <w:p>
      <w:pPr>
        <w:pStyle w:val="Text1"/>
        <w:ind w:left="0"/>
        <w:rPr>
          <w:rFonts w:eastAsia="Arial Unicode MS"/>
          <w:noProof/>
        </w:rPr>
      </w:pPr>
      <w:r>
        <w:rPr>
          <w:noProof/>
        </w:rPr>
        <w:t>Države članice ne bi mogle ukrepati samostojno, saj uporabe splošnega mehanizma obrnjene davčne obveznosti ni mogoče šteti za „običajno odstopanje“ v smislu člena 395 direktive o DDV, ker je potrebna temeljita sprememba sistema DDV. Zato mora Komisija za uvedbo možnosti, da bi posamezne države članice lahko uporabile splošni mehanizem obrnjene davčne obveznosti, predložiti predlog o spremembi direktive o DDV, ki bi omogočil takšen sistem odstopanja. Predlog še vedno ohranja visoko stopnjo subsidiarnosti za države članice, saj je uporaba mehanizma neobvezna in se lahko vsaka država članica odloči, ali bo odstopanje zahtevala ali ne, če izpolnjuje določena merila.</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 xml:space="preserve">Ukrep je zaradi svoje neobvezne in začasne narave sorazmeren z zastavljenim ciljem, torej bojem proti goljufijam v nekaterih državah članicah, ki nimajo upravnih zmogljivosti za učinkovito spopadanje z njimi ali se soočajo z močnim povečanjem goljufij na področju DDV. Za odobritev splošnega mehanizma obrnjene davčne obveznosti je treba izpolnjevati vnaprej določena merila, katerih cilj je omejiti področje uporabe ukrepa na države članice, ki jih je še posebej prizadel davčni vrtiljak. V tem okviru se vrzel pri pobiranju DDV, ki je za več kot 5 odstotnih točk višja od mediane, in stopnja davčnega vrtiljaka v okviru celotne vrzeli pri pobiranju DDV držav članic, ki je višja od 25 %, štejeta za razumni in reprezentativni merili za ugotavljanje, katere države članice so prizadete bolj od povprečja. Poleg tega bi bilo treba zaradi negotovosti glede učinkov ukrepa v zvezi s preusmerjanjem goljufij tudi državam članicam, ki mejijo na državo članico, ki uporablja splošni mehanizem obrnjene davčne obveznosti, pod določenimi pogoji dovoliti uporabo tega mehanizma. </w:t>
      </w:r>
    </w:p>
    <w:p>
      <w:pPr>
        <w:pBdr>
          <w:top w:val="nil"/>
          <w:left w:val="nil"/>
          <w:bottom w:val="nil"/>
          <w:right w:val="nil"/>
          <w:between w:val="nil"/>
          <w:bar w:val="nil"/>
        </w:pBdr>
        <w:spacing w:before="0" w:after="240"/>
        <w:rPr>
          <w:rFonts w:eastAsia="Arial Unicode MS"/>
          <w:noProof/>
        </w:rPr>
      </w:pPr>
      <w:r>
        <w:rPr>
          <w:noProof/>
        </w:rPr>
        <w:t>Vendar bi bilo treba pozorno spremljati, kakšen bo učinek na notranji trg. Komisija bi morala biti zato z zaščitno klavzulo pooblaščena, da lahko brez retroaktivnega učinka razveljavi odstopanja, če bi bil učinek na notranji trg negativen.</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rFonts w:eastAsia="Arial Unicode MS"/>
          <w:noProof/>
        </w:rPr>
      </w:pPr>
      <w:r>
        <w:rPr>
          <w:noProof/>
        </w:rPr>
        <w:t>Ker gre za spremembo direktive o DDV, se predlaga direktiva.</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Ni bilo opravljeno nobeno posebno posvetovanje z zainteresiranimi stranmi.</w:t>
      </w:r>
    </w:p>
    <w:p>
      <w:pPr>
        <w:pBdr>
          <w:top w:val="nil"/>
          <w:left w:val="nil"/>
          <w:bottom w:val="nil"/>
          <w:right w:val="nil"/>
          <w:between w:val="nil"/>
          <w:bar w:val="nil"/>
        </w:pBdr>
        <w:spacing w:before="0" w:after="240"/>
        <w:rPr>
          <w:rFonts w:eastAsia="Arial Unicode MS"/>
          <w:noProof/>
        </w:rPr>
      </w:pPr>
      <w:r>
        <w:rPr>
          <w:noProof/>
        </w:rPr>
        <w:t>Komisija je na podlagi odprtega javnega posvetovanja o dokumentu „Zelena knjiga o prihodnosti DDV – Za enostavnejši, zanesljivejši in učinkovitejši sistem DDV“ (COM(2010) 695), v okviru katerega je prejela približno 1 700 prispevkov, pridobila jasen vpogled v težave in možne rešitve, vključno z vidiki obrnjene davčne obveznosti. Nadaljnje podrobnosti so opredeljene v Prilogi 2 ocene učinka.</w:t>
      </w:r>
    </w:p>
    <w:p>
      <w:pPr>
        <w:pBdr>
          <w:top w:val="nil"/>
          <w:left w:val="nil"/>
          <w:bottom w:val="nil"/>
          <w:right w:val="nil"/>
          <w:between w:val="nil"/>
          <w:bar w:val="nil"/>
        </w:pBdr>
        <w:spacing w:before="0" w:after="240"/>
        <w:rPr>
          <w:rFonts w:eastAsia="Arial Unicode MS"/>
          <w:noProof/>
        </w:rPr>
      </w:pPr>
      <w:r>
        <w:rPr>
          <w:noProof/>
        </w:rPr>
        <w:t>Davčne uprave in predstavniki podjetij so razpravljali o tem vprašanju na srečanju skupine za prihodnost DDV in skupine strokovnjakov za DDV februarja 2016, na katerem je Komisija pridobila celovit pregled nad možnostmi morebitnega izvajanja in uporabe takšnega sistema.</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rFonts w:eastAsia="Arial Unicode MS"/>
          <w:noProof/>
        </w:rPr>
      </w:pPr>
      <w:r>
        <w:rPr>
          <w:noProof/>
        </w:rPr>
        <w:t>Komisija se je s skupino strokovnjakov za DDV, ki ji pomaga in svetuje pri vprašanjih v zvezi z DDV pri pripravi zakonodajnih aktov in drugih političnih pobudah, posvetovala februarja 2016, kakor je navedeno zgoraj.</w:t>
      </w:r>
    </w:p>
    <w:p>
      <w:pPr>
        <w:pBdr>
          <w:top w:val="nil"/>
          <w:left w:val="nil"/>
          <w:bottom w:val="nil"/>
          <w:right w:val="nil"/>
          <w:between w:val="nil"/>
          <w:bar w:val="nil"/>
        </w:pBdr>
        <w:spacing w:before="0" w:after="240"/>
        <w:rPr>
          <w:noProof/>
        </w:rPr>
      </w:pPr>
      <w:r>
        <w:rPr>
          <w:noProof/>
        </w:rPr>
        <w:t>Platforma REFIT se je v svojem mnenju z dne 28. junija 2016 zavzela za enostavnejšo in bolj temeljno ureditev DDV v EU, pri čemer je zlasti poudarila ustvarjene ovire za notranji trg in regulativna bremena</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Upoštevano je bilo veliko mnenj, ki so jih oblikovala poslovna združenja ali so bila objavljena v znanstvenih publikacijah.</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before="0" w:after="240"/>
        <w:rPr>
          <w:noProof/>
        </w:rPr>
      </w:pPr>
      <w:r>
        <w:rPr>
          <w:noProof/>
        </w:rPr>
        <w:t>Odbor za regulativni nadzor je prvič predložil oceno učinka 27. septembra 2016, sestanek pa je bil organiziran 26. oktobra 2016. Na podlagi mnenja odbora je bil odboru predložen nov predlog, ta pa je 28. novembra 2016 podal pozitivno mnenje s priporočili, zlasti glede vključitve najboljšega in najslabšega možnega scenarija</w:t>
      </w:r>
      <w:r>
        <w:rPr>
          <w:rStyle w:val="FootnoteReference"/>
          <w:noProof/>
        </w:rPr>
        <w:footnoteReference w:id="8"/>
      </w:r>
      <w:r>
        <w:rPr>
          <w:noProof/>
        </w:rPr>
        <w:t xml:space="preserve"> (glej tudi Prilogo 1 ocene učinka, ki je priložena temu predlogu).</w:t>
      </w:r>
    </w:p>
    <w:p>
      <w:pPr>
        <w:pBdr>
          <w:top w:val="nil"/>
          <w:left w:val="nil"/>
          <w:bottom w:val="nil"/>
          <w:right w:val="nil"/>
          <w:between w:val="nil"/>
          <w:bar w:val="nil"/>
        </w:pBdr>
        <w:spacing w:before="0" w:after="240"/>
        <w:rPr>
          <w:noProof/>
        </w:rPr>
      </w:pPr>
      <w:r>
        <w:rPr>
          <w:noProof/>
        </w:rPr>
        <w:t>Ocena učinka je pokazala, da je najprimernejša možnost odstopanje, v skladu s katerim bi lahko nekatere države članice, ki izpolnjujejo vnaprej določena merila, prostovoljno uporabljale splošni mehanizem obrnjene davčne obveznosti za vse blago in storitve s pragom za račun, ki je višji od 10 000 EUR. Ta možnost državam članicam, ki jih je davčni vrtiljak še posebej prizadel, ponuja kratkoročno rešitev. V največji možni meri zmanjšuje negativne učinke na notranji trg, in sicer z omejevanjem preusmerjanja goljufij med državami članicami. V primeru negativnih učinkov na notranji trg je predvidena zaščitna klavzula.</w:t>
      </w:r>
    </w:p>
    <w:p>
      <w:pPr>
        <w:pStyle w:val="ManualHeading1"/>
        <w:rPr>
          <w:noProof/>
        </w:rPr>
      </w:pPr>
      <w:r>
        <w:rPr>
          <w:noProof/>
        </w:rPr>
        <w:t>4.</w:t>
      </w:r>
      <w:r>
        <w:rPr>
          <w:noProof/>
        </w:rPr>
        <w:tab/>
        <w:t>DRUGI ELEMENTI</w:t>
      </w:r>
    </w:p>
    <w:p>
      <w:pPr>
        <w:rPr>
          <w:noProof/>
        </w:rPr>
      </w:pPr>
      <w:r>
        <w:rPr>
          <w:noProof/>
        </w:rPr>
        <w:t>Predlog vključuje samoderogacijsko klavzulo.</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2016/0406 (CNS)</w:t>
      </w:r>
    </w:p>
    <w:p>
      <w:pPr>
        <w:pStyle w:val="Statut"/>
        <w:rPr>
          <w:noProof/>
        </w:rPr>
      </w:pPr>
      <w:r>
        <w:rPr>
          <w:noProof/>
        </w:rPr>
        <w:t>Predlog</w:t>
      </w:r>
    </w:p>
    <w:p>
      <w:pPr>
        <w:pStyle w:val="Typedudocument"/>
        <w:rPr>
          <w:noProof/>
        </w:rPr>
      </w:pPr>
      <w:r>
        <w:rPr>
          <w:noProof/>
        </w:rPr>
        <w:t>DIREKTIVA SVETA</w:t>
      </w:r>
    </w:p>
    <w:p>
      <w:pPr>
        <w:pStyle w:val="Titreobjet"/>
        <w:rPr>
          <w:noProof/>
        </w:rPr>
      </w:pPr>
      <w:r>
        <w:rPr>
          <w:noProof/>
        </w:rPr>
        <w:t>o spremembi Direktive 2006/112/ES o skupnem sistemu davka na dodano vrednost v zvezi z začasno uporabo splošnega mehanizma obrnjene davčne obveznosti za dobavo blaga in storitev nad določenim pragom</w:t>
      </w:r>
    </w:p>
    <w:p>
      <w:pPr>
        <w:pStyle w:val="Institutionquiagit"/>
        <w:rPr>
          <w:noProof/>
        </w:rPr>
      </w:pPr>
      <w:r>
        <w:rPr>
          <w:noProof/>
        </w:rPr>
        <w:t>SVET EVROPSKE UNIJE JE –</w:t>
      </w:r>
    </w:p>
    <w:p>
      <w:pPr>
        <w:rPr>
          <w:noProof/>
        </w:rPr>
      </w:pPr>
      <w:r>
        <w:rPr>
          <w:noProof/>
        </w:rPr>
        <w:t>ob upoštevanju Pogodbe o delovanju Evropske unije in zlasti člena 113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parlamenta,</w:t>
      </w:r>
    </w:p>
    <w:p>
      <w:pPr>
        <w:rPr>
          <w:noProof/>
        </w:rPr>
      </w:pPr>
      <w:r>
        <w:rPr>
          <w:noProof/>
        </w:rPr>
        <w:t>ob upoštevanju mnenja Evropskega ekonomsko-socialnega odbora,</w:t>
      </w:r>
    </w:p>
    <w:p>
      <w:pPr>
        <w:rPr>
          <w:noProof/>
        </w:rPr>
      </w:pPr>
      <w:r>
        <w:rPr>
          <w:noProof/>
        </w:rPr>
        <w:t>v skladu s posebnim zakonodajnim postopkom,</w:t>
      </w:r>
    </w:p>
    <w:p>
      <w:pPr>
        <w:rPr>
          <w:noProof/>
        </w:rPr>
      </w:pPr>
      <w:r>
        <w:rPr>
          <w:noProof/>
        </w:rPr>
        <w:t xml:space="preserve">ob upoštevanju naslednjega: </w:t>
      </w:r>
    </w:p>
    <w:p>
      <w:pPr>
        <w:pStyle w:val="ManualConsidrant"/>
        <w:rPr>
          <w:noProof/>
        </w:rPr>
      </w:pPr>
      <w:r>
        <w:t>(1)</w:t>
      </w:r>
      <w:r>
        <w:tab/>
      </w:r>
      <w:r>
        <w:rPr>
          <w:noProof/>
        </w:rPr>
        <w:t>Komisija je v akcijskem načrtu za DDV</w:t>
      </w:r>
      <w:r>
        <w:rPr>
          <w:rStyle w:val="FootnoteReference"/>
          <w:noProof/>
        </w:rPr>
        <w:footnoteReference w:id="9"/>
      </w:r>
      <w:r>
        <w:rPr>
          <w:noProof/>
        </w:rPr>
        <w:t xml:space="preserve"> napovedala namero, da bo predložila predlog za dokončno ureditev davka na dodano vrednost (v nadaljnjem besedilu: DDV) za čezmejno trgovanje med podjetji med državami članicami na podlagi obdavčitve čezmejnih dobav blaga in storitev.</w:t>
      </w:r>
    </w:p>
    <w:p>
      <w:pPr>
        <w:pStyle w:val="ManualConsidrant"/>
        <w:rPr>
          <w:noProof/>
        </w:rPr>
      </w:pPr>
      <w:r>
        <w:t>(2)</w:t>
      </w:r>
      <w:r>
        <w:tab/>
      </w:r>
      <w:r>
        <w:rPr>
          <w:noProof/>
        </w:rPr>
        <w:t>Glede na trenutno raven goljufij na področju DDV in dejstvo, da vse države članice zaradi te goljufije niso enako prizadete, ter glede na to, da bo za uvedbo za dokončne ureditve DDV potrebnih več let, bi bilo morda treba sprejeti nekatere nujne in posebne ukrepe.</w:t>
      </w:r>
    </w:p>
    <w:p>
      <w:pPr>
        <w:pStyle w:val="ManualConsidrant"/>
        <w:rPr>
          <w:noProof/>
        </w:rPr>
      </w:pPr>
      <w:r>
        <w:t>(3)</w:t>
      </w:r>
      <w:r>
        <w:tab/>
      </w:r>
      <w:r>
        <w:rPr>
          <w:noProof/>
        </w:rPr>
        <w:t>V tem okviru so nekatere države članice zaprosile za dovoljenje, da uvedejo začasen splošni mehanizem obrnjene davčne obveznosti z določenim pragom glede na posamezen račun, ki bi odstopal od enega od splošnih načel sedanjega sistema DDV, tj. sistema razdrobljenega plačila, da bi se odpravil endemičen davčni vrtiljak. Davčni vrtiljak zlasti izkorišča sedanjo oprostitev za dobave znotraj Skupnosti, ki omogoča pridobitev blaga brez plačila DDV. Veliko trgovcev goljufa na naslednji stopnji, in sicer tako, da davčnim organom ne plačajo DDV-ja, ki so ga prejeli od svojih strank. Pri tem pa so njihove stranke kljub temu upravičene do davčne olajšave, ker imajo veljaven račun. Isto blago se lahko dobavi večkrat, in sicer tako, da se ponovno vključi oproščena dobava znotraj Skupnosti. Podobni davčni vrtiljak lahko nastane tudi pri opravljanju storitev. Odstopanje bi odpravilo možnost navedene oblike davčne goljufije, saj bi se določilo, da je oseba, ki mora v teh primerih plačati DDV, davčni zavezanec, ki se mu blago ali storitve dobavijo.</w:t>
      </w:r>
    </w:p>
    <w:p>
      <w:pPr>
        <w:pStyle w:val="ManualConsidrant"/>
        <w:rPr>
          <w:noProof/>
        </w:rPr>
      </w:pPr>
      <w:r>
        <w:t>(4)</w:t>
      </w:r>
      <w:r>
        <w:tab/>
      </w:r>
      <w:r>
        <w:rPr>
          <w:noProof/>
        </w:rPr>
        <w:t>Da se omeji tveganje preusmerjanja goljufij med državami članicami, bi bilo treba vsem državam članicam, ki izpolnjujejo določena merila glede ravni goljufij, zlasti kar zadeva davčni vrtiljak, in ki lahko dokažejo, da drugi nadzorni ukrepi ne zadostujejo za boj proti navedenim goljufijam, dovoliti, da uporabljajo splošni mehanizem obrnjene davčne obveznosti.</w:t>
      </w:r>
    </w:p>
    <w:p>
      <w:pPr>
        <w:pStyle w:val="ManualConsidrant"/>
        <w:rPr>
          <w:noProof/>
        </w:rPr>
      </w:pPr>
      <w:r>
        <w:t>(5)</w:t>
      </w:r>
      <w:r>
        <w:tab/>
      </w:r>
      <w:r>
        <w:rPr>
          <w:noProof/>
        </w:rPr>
        <w:t>Poleg tega bi bilo treba tudi sosednjim državam članicam, ki se soočajo z resnim tveganjem preusmerjanja goljufij na njihovo ozemlje zaradi odobritve tega mehanizma v drugi državi članici, dovoliti, da uporabijo splošni mehanizem obrnjene davčne obveznosti, kadar drugi nadzorni ukrepi ne bi zadostovali za preprečevanje tega tveganja goljufije.</w:t>
      </w:r>
    </w:p>
    <w:p>
      <w:pPr>
        <w:pStyle w:val="ManualConsidrant"/>
        <w:rPr>
          <w:noProof/>
        </w:rPr>
      </w:pPr>
      <w:r>
        <w:t>(6)</w:t>
      </w:r>
      <w:r>
        <w:tab/>
      </w:r>
      <w:r>
        <w:rPr>
          <w:noProof/>
        </w:rPr>
        <w:t>Če se države članice odločijo, da bodo uporabljale splošni mehanizem obrnjene davčne obveznosti, bi ga morale uporabljati za vse dobave blaga in storitev nad določenim pragom glede na posamezen račun. Splošni mehanizem obrnjene davčne obveznosti ne bi smel biti omejen na kakršen koli posamezen sektor.</w:t>
      </w:r>
    </w:p>
    <w:p>
      <w:pPr>
        <w:pStyle w:val="ManualConsidrant"/>
        <w:rPr>
          <w:noProof/>
        </w:rPr>
      </w:pPr>
      <w:r>
        <w:t>(7)</w:t>
      </w:r>
      <w:r>
        <w:tab/>
      </w:r>
      <w:r>
        <w:rPr>
          <w:noProof/>
        </w:rPr>
        <w:t>Države članice, ki se odločijo za uporabo splošnega mehanizma obrnjene davčne obveznosti, bi morale uvesti posebne obveznosti elektronskega poročanja za davčne zavezance, da se zagotovita učinkovito delovanje in spremljanje uporabe splošnega mehanizma obrnjene davčne obveznosti. Morale bi odkriti in preprečiti vse nove oblike davčnih goljufij.</w:t>
      </w:r>
    </w:p>
    <w:p>
      <w:pPr>
        <w:pStyle w:val="ManualConsidrant"/>
        <w:rPr>
          <w:noProof/>
        </w:rPr>
      </w:pPr>
      <w:r>
        <w:t>(8)</w:t>
      </w:r>
      <w:r>
        <w:tab/>
      </w:r>
      <w:r>
        <w:rPr>
          <w:noProof/>
        </w:rPr>
        <w:t>Da se pregledno oceni učinek uporabe splošnega mehanizma obrnjene davčne obveznosti na goljufive dejavnosti, bi morale zadevne države članice oblikovati vnaprej določena merila ocenjevanja, da se omogoči ocena ravni goljufije pred uporabo splošnega mehanizma obrnjene davčne obveznosti in po njej.</w:t>
      </w:r>
    </w:p>
    <w:p>
      <w:pPr>
        <w:pStyle w:val="ManualConsidrant"/>
        <w:rPr>
          <w:noProof/>
        </w:rPr>
      </w:pPr>
      <w:r>
        <w:t>(9)</w:t>
      </w:r>
      <w:r>
        <w:tab/>
      </w:r>
      <w:r>
        <w:rPr>
          <w:noProof/>
        </w:rPr>
        <w:t>Da se zagotovijo enotni pogoji za izvajanje</w:t>
      </w:r>
      <w:r>
        <w:rPr>
          <w:i/>
          <w:noProof/>
        </w:rPr>
        <w:t xml:space="preserve"> </w:t>
      </w:r>
      <w:r>
        <w:rPr>
          <w:noProof/>
        </w:rPr>
        <w:t>te direktive, bi bilo treba Komisiji podeliti izvedbena pooblastila v zvezi z izdajo odobritve za uvedbo splošnega mehanizma obrnjene davčne obveznosti državi članici prosilki.</w:t>
      </w:r>
    </w:p>
    <w:p>
      <w:pPr>
        <w:pStyle w:val="ManualConsidrant"/>
        <w:rPr>
          <w:noProof/>
        </w:rPr>
      </w:pPr>
      <w:r>
        <w:t>(10)</w:t>
      </w:r>
      <w:r>
        <w:tab/>
      </w:r>
      <w:r>
        <w:rPr>
          <w:noProof/>
        </w:rPr>
        <w:t>Države članice, ki se odločijo za uporabo splošnega mehanizma obrnjene davčne obveznosti, morajo Komisijo zaprositi, da odobri uporabo tega mehanizma, in predložiti ustrezne informacije, da bo lahko Komisija ta zahtevek ocenila. Komisiji bi moralo biti omogočeno, da po potrebi zahteva dodatne informacije.</w:t>
      </w:r>
    </w:p>
    <w:p>
      <w:pPr>
        <w:pStyle w:val="ManualConsidrant"/>
        <w:rPr>
          <w:noProof/>
        </w:rPr>
      </w:pPr>
      <w:r>
        <w:t>(11)</w:t>
      </w:r>
      <w:r>
        <w:tab/>
      </w:r>
      <w:r>
        <w:rPr>
          <w:noProof/>
        </w:rPr>
        <w:t>Zaradi nepričakovanih učinkov, ki bi jih takšen splošni mehanizem obrnjene davčne obveznosti lahko imel na delovanje notranjega trga zaradi možnega preusmerjanja goljufij v druge države članice, ki tega mehanizma ne uporabljajo, bi moralo biti Komisiji omogočeno, da lahko kot zaščitni ukrep razveljavi vse izvedbene sklepe o odobritvi uporabe splošnega mehanizma obrnjene davčne obveznosti.</w:t>
      </w:r>
    </w:p>
    <w:p>
      <w:pPr>
        <w:pStyle w:val="ManualConsidrant"/>
        <w:rPr>
          <w:noProof/>
        </w:rPr>
      </w:pPr>
      <w:r>
        <w:t>(12)</w:t>
      </w:r>
      <w:r>
        <w:tab/>
      </w:r>
      <w:r>
        <w:rPr>
          <w:noProof/>
        </w:rPr>
        <w:t>Zaradi negotovih učinkov, ki bi jih tak mehanizem lahko imel, bi moral biti časovno omejen.</w:t>
      </w:r>
    </w:p>
    <w:p>
      <w:pPr>
        <w:pStyle w:val="ManualConsidrant"/>
        <w:rPr>
          <w:noProof/>
        </w:rPr>
      </w:pPr>
      <w:r>
        <w:t>(13)</w:t>
      </w:r>
      <w:r>
        <w:tab/>
      </w:r>
      <w:r>
        <w:rPr>
          <w:noProof/>
        </w:rPr>
        <w:t>Če se splošni mehanizem obrnjene davčne obveznosti uporablja vsaj v eni državi članici, bi morale zaradi pozornega spremljanja učinka na notranji trg Komisiji predložiti poročila vse države članice, da se omogoči ocena učinka na goljufije, stroškov izpolnjevanja obveznosti za podjetja ter preusmerjanja goljufivih dejavnosti zaradi uporabe splošnega mehanizma obrnjene davčne obveznosti.</w:t>
      </w:r>
    </w:p>
    <w:p>
      <w:pPr>
        <w:pStyle w:val="ManualConsidrant"/>
        <w:rPr>
          <w:noProof/>
        </w:rPr>
      </w:pPr>
      <w:r>
        <w:t>(14)</w:t>
      </w:r>
      <w:r>
        <w:tab/>
      </w:r>
      <w:r>
        <w:rPr>
          <w:noProof/>
        </w:rPr>
        <w:t>Direktivo 2006/112/ES bi bilo zato treba ustrezno spremeniti –</w:t>
      </w:r>
    </w:p>
    <w:p>
      <w:pPr>
        <w:pStyle w:val="Formuledadoption"/>
        <w:rPr>
          <w:noProof/>
        </w:rPr>
      </w:pPr>
      <w:r>
        <w:rPr>
          <w:noProof/>
        </w:rPr>
        <w:t>SPREJEL NASLEDNJO DIREKTIVO:</w:t>
      </w:r>
    </w:p>
    <w:p>
      <w:pPr>
        <w:pStyle w:val="Titrearticle"/>
        <w:rPr>
          <w:noProof/>
        </w:rPr>
      </w:pPr>
      <w:r>
        <w:rPr>
          <w:noProof/>
        </w:rPr>
        <w:t>Člen 1</w:t>
      </w:r>
    </w:p>
    <w:p>
      <w:pPr>
        <w:rPr>
          <w:noProof/>
        </w:rPr>
      </w:pPr>
      <w:r>
        <w:rPr>
          <w:noProof/>
        </w:rPr>
        <w:t>V Direktivo 2006/112/ES se vstavi naslednji člen 199c:</w:t>
      </w:r>
    </w:p>
    <w:p>
      <w:pPr>
        <w:pStyle w:val="Titrearticle"/>
        <w:rPr>
          <w:noProof/>
        </w:rPr>
      </w:pPr>
      <w:r>
        <w:rPr>
          <w:noProof/>
        </w:rPr>
        <w:t>„Člen 199c</w:t>
      </w:r>
    </w:p>
    <w:p>
      <w:pPr>
        <w:pStyle w:val="Point0"/>
        <w:ind w:left="720" w:firstLine="0"/>
        <w:rPr>
          <w:noProof/>
        </w:rPr>
      </w:pPr>
      <w:r>
        <w:rPr>
          <w:noProof/>
        </w:rPr>
        <w:t>1.</w:t>
      </w:r>
      <w:r>
        <w:rPr>
          <w:noProof/>
        </w:rPr>
        <w:tab/>
        <w:t>Država članica lahko do 30. junija 2022 v okviru splošnega mehanizma obrnjene davčne obveznosti določi, da je oseba, ki je dolžna plačati DDV, davčni zavezanec, ki se mu dobavijo blago in storitve nad pragom 10 000 EUR na račun, z odstopanjem od člena 193.</w:t>
      </w:r>
    </w:p>
    <w:p>
      <w:pPr>
        <w:pStyle w:val="Point0"/>
        <w:ind w:left="720" w:firstLine="0"/>
        <w:rPr>
          <w:noProof/>
        </w:rPr>
      </w:pPr>
      <w:r>
        <w:rPr>
          <w:noProof/>
        </w:rPr>
        <w:t>Država članica, ki želi uvesti splošni mehanizem obrnjene davčne obveznosti, izpolnjuje naslednje pogoje:</w:t>
      </w:r>
    </w:p>
    <w:p>
      <w:pPr>
        <w:pStyle w:val="Point1letter"/>
        <w:numPr>
          <w:ilvl w:val="3"/>
          <w:numId w:val="11"/>
        </w:numPr>
        <w:rPr>
          <w:noProof/>
        </w:rPr>
      </w:pPr>
      <w:r>
        <w:rPr>
          <w:noProof/>
        </w:rPr>
        <w:t>ima vrzel pri pobiranju DDV, izraženo kot odstotek skupne davčne obveznosti za DDV, vsaj za 5 odstotnih točk višjo od mediane vrzeli pri pobiranju DDV v Skupnosti;</w:t>
      </w:r>
    </w:p>
    <w:p>
      <w:pPr>
        <w:pStyle w:val="Point1letter"/>
        <w:rPr>
          <w:noProof/>
        </w:rPr>
      </w:pPr>
      <w:r>
        <w:rPr>
          <w:noProof/>
        </w:rPr>
        <w:t>njena stopnja davčnega vrtiljaka znaša več kot 25 % njene celotne vrzeli pri pobiranju DDV;</w:t>
      </w:r>
    </w:p>
    <w:p>
      <w:pPr>
        <w:pStyle w:val="Point1letter"/>
        <w:rPr>
          <w:noProof/>
        </w:rPr>
      </w:pPr>
      <w:r>
        <w:rPr>
          <w:noProof/>
        </w:rPr>
        <w:t>dokaže, da drugi nadzorni ukrepi ne zadostujejo za boj proti davčnemu vrtiljaku na njenem ozemlju.</w:t>
      </w:r>
    </w:p>
    <w:p>
      <w:pPr>
        <w:pStyle w:val="Point0"/>
        <w:ind w:left="720" w:firstLine="0"/>
        <w:rPr>
          <w:noProof/>
        </w:rPr>
      </w:pPr>
      <w:r>
        <w:rPr>
          <w:noProof/>
        </w:rPr>
        <w:t>Država članica k zahtevku iz odstavka 4 priloži izračun vrzeli pri pobiranju DDV v skladu z metodo in razpoložljivimi podatki iz zadnjega poročila o vrzeli pri pobiranju DDV, ki ga je objavila Komisija.</w:t>
      </w:r>
    </w:p>
    <w:p>
      <w:pPr>
        <w:pStyle w:val="Point0"/>
        <w:ind w:left="720" w:firstLine="0"/>
        <w:rPr>
          <w:noProof/>
        </w:rPr>
      </w:pPr>
      <w:r>
        <w:rPr>
          <w:noProof/>
        </w:rPr>
        <w:t>2.</w:t>
      </w:r>
      <w:r>
        <w:rPr>
          <w:noProof/>
        </w:rPr>
        <w:tab/>
        <w:t>Država članica lahko do 30. junija 2022 določi, da je oseba, ki je dolžna plačati DDV, davčni zavezanec, ki se mu dobavijo blago in storitve nad pragom 10 000 EUR na račun, kadar je za to državo članico značilno naslednje:</w:t>
      </w:r>
    </w:p>
    <w:p>
      <w:pPr>
        <w:pStyle w:val="Point1letter"/>
        <w:numPr>
          <w:ilvl w:val="3"/>
          <w:numId w:val="5"/>
        </w:numPr>
        <w:rPr>
          <w:noProof/>
        </w:rPr>
      </w:pPr>
      <w:r>
        <w:rPr>
          <w:noProof/>
        </w:rPr>
        <w:t>država članica meji na državo članico, ki ji je odobrena uporaba splošnega mehanizma obrnjene davčne obveznosti;</w:t>
      </w:r>
    </w:p>
    <w:p>
      <w:pPr>
        <w:pStyle w:val="Point1letter"/>
        <w:numPr>
          <w:ilvl w:val="3"/>
          <w:numId w:val="5"/>
        </w:numPr>
        <w:rPr>
          <w:noProof/>
        </w:rPr>
      </w:pPr>
      <w:r>
        <w:rPr>
          <w:noProof/>
        </w:rPr>
        <w:t>država članica dokaže, da obstaja resno tveganje preusmerjanja goljufij na njeno ozemlje zaradi odobritve, ki jo ima navedena država članica za uporabo splošnega mehanizma obrnjene davčne obveznosti;</w:t>
      </w:r>
    </w:p>
    <w:p>
      <w:pPr>
        <w:pStyle w:val="Point1letter"/>
        <w:numPr>
          <w:ilvl w:val="3"/>
          <w:numId w:val="5"/>
        </w:numPr>
        <w:rPr>
          <w:noProof/>
        </w:rPr>
      </w:pPr>
      <w:r>
        <w:rPr>
          <w:noProof/>
        </w:rPr>
        <w:t>država članica dokaže, da drugi nadzorni ukrepi ne zadostujejo za boj proti goljufiji na njenem ozemlju.</w:t>
      </w:r>
    </w:p>
    <w:p>
      <w:pPr>
        <w:pStyle w:val="Point0"/>
        <w:ind w:left="720" w:firstLine="0"/>
        <w:rPr>
          <w:noProof/>
        </w:rPr>
      </w:pPr>
      <w:r>
        <w:rPr>
          <w:noProof/>
        </w:rPr>
        <w:t>3.</w:t>
      </w:r>
      <w:r>
        <w:rPr>
          <w:noProof/>
        </w:rPr>
        <w:tab/>
        <w:t xml:space="preserve">Države članice, ki uporabljajo splošni mehanizem obrnjene davčne obveznosti, uvedejo ustrezne in učinkovite obveznosti elektronskega poročanja za vse davčne zavezance ter zlasti za davčne zavezance, ki dobavljajo ali prejemajo blago ali storitve, za katere se ta mehanizem uporablja. </w:t>
      </w:r>
    </w:p>
    <w:p>
      <w:pPr>
        <w:pStyle w:val="Point0"/>
        <w:ind w:hanging="130"/>
        <w:rPr>
          <w:noProof/>
        </w:rPr>
      </w:pPr>
      <w:r>
        <w:rPr>
          <w:noProof/>
        </w:rPr>
        <w:t>4.</w:t>
      </w:r>
      <w:r>
        <w:rPr>
          <w:noProof/>
        </w:rPr>
        <w:tab/>
        <w:t>Države članice, ki želijo uporabljati splošni mehanizem obrnjene davčne obveznosti, predložijo zahtevek Komisiji in navedejo naslednje informacije:</w:t>
      </w:r>
    </w:p>
    <w:p>
      <w:pPr>
        <w:pStyle w:val="Point1letter"/>
        <w:numPr>
          <w:ilvl w:val="3"/>
          <w:numId w:val="6"/>
        </w:numPr>
        <w:rPr>
          <w:noProof/>
        </w:rPr>
      </w:pPr>
      <w:r>
        <w:rPr>
          <w:noProof/>
        </w:rPr>
        <w:t>podrobno utemeljitev, da so izpolnjeni pogoji iz odstavka 1 ali 2;</w:t>
      </w:r>
    </w:p>
    <w:p>
      <w:pPr>
        <w:pStyle w:val="Point1letter"/>
        <w:rPr>
          <w:noProof/>
        </w:rPr>
      </w:pPr>
      <w:r>
        <w:rPr>
          <w:noProof/>
        </w:rPr>
        <w:t>datum začetka uporabe splošnega mehanizma obrnjene davčne obveznosti in obdobje, ki naj bi ga zajemal;</w:t>
      </w:r>
    </w:p>
    <w:p>
      <w:pPr>
        <w:pStyle w:val="Point1letter"/>
        <w:rPr>
          <w:noProof/>
        </w:rPr>
      </w:pPr>
      <w:r>
        <w:rPr>
          <w:noProof/>
        </w:rPr>
        <w:t>ukrepe, ki bodo sprejeti za obveščanje davčnih zavezancev o uvedbi uporabe splošnega mehanizma obrnjene davčne obveznosti;</w:t>
      </w:r>
    </w:p>
    <w:p>
      <w:pPr>
        <w:pStyle w:val="Point1letter"/>
        <w:rPr>
          <w:noProof/>
        </w:rPr>
      </w:pPr>
      <w:r>
        <w:rPr>
          <w:noProof/>
        </w:rPr>
        <w:t>podroben opis spremljevalnih ukrepov iz odstavka 3.</w:t>
      </w:r>
    </w:p>
    <w:p>
      <w:pPr>
        <w:pStyle w:val="Point0"/>
        <w:ind w:left="720" w:firstLine="0"/>
        <w:rPr>
          <w:noProof/>
        </w:rPr>
      </w:pPr>
      <w:r>
        <w:rPr>
          <w:noProof/>
        </w:rPr>
        <w:t>Če Komisija meni, da nima vseh potrebnih informacij, zahteva dodatne informacije v enem mesecu od prejema zahtevka. Država članica prosilka predloži zahtevane informacije v enem mesecu od prejema uradnega obvestila.</w:t>
      </w:r>
    </w:p>
    <w:p>
      <w:pPr>
        <w:pStyle w:val="Point0"/>
        <w:ind w:left="720" w:firstLine="0"/>
        <w:rPr>
          <w:noProof/>
        </w:rPr>
      </w:pPr>
      <w:r>
        <w:rPr>
          <w:noProof/>
        </w:rPr>
        <w:t>5.</w:t>
      </w:r>
      <w:r>
        <w:rPr>
          <w:noProof/>
        </w:rPr>
        <w:tab/>
        <w:t>Komisija najpozneje v treh mesecih po prejemu vseh potrebnih informacij sprejme izvedbeni sklep, s katerim potrdi, da je zahtevek skladen z zahtevami iz odstavka 4, in državi članici prosilki odobri uporabo splošnega mehanizma obrnjene davčne obveznosti. Če zahteve niso izpolnjene, sprejme izvedbeni sklep o zavrnitvi prošnje.</w:t>
      </w:r>
    </w:p>
    <w:p>
      <w:pPr>
        <w:pStyle w:val="Point0"/>
        <w:ind w:left="720" w:firstLine="0"/>
        <w:rPr>
          <w:noProof/>
        </w:rPr>
      </w:pPr>
      <w:r>
        <w:rPr>
          <w:noProof/>
        </w:rPr>
        <w:t>6.</w:t>
      </w:r>
      <w:r>
        <w:rPr>
          <w:noProof/>
        </w:rPr>
        <w:tab/>
        <w:t>Če pride do znatnega negativnega učinka na notranji trg, Komisija razveljavi vse izvedbene sklepe iz odstavka 5, in sicer najprej šest mesecev po začetku veljavnosti prvega izvedbenega sklepa, s katerim državi članici odobri uporabo splošnega mehanizma obrnjene davčne obveznosti.</w:t>
      </w:r>
    </w:p>
    <w:p>
      <w:pPr>
        <w:pStyle w:val="Point0"/>
        <w:ind w:left="720" w:firstLine="0"/>
        <w:rPr>
          <w:noProof/>
        </w:rPr>
      </w:pPr>
      <w:r>
        <w:rPr>
          <w:noProof/>
        </w:rPr>
        <w:t>Šteje se, da je znaten negativen učinek dokazan, če so izpolnjeni naslednji pogoji:</w:t>
      </w:r>
    </w:p>
    <w:p>
      <w:pPr>
        <w:pStyle w:val="Point1letter"/>
        <w:numPr>
          <w:ilvl w:val="3"/>
          <w:numId w:val="7"/>
        </w:numPr>
        <w:rPr>
          <w:noProof/>
        </w:rPr>
      </w:pPr>
      <w:r>
        <w:rPr>
          <w:noProof/>
        </w:rPr>
        <w:t>več kot ena država članica, ki ne uporablja splošnega mehanizma obrnjene davčne obveznosti iz odstavkov 1 in 2, Komisijo obvesti o povečanju goljufij na področju DDV na svojem ozemlju zaradi splošnega mehanizma obrnjene davčne obveznosti;</w:t>
      </w:r>
    </w:p>
    <w:p>
      <w:pPr>
        <w:pStyle w:val="Point1letter"/>
        <w:rPr>
          <w:noProof/>
        </w:rPr>
      </w:pPr>
      <w:r>
        <w:rPr>
          <w:noProof/>
        </w:rPr>
        <w:t>Komisija dokaže, tudi na podlagi informacij, ki jih predložijo države članice iz točke (a), da je takšno povečanje neposredno povezano z uporabo takšnega mehanizma v eni ali več državah članicah.</w:t>
      </w:r>
    </w:p>
    <w:p>
      <w:pPr>
        <w:pStyle w:val="Point0"/>
        <w:ind w:left="720" w:firstLine="0"/>
        <w:rPr>
          <w:noProof/>
        </w:rPr>
      </w:pPr>
      <w:r>
        <w:rPr>
          <w:noProof/>
        </w:rPr>
        <w:t>7.</w:t>
      </w:r>
      <w:r>
        <w:rPr>
          <w:noProof/>
        </w:rPr>
        <w:tab/>
        <w:t>Države članice, ki uporabljajo splošni mehanizem obrnjene davčne obveznosti, Komisiji najpozneje dve leti po začetku uporabe splošnega mehanizma obrnjene davčne obveznosti pošljejo vmesno poročilo. To poročilo vsebuje podrobno oceno učinkovitosti splošnega mehanizma obrnjene davčne obveznosti.</w:t>
      </w:r>
    </w:p>
    <w:p>
      <w:pPr>
        <w:pStyle w:val="Point0"/>
        <w:ind w:left="720" w:firstLine="0"/>
        <w:rPr>
          <w:noProof/>
        </w:rPr>
      </w:pPr>
      <w:r>
        <w:rPr>
          <w:noProof/>
        </w:rPr>
        <w:t>Tri mesece po koncu uporabe splošnega mehanizma obrnjene davčne obveznosti, države članice, ki uporabljajo ta mehanizem, predložijo končno poročilo o njegovem splošnem učinku.</w:t>
      </w:r>
    </w:p>
    <w:p>
      <w:pPr>
        <w:pStyle w:val="Point0"/>
        <w:ind w:left="720" w:firstLine="0"/>
        <w:rPr>
          <w:noProof/>
        </w:rPr>
      </w:pPr>
      <w:r>
        <w:rPr>
          <w:noProof/>
        </w:rPr>
        <w:t>8.</w:t>
      </w:r>
      <w:r>
        <w:rPr>
          <w:noProof/>
        </w:rPr>
        <w:tab/>
        <w:t>Države članice, ki ne uporabljajo tega mehanizma, Komisiji najpozneje do 30. junija 2019 pošljejo vmesno poročilo glede učinka na njihovo ozemlje, ki nastane z uporabo splošnega mehanizma obrnjene davčne obveznosti s strani drugih držav članic, če se bo splošni mehanizem obrnjene davčne obveznosti do navedenega datuma uporabljal vsaj eno leto v eni državi članici.</w:t>
      </w:r>
    </w:p>
    <w:p>
      <w:pPr>
        <w:pStyle w:val="Point0"/>
        <w:ind w:left="720" w:firstLine="0"/>
        <w:rPr>
          <w:noProof/>
        </w:rPr>
      </w:pPr>
      <w:r>
        <w:rPr>
          <w:noProof/>
        </w:rPr>
        <w:t>Če vsaj ena država članica uporablja splošni mehanizem obrnjene davčne obveznosti, države članice, ki ne uporabljajo tega mehanizma, Komisiji najpozneje do 30. septembra 2022 predložijo končno poročilo v zvezi z učinkom na njihovo ozemlje, ki je nastal z uporabo splošnega mehanizma obrnjene davčne obveznosti s strani drugih držav članic.</w:t>
      </w:r>
    </w:p>
    <w:p>
      <w:pPr>
        <w:pStyle w:val="Point0"/>
        <w:ind w:left="720" w:firstLine="0"/>
        <w:rPr>
          <w:noProof/>
        </w:rPr>
      </w:pPr>
      <w:r>
        <w:rPr>
          <w:noProof/>
        </w:rPr>
        <w:t>9.</w:t>
      </w:r>
      <w:r>
        <w:rPr>
          <w:noProof/>
        </w:rPr>
        <w:tab/>
        <w:t>Države članice v poročilih iz odstavka 7 ocenijo učinek uporabe splošnega mehanizma obrnjene davčne obveznosti na podlagi naslednjih meril ocenjevanja:</w:t>
      </w:r>
    </w:p>
    <w:p>
      <w:pPr>
        <w:pStyle w:val="Point1letter"/>
        <w:numPr>
          <w:ilvl w:val="3"/>
          <w:numId w:val="8"/>
        </w:numPr>
        <w:rPr>
          <w:noProof/>
        </w:rPr>
      </w:pPr>
      <w:r>
        <w:rPr>
          <w:noProof/>
        </w:rPr>
        <w:t>razvoja vrzeli pri pobiranju DDV;</w:t>
      </w:r>
    </w:p>
    <w:p>
      <w:pPr>
        <w:pStyle w:val="Point1letter"/>
        <w:numPr>
          <w:ilvl w:val="3"/>
          <w:numId w:val="8"/>
        </w:numPr>
        <w:rPr>
          <w:noProof/>
        </w:rPr>
      </w:pPr>
      <w:r>
        <w:rPr>
          <w:noProof/>
        </w:rPr>
        <w:t>razvoja goljufij na področju DDV, zlasti davčnega vrtiljaka in goljufij na maloprodajni ravni;</w:t>
      </w:r>
    </w:p>
    <w:p>
      <w:pPr>
        <w:pStyle w:val="Point1letter"/>
        <w:numPr>
          <w:ilvl w:val="3"/>
          <w:numId w:val="8"/>
        </w:numPr>
        <w:rPr>
          <w:noProof/>
        </w:rPr>
      </w:pPr>
      <w:r>
        <w:rPr>
          <w:noProof/>
        </w:rPr>
        <w:t>razvoja upravnih bremen za davčne zavezance;</w:t>
      </w:r>
    </w:p>
    <w:p>
      <w:pPr>
        <w:pStyle w:val="Point1letter"/>
        <w:numPr>
          <w:ilvl w:val="3"/>
          <w:numId w:val="8"/>
        </w:numPr>
        <w:rPr>
          <w:noProof/>
        </w:rPr>
      </w:pPr>
      <w:r>
        <w:rPr>
          <w:noProof/>
        </w:rPr>
        <w:t>razvoja upravnih stroškov za davčno upravo.</w:t>
      </w:r>
    </w:p>
    <w:p>
      <w:pPr>
        <w:pStyle w:val="Point0"/>
        <w:ind w:left="720" w:firstLine="0"/>
        <w:rPr>
          <w:noProof/>
        </w:rPr>
      </w:pPr>
      <w:r>
        <w:rPr>
          <w:noProof/>
        </w:rPr>
        <w:t>10.</w:t>
      </w:r>
      <w:r>
        <w:rPr>
          <w:noProof/>
        </w:rPr>
        <w:tab/>
        <w:t>Države članice v poročilih iz odstavka 8 ocenijo učinek uporabe splošnega mehanizma obrnjene davčne obveznosti na podlagi naslednjih meril ocenjevanja:</w:t>
      </w:r>
    </w:p>
    <w:p>
      <w:pPr>
        <w:pStyle w:val="Point1letter"/>
        <w:numPr>
          <w:ilvl w:val="3"/>
          <w:numId w:val="9"/>
        </w:numPr>
        <w:rPr>
          <w:noProof/>
        </w:rPr>
      </w:pPr>
      <w:r>
        <w:rPr>
          <w:noProof/>
        </w:rPr>
        <w:t>razvoja vrzeli pri pobiranju DDV;</w:t>
      </w:r>
    </w:p>
    <w:p>
      <w:pPr>
        <w:pStyle w:val="Point1letter"/>
        <w:numPr>
          <w:ilvl w:val="3"/>
          <w:numId w:val="9"/>
        </w:numPr>
        <w:rPr>
          <w:noProof/>
        </w:rPr>
      </w:pPr>
      <w:r>
        <w:rPr>
          <w:noProof/>
        </w:rPr>
        <w:t>razvoja goljufij na področju DDV, zlasti davčnega vrtiljaka in goljufij na maloprodajni ravni;</w:t>
      </w:r>
    </w:p>
    <w:p>
      <w:pPr>
        <w:pStyle w:val="Point1letter"/>
        <w:numPr>
          <w:ilvl w:val="3"/>
          <w:numId w:val="9"/>
        </w:numPr>
        <w:rPr>
          <w:noProof/>
        </w:rPr>
      </w:pPr>
      <w:r>
        <w:rPr>
          <w:noProof/>
        </w:rPr>
        <w:t>preusmerjanja goljufij iz držav članic, ki uporabljajo ali so uporabljale splošni mehanizem obrnjene davčne obveznosti.“.</w:t>
      </w:r>
    </w:p>
    <w:p>
      <w:pPr>
        <w:pStyle w:val="Titrearticle"/>
        <w:rPr>
          <w:noProof/>
        </w:rPr>
      </w:pPr>
      <w:r>
        <w:rPr>
          <w:noProof/>
        </w:rPr>
        <w:t>Člen 2</w:t>
      </w:r>
    </w:p>
    <w:p>
      <w:pPr>
        <w:rPr>
          <w:noProof/>
        </w:rPr>
      </w:pPr>
      <w:r>
        <w:rPr>
          <w:noProof/>
        </w:rPr>
        <w:t xml:space="preserve">Ta direktiva začne veljati dvajseti dan po objavi v </w:t>
      </w:r>
      <w:r>
        <w:rPr>
          <w:i/>
          <w:noProof/>
        </w:rPr>
        <w:t>Uradnem listu Evropske unije</w:t>
      </w:r>
      <w:r>
        <w:rPr>
          <w:noProof/>
        </w:rPr>
        <w:t>.</w:t>
      </w:r>
    </w:p>
    <w:p>
      <w:pPr>
        <w:rPr>
          <w:noProof/>
        </w:rPr>
      </w:pPr>
      <w:r>
        <w:rPr>
          <w:noProof/>
        </w:rPr>
        <w:t>Uporablja se do 30. septembra 2022.</w:t>
      </w:r>
    </w:p>
    <w:p>
      <w:pPr>
        <w:pStyle w:val="Titrearticle"/>
        <w:rPr>
          <w:noProof/>
        </w:rPr>
      </w:pPr>
      <w:r>
        <w:rPr>
          <w:noProof/>
        </w:rPr>
        <w:t>Člen 3</w:t>
      </w:r>
    </w:p>
    <w:p>
      <w:pPr>
        <w:rPr>
          <w:noProof/>
        </w:rPr>
      </w:pPr>
      <w:r>
        <w:rPr>
          <w:noProof/>
        </w:rPr>
        <w:t>Ta direktiva je naslovljena na države članice.</w:t>
      </w:r>
    </w:p>
    <w:p>
      <w:pPr>
        <w:pStyle w:val="Fait"/>
        <w:rPr>
          <w:noProof/>
        </w:rPr>
      </w:pPr>
      <w:r>
        <w:rPr>
          <w:noProof/>
        </w:rP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Sporočilo Komisije Evropskemu parlamentu, Svetu in Evropskemu ekonomsko-socialnemu odboru o akcijskem načrtu za DDV – Vzpostavitev enotnega območja DDV v EU: čas za odločitev (COM(2016) 148 final z dne 7. aprila 2016).</w:t>
      </w:r>
    </w:p>
  </w:footnote>
  <w:footnote w:id="2">
    <w:p>
      <w:pPr>
        <w:pStyle w:val="FootnoteText"/>
      </w:pPr>
      <w:r>
        <w:rPr>
          <w:rStyle w:val="FootnoteReference"/>
        </w:rPr>
        <w:footnoteRef/>
      </w:r>
      <w:r>
        <w:tab/>
        <w:t>Sporočilo Komisije Evropskemu parlamentu, Svetu in Evropskemu ekonomsko-socialnemu odboru o prihodnosti DDV – Za enostavnejši, zanesljivejši in učinkovitejši sistem DDV, prilagojen enotnemu trgu (COM(2011) 851 z dne 6. decembra 2011).</w:t>
      </w:r>
    </w:p>
  </w:footnote>
  <w:footnote w:id="3">
    <w:p>
      <w:pPr>
        <w:pStyle w:val="FootnoteText"/>
      </w:pPr>
      <w:r>
        <w:rPr>
          <w:rStyle w:val="FootnoteReference"/>
        </w:rPr>
        <w:footnoteRef/>
      </w:r>
      <w:r>
        <w:tab/>
        <w:t>Zelena knjiga o prihodnosti DDV – Za enostavnejši, zanesljivejši in učinkovitejši sistem DDV (COM(2010) 695 z dne 1. decembra 2010).</w:t>
      </w:r>
    </w:p>
  </w:footnote>
  <w:footnote w:id="4">
    <w:p>
      <w:pPr>
        <w:pStyle w:val="FootnoteText"/>
      </w:pPr>
      <w:r>
        <w:rPr>
          <w:rStyle w:val="FootnoteReference"/>
        </w:rPr>
        <w:footnoteRef/>
      </w:r>
      <w:r>
        <w:tab/>
        <w:t xml:space="preserve">CASE, </w:t>
      </w:r>
      <w:r>
        <w:rPr>
          <w:i/>
        </w:rPr>
        <w:t>Study and Reports on the VAT Gap in the EU-28 Member States:2016 Final Report</w:t>
      </w:r>
      <w:r>
        <w:t xml:space="preserve"> (Študija in poročila o vrzeli pri pobiranju DDV v državah članicah EU-28: Končno poročilo iz leta 2016).</w:t>
      </w:r>
    </w:p>
  </w:footnote>
  <w:footnote w:id="5">
    <w:p>
      <w:pPr>
        <w:pStyle w:val="FootnoteText"/>
      </w:pPr>
      <w:r>
        <w:rPr>
          <w:rStyle w:val="FootnoteReference"/>
        </w:rPr>
        <w:footnoteRef/>
      </w:r>
      <w:r>
        <w:tab/>
        <w:t xml:space="preserve">Ernst &amp; Young, </w:t>
      </w:r>
      <w:r>
        <w:rPr>
          <w:i/>
        </w:rPr>
        <w:t>Implementing the ‘destination principle’ to intra-EU B2B supplies of goods: 2015 Final Report</w:t>
      </w:r>
      <w:r>
        <w:t xml:space="preserve"> (Uporaba „načela namembne države“ za dobave blaga med podjetji znotraj EU: Končno poročilo iz leta 2015). </w:t>
      </w:r>
    </w:p>
  </w:footnote>
  <w:footnote w:id="6">
    <w:p>
      <w:pPr>
        <w:pStyle w:val="FootnoteText"/>
      </w:pPr>
      <w:r>
        <w:rPr>
          <w:rStyle w:val="FootnoteReference"/>
        </w:rPr>
        <w:footnoteRef/>
      </w:r>
      <w:r>
        <w:tab/>
        <w:t>Direktiva Sveta 2006/112/ES z dne 28. novembra 2006 o skupnem sistemu davka na dodano vrednost (UL L 347, 11.12.2006, str. 1).</w:t>
      </w:r>
    </w:p>
  </w:footnote>
  <w:footnote w:id="7">
    <w:p>
      <w:pPr>
        <w:pStyle w:val="FootnoteText"/>
      </w:pPr>
      <w:r>
        <w:rPr>
          <w:rStyle w:val="FootnoteReference"/>
        </w:rPr>
        <w:footnoteRef/>
      </w:r>
      <w:r>
        <w:tab/>
      </w:r>
      <w:hyperlink r:id="rId1">
        <w:r>
          <w:rPr>
            <w:rStyle w:val="Hyperlink"/>
          </w:rPr>
          <w:t>http://ec.europa.eu/smart-regulation/refit/refit-platform/docs/recommendations/opinion_taxation_1a.pdf.</w:t>
        </w:r>
      </w:hyperlink>
    </w:p>
  </w:footnote>
  <w:footnote w:id="8">
    <w:p>
      <w:pPr>
        <w:pStyle w:val="FootnoteText"/>
        <w:jc w:val="left"/>
        <w:rPr>
          <w:lang w:eastAsia="en-GB"/>
        </w:rPr>
      </w:pPr>
      <w:r>
        <w:rPr>
          <w:rStyle w:val="FootnoteReference"/>
        </w:rPr>
        <w:footnoteRef/>
      </w:r>
      <w:r>
        <w:tab/>
        <w:t>Povzetek je na voljo na naslednji povezavi:</w:t>
      </w:r>
      <w:r>
        <w:br/>
      </w:r>
      <w:hyperlink r:id="rId2">
        <w:r>
          <w:rPr>
            <w:rStyle w:val="Hyperlink"/>
          </w:rPr>
          <w:t>http://ec.europa.eu/smart-regulation/impact/ia_carried_out/cia_2016_en.htm.</w:t>
        </w:r>
      </w:hyperlink>
    </w:p>
    <w:p>
      <w:pPr>
        <w:pStyle w:val="FootnoteText"/>
      </w:pPr>
    </w:p>
  </w:footnote>
  <w:footnote w:id="9">
    <w:p>
      <w:pPr>
        <w:pStyle w:val="FootnoteText"/>
      </w:pPr>
      <w:r>
        <w:rPr>
          <w:rStyle w:val="FootnoteReference"/>
        </w:rPr>
        <w:footnoteRef/>
      </w:r>
      <w:r>
        <w:tab/>
        <w:t>Sporočilo Komisije Evropskemu parlamentu, Svetu in Evropskemu ekonomsko-socialnemu odboru o akcijskem načrtu za DDV – Vzpostavitev enotnega območja DDV v EU: čas za odločitev (COM(2016) 148 final z dne 7. aprila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BBAB8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CE7F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8EB7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80C2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A14C4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24B6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95C6F12"/>
    <w:lvl w:ilvl="0">
      <w:start w:val="1"/>
      <w:numFmt w:val="decimal"/>
      <w:pStyle w:val="ListNumber"/>
      <w:lvlText w:val="%1."/>
      <w:lvlJc w:val="left"/>
      <w:pPr>
        <w:tabs>
          <w:tab w:val="num" w:pos="360"/>
        </w:tabs>
        <w:ind w:left="360" w:hanging="360"/>
      </w:pPr>
    </w:lvl>
  </w:abstractNum>
  <w:abstractNum w:abstractNumId="7">
    <w:nsid w:val="FFFFFF89"/>
    <w:multiLevelType w:val="singleLevel"/>
    <w:tmpl w:val="0C6E41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1 14:38: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8D5866B64884F728DEAFECE753C8EF3"/>
    <w:docVar w:name="LW_CROSSREFERENCE" w:val="{SWD(2016) 457 final}_x000b_{SWD(2016) 458 final}"/>
    <w:docVar w:name="LW_DocType" w:val="COM"/>
    <w:docVar w:name="LW_EMISSION" w:val="21.12.2016"/>
    <w:docVar w:name="LW_EMISSION_ISODATE" w:val="2016-12-21"/>
    <w:docVar w:name="LW_EMISSION_LOCATION" w:val="BRX"/>
    <w:docVar w:name="LW_EMISSION_PREFIX" w:val="Bruselj,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NS"/>
    <w:docVar w:name="LW_REF.II.NEW.CP_NUMBER" w:val="0406"/>
    <w:docVar w:name="LW_REF.II.NEW.CP_YEAR" w:val="2016"/>
    <w:docVar w:name="LW_REF.INST.NEW" w:val="COM"/>
    <w:docVar w:name="LW_REF.INST.NEW_ADOPTED" w:val="final"/>
    <w:docVar w:name="LW_REF.INST.NEW_TEXT" w:val="(2016) 811"/>
    <w:docVar w:name="LW_REF.INTERNE" w:val="&lt;UNUSED&gt;"/>
    <w:docVar w:name="LW_SOUS.TITRE.OBJ.CP" w:val="&lt;UNUSED&gt;"/>
    <w:docVar w:name="LW_STATUT.CP" w:val="Predlog"/>
    <w:docVar w:name="LW_SUPERTITRE" w:val="&lt;UNUSED&gt;"/>
    <w:docVar w:name="LW_TITRE.OBJ.CP" w:val="o spremembi Direktive 2006/112/ES o skupnem sistemu davka na dodano vrednost v zvezi z za\u269?asno uporabo splo\u353?nega mehanizma obrnjene dav\u269?ne obveznosti za dobavo blaga in storitev nad dolo\u269?enim pragom"/>
    <w:docVar w:name="LW_TYPE.DOC.CP" w:val="DIREKTIVA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3">
    <w:name w:val="Body Text 3"/>
    <w:basedOn w:val="Normal"/>
    <w:link w:val="BodyText3Char"/>
    <w:uiPriority w:val="99"/>
    <w:unhideWhenUsed/>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sl-SI"/>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unhideWhenUsed/>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cs="Times New Roman"/>
      <w:sz w:val="21"/>
      <w:szCs w:val="21"/>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3">
    <w:name w:val="Body Text 3"/>
    <w:basedOn w:val="Normal"/>
    <w:link w:val="BodyText3Char"/>
    <w:uiPriority w:val="99"/>
    <w:unhideWhenUsed/>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sl-SI"/>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unhideWhenUsed/>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cs="Times New Roman"/>
      <w:sz w:val="21"/>
      <w:szCs w:val="21"/>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59">
      <w:bodyDiv w:val="1"/>
      <w:marLeft w:val="0"/>
      <w:marRight w:val="0"/>
      <w:marTop w:val="0"/>
      <w:marBottom w:val="0"/>
      <w:divBdr>
        <w:top w:val="none" w:sz="0" w:space="0" w:color="auto"/>
        <w:left w:val="none" w:sz="0" w:space="0" w:color="auto"/>
        <w:bottom w:val="none" w:sz="0" w:space="0" w:color="auto"/>
        <w:right w:val="none" w:sz="0" w:space="0" w:color="auto"/>
      </w:divBdr>
    </w:div>
    <w:div w:id="1213690593">
      <w:bodyDiv w:val="1"/>
      <w:marLeft w:val="0"/>
      <w:marRight w:val="0"/>
      <w:marTop w:val="0"/>
      <w:marBottom w:val="0"/>
      <w:divBdr>
        <w:top w:val="none" w:sz="0" w:space="0" w:color="auto"/>
        <w:left w:val="none" w:sz="0" w:space="0" w:color="auto"/>
        <w:bottom w:val="none" w:sz="0" w:space="0" w:color="auto"/>
        <w:right w:val="none" w:sz="0" w:space="0" w:color="auto"/>
      </w:divBdr>
    </w:div>
    <w:div w:id="17675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ec.europa.eu/smart-regulation/refit/refit-platform/docs/recommendations/opinion_taxation_1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45EC-275C-4D47-B94B-26BF7A88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2915</Words>
  <Characters>16998</Characters>
  <Application>Microsoft Office Word</Application>
  <DocSecurity>0</DocSecurity>
  <Lines>298</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2016-12-07T16:41:00Z</cp:lastPrinted>
  <dcterms:created xsi:type="dcterms:W3CDTF">2016-12-23T10:01:00Z</dcterms:created>
  <dcterms:modified xsi:type="dcterms:W3CDTF">2017-01-11T13:38:00Z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