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B15" w:rsidRDefault="005012C0">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21DA97E95224796ABBA2EF5818D4290" style="width:450.75pt;height:351.75pt">
            <v:imagedata r:id="rId9" o:title=""/>
          </v:shape>
        </w:pict>
      </w:r>
    </w:p>
    <w:p w:rsidR="00D71B15" w:rsidRDefault="00D71B15">
      <w:pPr>
        <w:rPr>
          <w:noProof/>
        </w:rPr>
        <w:sectPr w:rsidR="00D71B15">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D71B15" w:rsidRDefault="005012C0">
      <w:pPr>
        <w:pStyle w:val="Exposdesmotifstitre"/>
        <w:rPr>
          <w:noProof/>
        </w:rPr>
      </w:pPr>
      <w:r>
        <w:rPr>
          <w:noProof/>
        </w:rPr>
        <w:lastRenderedPageBreak/>
        <w:t>PERUSTELUT</w:t>
      </w:r>
    </w:p>
    <w:p w:rsidR="00D71B15" w:rsidRDefault="005012C0">
      <w:pPr>
        <w:pStyle w:val="ManualHeading1"/>
        <w:rPr>
          <w:noProof/>
        </w:rPr>
      </w:pPr>
      <w:r>
        <w:t>1.</w:t>
      </w:r>
      <w:r>
        <w:tab/>
      </w:r>
      <w:r>
        <w:rPr>
          <w:noProof/>
        </w:rPr>
        <w:tab/>
        <w:t>EHDOTUKSEN TAUSTA</w:t>
      </w:r>
    </w:p>
    <w:p w:rsidR="00D71B15" w:rsidRDefault="005012C0">
      <w:pPr>
        <w:pStyle w:val="ManualHeading2"/>
        <w:rPr>
          <w:noProof/>
        </w:rPr>
      </w:pPr>
      <w:r>
        <w:rPr>
          <w:noProof/>
          <w:color w:val="000000"/>
          <w:u w:color="000000"/>
          <w:bdr w:val="nil"/>
        </w:rPr>
        <w:t>•</w:t>
      </w:r>
      <w:r>
        <w:rPr>
          <w:noProof/>
        </w:rPr>
        <w:tab/>
        <w:t>Ehdotuksen perustelut ja tavoitteet</w:t>
      </w:r>
    </w:p>
    <w:p w:rsidR="00D71B15" w:rsidRDefault="005012C0">
      <w:pPr>
        <w:rPr>
          <w:noProof/>
        </w:rPr>
      </w:pPr>
      <w:r>
        <w:rPr>
          <w:noProof/>
        </w:rPr>
        <w:t xml:space="preserve">Tilanne Moldovan tasavallassa on </w:t>
      </w:r>
      <w:r>
        <w:rPr>
          <w:noProof/>
        </w:rPr>
        <w:t>ollut kahtena viime vuonna vaikea sekä taloudellisesti että poliittisesti. Maan pankkisektorilla puhkesi marraskuussa 2014 suuri petosskandaali, joka paljasti alan ohjaus- ja hallintajärjestelmässä vakavia puutteita. Lisäksi maan poliittinen tilanne on oll</w:t>
      </w:r>
      <w:r>
        <w:rPr>
          <w:noProof/>
        </w:rPr>
        <w:t>ut epävakaa: marraskuun 2014 vaalien jälkeen maassa on ollut kolme eri hallitusta, keskuspankin pääjohtaja on vaihtunut, ja kansalaiset ovat osoittaneet mieltään kaduilla. Kaikki nämä seikat ovat osaltaan hidastaneet talouskasvua, saaneet Moldovan kansainv</w:t>
      </w:r>
      <w:r>
        <w:rPr>
          <w:noProof/>
        </w:rPr>
        <w:t>äliset kumppanit keskeyttämään budjettituen maksamisen sekä heikentäneet julkista taloutta ja maksutasetta. Talousvaikeuksia ovat pahentaneet eräiden Moldovan keskeisten alueellisten kauppakumppaneiden (erityisesti Venäjän, mutta myös Valko-Venäjän ja Ukra</w:t>
      </w:r>
      <w:r>
        <w:rPr>
          <w:noProof/>
        </w:rPr>
        <w:t>inan) taantuma tai heikko talouden toimeliaisuus. Kumppaneiden ongelmat ovat myös supistaneet Moldovan vientiä ja maastamuuttajien rahalähetyksiä. Tämän on vain osittain korvannut lisääntynyt kaupankäynti EU:n kanssa vuonna 2014 allekirjoitetun assosiaatio</w:t>
      </w:r>
      <w:r>
        <w:rPr>
          <w:noProof/>
        </w:rPr>
        <w:t>sopimuksen voimaantulon jälkeen. Sopimuksen tavoitteena on aikaansaada pitkälle menevä ja laaja-alainen vapaakauppa-alue.</w:t>
      </w:r>
    </w:p>
    <w:p w:rsidR="00D71B15" w:rsidRDefault="005012C0">
      <w:pPr>
        <w:rPr>
          <w:noProof/>
          <w:szCs w:val="24"/>
        </w:rPr>
      </w:pPr>
      <w:r>
        <w:rPr>
          <w:noProof/>
        </w:rPr>
        <w:t>Moldova on tässä tilanteessa pyytänyt tukea Kansainväliseltä valuuttarahastolta (IMF). Moldovan viranomaiset kävivät IMF:n kanssa vaik</w:t>
      </w:r>
      <w:r>
        <w:rPr>
          <w:noProof/>
        </w:rPr>
        <w:t>eat ja pitkittyneet neuvottelut, joissa näkyi maan epävakaa poliittinen tilanne. Osapuolet pääsivät lopulta heinäkuussa 2016 sopimukseen ohjelmasta, jota tuetaan kolmivuotisella laajennetulla luotto- ja rahoitusjärjestelyllä. IMF:n johtokunta hyväksyi sopi</w:t>
      </w:r>
      <w:r>
        <w:rPr>
          <w:noProof/>
        </w:rPr>
        <w:t>muksen 7. marraskuuta 2016. Sopimus saatiin aikaan sen jälkeen, kun viranomaiset olivat sitoutuneet puuttumaan finanssialan ja julkisen varainhoidon ohjaus- ja hallintajärjestelmän ongelmiin. Sitä ennen maahan oli tammikuussa 2016 nimitetty pääministeri Fi</w:t>
      </w:r>
      <w:r>
        <w:rPr>
          <w:noProof/>
        </w:rPr>
        <w:t>lipin johtama uusi hallitus ja maaliskuussa 2016 uusi keskuspankin pääjohtaja. IMF:n kanssa sovitun rahoitusjärjestelyn suuruus vastaa 75:tä prosenttia Moldovan jäsenkiintiöstä IMF:ssä (129,4 miljoonaa erityisnosto-oikeutta eli noin 161 miljoonaa euroa). L</w:t>
      </w:r>
      <w:r>
        <w:rPr>
          <w:noProof/>
        </w:rPr>
        <w:t xml:space="preserve">uotto- ja rahoitusjärjestelyn tavoitteena on aikaansaada nopeita parannuksia finanssisektorin ohjaus- ja hallintajärjestelmässä, lujittaa makrotalouden ja rahoitusvakauden turvaavia politiikkoja sekä edistää kestävää ja osallistavaa kasvua. </w:t>
      </w:r>
    </w:p>
    <w:p w:rsidR="00D71B15" w:rsidRDefault="005012C0">
      <w:pPr>
        <w:rPr>
          <w:noProof/>
        </w:rPr>
      </w:pPr>
      <w:r>
        <w:rPr>
          <w:noProof/>
        </w:rPr>
        <w:t>Ulkoasiainneuv</w:t>
      </w:r>
      <w:r>
        <w:rPr>
          <w:noProof/>
        </w:rPr>
        <w:t>oston 15. helmikuuta 2016 antamien päätelmien jälkeen EU ja Moldovan viranomaiset sopivat keskeisiä uudistuksia koskevasta etenemissuunnitelmasta, jonka tarkoituksena oli käynnistää uudelleen tärkeimmät rakenneuudistukset. Suunnitelman täytäntöönpanon määr</w:t>
      </w:r>
      <w:r>
        <w:rPr>
          <w:noProof/>
        </w:rPr>
        <w:t>äajaksi vahvistettiin 31. heinäkuuta 2016. Täytäntöönpanossa on edistytty huomattavasti, mutta kaikkia EU:n huolenaiheita, jotka esitettiin neuvoston helmikuussa antamissa päätelmissä, ei kuitenkaan ole vielä poistettu.</w:t>
      </w:r>
    </w:p>
    <w:p w:rsidR="00D71B15" w:rsidRDefault="005012C0">
      <w:pPr>
        <w:rPr>
          <w:noProof/>
          <w:szCs w:val="24"/>
        </w:rPr>
      </w:pPr>
      <w:r>
        <w:rPr>
          <w:noProof/>
        </w:rPr>
        <w:t>Moldovan hallitus pyysi EU:lta makro</w:t>
      </w:r>
      <w:r>
        <w:rPr>
          <w:noProof/>
        </w:rPr>
        <w:t>taloudellista rahoitusapua elokuussa 2015 ja toisti pyyntönsä maaliskuussa 2016.</w:t>
      </w:r>
      <w:r>
        <w:rPr>
          <w:rStyle w:val="FootnoteReference"/>
          <w:noProof/>
        </w:rPr>
        <w:footnoteReference w:id="1"/>
      </w:r>
      <w:r>
        <w:rPr>
          <w:noProof/>
        </w:rPr>
        <w:t xml:space="preserve"> Ottaen huomioon tämän pyynnön sekä Moldovan poliittisen ja taloudellisen kehityksen vuodesta 2014 lähtien Euroopan komissio antaa Euroopan parlamentille ja neuvostolle ehdotu</w:t>
      </w:r>
      <w:r>
        <w:rPr>
          <w:noProof/>
        </w:rPr>
        <w:t>ksen päätökseksi, jolla Moldovan tasavallalle myönnetään makrotaloudellista rahoitusapua enintään 100 miljoonaa euroa. Tästä määrästä 60 miljoonaa euroa myönnetään lainoina ja 40 miljoonaa euroa avustuksina. Ehdotettu määrä on perusteltu, kun otetaan huomi</w:t>
      </w:r>
      <w:r>
        <w:rPr>
          <w:noProof/>
        </w:rPr>
        <w:t>oon päivitetty arvio maan ulkoisen rahoituksen tarpeista, IMF:n ohjelman suuruusluokka, taakanjakoa koskevat näkökohdat ja EU:n talousarvion liikkumavara.</w:t>
      </w:r>
    </w:p>
    <w:p w:rsidR="00D71B15" w:rsidRDefault="005012C0">
      <w:pPr>
        <w:rPr>
          <w:noProof/>
        </w:rPr>
      </w:pPr>
      <w:r>
        <w:rPr>
          <w:noProof/>
        </w:rPr>
        <w:lastRenderedPageBreak/>
        <w:t xml:space="preserve">Ehdotetulla unionin makrotaloudellisella rahoitusavulla autettaisiin Moldovaa kattamaan osa jäljellä </w:t>
      </w:r>
      <w:r>
        <w:rPr>
          <w:noProof/>
        </w:rPr>
        <w:t>olevasta vuosien 2016–2018 ulkoisesta rahoitustarpeesta, joka IMF:n uuden ohjelman yhteydessä on arvioitu 442 miljoonaksi Yhdysvaltain dollariksi (402 miljoonaksi euroksi). Rahoitusapu lievittäisi lyhyellä aikavälillä maksutaseen ja julkisen talouden haavo</w:t>
      </w:r>
      <w:r>
        <w:rPr>
          <w:noProof/>
        </w:rPr>
        <w:t>ittuvuutta. Sen suunnittelussa ja täytäntöönpanossa otettaisiin huomioon IMF:n ja Maailmanpankin kanssa sovittavat Moldovan sopeutus- ja uudistusohjelmat sekä EU:n budjettitukiohjelmien mukaiset uudistukset ja pitkälle menevä ja laaja-alainen vapaakauppaso</w:t>
      </w:r>
      <w:r>
        <w:rPr>
          <w:noProof/>
        </w:rPr>
        <w:t xml:space="preserve">pimus. </w:t>
      </w:r>
    </w:p>
    <w:p w:rsidR="00D71B15" w:rsidRDefault="005012C0">
      <w:pPr>
        <w:rPr>
          <w:noProof/>
        </w:rPr>
      </w:pPr>
      <w:r>
        <w:rPr>
          <w:noProof/>
        </w:rPr>
        <w:t>Ehdotetun järjestelyn lisäksi on tarkoitus käynnistää uudelleen Euroopan naapuruusvälineestä (ENI) rahoitettavien budjettitukioperaatioiden mukaiset maksut. Ne keskeytettiin vuoden 2015 alussa hallintoon liittyvien huolenaiheiden sekä luotettavan m</w:t>
      </w:r>
      <w:r>
        <w:rPr>
          <w:noProof/>
        </w:rPr>
        <w:t>akrotalouspoliittisen strategian puuttumisen takia.</w:t>
      </w:r>
    </w:p>
    <w:p w:rsidR="00D71B15" w:rsidRDefault="005012C0">
      <w:pPr>
        <w:rPr>
          <w:noProof/>
        </w:rPr>
      </w:pPr>
      <w:r>
        <w:rPr>
          <w:noProof/>
        </w:rPr>
        <w:t>Tähän ehdotukseen liittyvässä komission yksiköiden valmisteluasiakirjassa selostetun mukaisesti ja Euroopan ulkosuhdehallinnon poliittisesta tilanteesta tekemän arvion perusteella komissio katsoo, että eh</w:t>
      </w:r>
      <w:r>
        <w:rPr>
          <w:noProof/>
        </w:rPr>
        <w:t>dotetulle makrotaloudelliselle rahoitusavulle asetetut poliittiset ja taloudelliset edellytykset täyttyvät.</w:t>
      </w:r>
    </w:p>
    <w:p w:rsidR="00D71B15" w:rsidRDefault="005012C0">
      <w:pPr>
        <w:pStyle w:val="ManualHeading2"/>
        <w:rPr>
          <w:noProof/>
        </w:rPr>
      </w:pPr>
      <w:r>
        <w:rPr>
          <w:noProof/>
          <w:color w:val="000000"/>
          <w:u w:color="000000"/>
          <w:bdr w:val="nil"/>
        </w:rPr>
        <w:t>•</w:t>
      </w:r>
      <w:r>
        <w:rPr>
          <w:noProof/>
        </w:rPr>
        <w:tab/>
        <w:t xml:space="preserve">Yleinen tausta </w:t>
      </w:r>
    </w:p>
    <w:p w:rsidR="00D71B15" w:rsidRDefault="005012C0">
      <w:pPr>
        <w:rPr>
          <w:noProof/>
        </w:rPr>
      </w:pPr>
      <w:r>
        <w:rPr>
          <w:noProof/>
        </w:rPr>
        <w:t xml:space="preserve">Moldovan </w:t>
      </w:r>
      <w:r>
        <w:rPr>
          <w:i/>
          <w:noProof/>
        </w:rPr>
        <w:t>makrotalouden näkymät</w:t>
      </w:r>
      <w:r>
        <w:rPr>
          <w:noProof/>
        </w:rPr>
        <w:t xml:space="preserve"> ovat edelleen heikot, mutta uudet sopeutustoimet ja ulkomaisten rahoittajien tuen mahdollinen uudel</w:t>
      </w:r>
      <w:r>
        <w:rPr>
          <w:noProof/>
        </w:rPr>
        <w:t>leen käynnistyminen ovat hieman vakauttaneet talouden tilannetta.</w:t>
      </w:r>
    </w:p>
    <w:p w:rsidR="00D71B15" w:rsidRDefault="005012C0">
      <w:pPr>
        <w:rPr>
          <w:noProof/>
        </w:rPr>
      </w:pPr>
      <w:r>
        <w:rPr>
          <w:i/>
          <w:noProof/>
        </w:rPr>
        <w:t>Kasvu hidastui</w:t>
      </w:r>
      <w:r>
        <w:rPr>
          <w:noProof/>
        </w:rPr>
        <w:t xml:space="preserve"> selvästi vuonna 2014. Vuonna 2015 Moldova ajautui taantumaan bruttokansantuotteen (BKT) vähentyessä 0,5 prosenttia seuraavista syistä: a) maataloustuotannon supistuminen 13,4 </w:t>
      </w:r>
      <w:r>
        <w:rPr>
          <w:noProof/>
        </w:rPr>
        <w:t>prosenttia huonojen sääolosuhteiden takia; b) maastamuuttajien rahalähetysten ja viennin nopea väheneminen johtuen joidenkin Moldovan keskeisten kauppakumppaneiden, erityisesti Valko-Venäjän, Venäjän ja Ukrainan, taantumasta tai heikosta talouden toimeliai</w:t>
      </w:r>
      <w:r>
        <w:rPr>
          <w:noProof/>
        </w:rPr>
        <w:t>suudesta; c) pankkijärjestelmän ongelmista ja rahapolitiikan kiristymisestä johtunut heikko kotimainen luottoekspansio; sekä d) julkisen talouden kiristyminen, joka johtui osittain kansainvälisten rahoittajien tuen keskeytymisestä sekä taantuman aiheuttama</w:t>
      </w:r>
      <w:r>
        <w:rPr>
          <w:noProof/>
        </w:rPr>
        <w:t>sta verotulojen vähenemisestä, mikä puolestaan vaikutti huomattavasti muun muassa vuoden 2015 julkiseen investointiohjelmaan. Vuoden 2015 sopeutustoimien jälkeen Moldovan talouden ennakoidaan toipuvan hyvin hitaasti vuonna 2016 ja sen jälkeisinä vuosina. B</w:t>
      </w:r>
      <w:r>
        <w:rPr>
          <w:noProof/>
        </w:rPr>
        <w:t>KT:n ennakoidaan kasvavan vuonna 2016 noin 2 prosenttia. Vuonna 2016 kasvua rajoittavat edelleen budjettileikkaukset ja tiukat luottoehdot sekä vähäiset rahalähetykset ja aiempaa korkeammat paikalliset energiahinnat, jotka hillitsevät yksityistä kulutusta.</w:t>
      </w:r>
      <w:r>
        <w:rPr>
          <w:noProof/>
        </w:rPr>
        <w:t xml:space="preserve"> Suuntautuminen kohti EU:n markkinoita vie aikaa ja edellyttää investointeja.</w:t>
      </w:r>
    </w:p>
    <w:p w:rsidR="00D71B15" w:rsidRDefault="005012C0">
      <w:pPr>
        <w:rPr>
          <w:noProof/>
        </w:rPr>
      </w:pPr>
      <w:r>
        <w:rPr>
          <w:i/>
          <w:noProof/>
        </w:rPr>
        <w:t>Kuluttajahintainflaatio</w:t>
      </w:r>
      <w:r>
        <w:rPr>
          <w:noProof/>
        </w:rPr>
        <w:t xml:space="preserve"> kiihtyi 4,7 prosentista (joulukuussa 2014) 13,5 prosenttiin (joulukuussa 2015; vuosimuutos), mutta on sen jälkeen supistunut 3,0 prosenttiin syyskuussa 20</w:t>
      </w:r>
      <w:r>
        <w:rPr>
          <w:noProof/>
        </w:rPr>
        <w:t>16. IMF ennakoi, että keskimääräinen vuotuinen inflaatioaste on 6,9 prosenttia vuonna 2016 ja 4,9 prosenttia vuonna 2017.</w:t>
      </w:r>
    </w:p>
    <w:p w:rsidR="00D71B15" w:rsidRDefault="005012C0">
      <w:pPr>
        <w:rPr>
          <w:noProof/>
          <w:szCs w:val="24"/>
        </w:rPr>
      </w:pPr>
      <w:r>
        <w:rPr>
          <w:noProof/>
        </w:rPr>
        <w:t xml:space="preserve">Hallitukseen on kohdistunut </w:t>
      </w:r>
      <w:r>
        <w:rPr>
          <w:i/>
          <w:noProof/>
        </w:rPr>
        <w:t>huomattavia paineita kiristää verotusta</w:t>
      </w:r>
      <w:r>
        <w:rPr>
          <w:noProof/>
        </w:rPr>
        <w:t xml:space="preserve">, koska heikko talouden toimeliaisuus ja rahoittajien budjettituen </w:t>
      </w:r>
      <w:r>
        <w:rPr>
          <w:noProof/>
        </w:rPr>
        <w:t>keskeytyminen ovat vähentäneet talousarviotuloja. Nämä seikat kasvattivat osaltaan julkisen talouden alijäämää vuosien 2014 ja 2015 välillä 1,9 prosentista 2,3 prosenttiin suhteessa BKT:hen. IMF:n kanssa sovitun ohjelman mukaisesti hallitus hyväksyi vuoden</w:t>
      </w:r>
      <w:r>
        <w:rPr>
          <w:noProof/>
        </w:rPr>
        <w:t xml:space="preserve"> 2016 tarkistetun talousarvion, jonka presidentti allekirjoitti 4. lokakuuta 2016. Talousarvio sisältää tarvittavat meno- ja tulopuolta koskevat sopeutustoimet, joiden avulla on tarkoitus saavuttaa alijäämätavoitteeksi asetettu 3,2 prosenttia suhteessa BKT</w:t>
      </w:r>
      <w:r>
        <w:rPr>
          <w:noProof/>
        </w:rPr>
        <w:t xml:space="preserve">:hen. </w:t>
      </w:r>
    </w:p>
    <w:p w:rsidR="00D71B15" w:rsidRDefault="005012C0">
      <w:pPr>
        <w:rPr>
          <w:noProof/>
        </w:rPr>
      </w:pPr>
      <w:r>
        <w:rPr>
          <w:noProof/>
        </w:rPr>
        <w:lastRenderedPageBreak/>
        <w:t>Tulo- ja menopuolen toimenpiteisiin liittyvien säästöjen kokonaismäärä oli 2,2 miljardia Moldovan leitä, joka vastaa 1,7:ää prosenttia suhteessa BKT:hen vuonna 2016. Näihin kuuluvat muun muassa toimet palkkasumman hillitsemiseksi (mm. vähentämällä a</w:t>
      </w:r>
      <w:r>
        <w:rPr>
          <w:noProof/>
        </w:rPr>
        <w:t>voinna olevia toimia) sekä monenlaiset toimet veronkannon tehostamiseksi ja verohallinnon uudistamiseksi sekä liiallisten verovapautusten vähentämiseksi.</w:t>
      </w:r>
    </w:p>
    <w:p w:rsidR="00D71B15" w:rsidRDefault="005012C0">
      <w:pPr>
        <w:rPr>
          <w:noProof/>
        </w:rPr>
      </w:pPr>
      <w:r>
        <w:rPr>
          <w:i/>
          <w:noProof/>
        </w:rPr>
        <w:t>Julkisen talouden velka suhteessa BKT:hen</w:t>
      </w:r>
      <w:r>
        <w:rPr>
          <w:noProof/>
        </w:rPr>
        <w:t xml:space="preserve"> kasvoi 36 prosentista vuoden 2014 lopussa 45 prosenttiin vuoden 2015 lopussa. Näissä arvioissa on otettu huomioon Moldovan keskuspankin kolmelle likvidaatiomenettelyssä olevalle pankille myöntämät hätäluotot, joilla on valtiontakaus. Julkisen velan kasvu </w:t>
      </w:r>
      <w:r>
        <w:rPr>
          <w:noProof/>
        </w:rPr>
        <w:t>viime vuonna johtui etupäässä kotimaisen velan komponentista. Ulkomaanvelka kasvoi vähemmän (18 %:sta suhteessa BKT:hen vuonna 2014 21 %:iin suhteessa BKT:hen vuoden 2015 lopussa), ja lisäys johtui etupäässä leun heikkenemisestä. Suurin osa ulkomaanvelasta</w:t>
      </w:r>
      <w:r>
        <w:rPr>
          <w:noProof/>
        </w:rPr>
        <w:t xml:space="preserve"> on keskipitkän tai pitkän aikavälin velkaa, jota ovat myöntäneet monen- ja kahdenväliset luotonantajat edullisin ehdoin.</w:t>
      </w:r>
    </w:p>
    <w:p w:rsidR="00D71B15" w:rsidRDefault="005012C0">
      <w:pPr>
        <w:rPr>
          <w:noProof/>
        </w:rPr>
      </w:pPr>
      <w:r>
        <w:rPr>
          <w:b/>
          <w:noProof/>
        </w:rPr>
        <w:t>Vaihtotaseen alijäämä</w:t>
      </w:r>
      <w:r>
        <w:rPr>
          <w:noProof/>
        </w:rPr>
        <w:t xml:space="preserve"> supistui 293 miljoonaan euroon vuonna 2015 (vuosimuutos 40 %) johtuen tuontienergian hinnan selvästä laskusta se</w:t>
      </w:r>
      <w:r>
        <w:rPr>
          <w:noProof/>
        </w:rPr>
        <w:t>kä kotimaisen kysynnän heikkenemisestä, joka vähensi tuontia. Mitattuna prosenttiosuutena suhteessa BKT:hen vaihtotaseen alijäämä supistui 6,7 prosentista vuonna 2014 5,0 prosenttiin vuonna 2015 johtuen BKT:n dollarimääräisestä supistumisesta vuonna 2015 (</w:t>
      </w:r>
      <w:r>
        <w:rPr>
          <w:noProof/>
        </w:rPr>
        <w:t>tämä puolestaan oli seurausta reaalisen BKT:n vähenemisestä ja leun arvon heikkenemisestä).</w:t>
      </w:r>
    </w:p>
    <w:p w:rsidR="00D71B15" w:rsidRDefault="005012C0">
      <w:pPr>
        <w:rPr>
          <w:noProof/>
        </w:rPr>
      </w:pPr>
      <w:r>
        <w:rPr>
          <w:noProof/>
        </w:rPr>
        <w:t xml:space="preserve">Moldovan talouden ja politiikan myllerryksillä ei kuitenkaan ollut vaikutusta maahan vuonna 2015 tehtyihin </w:t>
      </w:r>
      <w:r>
        <w:rPr>
          <w:b/>
          <w:noProof/>
        </w:rPr>
        <w:t>suoriin ulkomaisiin investointeihin</w:t>
      </w:r>
      <w:r>
        <w:rPr>
          <w:noProof/>
        </w:rPr>
        <w:t xml:space="preserve">. Niiden määrä oli </w:t>
      </w:r>
      <w:r>
        <w:rPr>
          <w:noProof/>
        </w:rPr>
        <w:t>165 miljoonaa Yhdysvaltain dollaria vuonna 2015, kun se oli vuonna 2014 vain 158 miljoonaa dollaria. Moldovan vapaatalousalueilla oli suuri merkitys suorien ulkomaisten investointien houkuttelemisessa.</w:t>
      </w:r>
    </w:p>
    <w:p w:rsidR="00D71B15" w:rsidRDefault="005012C0">
      <w:pPr>
        <w:rPr>
          <w:noProof/>
        </w:rPr>
      </w:pPr>
      <w:r>
        <w:rPr>
          <w:noProof/>
        </w:rPr>
        <w:t>Finanssisektorin kriisin takia valuuttavaranto supistu</w:t>
      </w:r>
      <w:r>
        <w:rPr>
          <w:noProof/>
        </w:rPr>
        <w:t xml:space="preserve">i syyskuun 2014 ja helmikuun 2015 välisenä aikana 35 prosenttia, 1,7 miljardiin Yhdysvaltain dollariin. Tämä vastasi noin 4,3 kuukauden tuontia. Lisäksi keskuspankki myi kyseisenä ajanjaksona </w:t>
      </w:r>
      <w:r>
        <w:rPr>
          <w:i/>
          <w:noProof/>
        </w:rPr>
        <w:t>valuuttavarannostaan</w:t>
      </w:r>
      <w:r>
        <w:rPr>
          <w:noProof/>
        </w:rPr>
        <w:t xml:space="preserve"> yhteensä 700 miljoonaa Yhdysvaltain dollari</w:t>
      </w:r>
      <w:r>
        <w:rPr>
          <w:noProof/>
        </w:rPr>
        <w:t>a, josta osan erityismyynnillä kolmelle likvidaatiomenettelyyn asetetulle valtion hallinnoimalle pankille ja osan valuuttamarkkinoilla. Valuuttavarannon supistuminen liittyi osittain dollarimääräisten säästöjen osuuden kasvamiseen tilanteessa, jossa luotta</w:t>
      </w:r>
      <w:r>
        <w:rPr>
          <w:noProof/>
        </w:rPr>
        <w:t xml:space="preserve">mus leuhun heikkeni. Valuuttamarkkinoiden elvyttyä ja tilanteen vakaannuttua keskuspankki keräsi syyskuuhun 2016 mennessä yhteensä 2,1 miljardin Yhdysvaltain dollarin suuruisen valuuttavarannon, joka vastaa arviolta 5,1 kuukauden ennakoitua tuontia. </w:t>
      </w:r>
    </w:p>
    <w:p w:rsidR="00D71B15" w:rsidRDefault="005012C0">
      <w:pPr>
        <w:rPr>
          <w:noProof/>
        </w:rPr>
      </w:pPr>
      <w:r>
        <w:rPr>
          <w:noProof/>
        </w:rPr>
        <w:t>Uudis</w:t>
      </w:r>
      <w:r>
        <w:rPr>
          <w:noProof/>
        </w:rPr>
        <w:t xml:space="preserve">tusprosessin poljettua useita vuosia paikallaan </w:t>
      </w:r>
      <w:r>
        <w:rPr>
          <w:i/>
          <w:noProof/>
        </w:rPr>
        <w:t>rakenneuudistussuunnitelman täytäntöönpano</w:t>
      </w:r>
      <w:r>
        <w:rPr>
          <w:noProof/>
        </w:rPr>
        <w:t xml:space="preserve"> on edistynyt huomattavasti kuuden viime kuukauden aikana. Tämä koskee myös niitä uudistuksia, jotka sisältyvät EU:n kanssa helmikuussa 2016 sovittuun keskeisiä uudis</w:t>
      </w:r>
      <w:r>
        <w:rPr>
          <w:noProof/>
        </w:rPr>
        <w:t>tuksia koskevaan etenemissuunnitelmaan. Uudistustoimenpiteiden hyväksyminen on kuitenkin viivästynyt joillakin aloilla: esimerkiksi julkishallinnon alalla ei ole nimetty valtion rahoitusmarkkinakomitean puheenjohtajaa eikä sähkö- ja kaasualoilla ole toteut</w:t>
      </w:r>
      <w:r>
        <w:rPr>
          <w:noProof/>
        </w:rPr>
        <w:t xml:space="preserve">ettu toimia markkinoiden vapauttamiseksi. EU on osallistunut yhä tiiviimmin rakenneuudistuksia koskevien teknisten ja toimintapoliittisten neuvojen antamiseen Moldovalle rahoittamalla ryhmää, johon kuuluu 25 </w:t>
      </w:r>
      <w:r>
        <w:rPr>
          <w:i/>
          <w:noProof/>
        </w:rPr>
        <w:t>korkean tason neuvonantajaa</w:t>
      </w:r>
      <w:r>
        <w:rPr>
          <w:noProof/>
        </w:rPr>
        <w:t>. Neuvonantajat tekev</w:t>
      </w:r>
      <w:r>
        <w:rPr>
          <w:noProof/>
        </w:rPr>
        <w:t>ät yhteistyötä eri instituutioiden korkea-arvoisten virkamiesten, kuten pääministerin, valtiovarainministerin ja keskuspankin pääjohtajan, kanssa. Tämä aivan uudenlainen menettely koskee sellaisia uudistuksen kannalta tärkeitä osa-alueita kuin finanssisekt</w:t>
      </w:r>
      <w:r>
        <w:rPr>
          <w:noProof/>
        </w:rPr>
        <w:t>ori, julkinen varainhoito, ulkoinen tarkastus sekä pitkälle menevän ja laaja-alaisen vapaakauppa-alueen toteuttaminen.</w:t>
      </w:r>
    </w:p>
    <w:p w:rsidR="00D71B15" w:rsidRDefault="005012C0">
      <w:pPr>
        <w:rPr>
          <w:noProof/>
        </w:rPr>
      </w:pPr>
      <w:r>
        <w:rPr>
          <w:noProof/>
        </w:rPr>
        <w:t xml:space="preserve">IMF:n marraskuussa 2016 laatimat ennusteet viittaavat merkittäviin </w:t>
      </w:r>
      <w:r>
        <w:rPr>
          <w:i/>
          <w:noProof/>
        </w:rPr>
        <w:t>maksutasetarpeisiin</w:t>
      </w:r>
      <w:r>
        <w:rPr>
          <w:noProof/>
        </w:rPr>
        <w:t xml:space="preserve"> vuosina 2016–2018, sillä ulkoisen rahoitusvajeen k</w:t>
      </w:r>
      <w:r>
        <w:rPr>
          <w:noProof/>
        </w:rPr>
        <w:t>okonaismäärän arvioidaan olevan 469 miljoonaa Yhdysvaltain dollaria (184 miljoonaa dollaria vuonna 2016, 186 miljoonaa dollaria seuraavana vuonna ja 99 miljoonaa dollaria vuonna 2018). Rahoitusvaje johtuu karkeasti ottaen kolmesta tekijästä: vaihtotaseen a</w:t>
      </w:r>
      <w:r>
        <w:rPr>
          <w:noProof/>
        </w:rPr>
        <w:t>lijäämä on melko suuri, valuuttavarantoa on tarpeen kasvattaa, ja velkojen lyhennysvaatimusten odotetaan olevan suuret. Ehdotettu 100 miljoonan euron makrotaloudellinen rahoitusapu kattaisi 24,9 prosenttia arvioidusta jäljellä olevasta rahoitusvajeesta (jo</w:t>
      </w:r>
      <w:r>
        <w:rPr>
          <w:noProof/>
        </w:rPr>
        <w:t>sta on vähennetty IMF:n nettorahoitus ja odotettavissa oleva Maailmanpankin toimintapoliittisin ehdoin myönnettyjen lainojen maksu).</w:t>
      </w:r>
    </w:p>
    <w:p w:rsidR="00D71B15" w:rsidRDefault="005012C0">
      <w:pPr>
        <w:pStyle w:val="ManualHeading2"/>
        <w:rPr>
          <w:noProof/>
        </w:rPr>
      </w:pPr>
      <w:r>
        <w:rPr>
          <w:noProof/>
          <w:color w:val="000000"/>
          <w:u w:color="000000"/>
          <w:bdr w:val="nil"/>
        </w:rPr>
        <w:t>•</w:t>
      </w:r>
      <w:r>
        <w:rPr>
          <w:noProof/>
        </w:rPr>
        <w:tab/>
        <w:t>Voimassa olevat aiemmat säännökset</w:t>
      </w:r>
    </w:p>
    <w:p w:rsidR="00D71B15" w:rsidRDefault="005012C0">
      <w:pPr>
        <w:rPr>
          <w:noProof/>
        </w:rPr>
      </w:pPr>
      <w:r>
        <w:rPr>
          <w:noProof/>
        </w:rPr>
        <w:t>Euroopan parlamentti ja neuvosto antoivat 20. lokakuuta 2010 päätöksen N:o 938/2010/EU</w:t>
      </w:r>
      <w:r>
        <w:rPr>
          <w:rStyle w:val="FootnoteReference"/>
          <w:noProof/>
        </w:rPr>
        <w:footnoteReference w:id="2"/>
      </w:r>
      <w:r>
        <w:rPr>
          <w:noProof/>
        </w:rPr>
        <w:t>, jolla Moldovan tasavallalle myönnettiin makrotaloudellista rahoitusapua 90 miljoonaa euroa avustuksina. Rahoitusapu maksettiin kokonaisuudessaan vuosina 2010–2012.</w:t>
      </w:r>
    </w:p>
    <w:p w:rsidR="00D71B15" w:rsidRDefault="005012C0">
      <w:pPr>
        <w:pStyle w:val="ManualHeading2"/>
        <w:rPr>
          <w:rFonts w:eastAsia="Arial Unicode MS"/>
          <w:noProof/>
        </w:rPr>
      </w:pPr>
      <w:r>
        <w:rPr>
          <w:noProof/>
          <w:color w:val="000000"/>
          <w:u w:color="000000"/>
          <w:bdr w:val="nil"/>
        </w:rPr>
        <w:t>•</w:t>
      </w:r>
      <w:r>
        <w:rPr>
          <w:noProof/>
        </w:rPr>
        <w:tab/>
        <w:t>Yhdenmukaisuus unionin muiden politiikkojen ja tavoitteiden kanssa</w:t>
      </w:r>
    </w:p>
    <w:p w:rsidR="00D71B15" w:rsidRDefault="005012C0">
      <w:pPr>
        <w:rPr>
          <w:noProof/>
        </w:rPr>
      </w:pPr>
      <w:r>
        <w:rPr>
          <w:noProof/>
        </w:rPr>
        <w:t>Euroopan unionilla j</w:t>
      </w:r>
      <w:r>
        <w:rPr>
          <w:noProof/>
        </w:rPr>
        <w:t>a Moldovan tasavallalla on vuosien mittaan kehkeytyneet tiiviit poliittiset ja taloudelliset suhteet. Niiden pohjalta on tehty assosiaatiosopimus, johon sisältyy pitkälle menevä ja laaja-alainen vapaakauppa-alue. Sopimus allekirjoitettiin 27. kesäkuuta 201</w:t>
      </w:r>
      <w:r>
        <w:rPr>
          <w:noProof/>
        </w:rPr>
        <w:t>4, ja se tuli kokonaisuudessaan voimaan 1. heinäkuuta 2016. Assosiaatiosopimus korvasi aiemman kumppanuus- ja yhteistyösopimuksen, ja sillä edistetään Moldovan poliittista assosiaatiota ja taloudellista yhdentymistä EU:n kanssa. Vuonna 2014 hyväksyttiin my</w:t>
      </w:r>
      <w:r>
        <w:rPr>
          <w:noProof/>
        </w:rPr>
        <w:t>ös assosiaatio-ohjelma, jossa esitetään assosiaatiosopimuksen rakenteen pohjalta luettelo yhteistyön painopisteistä vuosina 2014–2016. Assosiaatio-ohjelmaa tarkistetaan parhaillaan, ja siitä on tarkoitus laatia vuosia 2017–2019 koskeva päivitetty versio. V</w:t>
      </w:r>
      <w:r>
        <w:rPr>
          <w:noProof/>
        </w:rPr>
        <w:t>uosia 2014–2017 koskevassa yhdistetyssä tukikehyksessä esitetään Euroopan naapuruusvälineen puitteissa tehtävän EU:n ja Moldovan välisen yhteistyön keskeiset painopisteet. Käynnissä on myös uuden, vuodet 2017–2020 kattavan yhdistetyn tukikehyksen laatimine</w:t>
      </w:r>
      <w:r>
        <w:rPr>
          <w:noProof/>
        </w:rPr>
        <w:t xml:space="preserve">n. </w:t>
      </w:r>
    </w:p>
    <w:p w:rsidR="00D71B15" w:rsidRDefault="005012C0">
      <w:pPr>
        <w:rPr>
          <w:noProof/>
        </w:rPr>
      </w:pPr>
      <w:r>
        <w:rPr>
          <w:noProof/>
        </w:rPr>
        <w:t>Moldovalla on lisäksi hyvin kehittyneet taloudelliset siteet EU:hun. EU oli vuonna 2015 Moldovan suurin kauppakumppani 53 prosentin osuudella, kun Venäjän osuus oli vain 13 prosenttia. Vuonna 2016 EU:n osuus on kasvanut edelleen 62 prosenttiin.</w:t>
      </w:r>
    </w:p>
    <w:p w:rsidR="00D71B15" w:rsidRDefault="005012C0">
      <w:pPr>
        <w:rPr>
          <w:noProof/>
        </w:rPr>
      </w:pPr>
      <w:r>
        <w:rPr>
          <w:noProof/>
        </w:rPr>
        <w:t>Euroopa</w:t>
      </w:r>
      <w:r>
        <w:rPr>
          <w:noProof/>
        </w:rPr>
        <w:t>n naapuruuspolitiikan soveltamisalaan kuuluvat maat voivat saada EU:lta makrotaloudellista rahoitusapua. Unionin makrotaloudellinen rahoitusapu täydentäisi Euroopan naapuruusvälineen ja muiden EU:n ohjelmien puitteissa myönnettyjä avustuksia ja varsinkin e</w:t>
      </w:r>
      <w:r>
        <w:rPr>
          <w:noProof/>
        </w:rPr>
        <w:t>htoja, jotka sisältyvät EU:n parhaillaan täytäntöönpanemiin budjettitukipaketteihin. Unionin makrotaloudellinen rahoitusapu tukee Moldovan viranomaisia niiden luodessa asianmukaista kehystä makrotalouspolitiikan uudistamista ja rakenneuudistuksia varten. T</w:t>
      </w:r>
      <w:r>
        <w:rPr>
          <w:noProof/>
        </w:rPr>
        <w:t>ämä puolestaan lisäisi EU:n rahoitustoiminnan, myös muita rahoitusvälineitä käyttäen toteutettujen toimien, lisäarvoa ja tuloksellisuutta.</w:t>
      </w:r>
    </w:p>
    <w:p w:rsidR="00D71B15" w:rsidRDefault="005012C0">
      <w:pPr>
        <w:rPr>
          <w:noProof/>
        </w:rPr>
      </w:pPr>
      <w:r>
        <w:rPr>
          <w:noProof/>
        </w:rPr>
        <w:t>Moldovan ihmisoikeuskehitykseen sekä hallintotapaan ja oikeusvaltioperiaatteen kunnioittamiseen liittyy edelleen onge</w:t>
      </w:r>
      <w:r>
        <w:rPr>
          <w:noProof/>
        </w:rPr>
        <w:t>lmia. Maan viranomaiset ovat kuitenkin selvästi sitoutuneet jälleen ratkaisemaan valtionhallintoon liittyvät ongelmat ja edistämään tarvittavia poliittisia uudistuksia. Keskeisten uudistusten toteuttaminen on ehdoton edellytys makrotaloudellisen rahoitusav</w:t>
      </w:r>
      <w:r>
        <w:rPr>
          <w:noProof/>
        </w:rPr>
        <w:t>un onnistuneelle toteutukselle, ja uudistusten etenemistä seurataan tarkasti.</w:t>
      </w:r>
    </w:p>
    <w:p w:rsidR="00D71B15" w:rsidRDefault="005012C0">
      <w:pPr>
        <w:rPr>
          <w:noProof/>
        </w:rPr>
      </w:pPr>
      <w:r>
        <w:rPr>
          <w:noProof/>
        </w:rPr>
        <w:t>Moldovan katsotaan täyttävän poliittiset ennakkoehdot, jotka on asetettu makrotaloudellisen rahoitusavun myöntämiselle kolmansille maille. Erityisesti sen katsotaan kunnioittavan</w:t>
      </w:r>
      <w:r>
        <w:rPr>
          <w:noProof/>
        </w:rPr>
        <w:t xml:space="preserve"> demokratiaa, ihmisoikeuksia ja oikeusvaltioperiaatetta, ja se on maa, jonka kanssa EU:lla on läheiset poliittiset ja taloudelliset suhteet. Yksityiskohtainen arviointi, jonka Euroopan ulkosuhdehallinto on laatinut makrotaloudelliseen rahoitusapuun liittyv</w:t>
      </w:r>
      <w:r>
        <w:rPr>
          <w:noProof/>
        </w:rPr>
        <w:t xml:space="preserve">ien poliittisten kriteerien täyttämisestä, on liitetty komission yksiköiden valmisteluasiakirjaan, joka annetaan tämän ehdotuksen yhteydessä. </w:t>
      </w:r>
    </w:p>
    <w:p w:rsidR="00D71B15" w:rsidRDefault="005012C0">
      <w:pPr>
        <w:pStyle w:val="ManualHeading1"/>
        <w:rPr>
          <w:noProof/>
        </w:rPr>
      </w:pPr>
      <w:r>
        <w:t>2.</w:t>
      </w:r>
      <w:r>
        <w:tab/>
      </w:r>
      <w:r>
        <w:rPr>
          <w:noProof/>
        </w:rPr>
        <w:tab/>
        <w:t>OIKEUSPERUSTA, TOISSIJAISUUSPERIAATE JA SUHTEELLISUUSPERIAATE</w:t>
      </w:r>
    </w:p>
    <w:p w:rsidR="00D71B15" w:rsidRDefault="005012C0">
      <w:pPr>
        <w:pStyle w:val="ManualHeading2"/>
        <w:rPr>
          <w:noProof/>
        </w:rPr>
      </w:pPr>
      <w:r>
        <w:rPr>
          <w:noProof/>
        </w:rPr>
        <w:t>•</w:t>
      </w:r>
      <w:r>
        <w:rPr>
          <w:noProof/>
        </w:rPr>
        <w:tab/>
        <w:t>Ehdotetun toimen lyhyt kuvaus</w:t>
      </w:r>
    </w:p>
    <w:p w:rsidR="00D71B15" w:rsidRDefault="005012C0">
      <w:pPr>
        <w:rPr>
          <w:noProof/>
        </w:rPr>
      </w:pPr>
      <w:r>
        <w:rPr>
          <w:noProof/>
        </w:rPr>
        <w:t>Ehdotettu makro</w:t>
      </w:r>
      <w:r>
        <w:rPr>
          <w:noProof/>
        </w:rPr>
        <w:t>taloudellinen rahoitusapu olisi enintään 100 miljoonaa euroa. Komissio ehdottaa, että tästä määrästä enintään 60 miljoonaa euroa myönnetään keskipitkän aikavälin lainana ja enintään 40 miljoonaa euroa avustuksina. Rahoitusavulla katetaan osa Moldovan jälje</w:t>
      </w:r>
      <w:r>
        <w:rPr>
          <w:noProof/>
        </w:rPr>
        <w:t xml:space="preserve">llä olevista ulkoisen rahoituksen tarpeista vuosina 2016–2018. Komissio on määritellyt rahoitustarpeet IMF:n arvioiden perusteella. </w:t>
      </w:r>
    </w:p>
    <w:p w:rsidR="00D71B15" w:rsidRDefault="005012C0">
      <w:pPr>
        <w:rPr>
          <w:noProof/>
        </w:rPr>
      </w:pPr>
      <w:r>
        <w:rPr>
          <w:noProof/>
        </w:rPr>
        <w:t>Ehdotetun järjestelyn koko huomioon ottaen komissio harkitsee rahoitusavun maksamista kolmessa erässä. Ensimmäiset kaksi er</w:t>
      </w:r>
      <w:r>
        <w:rPr>
          <w:noProof/>
        </w:rPr>
        <w:t>ää, jotka koostuisivat 10 miljoonan euron avustusosuudesta ja 20 miljoonan euron lainaosuudesta, maksettaisiin vuonna 2017. Kolmas erä, joka käsittäisi 20 miljoonan euron avustusosuuden ja samansuuruisen lainaosuuden, maksettaisiin vuoden 2018 alkupuolisko</w:t>
      </w:r>
      <w:r>
        <w:rPr>
          <w:noProof/>
        </w:rPr>
        <w:t xml:space="preserve">lla. Rahoitusapua hallinnoi komissio, ja siihen sovelletaan EU:n varainhoitoasetuksen mukaisia petosten ja muiden sääntöjenvastaisuuksien torjuntaa koskevia erityissäännöksiä. </w:t>
      </w:r>
    </w:p>
    <w:p w:rsidR="00D71B15" w:rsidRDefault="005012C0">
      <w:pPr>
        <w:rPr>
          <w:noProof/>
        </w:rPr>
      </w:pPr>
      <w:r>
        <w:rPr>
          <w:noProof/>
        </w:rPr>
        <w:t xml:space="preserve">Makrotaloudellista rahoitusapua koskevien maksujen suorittamiselle on asetettu </w:t>
      </w:r>
      <w:r>
        <w:rPr>
          <w:noProof/>
        </w:rPr>
        <w:t>tiukat ehdot: ensimmäisestä maksuerästä lähtien edellytetään, että Moldova etenee hyvin IMF:n ohjelman täytäntöönpanossa ja että järjestelyyn liittyvässä EU:n kanssa tehdyssä yhteisymmärryspöytäkirjassa sovittuja erityisiä toimintapoliittisia ehtoja noudat</w:t>
      </w:r>
      <w:r>
        <w:rPr>
          <w:noProof/>
        </w:rPr>
        <w:t>etaan. Näillä toimintapoliittisilla ehdoilla on määrä puuttua joihinkin perustavaa laatua oleviin heikkouksiin, joita Moldovan taloudessa ja talouden ohjaus- ja hallintajärjestelmässä on vuosien kuluessa esiintynyt. Mahdollisia aloja, joilla ehtoja voidaan</w:t>
      </w:r>
      <w:r>
        <w:rPr>
          <w:noProof/>
        </w:rPr>
        <w:t xml:space="preserve"> asettaa, voisivat olla uudistukset finanssisektorin ohjaus- ja hallintajärjestelmän lujittamiseksi, julkinen varainhoito, energia-alan uudistaminen, toimet sosiaalisen turvaverkon lujittamiseksi, investointiympäristön kohentaminen sekä pitkälle menevän ja</w:t>
      </w:r>
      <w:r>
        <w:rPr>
          <w:noProof/>
        </w:rPr>
        <w:t xml:space="preserve"> laaja-alaisen vapaakauppasopimuksen täytäntöönpano. </w:t>
      </w:r>
    </w:p>
    <w:p w:rsidR="00D71B15" w:rsidRDefault="005012C0">
      <w:pPr>
        <w:rPr>
          <w:rFonts w:cs="Arial"/>
          <w:iCs/>
          <w:noProof/>
        </w:rPr>
      </w:pPr>
      <w:r>
        <w:rPr>
          <w:noProof/>
        </w:rPr>
        <w:t>Päätös maksaa ehdotettu makrotaloudellinen rahoitusapu avustuksina ja lainoina perustuu Moldovan kehitystasoon (mitattuna henkeä kohti lasketuilla tuloilla) ja velkaindikaattoreihin. Se on myös yhdenmuk</w:t>
      </w:r>
      <w:r>
        <w:rPr>
          <w:noProof/>
        </w:rPr>
        <w:t>ainen IMF:n ja Maailmanpankin Moldovalle myöntämän kohtelun kanssa. Moldova täyttää edellytykset saada edullisin ehdoin myönnettävää rahoitusta IMF:n köyhyydenvähentämis- ja talouskasvurahastosta ja Maailmanpankkiryhmään kuuluvalta Kansainväliseltä kehitys</w:t>
      </w:r>
      <w:r>
        <w:rPr>
          <w:noProof/>
        </w:rPr>
        <w:t xml:space="preserve">järjestöltä. </w:t>
      </w:r>
    </w:p>
    <w:p w:rsidR="00D71B15" w:rsidRDefault="005012C0">
      <w:pPr>
        <w:pStyle w:val="ManualHeading2"/>
        <w:rPr>
          <w:noProof/>
          <w:u w:color="000000"/>
          <w:bdr w:val="nil"/>
        </w:rPr>
      </w:pPr>
      <w:r>
        <w:rPr>
          <w:noProof/>
        </w:rPr>
        <w:t>•</w:t>
      </w:r>
      <w:r>
        <w:rPr>
          <w:noProof/>
        </w:rPr>
        <w:tab/>
        <w:t>Oikeusperusta</w:t>
      </w:r>
    </w:p>
    <w:p w:rsidR="00D71B15" w:rsidRDefault="005012C0">
      <w:pPr>
        <w:rPr>
          <w:noProof/>
        </w:rPr>
      </w:pPr>
      <w:r>
        <w:rPr>
          <w:noProof/>
        </w:rPr>
        <w:t xml:space="preserve">Tämän ehdotuksen oikeusperusta on SEUT-sopimuksen 212 artikla. </w:t>
      </w:r>
    </w:p>
    <w:p w:rsidR="00D71B15" w:rsidRDefault="005012C0">
      <w:pPr>
        <w:pStyle w:val="ManualHeading2"/>
        <w:rPr>
          <w:noProof/>
          <w:u w:color="000000"/>
          <w:bdr w:val="nil"/>
        </w:rPr>
      </w:pPr>
      <w:r>
        <w:rPr>
          <w:noProof/>
        </w:rPr>
        <w:t>•</w:t>
      </w:r>
      <w:r>
        <w:rPr>
          <w:noProof/>
        </w:rPr>
        <w:tab/>
        <w:t xml:space="preserve">Toissijaisuusperiaate (jaetun toimivallan osalta) </w:t>
      </w:r>
    </w:p>
    <w:p w:rsidR="00D71B15" w:rsidRDefault="005012C0">
      <w:pPr>
        <w:rPr>
          <w:noProof/>
        </w:rPr>
      </w:pPr>
      <w:r>
        <w:rPr>
          <w:noProof/>
        </w:rPr>
        <w:t>Ehdotus on toissijaisuusperiaatteen mukainen, koska jäsenvaltiot eivät voi yksin riittävällä tavalla saavutta</w:t>
      </w:r>
      <w:r>
        <w:rPr>
          <w:noProof/>
        </w:rPr>
        <w:t xml:space="preserve">a ehdotuksen tavoitteita, jotka liittyvät Moldovan tasavallan makrotalouden lyhyen aikavälin vakauden palauttamiseen, vaan ne voidaan saavuttaa paremmin Euroopan unionin tasolla. Pääasiallisia syitä tähän ovat kansallisen tason budjettirajoitteet ja tarve </w:t>
      </w:r>
      <w:r>
        <w:rPr>
          <w:noProof/>
        </w:rPr>
        <w:t xml:space="preserve">avunantajien vahvaan koordinointiin rahoitusavun ja sen vaikutusten maksimoimiseksi. </w:t>
      </w:r>
    </w:p>
    <w:p w:rsidR="00D71B15" w:rsidRDefault="005012C0">
      <w:pPr>
        <w:pStyle w:val="ManualHeading2"/>
        <w:rPr>
          <w:noProof/>
          <w:u w:color="000000"/>
          <w:bdr w:val="nil"/>
        </w:rPr>
      </w:pPr>
      <w:r>
        <w:rPr>
          <w:noProof/>
        </w:rPr>
        <w:t>•</w:t>
      </w:r>
      <w:r>
        <w:rPr>
          <w:noProof/>
        </w:rPr>
        <w:tab/>
        <w:t>Suhteellisuusperiaate</w:t>
      </w:r>
    </w:p>
    <w:p w:rsidR="00D71B15" w:rsidRDefault="005012C0">
      <w:pPr>
        <w:rPr>
          <w:noProof/>
        </w:rPr>
      </w:pPr>
      <w:r>
        <w:rPr>
          <w:noProof/>
        </w:rPr>
        <w:t>Ehdotus on suhteellisuusperiaatteen mukainen, koska siinä ei ylitetä sitä, mikä on tarpeen makrotalouden lyhyen aikavälin vakauteen liittyvien tav</w:t>
      </w:r>
      <w:r>
        <w:rPr>
          <w:noProof/>
        </w:rPr>
        <w:t xml:space="preserve">oitteiden saavuttamiseksi. </w:t>
      </w:r>
    </w:p>
    <w:p w:rsidR="00D71B15" w:rsidRDefault="005012C0">
      <w:pPr>
        <w:rPr>
          <w:noProof/>
        </w:rPr>
      </w:pPr>
      <w:r>
        <w:rPr>
          <w:noProof/>
        </w:rPr>
        <w:t>Kuten komissio on todennut IMF:n laatimien, laajennettuun rahoitusjärjestelyyn liittyvien arvioiden perusteella, ehdotetun uuden makrotaloudellisen rahoitusavun määrä kattaa 24,9 prosenttia arvioidusta vuosien 2016–2018 jäljellä</w:t>
      </w:r>
      <w:r>
        <w:rPr>
          <w:noProof/>
        </w:rPr>
        <w:t xml:space="preserve"> olevasta rahoitusvajeesta. Tämä on makrotaloudellisen rahoitusavun taakanjakoa koskevien vakiokäytäntöjen mukaista, kun otetaan huomioon, että myös muut kahden- ja monenväliset rahoittajat ovat luvanneet myöntää Moldovalle tukea.   </w:t>
      </w:r>
    </w:p>
    <w:p w:rsidR="00D71B15" w:rsidRDefault="005012C0">
      <w:pPr>
        <w:pStyle w:val="ManualHeading2"/>
        <w:rPr>
          <w:noProof/>
          <w:u w:color="000000"/>
          <w:bdr w:val="nil"/>
        </w:rPr>
      </w:pPr>
      <w:r>
        <w:rPr>
          <w:noProof/>
        </w:rPr>
        <w:t>•</w:t>
      </w:r>
      <w:r>
        <w:rPr>
          <w:noProof/>
        </w:rPr>
        <w:tab/>
        <w:t>Toimintatavan valint</w:t>
      </w:r>
      <w:r>
        <w:rPr>
          <w:noProof/>
        </w:rPr>
        <w:t>a</w:t>
      </w:r>
    </w:p>
    <w:p w:rsidR="00D71B15" w:rsidRDefault="005012C0">
      <w:pPr>
        <w:rPr>
          <w:noProof/>
        </w:rPr>
      </w:pPr>
      <w:r>
        <w:rPr>
          <w:noProof/>
        </w:rPr>
        <w:t>Hankerahoitus tai tekninen apu ei soveltuisi tai riittäisi makrotaloudellisten tavoitteiden saavuttamiseen. Tärkein lisäarvo, joka makrotaloudellisesta rahoitusavusta saadaan verrattuna muihin EU:n välineisiin, on se, että sillä helpotetaan ulkoisia raho</w:t>
      </w:r>
      <w:r>
        <w:rPr>
          <w:noProof/>
        </w:rPr>
        <w:t xml:space="preserve">itusvaikeuksia ja autetaan luomaan vakaa makrotalouskehys – muun muassa parantamalla maksutaseen ja julkisen talouden tilanteen kestävyyttä – ja asianmukainen kehys rakenneuudistuksille. Makrotaloudellisella rahoitusavulla helpotetaan tarkoituksenmukaisen </w:t>
      </w:r>
      <w:r>
        <w:rPr>
          <w:noProof/>
        </w:rPr>
        <w:t xml:space="preserve">yleisen toimintakehyksen käyttöönottoa, mikä voi tehostaa EU:n muista, kapea-alaisemmista rahoitusvälineistä Moldovassa rahoitettavia toimia. </w:t>
      </w:r>
    </w:p>
    <w:p w:rsidR="00D71B15" w:rsidRDefault="005012C0">
      <w:pPr>
        <w:pStyle w:val="ManualHeading1"/>
        <w:rPr>
          <w:noProof/>
        </w:rPr>
      </w:pPr>
      <w:r>
        <w:rPr>
          <w:noProof/>
        </w:rPr>
        <w:t>3.</w:t>
      </w:r>
      <w:r>
        <w:rPr>
          <w:noProof/>
        </w:rPr>
        <w:tab/>
        <w:t>JÄLKIARVIOINTIEN, SIDOSRYHMIEN KUULEMISTEN JA VAIKUTUSTENARVIOINTIEN TULOKSET</w:t>
      </w:r>
    </w:p>
    <w:p w:rsidR="00D71B15" w:rsidRDefault="005012C0">
      <w:pPr>
        <w:pStyle w:val="ManualHeading2"/>
        <w:rPr>
          <w:noProof/>
        </w:rPr>
      </w:pPr>
      <w:r>
        <w:rPr>
          <w:noProof/>
        </w:rPr>
        <w:t>•</w:t>
      </w:r>
      <w:r>
        <w:rPr>
          <w:noProof/>
        </w:rPr>
        <w:tab/>
        <w:t>Intressitahojen kuuleminen</w:t>
      </w:r>
    </w:p>
    <w:p w:rsidR="00D71B15" w:rsidRDefault="005012C0">
      <w:pPr>
        <w:rPr>
          <w:noProof/>
        </w:rPr>
      </w:pPr>
      <w:r>
        <w:rPr>
          <w:noProof/>
        </w:rPr>
        <w:t>Makrotaloudellinen rahoitusapu on erottamaton osa Moldovan tasavallan talouden vakauttamiseen annettavaa kansainvälistä tukea. Makrotaloudellista rahoitusapua koskevaa ehdotusta laatiessaan komission yksiköt ovat kuulleet IMF:ää ja Maailmanpankkia, jotka o</w:t>
      </w:r>
      <w:r>
        <w:rPr>
          <w:noProof/>
        </w:rPr>
        <w:t>vat jo käynnistäneet mittavia rahoitusohjelmia ja valmistelevat parhaillaan uusia. Komissio kuuli 20. syyskuuta 2016 talous- ja rahoituskomiteaa, joka antoi ehdotusluonnokselle hyväksyntänsä. Komissio on ollut säännöllisesti yhteydessä myös Moldovan virano</w:t>
      </w:r>
      <w:r>
        <w:rPr>
          <w:noProof/>
        </w:rPr>
        <w:t>maisiin.</w:t>
      </w:r>
    </w:p>
    <w:p w:rsidR="00D71B15" w:rsidRDefault="005012C0">
      <w:pPr>
        <w:pStyle w:val="ManualHeading2"/>
        <w:rPr>
          <w:noProof/>
        </w:rPr>
      </w:pPr>
      <w:r>
        <w:rPr>
          <w:noProof/>
        </w:rPr>
        <w:t>•</w:t>
      </w:r>
      <w:r>
        <w:rPr>
          <w:noProof/>
        </w:rPr>
        <w:tab/>
        <w:t>Asiantuntijatiedon keruu ja käyttö</w:t>
      </w:r>
    </w:p>
    <w:p w:rsidR="00D71B15" w:rsidRDefault="005012C0">
      <w:pPr>
        <w:rPr>
          <w:noProof/>
        </w:rPr>
      </w:pPr>
      <w:r>
        <w:rPr>
          <w:noProof/>
        </w:rPr>
        <w:t>Varainhoitoasetuksen mukaisesti komission yksiköt ovat tehneet toiminnan arvioinnin selvittääkseen, tarjoavatko ohjelmaan sisältyvän tuen, mukaan lukien makrotaloudellisen rahoitusavun, hallinnoinnin kannalta m</w:t>
      </w:r>
      <w:r>
        <w:rPr>
          <w:noProof/>
        </w:rPr>
        <w:t xml:space="preserve">erkitykselliset Moldovan hallintomenettelyt ja rahoitusketjut riittävät takeet. Konsulttiyrityksen laatima loppukertomus toiminnan arvioinnista luovutettiin komission yksiköille helmikuussa 2016. Kertomuksessa todetaan, että Moldovan hallintomenettelyt ja </w:t>
      </w:r>
      <w:r>
        <w:rPr>
          <w:noProof/>
        </w:rPr>
        <w:t>rahoitusketjut ovat tällä hetkellä pitkälti asianmukaisia uuden makrotaloudellisen rahoitusapuoperaation hallinnoimiseksi, vaikkakin merkittäviä heikkouksia on edelleen olemassa. Kehitystä seurataan jatkossa tiiviisti myös Chişinăussa sijaitsevan EU:n edus</w:t>
      </w:r>
      <w:r>
        <w:rPr>
          <w:noProof/>
        </w:rPr>
        <w:t xml:space="preserve">tuston säännöllisesti antamissa julkisen varainhoidon uudistamista koskevissa edistymiskertomuksissa. </w:t>
      </w:r>
    </w:p>
    <w:p w:rsidR="00D71B15" w:rsidRDefault="005012C0">
      <w:pPr>
        <w:pStyle w:val="ManualHeading2"/>
        <w:rPr>
          <w:noProof/>
        </w:rPr>
      </w:pPr>
      <w:r>
        <w:rPr>
          <w:noProof/>
        </w:rPr>
        <w:t>•</w:t>
      </w:r>
      <w:r>
        <w:rPr>
          <w:noProof/>
        </w:rPr>
        <w:tab/>
        <w:t>Vaikutustenarviointi</w:t>
      </w:r>
    </w:p>
    <w:p w:rsidR="00D71B15" w:rsidRDefault="005012C0">
      <w:pPr>
        <w:rPr>
          <w:noProof/>
        </w:rPr>
      </w:pPr>
      <w:r>
        <w:rPr>
          <w:noProof/>
        </w:rPr>
        <w:t>Unionin makrotaloudellinen rahoitusapu on poikkeuksellinen hätäavun väline, jolla pyritään ratkomaan vakavia maksutasevaikeuksia k</w:t>
      </w:r>
      <w:r>
        <w:rPr>
          <w:noProof/>
        </w:rPr>
        <w:t>olmansissa maissa. Komission paremman sääntelyn suuntaviivojen (SWD(2015) 111 final) mukaisesti tästä makrotaloudellista rahoitusapua koskevasta ehdotuksesta ei tarvitse tehdä vaikutustenarviointia, sillä tämänkaltaisessa hätätilanteessa on poliittisesti v</w:t>
      </w:r>
      <w:r>
        <w:rPr>
          <w:noProof/>
        </w:rPr>
        <w:t>älttämätöntä toimia nopeasti.</w:t>
      </w:r>
      <w:r>
        <w:rPr>
          <w:rFonts w:ascii="TimesNewRoman" w:hAnsi="TimesNewRoman"/>
          <w:noProof/>
        </w:rPr>
        <w:t xml:space="preserve"> </w:t>
      </w:r>
    </w:p>
    <w:p w:rsidR="00D71B15" w:rsidRDefault="005012C0">
      <w:pPr>
        <w:rPr>
          <w:noProof/>
        </w:rPr>
      </w:pPr>
      <w:r>
        <w:rPr>
          <w:noProof/>
        </w:rPr>
        <w:t>Yleisesti ottaen makrotaloudellista rahoitusapua koskevat komission ehdotukset perustuvat EU:n naapurialueilla aiemmin toteutettujen toimien jälkiarvioinneista saatuihin kokemuksiin. Uudella makrotaloudellisella rahoitusavull</w:t>
      </w:r>
      <w:r>
        <w:rPr>
          <w:noProof/>
        </w:rPr>
        <w:t>a ja siihen liitetyllä talouden sopeutus- ja uudistusohjelmalla helpotetaan Moldovan lyhyen aikavälin rahoitustarpeita ja tuetaan politiikkatoimia, joilla pyritään vahvistamaan keskipitkän aikavälin maksutasetta ja julkisen talouden kestävyyttä sekä vauhdi</w:t>
      </w:r>
      <w:r>
        <w:rPr>
          <w:noProof/>
        </w:rPr>
        <w:t>ttamaan kestävää kasvua IMF:n kanssa sovittavaa ohjelmaa täydentäen. Näillä toimintapoliittisilla ehdoilla on määrä puuttua joihinkin perustavaa laatua oleviin heikkouksiin, joita Moldovan taloudessa ja talouden ohjaus- ja hallintajärjestelmässä on vuosien</w:t>
      </w:r>
      <w:r>
        <w:rPr>
          <w:noProof/>
        </w:rPr>
        <w:t xml:space="preserve"> kuluessa esiintynyt. Mahdollisia aloja, joilla ehtoja voidaan periaatteessa asettaa, voisivat olla uudistukset finanssisektorin ohjaus- ja hallintajärjestelmän lujittamiseksi, julkinen varainhoito, energia-alan uudistaminen, toimet sosiaalisen turvaverkon</w:t>
      </w:r>
      <w:r>
        <w:rPr>
          <w:noProof/>
        </w:rPr>
        <w:t xml:space="preserve"> lujittamiseksi, investointiympäristön kohentaminen sekä pitkälle menevän ja laaja-alaisen vapaakauppasopimuksen täytäntöönpano.</w:t>
      </w:r>
    </w:p>
    <w:p w:rsidR="00D71B15" w:rsidRDefault="005012C0">
      <w:pPr>
        <w:pStyle w:val="ManualHeading1"/>
        <w:rPr>
          <w:noProof/>
        </w:rPr>
      </w:pPr>
      <w:r>
        <w:rPr>
          <w:noProof/>
        </w:rPr>
        <w:t>4.</w:t>
      </w:r>
      <w:r>
        <w:rPr>
          <w:noProof/>
        </w:rPr>
        <w:tab/>
        <w:t>TALOUSARVIOVAIKUTUKSET</w:t>
      </w:r>
    </w:p>
    <w:p w:rsidR="00D71B15" w:rsidRDefault="005012C0">
      <w:pPr>
        <w:rPr>
          <w:noProof/>
          <w:position w:val="3"/>
          <w:u w:color="000000"/>
        </w:rPr>
      </w:pPr>
      <w:r>
        <w:rPr>
          <w:noProof/>
        </w:rPr>
        <w:t>Suunniteltu rahoitusapu on tarkoitus antaa lainana ja avustuksena. Laina rahoitetaan lainanotolla, jo</w:t>
      </w:r>
      <w:r>
        <w:rPr>
          <w:noProof/>
        </w:rPr>
        <w:t>sta vastaa komissio EU:n lukuun. Lainana myönnettävän rahoitusavun talousarviovaikutukset vastaavat määrää, joka maksetaan EU:n ulkosuhteisiin liittyvien hankkeiden takuurahastoon budjettikohdasta 01 03 06 (Takuurahaston rahoittaminen) ja joka on 9 prosent</w:t>
      </w:r>
      <w:r>
        <w:rPr>
          <w:noProof/>
        </w:rPr>
        <w:t>tia nostettujen lainojen määrästä. Olettaen, että ensimmäiset kaksi lainaerää (kumpikin 20 miljoonaa euroa) maksetaan vuonna 2017 ja kolmas lainaerä (20 miljoonaa euroa) vuonna 2018, takuurahastoon suoritettavat maksut toteutuvat takuurahastomekanismin hal</w:t>
      </w:r>
      <w:r>
        <w:rPr>
          <w:noProof/>
        </w:rPr>
        <w:t>linnointisääntöjen mukaisesti vuosien 2019 ja 2020 talousarvioissa. Vuoden 2019 osalta maksujen määrä on 3,6 miljoonaa euroa ja vuoden 2020 osalta 1,8 miljoonaa euroa.</w:t>
      </w:r>
      <w:r>
        <w:rPr>
          <w:rStyle w:val="FootnoteReference"/>
          <w:noProof/>
        </w:rPr>
        <w:footnoteReference w:id="3"/>
      </w:r>
      <w:r>
        <w:rPr>
          <w:noProof/>
        </w:rPr>
        <w:t xml:space="preserve"> Rahoitusavun avustusosuus (10 miljoonaa euroa kahden ensimmäisen erän osalta ja 20 milj</w:t>
      </w:r>
      <w:r>
        <w:rPr>
          <w:noProof/>
        </w:rPr>
        <w:t>oonaa euroa kolmannen erän osalta) rahoitetaan vuosien 2017 ja 2018 talousarvioiden budjettikohtaan 01 03 02 (Makrotaloudellinen rahoitusapu) otetuista maksusitoumusmäärärahoista, ja maksut suoritetaan vuosina 2017 ja 2018. Budjettikohtien 01 03 02 ja 01 0</w:t>
      </w:r>
      <w:r>
        <w:rPr>
          <w:noProof/>
        </w:rPr>
        <w:t>3 06 käyttöä koskevien tämänhetkisten ennusteiden perusteella komissio arvioi, että toimen talousarviovaikutukset pystytään kattamaan.</w:t>
      </w:r>
    </w:p>
    <w:p w:rsidR="00D71B15" w:rsidRDefault="005012C0">
      <w:pPr>
        <w:pStyle w:val="ManualHeading1"/>
        <w:rPr>
          <w:noProof/>
        </w:rPr>
      </w:pPr>
      <w:r>
        <w:rPr>
          <w:noProof/>
        </w:rPr>
        <w:t>5.</w:t>
      </w:r>
      <w:r>
        <w:rPr>
          <w:noProof/>
        </w:rPr>
        <w:tab/>
        <w:t>LISÄTIEDOT</w:t>
      </w:r>
    </w:p>
    <w:p w:rsidR="00D71B15" w:rsidRDefault="005012C0">
      <w:pPr>
        <w:pStyle w:val="ManualHeading2"/>
        <w:rPr>
          <w:noProof/>
        </w:rPr>
      </w:pPr>
      <w:r>
        <w:rPr>
          <w:noProof/>
        </w:rPr>
        <w:t>•</w:t>
      </w:r>
      <w:r>
        <w:rPr>
          <w:noProof/>
        </w:rPr>
        <w:tab/>
        <w:t>Uudelleentarkastelu-, tarkistus- tai raukeamislauseke</w:t>
      </w:r>
    </w:p>
    <w:p w:rsidR="00D71B15" w:rsidRDefault="005012C0">
      <w:pPr>
        <w:rPr>
          <w:noProof/>
        </w:rPr>
      </w:pPr>
      <w:r>
        <w:rPr>
          <w:noProof/>
        </w:rPr>
        <w:t>Ehdotus sisältää raukeamislausekkeen. Ehdotettu mak</w:t>
      </w:r>
      <w:r>
        <w:rPr>
          <w:noProof/>
        </w:rPr>
        <w:t>rotaloudellinen rahoitusapu on saatavilla kahden ja puolen vuoden ajan ensimmäisestä yhteisymmärryspöytäkirjan voimaantulon jälkeisestä päivästä lukien.</w:t>
      </w:r>
    </w:p>
    <w:p w:rsidR="00D71B15" w:rsidRDefault="00D71B15">
      <w:pPr>
        <w:pStyle w:val="Sectionbreak"/>
        <w:sectPr w:rsidR="00D71B15">
          <w:footerReference w:type="default" r:id="rId16"/>
          <w:footerReference w:type="first" r:id="rId17"/>
          <w:pgSz w:w="11907" w:h="16839"/>
          <w:pgMar w:top="1134" w:right="1417" w:bottom="1134" w:left="1417" w:header="709" w:footer="709" w:gutter="0"/>
          <w:cols w:space="708"/>
          <w:docGrid w:linePitch="360"/>
        </w:sectPr>
      </w:pPr>
    </w:p>
    <w:p w:rsidR="00D71B15" w:rsidRDefault="005012C0">
      <w:pPr>
        <w:pStyle w:val="Rfrenceinterinstitutionnelle"/>
        <w:rPr>
          <w:noProof/>
        </w:rPr>
      </w:pPr>
      <w:r>
        <w:rPr>
          <w:noProof/>
        </w:rPr>
        <w:t>2</w:t>
      </w:r>
      <w:r>
        <w:rPr>
          <w:noProof/>
        </w:rPr>
        <w:t>017/0007 (COD)</w:t>
      </w:r>
    </w:p>
    <w:p w:rsidR="00D71B15" w:rsidRDefault="005012C0">
      <w:pPr>
        <w:pStyle w:val="Statut"/>
        <w:rPr>
          <w:noProof/>
        </w:rPr>
      </w:pPr>
      <w:r>
        <w:rPr>
          <w:noProof/>
        </w:rPr>
        <w:t>Ehdotus</w:t>
      </w:r>
    </w:p>
    <w:p w:rsidR="00D71B15" w:rsidRDefault="005012C0">
      <w:pPr>
        <w:pStyle w:val="Typedudocument"/>
        <w:rPr>
          <w:noProof/>
        </w:rPr>
      </w:pPr>
      <w:r>
        <w:rPr>
          <w:noProof/>
        </w:rPr>
        <w:t>EUROOPAN PARLAMENTIN JA NEUVOSTON PÄÄTÖS</w:t>
      </w:r>
    </w:p>
    <w:p w:rsidR="00D71B15" w:rsidRDefault="005012C0">
      <w:pPr>
        <w:pStyle w:val="Titreobjet"/>
        <w:rPr>
          <w:noProof/>
        </w:rPr>
      </w:pPr>
      <w:r>
        <w:rPr>
          <w:noProof/>
        </w:rPr>
        <w:t>makrotaloudellisen rahoitusavun myöntämisestä Moldovan tasavallalle</w:t>
      </w:r>
    </w:p>
    <w:p w:rsidR="00D71B15" w:rsidRDefault="005012C0">
      <w:pPr>
        <w:pStyle w:val="Institutionquiagit"/>
        <w:rPr>
          <w:noProof/>
        </w:rPr>
      </w:pPr>
      <w:r>
        <w:rPr>
          <w:noProof/>
        </w:rPr>
        <w:t>EUROOPAN PARLAMENTTI JA EUROOPAN UNIONIN NEUVOSTO, jotka</w:t>
      </w:r>
    </w:p>
    <w:p w:rsidR="00D71B15" w:rsidRDefault="005012C0">
      <w:pPr>
        <w:rPr>
          <w:noProof/>
        </w:rPr>
      </w:pPr>
      <w:r>
        <w:rPr>
          <w:noProof/>
        </w:rPr>
        <w:t xml:space="preserve">ottavat huomioon Euroopan unionin toiminnasta tehdyn sopimuksen ja </w:t>
      </w:r>
      <w:r>
        <w:rPr>
          <w:noProof/>
        </w:rPr>
        <w:t>erityisesti sen 212 artiklan,</w:t>
      </w:r>
    </w:p>
    <w:p w:rsidR="00D71B15" w:rsidRDefault="005012C0">
      <w:pPr>
        <w:rPr>
          <w:noProof/>
        </w:rPr>
      </w:pPr>
      <w:r>
        <w:rPr>
          <w:noProof/>
        </w:rPr>
        <w:t>ottavat huomioon Euroopan komission ehdotuksen</w:t>
      </w:r>
      <w:r>
        <w:rPr>
          <w:rStyle w:val="FootnoteReference"/>
          <w:noProof/>
        </w:rPr>
        <w:footnoteReference w:id="4"/>
      </w:r>
      <w:r>
        <w:rPr>
          <w:noProof/>
        </w:rPr>
        <w:t xml:space="preserve">, </w:t>
      </w:r>
    </w:p>
    <w:p w:rsidR="00D71B15" w:rsidRDefault="005012C0">
      <w:pPr>
        <w:rPr>
          <w:noProof/>
        </w:rPr>
      </w:pPr>
      <w:r>
        <w:rPr>
          <w:noProof/>
        </w:rPr>
        <w:t>sen jälkeen kun esitys lainsäätämisjärjestyksessä hyväksyttäväksi säädökseksi on toimitettu kansallisille parlamenteille,</w:t>
      </w:r>
    </w:p>
    <w:p w:rsidR="00D71B15" w:rsidRDefault="005012C0">
      <w:pPr>
        <w:rPr>
          <w:noProof/>
        </w:rPr>
      </w:pPr>
      <w:r>
        <w:rPr>
          <w:noProof/>
        </w:rPr>
        <w:t>noudattavat tavallista lainsäätämisjärjestystä</w:t>
      </w:r>
      <w:r>
        <w:rPr>
          <w:rStyle w:val="FootnoteReference"/>
          <w:noProof/>
        </w:rPr>
        <w:footnoteReference w:id="5"/>
      </w:r>
      <w:r>
        <w:rPr>
          <w:noProof/>
        </w:rPr>
        <w:t>,</w:t>
      </w:r>
    </w:p>
    <w:p w:rsidR="00D71B15" w:rsidRDefault="005012C0">
      <w:pPr>
        <w:rPr>
          <w:noProof/>
        </w:rPr>
      </w:pPr>
      <w:r>
        <w:rPr>
          <w:noProof/>
        </w:rPr>
        <w:t xml:space="preserve">sekä </w:t>
      </w:r>
      <w:r>
        <w:rPr>
          <w:noProof/>
        </w:rPr>
        <w:t>katsovat seuraavaa:</w:t>
      </w:r>
    </w:p>
    <w:p w:rsidR="00D71B15" w:rsidRDefault="005012C0">
      <w:pPr>
        <w:pStyle w:val="ManualConsidrant"/>
        <w:rPr>
          <w:noProof/>
        </w:rPr>
      </w:pPr>
      <w:proofErr w:type="gramStart"/>
      <w:r>
        <w:t>(1)</w:t>
      </w:r>
      <w:r>
        <w:tab/>
      </w:r>
      <w:r>
        <w:rPr>
          <w:noProof/>
        </w:rPr>
        <w:t>Euroopan unionin, jäljempänä ’unioni’, ja Moldovan tasavallan, jäljempänä ’Moldova’, suhteita kehitetään osana Euroopan naapuruuspolitiikkaa, jäljempänä myös ’ENP’</w:t>
      </w:r>
      <w:proofErr w:type="gramEnd"/>
      <w:r>
        <w:rPr>
          <w:noProof/>
        </w:rPr>
        <w:t>, ja itäistä kumppanuutta. Moldova liittyi unionin itäisen kumppanuud</w:t>
      </w:r>
      <w:r>
        <w:rPr>
          <w:noProof/>
        </w:rPr>
        <w:t>en ohjelmaan vuonna 2009, minkä jälkeen käynnistettiin neuvottelut EU:n ja Moldovan assosiaatiosopimuksesta. Tämä sopimus, jolla valmistellaan pitkälle menevän ja laaja-alaisen vapaakauppa-alueen asteittaista toteuttamista, allekirjoitettiin vuonna 2014, j</w:t>
      </w:r>
      <w:r>
        <w:rPr>
          <w:noProof/>
        </w:rPr>
        <w:t>a se tuli voimaan 1 päivänä heinäkuuta 2016.</w:t>
      </w:r>
    </w:p>
    <w:p w:rsidR="00D71B15" w:rsidRDefault="005012C0">
      <w:pPr>
        <w:pStyle w:val="ManualConsidrant"/>
        <w:rPr>
          <w:noProof/>
        </w:rPr>
      </w:pPr>
      <w:r>
        <w:t>(2)</w:t>
      </w:r>
      <w:r>
        <w:tab/>
      </w:r>
      <w:r>
        <w:rPr>
          <w:noProof/>
        </w:rPr>
        <w:t>Moldovan talous on kärsinyt huomattavasti poliittisesta epävakaudesta, joka maassa vallitsi marraskuussa 2014 ja tammikuussa 2016 järjestettyjen vaalien välisenä aikana, samoin kuin pankkisektorin petosskandaalista, talouden heikosta toimeliaisuudesta alue</w:t>
      </w:r>
      <w:r>
        <w:rPr>
          <w:noProof/>
        </w:rPr>
        <w:t xml:space="preserve">ella sekä Venäjän asettamista tuontikielloista. Tilanne oli osasyynä taantumaan kehittymiseen sekä pahensi kasvavaa kauppavajetta ja merkittävää valuuttavarannon supistumista viime vuonna. </w:t>
      </w:r>
    </w:p>
    <w:p w:rsidR="00D71B15" w:rsidRDefault="005012C0">
      <w:pPr>
        <w:pStyle w:val="ManualConsidrant"/>
        <w:rPr>
          <w:noProof/>
        </w:rPr>
      </w:pPr>
      <w:r>
        <w:t>(3)</w:t>
      </w:r>
      <w:r>
        <w:tab/>
      </w:r>
      <w:r>
        <w:rPr>
          <w:noProof/>
        </w:rPr>
        <w:t>Vuoden 2016 alussa maahan nimettiin uusi hallitus sekä keskusp</w:t>
      </w:r>
      <w:r>
        <w:rPr>
          <w:noProof/>
        </w:rPr>
        <w:t xml:space="preserve">ankille uusi pääjohtaja. Viranomaiset ovat muutenkin sitoutuneet aiempaa päättäväisemmin tarvittavien poliittisten uudistusten toteuttamiseen sekä hallinnon haasteiden ratkaisemiseen finanssisektorilla ja julkisen varainhoidon alalla. </w:t>
      </w:r>
    </w:p>
    <w:p w:rsidR="00D71B15" w:rsidRDefault="005012C0">
      <w:pPr>
        <w:pStyle w:val="ManualConsidrant"/>
        <w:rPr>
          <w:noProof/>
        </w:rPr>
      </w:pPr>
      <w:r>
        <w:t>(4)</w:t>
      </w:r>
      <w:r>
        <w:tab/>
      </w:r>
      <w:r>
        <w:rPr>
          <w:noProof/>
        </w:rPr>
        <w:t xml:space="preserve">Uudistusten tueksi EU ja Moldova sopivat ulkoasiainneuvoston 15 päivänä helmikuuta 2016 antamien päätelmien johdosta etenemissuunnitelmasta, jossa esitetään keskeiset uudistukset. Moldova on edistynyt huomattavasti etenemissuunnitelman täytäntöönpanossa.  </w:t>
      </w:r>
    </w:p>
    <w:p w:rsidR="00D71B15" w:rsidRDefault="005012C0">
      <w:pPr>
        <w:pStyle w:val="ManualConsidrant"/>
        <w:rPr>
          <w:noProof/>
        </w:rPr>
      </w:pPr>
      <w:proofErr w:type="gramStart"/>
      <w:r>
        <w:t>(5)</w:t>
      </w:r>
      <w:r>
        <w:tab/>
      </w:r>
      <w:r>
        <w:rPr>
          <w:noProof/>
        </w:rPr>
        <w:t>Poliittisessa siirtymäprosessissa ja vaikeissa taloudellisissa oloissa Moldovan viranomaiset ja Kansainvälinen valuuttarahasto, jäljempänä ’IMF’</w:t>
      </w:r>
      <w:proofErr w:type="gramEnd"/>
      <w:r>
        <w:rPr>
          <w:noProof/>
        </w:rPr>
        <w:t xml:space="preserve">, sopivat heinäkuussa 2016 178,7 miljoonan Yhdysvaltain dollarin suuruisesta kolmivuotisesta laajennetusta </w:t>
      </w:r>
      <w:r>
        <w:rPr>
          <w:noProof/>
        </w:rPr>
        <w:t>luotto- ja rahoitusjärjestelystä. IMF:n johtokunta hyväksyi järjestelyn 7 päivänä marraskuuta 2016. IMF:n ohjelman mukaisesti Moldovan viranomaisten on aikaansaatava nopeita parannuksia finanssisektorin ohjaus- ja hallintajärjestelmässä, lujitettava makrot</w:t>
      </w:r>
      <w:r>
        <w:rPr>
          <w:noProof/>
        </w:rPr>
        <w:t>alouden ja rahoitusvakauden turvaavia politiikkoja sekä edistettävä kestävää ja osallistavaa kasvua.</w:t>
      </w:r>
    </w:p>
    <w:p w:rsidR="00D71B15" w:rsidRDefault="005012C0">
      <w:pPr>
        <w:pStyle w:val="ManualConsidrant"/>
        <w:rPr>
          <w:noProof/>
        </w:rPr>
      </w:pPr>
      <w:r>
        <w:t>(6)</w:t>
      </w:r>
      <w:r>
        <w:tab/>
      </w:r>
      <w:r>
        <w:rPr>
          <w:noProof/>
        </w:rPr>
        <w:t>Taloustilanteen ja -näkymien heikentyessä Moldova pyysi unionilta lisää makrotaloudellista rahoitusapua elokuussa 2015 ja toisti pyyntönsä maaliskuussa</w:t>
      </w:r>
      <w:r>
        <w:rPr>
          <w:noProof/>
        </w:rPr>
        <w:t xml:space="preserve"> 2016. </w:t>
      </w:r>
    </w:p>
    <w:p w:rsidR="00D71B15" w:rsidRDefault="005012C0">
      <w:pPr>
        <w:pStyle w:val="ManualConsidrant"/>
        <w:rPr>
          <w:noProof/>
        </w:rPr>
      </w:pPr>
      <w:r>
        <w:t>(7)</w:t>
      </w:r>
      <w:r>
        <w:tab/>
      </w:r>
      <w:r>
        <w:rPr>
          <w:noProof/>
        </w:rPr>
        <w:t xml:space="preserve">Moldovan alustava osuus Euroopan naapuruusvälineen (ENI) määrärahoista on 610–746 miljoonaa euroa, johon sisältyy myös budjettituki ja tekninen apu. Unionin budjettituen maksaminen kuitenkin keskeytettiin vuoden 2015 alussa, ja tuen jatkamisen </w:t>
      </w:r>
      <w:r>
        <w:rPr>
          <w:noProof/>
        </w:rPr>
        <w:t>ehdoksi asetettiin IMF:n uuden ohjelman hyväksyminen sekä kaikkien budjettituen edellytysten täyttyminen.</w:t>
      </w:r>
    </w:p>
    <w:p w:rsidR="00D71B15" w:rsidRDefault="005012C0">
      <w:pPr>
        <w:pStyle w:val="ManualConsidrant"/>
        <w:rPr>
          <w:noProof/>
        </w:rPr>
      </w:pPr>
      <w:r>
        <w:t>(8)</w:t>
      </w:r>
      <w:r>
        <w:tab/>
      </w:r>
      <w:r>
        <w:rPr>
          <w:noProof/>
        </w:rPr>
        <w:t>Koska Moldova kuuluu Euroopan naapuruuspolitiikan piiriin, se olisi katsottava oikeutetuksi saamaan unionin makrotaloudellista rahoitusapua.</w:t>
      </w:r>
    </w:p>
    <w:p w:rsidR="00D71B15" w:rsidRDefault="005012C0">
      <w:pPr>
        <w:pStyle w:val="ManualConsidrant"/>
        <w:rPr>
          <w:noProof/>
        </w:rPr>
      </w:pPr>
      <w:r>
        <w:t>(9)</w:t>
      </w:r>
      <w:r>
        <w:tab/>
      </w:r>
      <w:r>
        <w:rPr>
          <w:noProof/>
        </w:rPr>
        <w:t>U</w:t>
      </w:r>
      <w:r>
        <w:rPr>
          <w:noProof/>
        </w:rPr>
        <w:t>nionin makrotaloudellisen rahoitusavun olisi oltava poikkeuksellinen rahoitusväline, jolla myönnetään sitomatonta ja kohdentamatonta maksutasetukea avunsaajan välittömiin ulkoisen rahoituksen tarpeisiin. Sillä olisi tuettava sellaisen toimenpideohjelman tä</w:t>
      </w:r>
      <w:r>
        <w:rPr>
          <w:noProof/>
        </w:rPr>
        <w:t>ytäntöönpanoa, joka sisältää tiukkoja ja välittömiä sopeutus- ja rakenneuudistustoimia maksutasetilanteen parantamiseksi lyhyellä aikavälillä.</w:t>
      </w:r>
    </w:p>
    <w:p w:rsidR="00D71B15" w:rsidRDefault="005012C0">
      <w:pPr>
        <w:pStyle w:val="ManualConsidrant"/>
        <w:rPr>
          <w:noProof/>
        </w:rPr>
      </w:pPr>
      <w:r>
        <w:t>(10)</w:t>
      </w:r>
      <w:r>
        <w:tab/>
      </w:r>
      <w:r>
        <w:rPr>
          <w:noProof/>
        </w:rPr>
        <w:t>Moldovan maksutaseessa on IMF:n ja muiden monenvälisten laitosten käyttöön asettamien varojen jälkeen edelle</w:t>
      </w:r>
      <w:r>
        <w:rPr>
          <w:noProof/>
        </w:rPr>
        <w:t>en huomattava ulkoinen rahoitusvaje, joten Moldovalle annettavaa unionin makrotaloudellista rahoitusapua pidetään tämänhetkisissä poikkeusolosuhteissa asianmukaisena vastauksena Moldovan pyyntöön saada tukea talouden vakauttamiseen yhdessä IMF:n ohjelman k</w:t>
      </w:r>
      <w:r>
        <w:rPr>
          <w:noProof/>
        </w:rPr>
        <w:t>anssa. Unionin makrotaloudellisella rahoitusavulla on tarkoitus tukea Moldovan talouden vakauttamista ja rakenneuudistusohjelmaa ja täydentää IMF:n rahoitusjärjestelyn puitteissa käytettävissä olevia varoja.</w:t>
      </w:r>
    </w:p>
    <w:p w:rsidR="00D71B15" w:rsidRDefault="005012C0">
      <w:pPr>
        <w:pStyle w:val="ManualConsidrant"/>
        <w:rPr>
          <w:noProof/>
        </w:rPr>
      </w:pPr>
      <w:r>
        <w:t>(11)</w:t>
      </w:r>
      <w:r>
        <w:tab/>
      </w:r>
      <w:r>
        <w:rPr>
          <w:noProof/>
        </w:rPr>
        <w:t>Unionin makrotaloudellisella rahoitusavulla</w:t>
      </w:r>
      <w:r>
        <w:rPr>
          <w:noProof/>
        </w:rPr>
        <w:t xml:space="preserve"> olisi pyrittävä tukemaan Moldovan ulkoisen rahoitusaseman kestävyyden palauttamista ja siten maan taloudellista ja sosiaalista kehitystä.</w:t>
      </w:r>
    </w:p>
    <w:p w:rsidR="00D71B15" w:rsidRDefault="005012C0">
      <w:pPr>
        <w:pStyle w:val="ManualConsidrant"/>
        <w:rPr>
          <w:noProof/>
        </w:rPr>
      </w:pPr>
      <w:r>
        <w:t>(12)</w:t>
      </w:r>
      <w:r>
        <w:tab/>
      </w:r>
      <w:r>
        <w:rPr>
          <w:noProof/>
        </w:rPr>
        <w:t>Unionin makrotaloudellisen rahoitusavun ohella on tarkoitus käynnistää budjettitukimaksut Euroopan naapuruusväli</w:t>
      </w:r>
      <w:r>
        <w:rPr>
          <w:noProof/>
        </w:rPr>
        <w:t xml:space="preserve">neestä. </w:t>
      </w:r>
    </w:p>
    <w:p w:rsidR="00D71B15" w:rsidRDefault="005012C0">
      <w:pPr>
        <w:pStyle w:val="ManualConsidrant"/>
        <w:rPr>
          <w:noProof/>
        </w:rPr>
      </w:pPr>
      <w:r>
        <w:t>(13)</w:t>
      </w:r>
      <w:r>
        <w:tab/>
      </w:r>
      <w:r>
        <w:rPr>
          <w:noProof/>
        </w:rPr>
        <w:t>Unionin makrotaloudellisen rahoitusavun määrä vahvistetaan Moldovan jäljellä olevien ulkoisten rahoitustarpeiden kattavan määrällisen arvioinnin perusteella, ja siinä otetaan huomioon maan kyky rahoittaa itseään omista varoistaan ja erityises</w:t>
      </w:r>
      <w:r>
        <w:rPr>
          <w:noProof/>
        </w:rPr>
        <w:t>ti sen käytössä oleva kansainvälinen valuuttavaranto. Unionin makrotaloudellisella rahoitusavulla olisi täydennettävä IMF:n ja Maailmanpankin ohjelmia ja rahoitusta. Rahoitusavun määrää vahvistettaessa otetaan huomioon myös monenvälisiltä avunantajilta odo</w:t>
      </w:r>
      <w:r>
        <w:rPr>
          <w:noProof/>
        </w:rPr>
        <w:t xml:space="preserve">tettavissa olevat rahoitusosuudet, tarve varmistaa oikeudenmukainen taakanjako unionin ja muiden avunantajien välillä, unionin muiden ulkoisten rahoitusvälineiden aiempi käyttö Moldovassa ja kaiken unionin toiminnan lisäarvo.  </w:t>
      </w:r>
    </w:p>
    <w:p w:rsidR="00D71B15" w:rsidRDefault="005012C0">
      <w:pPr>
        <w:pStyle w:val="ManualConsidrant"/>
        <w:rPr>
          <w:noProof/>
        </w:rPr>
      </w:pPr>
      <w:r>
        <w:t>(14)</w:t>
      </w:r>
      <w:r>
        <w:tab/>
      </w:r>
      <w:r>
        <w:rPr>
          <w:noProof/>
        </w:rPr>
        <w:t>Kun otetaan huomioon Mo</w:t>
      </w:r>
      <w:r>
        <w:rPr>
          <w:noProof/>
        </w:rPr>
        <w:t>ldovan jäljelle jäävät ulkoiset rahoitustarpeet, sen taloudellisen kehityksen taso mitattuna henkeä kohti laskettujen tulojen ja köyhyysasteen perusteella, sen kyky rahoittaa itseään omista varoistaan ja erityisesti sen käytössä oleva kansainvälinen valuut</w:t>
      </w:r>
      <w:r>
        <w:rPr>
          <w:noProof/>
        </w:rPr>
        <w:t>tavaranto sekä sen takaisinmaksukyky, joka arvioidaan velanhoidon kestävyysanalyysin perusteella, osa rahoitusavusta olisi myönnettävä avustuksina.</w:t>
      </w:r>
    </w:p>
    <w:p w:rsidR="00D71B15" w:rsidRDefault="005012C0">
      <w:pPr>
        <w:pStyle w:val="ManualConsidrant"/>
        <w:rPr>
          <w:noProof/>
        </w:rPr>
      </w:pPr>
      <w:r>
        <w:t>(15)</w:t>
      </w:r>
      <w:r>
        <w:tab/>
      </w:r>
      <w:r>
        <w:rPr>
          <w:noProof/>
        </w:rPr>
        <w:t>Komission olisi varmistettava, että unionin makrotaloudellinen rahoitusapu vastaa oikeudellisesti ja si</w:t>
      </w:r>
      <w:r>
        <w:rPr>
          <w:noProof/>
        </w:rPr>
        <w:t>sällöltään unionin ulkoisen toiminnan eri alojen ja muiden asiaankuuluvien unionin politiikkojen keskeisiä periaatteita, tavoitteita ja toteutettuja toimenpiteitä.</w:t>
      </w:r>
    </w:p>
    <w:p w:rsidR="00D71B15" w:rsidRDefault="005012C0">
      <w:pPr>
        <w:pStyle w:val="ManualConsidrant"/>
        <w:rPr>
          <w:noProof/>
        </w:rPr>
      </w:pPr>
      <w:r>
        <w:t>(16)</w:t>
      </w:r>
      <w:r>
        <w:tab/>
      </w:r>
      <w:r>
        <w:rPr>
          <w:noProof/>
        </w:rPr>
        <w:t>Unionin makrotaloudellisella rahoitusavulla olisi tuettava ulkopolitiikkaa, jota unioni</w:t>
      </w:r>
      <w:r>
        <w:rPr>
          <w:noProof/>
        </w:rPr>
        <w:t xml:space="preserve"> soveltaa suhteissaan Moldovaan. Komission yksiköiden ja Euroopan ulkosuhdehallinnon olisi työskenneltävä tiiviisti yhdessä koko makrotaloudellisen rahoitusapuoperaation keston ajan unionin ulkopolitiikan yhteensovittamiseksi ja sen johdonmukaisuuden varmi</w:t>
      </w:r>
      <w:r>
        <w:rPr>
          <w:noProof/>
        </w:rPr>
        <w:t>stamiseksi.</w:t>
      </w:r>
    </w:p>
    <w:p w:rsidR="00D71B15" w:rsidRDefault="005012C0">
      <w:pPr>
        <w:pStyle w:val="ManualConsidrant"/>
        <w:rPr>
          <w:noProof/>
        </w:rPr>
      </w:pPr>
      <w:r>
        <w:t>(17)</w:t>
      </w:r>
      <w:r>
        <w:tab/>
      </w:r>
      <w:r>
        <w:rPr>
          <w:noProof/>
        </w:rPr>
        <w:t>Unionin makrotaloudellisella rahoitusavulla olisi tuettava Moldovan sitoutumista unionin kanssa yhteisiin arvoihin, mukaan lukien demokratia, oikeusvaltioperiaate, hyvä hallinto, ihmisoikeuksien kunnioittaminen, kestävä kehitys ja köyhyyde</w:t>
      </w:r>
      <w:r>
        <w:rPr>
          <w:noProof/>
        </w:rPr>
        <w:t>n vähentäminen, sekä sen sitoutumista avoimen, sääntöihin perustuvan ja oikeudenmukaisen kaupan periaatteisiin.</w:t>
      </w:r>
    </w:p>
    <w:p w:rsidR="00D71B15" w:rsidRDefault="005012C0">
      <w:pPr>
        <w:pStyle w:val="ManualConsidrant"/>
        <w:rPr>
          <w:noProof/>
        </w:rPr>
      </w:pPr>
      <w:r>
        <w:t>(18)</w:t>
      </w:r>
      <w:r>
        <w:tab/>
      </w:r>
      <w:r>
        <w:rPr>
          <w:noProof/>
        </w:rPr>
        <w:t>Unionin makrotaloudellisen rahoitusavun edellytyksenä olisi oltava se, että Moldova noudattaa tehokkaita demokratian mekanismeja, kuten par</w:t>
      </w:r>
      <w:r>
        <w:rPr>
          <w:noProof/>
        </w:rPr>
        <w:t>lamentaarista monipuoluejärjestelmää, ja oikeusvaltioperiaatetta ja takaa ihmisoikeuksien kunnioittamisen. Lisäksi unionin makrotaloudellisen rahoitusavun erityistavoitteina olisi oltava julkisten varainhoitojärjestelmien tehokkuuden, läpinäkyvyyden ja vas</w:t>
      </w:r>
      <w:r>
        <w:rPr>
          <w:noProof/>
        </w:rPr>
        <w:t>tuullisuuden lisääminen sekä finanssisektorin ohjauksen, hallinnan ja valvonnan tehostaminen Moldovassa ja sellaisten rakenneuudistusten edistäminen, joilla pyritään tukemaan kestävää ja osallistavaa kasvua, työpaikkojen luomista ja julkisen talouden vakau</w:t>
      </w:r>
      <w:r>
        <w:rPr>
          <w:noProof/>
        </w:rPr>
        <w:t>ttamista. Komission ja Euroopan ulkosuhdehallinnon olisi säännöllisesti seurattava sekä edellytysten täyttymistä että näiden tavoitteiden saavuttamista.</w:t>
      </w:r>
    </w:p>
    <w:p w:rsidR="00D71B15" w:rsidRDefault="005012C0">
      <w:pPr>
        <w:pStyle w:val="ManualConsidrant"/>
        <w:rPr>
          <w:noProof/>
        </w:rPr>
      </w:pPr>
      <w:r>
        <w:t>(19)</w:t>
      </w:r>
      <w:r>
        <w:tab/>
      </w:r>
      <w:r>
        <w:rPr>
          <w:noProof/>
        </w:rPr>
        <w:t>Jotta unionin makrotaloudelliseen rahoitusapuun liittyvät unionin taloudelliset edut voidaan suoja</w:t>
      </w:r>
      <w:r>
        <w:rPr>
          <w:noProof/>
        </w:rPr>
        <w:t>ta tehokkaasti, Moldovan olisi toteutettava aiheellisia toimenpiteitä petosten, korruption ja muiden rahoitusapuun liittyvien sääntöjenvastaisuuksien estämiseksi ja torjumiseksi. Lisäksi olisi säädettävä, että komissio huolehtii tarkastuksista ja tilintark</w:t>
      </w:r>
      <w:r>
        <w:rPr>
          <w:noProof/>
        </w:rPr>
        <w:t>astustuomioistuin tilintarkastuksista.</w:t>
      </w:r>
    </w:p>
    <w:p w:rsidR="00D71B15" w:rsidRDefault="005012C0">
      <w:pPr>
        <w:pStyle w:val="ManualConsidrant"/>
        <w:rPr>
          <w:noProof/>
        </w:rPr>
      </w:pPr>
      <w:r>
        <w:t>(20)</w:t>
      </w:r>
      <w:r>
        <w:tab/>
      </w:r>
      <w:r>
        <w:rPr>
          <w:noProof/>
        </w:rPr>
        <w:t xml:space="preserve">Unionin makrotaloudellisen rahoitusavun maksaminen ei rajoita Euroopan parlamentin ja neuvoston valtuuksia budjettivallan käyttäjinä. </w:t>
      </w:r>
    </w:p>
    <w:p w:rsidR="00D71B15" w:rsidRDefault="005012C0">
      <w:pPr>
        <w:pStyle w:val="ManualConsidrant"/>
        <w:rPr>
          <w:noProof/>
        </w:rPr>
      </w:pPr>
      <w:r>
        <w:t>(21)</w:t>
      </w:r>
      <w:r>
        <w:tab/>
      </w:r>
      <w:r>
        <w:rPr>
          <w:noProof/>
        </w:rPr>
        <w:t>Avustuksina myönnettyjen makrotaloudellisen rahoitusavun määrien ja lain</w:t>
      </w:r>
      <w:r>
        <w:rPr>
          <w:noProof/>
        </w:rPr>
        <w:t>oina myönnettyjen makrotaloudellisen rahoitusavun edellyttämien määrärahojen määrien olisi oltava yhdenmukaisia monivuotisessa rahoituskehyksessä vahvistettujen talousarviomäärärahojen kanssa.</w:t>
      </w:r>
    </w:p>
    <w:p w:rsidR="00D71B15" w:rsidRDefault="005012C0">
      <w:pPr>
        <w:pStyle w:val="ManualConsidrant"/>
        <w:rPr>
          <w:noProof/>
        </w:rPr>
      </w:pPr>
      <w:r>
        <w:t>(22)</w:t>
      </w:r>
      <w:r>
        <w:tab/>
      </w:r>
      <w:r>
        <w:rPr>
          <w:noProof/>
        </w:rPr>
        <w:t>Unionin makrotaloudellisen rahoitusavun hallinnointi olisi</w:t>
      </w:r>
      <w:r>
        <w:rPr>
          <w:noProof/>
        </w:rPr>
        <w:t xml:space="preserve"> annettava komission tehtäväksi. Sen varmistamiseksi, että Euroopan parlamentti ja neuvosto voivat seurata tämän päätöksen täytäntöönpanoa, komission olisi annettava niille säännöllisesti tietoja rahoitusavun täytäntöönpanosta ja toimitettava niille asiaan</w:t>
      </w:r>
      <w:r>
        <w:rPr>
          <w:noProof/>
        </w:rPr>
        <w:t xml:space="preserve"> liittyvät asiakirjat.</w:t>
      </w:r>
    </w:p>
    <w:p w:rsidR="00D71B15" w:rsidRDefault="005012C0">
      <w:pPr>
        <w:pStyle w:val="ManualConsidrant"/>
        <w:rPr>
          <w:noProof/>
        </w:rPr>
      </w:pPr>
      <w:r>
        <w:t>(23)</w:t>
      </w:r>
      <w:r>
        <w:tab/>
      </w:r>
      <w:r>
        <w:rPr>
          <w:noProof/>
        </w:rPr>
        <w:t>Jotta voidaan varmistaa tämän päätöksen yhdenmukainen täytäntöönpano, komissiolle olisi siirrettävä täytäntöönpanovaltaa. Tätä valtaa olisi käytettävä Euroopan parlamentin ja neuvoston asetuksen (EU) N:o 182/2011</w:t>
      </w:r>
      <w:r>
        <w:rPr>
          <w:rStyle w:val="FootnoteReference"/>
          <w:noProof/>
        </w:rPr>
        <w:footnoteReference w:id="6"/>
      </w:r>
      <w:r>
        <w:rPr>
          <w:noProof/>
        </w:rPr>
        <w:t xml:space="preserve"> mukaisesti.</w:t>
      </w:r>
    </w:p>
    <w:p w:rsidR="00D71B15" w:rsidRDefault="005012C0">
      <w:pPr>
        <w:pStyle w:val="ManualConsidrant"/>
        <w:rPr>
          <w:noProof/>
        </w:rPr>
      </w:pPr>
      <w:r>
        <w:t>(2</w:t>
      </w:r>
      <w:r>
        <w:t>4)</w:t>
      </w:r>
      <w:r>
        <w:tab/>
      </w:r>
      <w:r>
        <w:rPr>
          <w:noProof/>
        </w:rPr>
        <w:t>Unionin makrotaloudelliseen rahoitusapuun olisi sovellettava talouspoliittisia ehtoja, jotka vahvistetaan yhteisymmärryspöytäkirjassa. Yhdenmukaisen täytäntöönpanon varmistamiseksi sekä tehokkuussyistä komissio olisi valtuutettava neuvottelemaan tällais</w:t>
      </w:r>
      <w:r>
        <w:rPr>
          <w:noProof/>
        </w:rPr>
        <w:t>ista ehdoista Moldovan viranomaisten kanssa jäsenvaltioiden edustajista muodostuvan komitean valvonnassa asetuksen (EU) N:o 182/2011 mukaisesti. Kyseisen asetuksen mukaan neuvoa-antavaa menettelyä olisi sovellettava pääsääntöisesti kaikkiin muihin kuin ase</w:t>
      </w:r>
      <w:r>
        <w:rPr>
          <w:noProof/>
        </w:rPr>
        <w:t>tuksessa säädettyihin tapauksiin. Kun otetaan huomioon yli 90 miljoonan euron suuruisen rahoitusavun mahdollisesti huomattava vaikutus, kyseisen raja-arvon ylittävissä toimissa on aiheellista käyttää tarkastelumenettelyä. Kun otetaan huomioon Moldovalle my</w:t>
      </w:r>
      <w:r>
        <w:rPr>
          <w:noProof/>
        </w:rPr>
        <w:t>önnettävän unionin makrotaloudellisen rahoitusavun määrä, yhteisymmärryspöytäkirjan hyväksymiseen sekä avun vähentämiseen, keskeyttämiseen tai peruuttamiseen olisi sovellettava tarkastelumenettelyä,</w:t>
      </w:r>
    </w:p>
    <w:p w:rsidR="00D71B15" w:rsidRDefault="005012C0">
      <w:pPr>
        <w:pStyle w:val="Formuledadoption"/>
        <w:rPr>
          <w:noProof/>
        </w:rPr>
      </w:pPr>
      <w:r>
        <w:rPr>
          <w:noProof/>
        </w:rPr>
        <w:t>OVAT HYVÄKSYNEET TÄMÄN PÄÄTÖKSEN:</w:t>
      </w:r>
    </w:p>
    <w:p w:rsidR="00D71B15" w:rsidRDefault="005012C0">
      <w:pPr>
        <w:pStyle w:val="Titrearticle"/>
        <w:rPr>
          <w:noProof/>
        </w:rPr>
      </w:pPr>
      <w:r>
        <w:rPr>
          <w:noProof/>
        </w:rPr>
        <w:t>1 artikla</w:t>
      </w:r>
    </w:p>
    <w:p w:rsidR="00D71B15" w:rsidRDefault="005012C0">
      <w:pPr>
        <w:pStyle w:val="ManualNumPar1"/>
        <w:rPr>
          <w:noProof/>
        </w:rPr>
      </w:pPr>
      <w:r>
        <w:t>1.</w:t>
      </w:r>
      <w:r>
        <w:tab/>
      </w:r>
      <w:r>
        <w:rPr>
          <w:noProof/>
        </w:rPr>
        <w:t>Unioni myö</w:t>
      </w:r>
      <w:r>
        <w:rPr>
          <w:noProof/>
        </w:rPr>
        <w:t>ntää Moldovalle enintään 100 miljoonaa euroa makrotaloudellista rahoitusapua, jäljempänä ’unionin makrotaloudellinen rahoitusapu’, tukeakseen maan talouden vakauttamista ja sen huomattavaa uudistusohjelmaa. Tästä enimmäismäärästä enintään 60 miljoonaa euro</w:t>
      </w:r>
      <w:r>
        <w:rPr>
          <w:noProof/>
        </w:rPr>
        <w:t>a myönnetään lainoina ja enintään 40 miljoonaa euroa avustuksina. Unionin makrotaloudellisen rahoitusavun maksaminen edellyttää, että Euroopan parlamentti ja neuvosto hyväksyvät unionin talousarvion asiaankuuluvaksi vuodeksi. Rahoitusavulla katetaan osa IM</w:t>
      </w:r>
      <w:r>
        <w:rPr>
          <w:noProof/>
        </w:rPr>
        <w:t xml:space="preserve">F:n ohjelmassa määritetyistä Moldovan maksutasetarpeista. </w:t>
      </w:r>
    </w:p>
    <w:p w:rsidR="00D71B15" w:rsidRDefault="005012C0">
      <w:pPr>
        <w:pStyle w:val="ManualNumPar1"/>
        <w:rPr>
          <w:noProof/>
        </w:rPr>
      </w:pPr>
      <w:r>
        <w:t>2.</w:t>
      </w:r>
      <w:r>
        <w:tab/>
      </w:r>
      <w:r>
        <w:rPr>
          <w:noProof/>
        </w:rPr>
        <w:t>Unionin makrotaloudellisen rahoitusavun lainaosuuden rahoittamiseksi komissiolle annetaan valtuudet lainata tarvittavat varat unionin puolesta pääomamarkkinoilta tai rahoituslaitoksilta ja laina</w:t>
      </w:r>
      <w:r>
        <w:rPr>
          <w:noProof/>
        </w:rPr>
        <w:t>ta ne edelleen Moldovalle. Lainojen keskimääräinen takaisinmaksuaika on enintään 15 vuotta.</w:t>
      </w:r>
    </w:p>
    <w:p w:rsidR="00D71B15" w:rsidRDefault="005012C0">
      <w:pPr>
        <w:pStyle w:val="ManualNumPar1"/>
        <w:rPr>
          <w:noProof/>
        </w:rPr>
      </w:pPr>
      <w:r>
        <w:t>3.</w:t>
      </w:r>
      <w:r>
        <w:tab/>
      </w:r>
      <w:r>
        <w:rPr>
          <w:noProof/>
        </w:rPr>
        <w:t>Komissio hallinnoi unionin makrotaloudellisen rahoitusavun maksamista IMF:n ja Moldovan välisten sopimusten tai yhteisymmärryspöytäkirjojen sekä Euroopan naapuru</w:t>
      </w:r>
      <w:r>
        <w:rPr>
          <w:noProof/>
        </w:rPr>
        <w:t>uspolitiikan puitteissa sovitussa EU–Moldova-assosiaatiosopimuksessa, mukaan lukien pitkälle menevässä ja laaja-alaisessa vapaakauppasopimuksessa, vahvistettujen talousuudistuksia koskevien keskeisten periaatteiden ja tavoitteiden kanssa yhteensopivalla ta</w:t>
      </w:r>
      <w:r>
        <w:rPr>
          <w:noProof/>
        </w:rPr>
        <w:t>valla.</w:t>
      </w:r>
    </w:p>
    <w:p w:rsidR="00D71B15" w:rsidRDefault="005012C0">
      <w:pPr>
        <w:pStyle w:val="Text1"/>
        <w:rPr>
          <w:noProof/>
        </w:rPr>
      </w:pPr>
      <w:r>
        <w:rPr>
          <w:noProof/>
        </w:rPr>
        <w:t>Komissio antaa Euroopan parlamentille ja neuvostolle säännöllisesti tietoja unionin makrotaloudellisesta rahoitusavusta, myös sen maksamisesta, ja toimittaa kyseisille toimielimille asiaan liittyvät asiakirjat ajallaan.</w:t>
      </w:r>
    </w:p>
    <w:p w:rsidR="00D71B15" w:rsidRDefault="005012C0">
      <w:pPr>
        <w:pStyle w:val="ManualNumPar1"/>
        <w:rPr>
          <w:noProof/>
        </w:rPr>
      </w:pPr>
      <w:r>
        <w:t>4.</w:t>
      </w:r>
      <w:r>
        <w:tab/>
      </w:r>
      <w:r>
        <w:rPr>
          <w:noProof/>
        </w:rPr>
        <w:t>Unionin makrotaloudellinen</w:t>
      </w:r>
      <w:r>
        <w:rPr>
          <w:noProof/>
        </w:rPr>
        <w:t xml:space="preserve"> rahoitusapu on saatavilla kahden ja puolen vuoden ajan 3 artiklan 1 kohdassa tarkoitetun yhteisymmärryspöytäkirjan voimaantulon jälkeisestä päivästä alkaen.</w:t>
      </w:r>
    </w:p>
    <w:p w:rsidR="00D71B15" w:rsidRDefault="005012C0">
      <w:pPr>
        <w:pStyle w:val="ManualNumPar1"/>
        <w:rPr>
          <w:noProof/>
        </w:rPr>
      </w:pPr>
      <w:r>
        <w:t>5.</w:t>
      </w:r>
      <w:r>
        <w:tab/>
      </w:r>
      <w:r>
        <w:rPr>
          <w:noProof/>
        </w:rPr>
        <w:t>Jos Moldovan rahoitustarpeet vähenevät alkuperäisiin ennusteisiin nähden olennaisesti unionin m</w:t>
      </w:r>
      <w:r>
        <w:rPr>
          <w:noProof/>
        </w:rPr>
        <w:t>akrotaloudellisen rahoitusavun maksukaudella, komissio vähentää avun määrää tai keskeyttää tai peruuttaa avun 7 artiklan 2 kohdassa tarkoitettua tarkastelumenettelyä noudattaen.</w:t>
      </w:r>
    </w:p>
    <w:p w:rsidR="00D71B15" w:rsidRDefault="005012C0">
      <w:pPr>
        <w:pStyle w:val="Titrearticle"/>
        <w:rPr>
          <w:noProof/>
        </w:rPr>
      </w:pPr>
      <w:r>
        <w:rPr>
          <w:noProof/>
        </w:rPr>
        <w:t>2 artikla</w:t>
      </w:r>
    </w:p>
    <w:p w:rsidR="00D71B15" w:rsidRDefault="005012C0">
      <w:pPr>
        <w:pStyle w:val="ManualNumPar1"/>
        <w:rPr>
          <w:noProof/>
        </w:rPr>
      </w:pPr>
      <w:r>
        <w:t>1.</w:t>
      </w:r>
      <w:r>
        <w:tab/>
      </w:r>
      <w:r>
        <w:rPr>
          <w:noProof/>
        </w:rPr>
        <w:t>Unionin makrotaloudellisen rahoitusavun edellytyksenä on se, että</w:t>
      </w:r>
      <w:r>
        <w:rPr>
          <w:noProof/>
        </w:rPr>
        <w:t xml:space="preserve"> Moldova noudattaa tehokkaita demokratian mekanismeja, kuten parlamentaarista monipuoluejärjestelmää, ja oikeusvaltioperiaatetta ja takaa ihmisoikeuksien kunnioittamisen.</w:t>
      </w:r>
    </w:p>
    <w:p w:rsidR="00D71B15" w:rsidRDefault="005012C0">
      <w:pPr>
        <w:pStyle w:val="ManualNumPar1"/>
        <w:rPr>
          <w:noProof/>
        </w:rPr>
      </w:pPr>
      <w:r>
        <w:t>2.</w:t>
      </w:r>
      <w:r>
        <w:tab/>
      </w:r>
      <w:r>
        <w:rPr>
          <w:noProof/>
        </w:rPr>
        <w:t>Komissio ja Euroopan ulkosuhdehallinto valvovat tämän edellytyksen täyttymistä uni</w:t>
      </w:r>
      <w:r>
        <w:rPr>
          <w:noProof/>
        </w:rPr>
        <w:t xml:space="preserve">onin makrotaloudellisen rahoitusavun koko elinkaaren ajan. </w:t>
      </w:r>
    </w:p>
    <w:p w:rsidR="00D71B15" w:rsidRDefault="005012C0">
      <w:pPr>
        <w:pStyle w:val="ManualNumPar1"/>
        <w:rPr>
          <w:noProof/>
        </w:rPr>
      </w:pPr>
      <w:r>
        <w:t>3.</w:t>
      </w:r>
      <w:r>
        <w:tab/>
      </w:r>
      <w:r>
        <w:rPr>
          <w:noProof/>
        </w:rPr>
        <w:t>Edellä olevia 1 ja 2 kohtaa sovelletaan neuvoston päätöksen 2010/427/EU</w:t>
      </w:r>
      <w:r>
        <w:rPr>
          <w:rStyle w:val="FootnoteReference"/>
          <w:noProof/>
        </w:rPr>
        <w:footnoteReference w:id="7"/>
      </w:r>
      <w:r>
        <w:rPr>
          <w:noProof/>
        </w:rPr>
        <w:t xml:space="preserve"> mukaisesti.</w:t>
      </w:r>
    </w:p>
    <w:p w:rsidR="00D71B15" w:rsidRDefault="005012C0">
      <w:pPr>
        <w:pStyle w:val="Titrearticle"/>
        <w:rPr>
          <w:noProof/>
        </w:rPr>
      </w:pPr>
      <w:r>
        <w:rPr>
          <w:noProof/>
        </w:rPr>
        <w:t>3 artikla</w:t>
      </w:r>
    </w:p>
    <w:p w:rsidR="00D71B15" w:rsidRDefault="005012C0">
      <w:pPr>
        <w:pStyle w:val="ManualNumPar1"/>
        <w:rPr>
          <w:noProof/>
        </w:rPr>
      </w:pPr>
      <w:r>
        <w:t>1.</w:t>
      </w:r>
      <w:r>
        <w:tab/>
      </w:r>
      <w:r>
        <w:rPr>
          <w:noProof/>
        </w:rPr>
        <w:t>Komissio sopii 7 artiklan 2 kohdassa tarkoitettua tarkastelumenettelyä noudattaen Moldovan viranomaisten kanssa unionin makrotaloudelliseen rahoitusapuun liitettävistä selkeästi määritellyistä talouspolitiikkaa ja rahoitusta koskevista ehdoista, joissa kes</w:t>
      </w:r>
      <w:r>
        <w:rPr>
          <w:noProof/>
        </w:rPr>
        <w:t xml:space="preserve">kitytään rakenneuudistuksiin ja vakaaseen julkiseen talouteen; nämä ehdot vahvistetaan yhteisymmärryspöytäkirjassa, johon sisältyy mainittujen ehtojen täyttämisen aikataulu. Yhteisymmärryspöytäkirjassa esitettyjen talouspolitiikkaa ja rahoitusta koskevien </w:t>
      </w:r>
      <w:r>
        <w:rPr>
          <w:noProof/>
        </w:rPr>
        <w:t xml:space="preserve">ehtojen on oltava yhdenmukaisia 1 artiklan 3 kohdassa tarkoitettujen sopimusten tai yhteisymmärryspöytäkirjojen kanssa, mukaan lukien ne makrotalouden sopeutusohjelmat ja rakenneuudistusohjelmat, joita Moldova on toteuttanut IMF:n tuella. </w:t>
      </w:r>
    </w:p>
    <w:p w:rsidR="00D71B15" w:rsidRDefault="005012C0">
      <w:pPr>
        <w:pStyle w:val="ManualNumPar1"/>
        <w:rPr>
          <w:noProof/>
        </w:rPr>
      </w:pPr>
      <w:r>
        <w:t>2.</w:t>
      </w:r>
      <w:r>
        <w:tab/>
      </w:r>
      <w:r>
        <w:rPr>
          <w:noProof/>
        </w:rPr>
        <w:t>Edellä 1 kohd</w:t>
      </w:r>
      <w:r>
        <w:rPr>
          <w:noProof/>
        </w:rPr>
        <w:t>assa tarkoitetuilla ehdoilla pyritään erityisesti parantamaan Moldovan julkisten varainhoitojärjestelmien tehokkuutta, läpinäkyvyyttä ja vastuullisuutta muun muassa unionin makrotaloudellisen rahoitusavun käytön osalta. Politiikkatoimenpiteitä suunniteltae</w:t>
      </w:r>
      <w:r>
        <w:rPr>
          <w:noProof/>
        </w:rPr>
        <w:t>ssa on otettava asianmukaisesti huomioon myös edistyminen markkinoiden vastavuoroisessa avaamisessa, sääntöihin perustuvan ja oikeudenmukaisen kaupan kehitys ja muut unionin ulkopolitiikan painopisteet. Komissio seuraa säännöllisesti, miten näiden tavoitte</w:t>
      </w:r>
      <w:r>
        <w:rPr>
          <w:noProof/>
        </w:rPr>
        <w:t>iden saavuttamisessa edistytään.</w:t>
      </w:r>
    </w:p>
    <w:p w:rsidR="00D71B15" w:rsidRDefault="005012C0">
      <w:pPr>
        <w:pStyle w:val="ManualNumPar1"/>
        <w:rPr>
          <w:noProof/>
        </w:rPr>
      </w:pPr>
      <w:r>
        <w:t>3.</w:t>
      </w:r>
      <w:r>
        <w:tab/>
      </w:r>
      <w:r>
        <w:rPr>
          <w:noProof/>
        </w:rPr>
        <w:t xml:space="preserve">Unionin makrotaloudellisen rahoitusavun yksityiskohtaiset rahoitusehdot vahvistetaan komission ja Moldovan viranomaisten välillä tehtävissä lainasopimuksessa ja avustussopimuksessa. </w:t>
      </w:r>
    </w:p>
    <w:p w:rsidR="00D71B15" w:rsidRDefault="005012C0">
      <w:pPr>
        <w:pStyle w:val="ManualNumPar1"/>
        <w:rPr>
          <w:noProof/>
        </w:rPr>
      </w:pPr>
      <w:r>
        <w:t>4.</w:t>
      </w:r>
      <w:r>
        <w:tab/>
      </w:r>
      <w:r>
        <w:rPr>
          <w:noProof/>
        </w:rPr>
        <w:t>Komissio tarkistaa säännöllisin vä</w:t>
      </w:r>
      <w:r>
        <w:rPr>
          <w:noProof/>
        </w:rPr>
        <w:t>liajoin, että 4 artiklan 3 kohdassa tarkoitetut edellytykset täyttyvät edelleen, mukaan lukien sen, onko Moldovan talouspolitiikka unionin makrotaloudellisen rahoitusavun tavoitteiden mukaista. Tätä varten komissio sovittaa toimintansa tiiviisti yhteen IMF</w:t>
      </w:r>
      <w:r>
        <w:rPr>
          <w:noProof/>
        </w:rPr>
        <w:t>:n ja Maailmanpankin sekä tarvittaessa Euroopan parlamentin ja neuvoston kanssa.</w:t>
      </w:r>
    </w:p>
    <w:p w:rsidR="00D71B15" w:rsidRDefault="005012C0">
      <w:pPr>
        <w:pStyle w:val="Titrearticle"/>
        <w:rPr>
          <w:noProof/>
        </w:rPr>
      </w:pPr>
      <w:r>
        <w:rPr>
          <w:noProof/>
        </w:rPr>
        <w:t>4 artikla</w:t>
      </w:r>
    </w:p>
    <w:p w:rsidR="00D71B15" w:rsidRDefault="005012C0">
      <w:pPr>
        <w:pStyle w:val="ManualNumPar1"/>
        <w:rPr>
          <w:noProof/>
        </w:rPr>
      </w:pPr>
      <w:r>
        <w:t>1.</w:t>
      </w:r>
      <w:r>
        <w:tab/>
      </w:r>
      <w:r>
        <w:rPr>
          <w:noProof/>
        </w:rPr>
        <w:t xml:space="preserve">Jollei 3 kohdassa säädetyistä edellytyksistä muuta johdu, komissio asettaa unionin makrotaloudellisen rahoitusavun käyttöön erissä, joihin kuhunkin kuuluu laina- </w:t>
      </w:r>
      <w:r>
        <w:rPr>
          <w:noProof/>
        </w:rPr>
        <w:t xml:space="preserve">ja avustusosuus. Kunkin erän suuruus vahvistetaan 3 artiklassa tarkoitetussa yhteisymmärryspöytäkirjassa. </w:t>
      </w:r>
    </w:p>
    <w:p w:rsidR="00D71B15" w:rsidRDefault="005012C0">
      <w:pPr>
        <w:pStyle w:val="ManualNumPar1"/>
        <w:rPr>
          <w:noProof/>
        </w:rPr>
      </w:pPr>
      <w:r>
        <w:t>2.</w:t>
      </w:r>
      <w:r>
        <w:tab/>
      </w:r>
      <w:r>
        <w:rPr>
          <w:noProof/>
        </w:rPr>
        <w:t>Lainoina myönnetyn unionin makrotaloudellisen rahoitusavun määrät rahoitetaan tarvittaessa neuvoston asetuksen (EY, Euratom) N:o 480/2009</w:t>
      </w:r>
      <w:r>
        <w:rPr>
          <w:rStyle w:val="FootnoteReference"/>
          <w:noProof/>
        </w:rPr>
        <w:footnoteReference w:id="8"/>
      </w:r>
      <w:r>
        <w:rPr>
          <w:noProof/>
        </w:rPr>
        <w:t xml:space="preserve"> mukaise</w:t>
      </w:r>
      <w:r>
        <w:rPr>
          <w:noProof/>
        </w:rPr>
        <w:t xml:space="preserve">sti. </w:t>
      </w:r>
    </w:p>
    <w:p w:rsidR="00D71B15" w:rsidRDefault="005012C0">
      <w:pPr>
        <w:pStyle w:val="ManualNumPar1"/>
        <w:rPr>
          <w:noProof/>
        </w:rPr>
      </w:pPr>
      <w:r>
        <w:t>3.</w:t>
      </w:r>
      <w:r>
        <w:tab/>
      </w:r>
      <w:r>
        <w:rPr>
          <w:noProof/>
        </w:rPr>
        <w:t>Komissio tekee päätöksen erien maksamisesta sen perusteella, täyttyvätkö kaikki seuraavat edellytykset:</w:t>
      </w:r>
    </w:p>
    <w:p w:rsidR="00D71B15" w:rsidRDefault="005012C0">
      <w:pPr>
        <w:pStyle w:val="Point1"/>
        <w:rPr>
          <w:noProof/>
        </w:rPr>
      </w:pPr>
      <w:r>
        <w:rPr>
          <w:noProof/>
        </w:rPr>
        <w:t>a)</w:t>
      </w:r>
      <w:r>
        <w:rPr>
          <w:noProof/>
        </w:rPr>
        <w:tab/>
        <w:t>2 artiklassa säädetty edellytys;</w:t>
      </w:r>
    </w:p>
    <w:p w:rsidR="00D71B15" w:rsidRDefault="005012C0">
      <w:pPr>
        <w:pStyle w:val="Point1"/>
        <w:rPr>
          <w:noProof/>
        </w:rPr>
      </w:pPr>
      <w:r>
        <w:rPr>
          <w:noProof/>
        </w:rPr>
        <w:t>b)</w:t>
      </w:r>
      <w:r>
        <w:rPr>
          <w:noProof/>
        </w:rPr>
        <w:tab/>
        <w:t>jatkuva tyydyttävä edistyminen sellaisen toimenpideohjelman täytäntöönpanossa, joka sisältää IMF:n muull</w:t>
      </w:r>
      <w:r>
        <w:rPr>
          <w:noProof/>
        </w:rPr>
        <w:t>a kuin ennaltavarautuvalla luottojärjestelyllä tukemia tiukkoja sopeutus- ja rakenneuudistustoimia; sekä</w:t>
      </w:r>
    </w:p>
    <w:p w:rsidR="00D71B15" w:rsidRDefault="005012C0">
      <w:pPr>
        <w:pStyle w:val="Point1"/>
        <w:rPr>
          <w:noProof/>
        </w:rPr>
      </w:pPr>
      <w:r>
        <w:rPr>
          <w:noProof/>
        </w:rPr>
        <w:t>c)</w:t>
      </w:r>
      <w:r>
        <w:rPr>
          <w:noProof/>
        </w:rPr>
        <w:tab/>
        <w:t>yhteisymmärryspöytäkirjassa sovittujen talouspolitiikkaa ja rahoitusta koskevien ehtojen täyttyminen tyydyttävällä tavalla.</w:t>
      </w:r>
    </w:p>
    <w:p w:rsidR="00D71B15" w:rsidRDefault="005012C0">
      <w:pPr>
        <w:pStyle w:val="Text1"/>
        <w:rPr>
          <w:noProof/>
        </w:rPr>
      </w:pPr>
      <w:r>
        <w:rPr>
          <w:noProof/>
        </w:rPr>
        <w:t>Toinen erä voidaan peria</w:t>
      </w:r>
      <w:r>
        <w:rPr>
          <w:noProof/>
        </w:rPr>
        <w:t xml:space="preserve">atteessa maksaa aikaisintaan kolmen kuukauden kuluttua ensimmäisen erän maksamisesta. Kolmas erä voidaan periaatteessa maksaa aikaisintaan kolmen kuukauden kuluttua toisen erän maksamisesta. </w:t>
      </w:r>
    </w:p>
    <w:p w:rsidR="00D71B15" w:rsidRDefault="005012C0">
      <w:pPr>
        <w:pStyle w:val="ManualNumPar1"/>
        <w:rPr>
          <w:noProof/>
        </w:rPr>
      </w:pPr>
      <w:r>
        <w:t>4.</w:t>
      </w:r>
      <w:r>
        <w:tab/>
      </w:r>
      <w:r>
        <w:rPr>
          <w:noProof/>
        </w:rPr>
        <w:t>Jos 3 kohdassa säädetyt edellytykset eivät täyty, komissio ke</w:t>
      </w:r>
      <w:r>
        <w:rPr>
          <w:noProof/>
        </w:rPr>
        <w:t xml:space="preserve">skeyttää tilapäisesti tai peruuttaa unionin makrotaloudellisen rahoitusavun maksamisen. Tällaisissa tapauksissa se ilmoittaa Euroopan parlamentille ja neuvostolle keskeyttämisen tai peruuttamisen syyt. </w:t>
      </w:r>
    </w:p>
    <w:p w:rsidR="00D71B15" w:rsidRDefault="005012C0">
      <w:pPr>
        <w:pStyle w:val="ManualNumPar1"/>
        <w:rPr>
          <w:noProof/>
        </w:rPr>
      </w:pPr>
      <w:r>
        <w:t>5.</w:t>
      </w:r>
      <w:r>
        <w:tab/>
      </w:r>
      <w:r>
        <w:rPr>
          <w:noProof/>
        </w:rPr>
        <w:t>Unionin makrotaloudellinen rahoitusapu maksetaan M</w:t>
      </w:r>
      <w:r>
        <w:rPr>
          <w:noProof/>
        </w:rPr>
        <w:t>oldovan keskuspankille. Yhteisymmärryspöytäkirjassa sovittavien ehtojen mukaisesti, mukaan lukien se, että jäljellä oleva julkisen talouden rahoitustarve vahvistetaan, unionin varat voidaan siirtää Moldovan valtiovarainministeriölle, joka on lopullinen avu</w:t>
      </w:r>
      <w:r>
        <w:rPr>
          <w:noProof/>
        </w:rPr>
        <w:t xml:space="preserve">nsaaja. </w:t>
      </w:r>
    </w:p>
    <w:p w:rsidR="00D71B15" w:rsidRDefault="005012C0">
      <w:pPr>
        <w:pStyle w:val="Titrearticle"/>
        <w:rPr>
          <w:noProof/>
        </w:rPr>
      </w:pPr>
      <w:r>
        <w:rPr>
          <w:noProof/>
        </w:rPr>
        <w:t>5 artikla</w:t>
      </w:r>
    </w:p>
    <w:p w:rsidR="00D71B15" w:rsidRDefault="005012C0">
      <w:pPr>
        <w:pStyle w:val="ManualNumPar1"/>
        <w:rPr>
          <w:noProof/>
        </w:rPr>
      </w:pPr>
      <w:r>
        <w:t>1.</w:t>
      </w:r>
      <w:r>
        <w:tab/>
      </w:r>
      <w:r>
        <w:rPr>
          <w:noProof/>
        </w:rPr>
        <w:t>Unionin makrotaloudellisen rahoitusavun lainaosuuteen liittyvät lainanotto- ja lainanantotoimet suoritetaan euromääräisinä ja käyttäen samaa arvopäivää, eikä niistä saa aiheutua unionille tilannetta, jossa anto- ja ottolainauksen matu</w:t>
      </w:r>
      <w:r>
        <w:rPr>
          <w:noProof/>
        </w:rPr>
        <w:t>riteetit poikkeavat toisistaan, eikä unionia saa asettaa alttiiksi valuuttakurssi- tai korkoriskeille tai muille kaupallisille riskeille.</w:t>
      </w:r>
    </w:p>
    <w:p w:rsidR="00D71B15" w:rsidRDefault="005012C0">
      <w:pPr>
        <w:pStyle w:val="ManualNumPar1"/>
        <w:rPr>
          <w:noProof/>
        </w:rPr>
      </w:pPr>
      <w:r>
        <w:t>2.</w:t>
      </w:r>
      <w:r>
        <w:tab/>
      </w:r>
      <w:r>
        <w:rPr>
          <w:noProof/>
        </w:rPr>
        <w:t>Olosuhteiden salliessa ja Moldovan sitä pyytäessä komissio voi toteuttaa tarvittavat toimet sen varmistamiseksi, et</w:t>
      </w:r>
      <w:r>
        <w:rPr>
          <w:noProof/>
        </w:rPr>
        <w:t xml:space="preserve">tä lainaehtoihin sisällytetään aikaistettua takaisinmaksua koskeva lauseke ja että vastaava lauseke sisällytetään myös lainanottotoimien ehtoihin. </w:t>
      </w:r>
    </w:p>
    <w:p w:rsidR="00D71B15" w:rsidRDefault="005012C0">
      <w:pPr>
        <w:pStyle w:val="ManualNumPar1"/>
        <w:rPr>
          <w:noProof/>
        </w:rPr>
      </w:pPr>
      <w:r>
        <w:t>3.</w:t>
      </w:r>
      <w:r>
        <w:tab/>
      </w:r>
      <w:r>
        <w:rPr>
          <w:noProof/>
        </w:rPr>
        <w:t>Jos olosuhteet sallivat edullisemman lainakoron ja jos Moldova sitä pyytää, komissio voi päättää jälleenr</w:t>
      </w:r>
      <w:r>
        <w:rPr>
          <w:noProof/>
        </w:rPr>
        <w:t>ahoittaa kaikki alkuperäiset lainansa tai osan niistä tai se voi järjestellä rahoitusehdot uudelleen. Jälleenrahoitus- tai uudelleenjärjestelytoimet toteutetaan 1 ja 4 kohdan mukaisesti, eivätkä ne pidennä kyseisten lainojen maturiteettia eivätkä kasvata j</w:t>
      </w:r>
      <w:r>
        <w:rPr>
          <w:noProof/>
        </w:rPr>
        <w:t>älleenrahoituksen tai uudelleenjärjestelyn ajankohtana jäljellä olevan pääoman määrää.</w:t>
      </w:r>
    </w:p>
    <w:p w:rsidR="00D71B15" w:rsidRDefault="005012C0">
      <w:pPr>
        <w:pStyle w:val="ManualNumPar1"/>
        <w:rPr>
          <w:noProof/>
        </w:rPr>
      </w:pPr>
      <w:r>
        <w:t>4.</w:t>
      </w:r>
      <w:r>
        <w:tab/>
      </w:r>
      <w:r>
        <w:rPr>
          <w:noProof/>
        </w:rPr>
        <w:t>Moldovan on maksettava kaikki kulut, joita unionille aiheutuu tämän päätöksen mukaisista lainanotto- ja lainanantotoimista.</w:t>
      </w:r>
    </w:p>
    <w:p w:rsidR="00D71B15" w:rsidRDefault="005012C0">
      <w:pPr>
        <w:pStyle w:val="ManualNumPar1"/>
        <w:rPr>
          <w:noProof/>
        </w:rPr>
      </w:pPr>
      <w:r>
        <w:t>5.</w:t>
      </w:r>
      <w:r>
        <w:tab/>
      </w:r>
      <w:r>
        <w:rPr>
          <w:noProof/>
        </w:rPr>
        <w:t>Komissio tiedottaa Euroopan parlamentil</w:t>
      </w:r>
      <w:r>
        <w:rPr>
          <w:noProof/>
        </w:rPr>
        <w:t>le ja neuvostolle 2 ja 3 kohdassa tarkoitettujen toimien etenemisestä.</w:t>
      </w:r>
    </w:p>
    <w:p w:rsidR="00D71B15" w:rsidRDefault="005012C0">
      <w:pPr>
        <w:pStyle w:val="Titrearticle"/>
        <w:rPr>
          <w:noProof/>
        </w:rPr>
      </w:pPr>
      <w:r>
        <w:rPr>
          <w:noProof/>
        </w:rPr>
        <w:t>6 artikla</w:t>
      </w:r>
    </w:p>
    <w:p w:rsidR="00D71B15" w:rsidRDefault="005012C0">
      <w:pPr>
        <w:pStyle w:val="ManualNumPar1"/>
        <w:rPr>
          <w:noProof/>
        </w:rPr>
      </w:pPr>
      <w:r>
        <w:t>1.</w:t>
      </w:r>
      <w:r>
        <w:tab/>
      </w:r>
      <w:r>
        <w:rPr>
          <w:noProof/>
        </w:rPr>
        <w:t>Unionin makrotaloudellisen rahoitusavun täytäntöönpanossa noudatetaan Euroopan parlamentin ja neuvoston asetusta (EU, Euratom) N:o 966/2012</w:t>
      </w:r>
      <w:r>
        <w:rPr>
          <w:rStyle w:val="FootnoteReference"/>
          <w:noProof/>
        </w:rPr>
        <w:footnoteReference w:id="9"/>
      </w:r>
      <w:r>
        <w:rPr>
          <w:noProof/>
        </w:rPr>
        <w:t xml:space="preserve"> ja </w:t>
      </w:r>
      <w:r>
        <w:rPr>
          <w:noProof/>
          <w:color w:val="000000"/>
        </w:rPr>
        <w:t xml:space="preserve">komission delegoitua </w:t>
      </w:r>
      <w:r>
        <w:rPr>
          <w:noProof/>
          <w:color w:val="000000"/>
        </w:rPr>
        <w:t>asetusta (EU) N:o 1268/2012</w:t>
      </w:r>
      <w:r>
        <w:rPr>
          <w:rStyle w:val="FootnoteReference"/>
          <w:noProof/>
        </w:rPr>
        <w:footnoteReference w:id="10"/>
      </w:r>
      <w:r>
        <w:rPr>
          <w:noProof/>
        </w:rPr>
        <w:t>.</w:t>
      </w:r>
    </w:p>
    <w:p w:rsidR="00D71B15" w:rsidRDefault="005012C0">
      <w:pPr>
        <w:pStyle w:val="ManualNumPar1"/>
        <w:rPr>
          <w:noProof/>
        </w:rPr>
      </w:pPr>
      <w:r>
        <w:t>2.</w:t>
      </w:r>
      <w:r>
        <w:tab/>
      </w:r>
      <w:r>
        <w:rPr>
          <w:noProof/>
        </w:rPr>
        <w:t xml:space="preserve">Unionin makrotaloudellinen rahoitusapu pannaan täytäntöön suoran hallinnoinnin avulla. </w:t>
      </w:r>
    </w:p>
    <w:p w:rsidR="00D71B15" w:rsidRDefault="005012C0">
      <w:pPr>
        <w:pStyle w:val="ManualNumPar1"/>
        <w:rPr>
          <w:noProof/>
        </w:rPr>
      </w:pPr>
      <w:r>
        <w:t>3.</w:t>
      </w:r>
      <w:r>
        <w:tab/>
      </w:r>
      <w:r>
        <w:rPr>
          <w:noProof/>
        </w:rPr>
        <w:t xml:space="preserve">Moldovan viranomaisten kanssa tehtävät lainasopimus ja avustussopimus sisältävät määräykset, joilla </w:t>
      </w:r>
    </w:p>
    <w:p w:rsidR="00D71B15" w:rsidRDefault="005012C0">
      <w:pPr>
        <w:pStyle w:val="Point1"/>
        <w:rPr>
          <w:noProof/>
        </w:rPr>
      </w:pPr>
      <w:r>
        <w:rPr>
          <w:noProof/>
        </w:rPr>
        <w:t>a)</w:t>
      </w:r>
      <w:r>
        <w:rPr>
          <w:noProof/>
        </w:rPr>
        <w:tab/>
        <w:t>varmistetaan, että Moldova t</w:t>
      </w:r>
      <w:r>
        <w:rPr>
          <w:noProof/>
        </w:rPr>
        <w:t>arkistaa säännöllisesti unionin talousarviosta myönnetyn rahoituksen käytön asianmukaisuuden, toteuttaa tarkoituksenmukaiset toimenpiteet väärinkäytösten ja petosten estämiseksi ja ryhtyy tarvittaessa oikeudellisiin toimenpiteisiin periäkseen takaisin mahd</w:t>
      </w:r>
      <w:r>
        <w:rPr>
          <w:noProof/>
        </w:rPr>
        <w:t>olliset tämän päätöksen nojalla myönnetyt varat, joita on käytetty väärin;</w:t>
      </w:r>
    </w:p>
    <w:p w:rsidR="00D71B15" w:rsidRDefault="005012C0">
      <w:pPr>
        <w:pStyle w:val="Point1"/>
        <w:rPr>
          <w:noProof/>
        </w:rPr>
      </w:pPr>
      <w:r>
        <w:rPr>
          <w:noProof/>
        </w:rPr>
        <w:t>b)</w:t>
      </w:r>
      <w:r>
        <w:rPr>
          <w:noProof/>
        </w:rPr>
        <w:tab/>
        <w:t>varmistetaan unionin taloudellisten etujen suojaaminen ja varsinkin määrätään erityistoimenpiteistä unionin makrotaloudelliseen rahoitusapuun kohdistuvien petosten, korruption ja</w:t>
      </w:r>
      <w:r>
        <w:rPr>
          <w:noProof/>
        </w:rPr>
        <w:t xml:space="preserve"> muiden sääntöjenvastaisuuksien estämiseksi ja torjumiseksi neuvoston asetuksen (EY, Euratom) N:o 2988/95</w:t>
      </w:r>
      <w:r>
        <w:rPr>
          <w:rStyle w:val="FootnoteReference"/>
          <w:noProof/>
        </w:rPr>
        <w:footnoteReference w:id="11"/>
      </w:r>
      <w:r>
        <w:rPr>
          <w:noProof/>
        </w:rPr>
        <w:t>, neuvoston asetuksen (Euratom, EY) N:o 2185/96</w:t>
      </w:r>
      <w:r>
        <w:rPr>
          <w:rStyle w:val="FootnoteReference"/>
          <w:noProof/>
        </w:rPr>
        <w:footnoteReference w:id="12"/>
      </w:r>
      <w:r>
        <w:rPr>
          <w:noProof/>
        </w:rPr>
        <w:t xml:space="preserve"> ja Euroopan parlamentin ja neuvoston asetuksen (EU, Euratom) N:o 883/2013</w:t>
      </w:r>
      <w:r>
        <w:rPr>
          <w:rStyle w:val="FootnoteReference"/>
          <w:noProof/>
        </w:rPr>
        <w:footnoteReference w:id="13"/>
      </w:r>
      <w:r>
        <w:rPr>
          <w:noProof/>
        </w:rPr>
        <w:t xml:space="preserve"> mukaisesti; </w:t>
      </w:r>
    </w:p>
    <w:p w:rsidR="00D71B15" w:rsidRDefault="005012C0">
      <w:pPr>
        <w:pStyle w:val="Point1"/>
        <w:rPr>
          <w:noProof/>
        </w:rPr>
      </w:pPr>
      <w:r>
        <w:rPr>
          <w:noProof/>
        </w:rPr>
        <w:t>c)</w:t>
      </w:r>
      <w:r>
        <w:rPr>
          <w:noProof/>
        </w:rPr>
        <w:tab/>
        <w:t>annetaan k</w:t>
      </w:r>
      <w:r>
        <w:rPr>
          <w:noProof/>
        </w:rPr>
        <w:t xml:space="preserve">omissiolle, myös Euroopan petostentorjuntavirastolle, tai sen edustajille nimenomaiset valtuudet suorittaa tarkastuksia, paikan päällä suoritettavat tarkastukset ja todentamiset mukaan lukien; </w:t>
      </w:r>
    </w:p>
    <w:p w:rsidR="00D71B15" w:rsidRDefault="005012C0">
      <w:pPr>
        <w:pStyle w:val="Point1"/>
        <w:rPr>
          <w:noProof/>
        </w:rPr>
      </w:pPr>
      <w:r>
        <w:rPr>
          <w:noProof/>
        </w:rPr>
        <w:t>d)</w:t>
      </w:r>
      <w:r>
        <w:rPr>
          <w:noProof/>
        </w:rPr>
        <w:tab/>
        <w:t>annetaan komissiolle ja Euroopan tilintarkastustuomioistuim</w:t>
      </w:r>
      <w:r>
        <w:rPr>
          <w:noProof/>
        </w:rPr>
        <w:t>elle nimenomaiset valtuudet suorittaa tarkastuksia aikana, jona unionin makrotaloudellinen rahoitusapu on saatavilla, ja sen jälkeen, mukaan lukien asiakirjatarkastukset ja paikan päällä tehtävät tarkastukset, esimerkiksi toiminnan arvioinnit;</w:t>
      </w:r>
    </w:p>
    <w:p w:rsidR="00D71B15" w:rsidRDefault="005012C0">
      <w:pPr>
        <w:pStyle w:val="Point1"/>
        <w:rPr>
          <w:noProof/>
        </w:rPr>
      </w:pPr>
      <w:r>
        <w:rPr>
          <w:noProof/>
        </w:rPr>
        <w:t>e)</w:t>
      </w:r>
      <w:r>
        <w:rPr>
          <w:noProof/>
        </w:rPr>
        <w:tab/>
      </w:r>
      <w:r>
        <w:rPr>
          <w:noProof/>
        </w:rPr>
        <w:t xml:space="preserve">varmistetaan, että unionilla on oikeus lainan aikaistettuun takaisinmaksuun ja/tai avustuksen täydelliseen takaisinmaksuun, jos on osoitettu, että Moldova on unionin makrotaloudellisen rahoitusavun hallinnoinnissa sekaantunut petokseen tai korruptioon tai </w:t>
      </w:r>
      <w:r>
        <w:rPr>
          <w:noProof/>
        </w:rPr>
        <w:t>mihin tahansa muuhun unionin taloudellisia etuja vahingoittavaan laittomaan toimintaan.</w:t>
      </w:r>
    </w:p>
    <w:p w:rsidR="00D71B15" w:rsidRDefault="005012C0">
      <w:pPr>
        <w:pStyle w:val="ManualNumPar1"/>
        <w:rPr>
          <w:noProof/>
        </w:rPr>
      </w:pPr>
      <w:r>
        <w:t>4.</w:t>
      </w:r>
      <w:r>
        <w:tab/>
      </w:r>
      <w:r>
        <w:rPr>
          <w:noProof/>
        </w:rPr>
        <w:t>Ennen unionin makrotaloudellisen rahoitusavun täytäntöönpanoa komissio selvittää toiminnan arvioinnin avulla, ovatko avun kannalta olennaiset Moldovan rahoitusjärjes</w:t>
      </w:r>
      <w:r>
        <w:rPr>
          <w:noProof/>
        </w:rPr>
        <w:t>telyt, hallintomenettelyt sekä sisäiset ja ulkoiset valvontamekanismit moitteettomia.</w:t>
      </w:r>
    </w:p>
    <w:p w:rsidR="00D71B15" w:rsidRDefault="005012C0">
      <w:pPr>
        <w:pStyle w:val="Titrearticle"/>
        <w:rPr>
          <w:noProof/>
        </w:rPr>
      </w:pPr>
      <w:r>
        <w:rPr>
          <w:noProof/>
        </w:rPr>
        <w:t>7 artikla</w:t>
      </w:r>
    </w:p>
    <w:p w:rsidR="00D71B15" w:rsidRDefault="005012C0">
      <w:pPr>
        <w:pStyle w:val="ManualNumPar1"/>
        <w:rPr>
          <w:noProof/>
        </w:rPr>
      </w:pPr>
      <w:r>
        <w:t>1.</w:t>
      </w:r>
      <w:r>
        <w:tab/>
      </w:r>
      <w:r>
        <w:rPr>
          <w:noProof/>
        </w:rPr>
        <w:t>Komissiota avustaa komitea. Tämä komitea on asetuksessa (EU) N:o 182/2011 tarkoitettu komitea.</w:t>
      </w:r>
    </w:p>
    <w:p w:rsidR="00D71B15" w:rsidRDefault="005012C0">
      <w:pPr>
        <w:pStyle w:val="ManualNumPar1"/>
        <w:rPr>
          <w:noProof/>
        </w:rPr>
      </w:pPr>
      <w:r>
        <w:t>2.</w:t>
      </w:r>
      <w:r>
        <w:tab/>
      </w:r>
      <w:r>
        <w:rPr>
          <w:noProof/>
        </w:rPr>
        <w:t>Kun viitataan tähän kohtaan, sovelletaan asetuksen (EU) N:o</w:t>
      </w:r>
      <w:r>
        <w:rPr>
          <w:noProof/>
        </w:rPr>
        <w:t xml:space="preserve"> 182/2011 5 artiklaa.</w:t>
      </w:r>
    </w:p>
    <w:p w:rsidR="00D71B15" w:rsidRDefault="005012C0">
      <w:pPr>
        <w:pStyle w:val="Titrearticle"/>
        <w:rPr>
          <w:noProof/>
        </w:rPr>
      </w:pPr>
      <w:r>
        <w:rPr>
          <w:noProof/>
        </w:rPr>
        <w:t>8 artikla</w:t>
      </w:r>
    </w:p>
    <w:p w:rsidR="00D71B15" w:rsidRDefault="005012C0">
      <w:pPr>
        <w:pStyle w:val="ManualNumPar1"/>
        <w:rPr>
          <w:noProof/>
        </w:rPr>
      </w:pPr>
      <w:r>
        <w:t>1.</w:t>
      </w:r>
      <w:r>
        <w:tab/>
      </w:r>
      <w:r>
        <w:rPr>
          <w:noProof/>
        </w:rPr>
        <w:t>Komissio antaa vuosittain viimeistään 30 päivänä kesäkuuta Euroopan parlamentille ja neuvostolle kertomuksen tämän päätöksen täytäntöönpanosta edellisen vuoden aikana, täytäntöönpanoa koskeva arviointi mukaan lukien. Kert</w:t>
      </w:r>
      <w:r>
        <w:rPr>
          <w:noProof/>
        </w:rPr>
        <w:t>omuksessa on</w:t>
      </w:r>
    </w:p>
    <w:p w:rsidR="00D71B15" w:rsidRDefault="005012C0">
      <w:pPr>
        <w:pStyle w:val="Point1"/>
        <w:rPr>
          <w:noProof/>
        </w:rPr>
      </w:pPr>
      <w:r>
        <w:rPr>
          <w:noProof/>
        </w:rPr>
        <w:t>a)</w:t>
      </w:r>
      <w:r>
        <w:rPr>
          <w:noProof/>
        </w:rPr>
        <w:tab/>
        <w:t>tarkasteltava unionin makrotaloudellisen rahoitusavun täytäntöönpanossa tapahtunutta edistystä;</w:t>
      </w:r>
    </w:p>
    <w:p w:rsidR="00D71B15" w:rsidRDefault="005012C0">
      <w:pPr>
        <w:pStyle w:val="Point1"/>
        <w:rPr>
          <w:noProof/>
        </w:rPr>
      </w:pPr>
      <w:r>
        <w:rPr>
          <w:noProof/>
        </w:rPr>
        <w:t>b)</w:t>
      </w:r>
      <w:r>
        <w:rPr>
          <w:noProof/>
        </w:rPr>
        <w:tab/>
        <w:t>arvioitava Moldovan taloustilannetta ja -näkymiä sekä edistymistä 3 artiklan 1 kohdassa tarkoitettujen toimenpiteiden toteuttamisessa;</w:t>
      </w:r>
    </w:p>
    <w:p w:rsidR="00D71B15" w:rsidRDefault="005012C0">
      <w:pPr>
        <w:pStyle w:val="Point1"/>
        <w:rPr>
          <w:noProof/>
        </w:rPr>
      </w:pPr>
      <w:r>
        <w:rPr>
          <w:noProof/>
        </w:rPr>
        <w:t>c)</w:t>
      </w:r>
      <w:r>
        <w:rPr>
          <w:noProof/>
        </w:rPr>
        <w:tab/>
        <w:t>oso</w:t>
      </w:r>
      <w:r>
        <w:rPr>
          <w:noProof/>
        </w:rPr>
        <w:t>itettava yhteys yhteisymmärryspöytäkirjassa vahvistettujen talouspoliittisten ehtojen, Moldovassa meneillään olevan talous- ja finanssipoliittisen kehityksen sekä unionin makrotaloudellisen rahoitusavun erien maksamista koskevien komission päätösten välill</w:t>
      </w:r>
      <w:r>
        <w:rPr>
          <w:noProof/>
        </w:rPr>
        <w:t>ä.</w:t>
      </w:r>
    </w:p>
    <w:p w:rsidR="00D71B15" w:rsidRDefault="005012C0">
      <w:pPr>
        <w:pStyle w:val="ManualNumPar1"/>
        <w:rPr>
          <w:noProof/>
        </w:rPr>
      </w:pPr>
      <w:r>
        <w:t>2.</w:t>
      </w:r>
      <w:r>
        <w:tab/>
      </w:r>
      <w:r>
        <w:rPr>
          <w:noProof/>
        </w:rPr>
        <w:t>Komissio toimittaa Euroopan parlamentille ja neuvostolle viimeistään kahden vuoden kuluttua 1 artiklan 4 kohdassa tarkoitetun saatavuusajan päättymisestä jälkiarviointikertomuksen, jossa arvioidaan päätökseen saadun unionin makrotaloudellisen rahoitu</w:t>
      </w:r>
      <w:r>
        <w:rPr>
          <w:noProof/>
        </w:rPr>
        <w:t>savun tuloksia ja tehokkuutta ja sitä, missä määrin rahoitusapu on myötävaikuttanut sille asetettujen tavoitteiden saavuttamiseen.</w:t>
      </w:r>
    </w:p>
    <w:p w:rsidR="00D71B15" w:rsidRDefault="005012C0">
      <w:pPr>
        <w:pStyle w:val="Titrearticle"/>
        <w:rPr>
          <w:noProof/>
        </w:rPr>
      </w:pPr>
      <w:r>
        <w:rPr>
          <w:noProof/>
        </w:rPr>
        <w:t>9 artikla</w:t>
      </w:r>
    </w:p>
    <w:p w:rsidR="00D71B15" w:rsidRDefault="005012C0">
      <w:pPr>
        <w:keepNext/>
        <w:keepLines/>
        <w:rPr>
          <w:noProof/>
        </w:rPr>
      </w:pPr>
      <w:r>
        <w:rPr>
          <w:noProof/>
        </w:rPr>
        <w:t xml:space="preserve">Tämä päätös tulee voimaan kolmantena päivänä sen jälkeen, kun se on julkaistu </w:t>
      </w:r>
      <w:r>
        <w:rPr>
          <w:i/>
          <w:noProof/>
        </w:rPr>
        <w:t>Euroopan unionin virallisessa lehdess</w:t>
      </w:r>
      <w:r>
        <w:rPr>
          <w:i/>
          <w:noProof/>
        </w:rPr>
        <w:t>ä</w:t>
      </w:r>
      <w:r>
        <w:rPr>
          <w:noProof/>
        </w:rPr>
        <w:t>.</w:t>
      </w:r>
    </w:p>
    <w:p w:rsidR="00D71B15" w:rsidRDefault="005012C0">
      <w:pPr>
        <w:pStyle w:val="Fait"/>
        <w:rPr>
          <w:noProof/>
        </w:rPr>
      </w:pPr>
      <w:r>
        <w:rPr>
          <w:noProof/>
        </w:rPr>
        <w:t>Tehty Brysselissä</w:t>
      </w:r>
    </w:p>
    <w:p w:rsidR="00D71B15" w:rsidRDefault="005012C0">
      <w:pPr>
        <w:pStyle w:val="Institutionquisigne"/>
        <w:rPr>
          <w:noProof/>
        </w:rPr>
      </w:pPr>
      <w:r>
        <w:rPr>
          <w:noProof/>
        </w:rPr>
        <w:t>Euroopan parlamentin puolesta</w:t>
      </w:r>
      <w:r>
        <w:rPr>
          <w:noProof/>
        </w:rPr>
        <w:tab/>
      </w:r>
      <w:r>
        <w:rPr>
          <w:noProof/>
        </w:rPr>
        <w:tab/>
      </w:r>
      <w:r>
        <w:rPr>
          <w:noProof/>
        </w:rPr>
        <w:tab/>
      </w:r>
      <w:r>
        <w:rPr>
          <w:noProof/>
        </w:rPr>
        <w:tab/>
        <w:t>Neuvoston puolesta</w:t>
      </w:r>
    </w:p>
    <w:p w:rsidR="00D71B15" w:rsidRDefault="005012C0">
      <w:pPr>
        <w:pStyle w:val="Personnequisigne"/>
        <w:rPr>
          <w:noProof/>
        </w:rPr>
      </w:pPr>
      <w:r>
        <w:rPr>
          <w:noProof/>
        </w:rPr>
        <w:t>Puhemies</w:t>
      </w:r>
      <w:r>
        <w:rPr>
          <w:noProof/>
        </w:rPr>
        <w:tab/>
      </w:r>
      <w:r>
        <w:rPr>
          <w:noProof/>
        </w:rPr>
        <w:tab/>
      </w:r>
      <w:r>
        <w:rPr>
          <w:noProof/>
        </w:rPr>
        <w:tab/>
      </w:r>
      <w:r>
        <w:rPr>
          <w:noProof/>
        </w:rPr>
        <w:tab/>
        <w:t>Puheenjohtaja</w:t>
      </w:r>
    </w:p>
    <w:p w:rsidR="00D71B15" w:rsidRDefault="00D71B15">
      <w:pPr>
        <w:pStyle w:val="Sectionbreak"/>
        <w:sectPr w:rsidR="00D71B15">
          <w:pgSz w:w="11907" w:h="16840" w:code="9"/>
          <w:pgMar w:top="1418" w:right="1134" w:bottom="1418" w:left="1134" w:header="709" w:footer="709" w:gutter="0"/>
          <w:cols w:space="708"/>
          <w:docGrid w:linePitch="360"/>
        </w:sectPr>
      </w:pPr>
    </w:p>
    <w:p w:rsidR="00D71B15" w:rsidRDefault="005012C0">
      <w:pPr>
        <w:pStyle w:val="Fichefinanciretitre"/>
        <w:rPr>
          <w:noProof/>
        </w:rPr>
      </w:pPr>
      <w:r>
        <w:rPr>
          <w:noProof/>
        </w:rPr>
        <w:t>SÄÄDÖSEHDOTUKSEEN LIITTYVÄ RAHOITUSSELVITYS</w:t>
      </w:r>
    </w:p>
    <w:p w:rsidR="00D71B15" w:rsidRDefault="005012C0">
      <w:pPr>
        <w:pStyle w:val="ManualNumPar1"/>
        <w:rPr>
          <w:noProof/>
        </w:rPr>
      </w:pPr>
      <w:r>
        <w:t>1.</w:t>
      </w:r>
      <w:r>
        <w:tab/>
      </w:r>
      <w:r>
        <w:rPr>
          <w:noProof/>
        </w:rPr>
        <w:t xml:space="preserve">PERUSTIEDOT EHDOTUKSESTA/ALOITTEESTA </w:t>
      </w:r>
    </w:p>
    <w:p w:rsidR="00D71B15" w:rsidRDefault="005012C0">
      <w:pPr>
        <w:pStyle w:val="Heading30"/>
        <w:rPr>
          <w:b/>
        </w:rPr>
      </w:pPr>
      <w:r>
        <w:rPr>
          <w:b/>
        </w:rPr>
        <w:t>1.1.</w:t>
      </w:r>
      <w:r>
        <w:tab/>
      </w:r>
      <w:r>
        <w:rPr>
          <w:b/>
        </w:rPr>
        <w:t xml:space="preserve">Ehdotuksen/aloitteen nimi </w:t>
      </w:r>
    </w:p>
    <w:p w:rsidR="00D71B15" w:rsidRDefault="005012C0">
      <w:pPr>
        <w:pStyle w:val="Text1"/>
        <w:rPr>
          <w:noProof/>
        </w:rPr>
      </w:pPr>
      <w:r>
        <w:rPr>
          <w:noProof/>
        </w:rPr>
        <w:t xml:space="preserve">Ehdotus Euroopan parlamentin ja neuvoston päätökseksi makrotaloudellisen rahoitusavun myöntämisestä Moldovan tasavallalle </w:t>
      </w:r>
    </w:p>
    <w:p w:rsidR="00D71B15" w:rsidRDefault="005012C0">
      <w:pPr>
        <w:pStyle w:val="Heading30"/>
        <w:rPr>
          <w:b/>
        </w:rPr>
      </w:pPr>
      <w:r>
        <w:rPr>
          <w:b/>
        </w:rPr>
        <w:t>1.2.</w:t>
      </w:r>
      <w:r>
        <w:tab/>
      </w:r>
      <w:r>
        <w:rPr>
          <w:b/>
        </w:rPr>
        <w:t>Toimintalohko(t) toimintoperusteisessa johtamis- ja budjetointijärjestelmässä (ABM/ABB)</w:t>
      </w:r>
      <w:r>
        <w:rPr>
          <w:rStyle w:val="FootnoteReference"/>
          <w:b/>
        </w:rPr>
        <w:footnoteReference w:id="14"/>
      </w:r>
      <w:r>
        <w:rPr>
          <w:b/>
        </w:rPr>
        <w:t xml:space="preserve"> </w:t>
      </w:r>
    </w:p>
    <w:p w:rsidR="00D71B15" w:rsidRDefault="005012C0">
      <w:pPr>
        <w:pStyle w:val="Text1"/>
        <w:rPr>
          <w:noProof/>
        </w:rPr>
      </w:pPr>
      <w:r>
        <w:rPr>
          <w:noProof/>
        </w:rPr>
        <w:t>Toimintalohko:</w:t>
      </w:r>
      <w:r>
        <w:rPr>
          <w:noProof/>
        </w:rPr>
        <w:tab/>
        <w:t xml:space="preserve">Osasto 01 – Talous- ja </w:t>
      </w:r>
      <w:r>
        <w:rPr>
          <w:noProof/>
        </w:rPr>
        <w:t>rahoitusasiat</w:t>
      </w:r>
    </w:p>
    <w:p w:rsidR="00D71B15" w:rsidRDefault="005012C0">
      <w:pPr>
        <w:pStyle w:val="Text1"/>
        <w:rPr>
          <w:noProof/>
        </w:rPr>
      </w:pPr>
      <w:r>
        <w:rPr>
          <w:noProof/>
        </w:rPr>
        <w:t>Toiminto:</w:t>
      </w:r>
      <w:r>
        <w:rPr>
          <w:noProof/>
        </w:rPr>
        <w:tab/>
      </w:r>
      <w:r>
        <w:rPr>
          <w:noProof/>
        </w:rPr>
        <w:tab/>
        <w:t>03 – Kansainväliset talous- ja rahoitusasiat</w:t>
      </w:r>
    </w:p>
    <w:p w:rsidR="00D71B15" w:rsidRDefault="005012C0">
      <w:pPr>
        <w:pStyle w:val="Heading30"/>
        <w:rPr>
          <w:b/>
        </w:rPr>
      </w:pPr>
      <w:r>
        <w:rPr>
          <w:b/>
        </w:rPr>
        <w:t>1.3.</w:t>
      </w:r>
      <w:r>
        <w:tab/>
      </w:r>
      <w:r>
        <w:rPr>
          <w:b/>
        </w:rPr>
        <w:t xml:space="preserve">Ehdotuksen/aloitteen luonne </w:t>
      </w:r>
    </w:p>
    <w:p w:rsidR="00D71B15" w:rsidRDefault="005012C0">
      <w:pPr>
        <w:pStyle w:val="Text1"/>
        <w:rPr>
          <w:b/>
          <w:noProof/>
        </w:rPr>
      </w:pPr>
      <w:r>
        <w:rPr>
          <w:noProof/>
        </w:rPr>
        <w:t xml:space="preserve">X Ehdotus/aloite liittyy </w:t>
      </w:r>
      <w:r>
        <w:rPr>
          <w:b/>
          <w:noProof/>
        </w:rPr>
        <w:t>uuteen toimeen</w:t>
      </w:r>
      <w:r>
        <w:rPr>
          <w:noProof/>
        </w:rPr>
        <w:t>.</w:t>
      </w:r>
      <w:r>
        <w:rPr>
          <w:b/>
          <w:noProof/>
        </w:rPr>
        <w:t xml:space="preserve"> </w:t>
      </w:r>
    </w:p>
    <w:p w:rsidR="00D71B15" w:rsidRDefault="005012C0">
      <w:pPr>
        <w:pStyle w:val="Heading30"/>
        <w:rPr>
          <w:b/>
        </w:rPr>
      </w:pPr>
      <w:r>
        <w:rPr>
          <w:b/>
        </w:rPr>
        <w:t>1.4.</w:t>
      </w:r>
      <w:r>
        <w:tab/>
      </w:r>
      <w:r>
        <w:rPr>
          <w:b/>
        </w:rPr>
        <w:t>Tavoitteet</w:t>
      </w:r>
    </w:p>
    <w:p w:rsidR="00D71B15" w:rsidRDefault="005012C0">
      <w:pPr>
        <w:pStyle w:val="Heading40"/>
        <w:ind w:left="720" w:hanging="720"/>
        <w:rPr>
          <w:b/>
        </w:rPr>
      </w:pPr>
      <w:r>
        <w:t>1.4.1.</w:t>
      </w:r>
      <w:r>
        <w:tab/>
        <w:t>Komission monivuotinen strateginen tavoite (monivuotiset strategiset tavoitteet), jonka</w:t>
      </w:r>
      <w:r>
        <w:t xml:space="preserve"> (joiden) saavuttamista ehdotus/aloite tukee</w:t>
      </w:r>
      <w:r>
        <w:rPr>
          <w:b/>
        </w:rPr>
        <w:t xml:space="preserve"> </w:t>
      </w:r>
    </w:p>
    <w:p w:rsidR="00D71B15" w:rsidRDefault="005012C0">
      <w:pPr>
        <w:pStyle w:val="Text1"/>
        <w:rPr>
          <w:noProof/>
        </w:rPr>
      </w:pPr>
      <w:r>
        <w:rPr>
          <w:noProof/>
        </w:rPr>
        <w:t>”Uutta pontta työllisyyteen, kasvuun ja investointeihin: Hyvinvoinnin edistäminen EU:n rajojen ulkopuolella”</w:t>
      </w:r>
    </w:p>
    <w:p w:rsidR="00D71B15" w:rsidRDefault="005012C0">
      <w:pPr>
        <w:pStyle w:val="Text1"/>
        <w:rPr>
          <w:noProof/>
        </w:rPr>
      </w:pPr>
      <w:r>
        <w:rPr>
          <w:noProof/>
        </w:rPr>
        <w:t xml:space="preserve">Talouden ja rahoituksen pääosaston (PO ECFIN) keskeinen toiminta-alue: </w:t>
      </w:r>
    </w:p>
    <w:p w:rsidR="00D71B15" w:rsidRDefault="005012C0">
      <w:pPr>
        <w:pStyle w:val="Text1"/>
        <w:rPr>
          <w:noProof/>
        </w:rPr>
      </w:pPr>
      <w:r>
        <w:rPr>
          <w:noProof/>
        </w:rPr>
        <w:t xml:space="preserve">1. Euroopan </w:t>
      </w:r>
      <w:r>
        <w:rPr>
          <w:noProof/>
        </w:rPr>
        <w:t>naapuruuspolitiikan täytäntöönpanon edistäminen syventämällä taloudellista analyysia sekä lujittamalla poliittista vuoropuhelua ja toimintasuunnitelmien taloudellisia osa-alueita koskevaa neuvontaa.</w:t>
      </w:r>
    </w:p>
    <w:p w:rsidR="00D71B15" w:rsidRDefault="005012C0">
      <w:pPr>
        <w:pStyle w:val="Text1"/>
        <w:rPr>
          <w:noProof/>
        </w:rPr>
      </w:pPr>
      <w:r>
        <w:rPr>
          <w:noProof/>
        </w:rPr>
        <w:t>2. Kolmansille kumppanimaille suunnatun makrotaloudellise</w:t>
      </w:r>
      <w:r>
        <w:rPr>
          <w:noProof/>
        </w:rPr>
        <w:t xml:space="preserve">n rahoitusavun kehittäminen, seuranta ja täytäntöönpano yhteistyössä asianomaisten kansainvälisten rahoituslaitosten kanssa. </w:t>
      </w:r>
    </w:p>
    <w:p w:rsidR="00D71B15" w:rsidRDefault="005012C0">
      <w:pPr>
        <w:pStyle w:val="Heading40"/>
        <w:ind w:left="720" w:hanging="720"/>
      </w:pPr>
      <w:r>
        <w:t>1.4.2.</w:t>
      </w:r>
      <w:r>
        <w:tab/>
        <w:t>Erityistavoite (erityistavoitteet) sekä toiminto (toiminnot) toimintoperusteisessa johtamis- ja budjetointijärjestelmässä</w:t>
      </w:r>
    </w:p>
    <w:p w:rsidR="00D71B15" w:rsidRDefault="005012C0">
      <w:pPr>
        <w:pStyle w:val="Text1"/>
        <w:rPr>
          <w:noProof/>
        </w:rPr>
      </w:pPr>
      <w:r>
        <w:rPr>
          <w:noProof/>
          <w:u w:val="single"/>
        </w:rPr>
        <w:t>E</w:t>
      </w:r>
      <w:r>
        <w:rPr>
          <w:noProof/>
          <w:u w:val="single"/>
        </w:rPr>
        <w:t>rityistavoite nro 1:</w:t>
      </w:r>
      <w:r>
        <w:rPr>
          <w:noProof/>
        </w:rPr>
        <w:t xml:space="preserve"> Hyvinvoinnin edistäminen EU:n rajojen ulkopuolella: vakaan makrotalouden ja kasvua edistävien uudistusten tukeminen EU:n ulkopuolella muun muassa käymällä tärkeimpien kumppaneiden kanssa säännöllistä vuoropuhelua taloudesta ja myöntämä</w:t>
      </w:r>
      <w:r>
        <w:rPr>
          <w:noProof/>
        </w:rPr>
        <w:t>llä makrotaloudellista rahoitusapua.</w:t>
      </w:r>
    </w:p>
    <w:p w:rsidR="00D71B15" w:rsidRDefault="005012C0">
      <w:pPr>
        <w:pStyle w:val="Text1"/>
        <w:rPr>
          <w:bCs/>
          <w:noProof/>
        </w:rPr>
      </w:pPr>
      <w:r>
        <w:rPr>
          <w:noProof/>
          <w:u w:val="single"/>
        </w:rPr>
        <w:t>Toiminto (toiminnot) toimintoperusteisessa johtamis- ja budjetointijärjestelmässä:</w:t>
      </w:r>
      <w:r>
        <w:rPr>
          <w:noProof/>
        </w:rPr>
        <w:t xml:space="preserve"> Kansainväliset talous- ja rahoitusasiat. </w:t>
      </w:r>
    </w:p>
    <w:p w:rsidR="00D71B15" w:rsidRDefault="005012C0">
      <w:pPr>
        <w:pStyle w:val="Heading40"/>
        <w:rPr>
          <w:b/>
        </w:rPr>
      </w:pPr>
      <w:r>
        <w:t>1.4.3.</w:t>
      </w:r>
      <w:r>
        <w:tab/>
        <w:t>Odotettavissa olevat tulokset ja vaikutukset</w:t>
      </w:r>
    </w:p>
    <w:p w:rsidR="00D71B15" w:rsidRDefault="005012C0">
      <w:pPr>
        <w:pStyle w:val="Text1"/>
        <w:rPr>
          <w:b/>
          <w:noProof/>
          <w:u w:val="single"/>
        </w:rPr>
      </w:pPr>
      <w:r>
        <w:rPr>
          <w:noProof/>
        </w:rPr>
        <w:t>Ehdotettu rahoitusapu Moldovan tasavallall</w:t>
      </w:r>
      <w:r>
        <w:rPr>
          <w:noProof/>
        </w:rPr>
        <w:t>e, jäljempänä ’Moldova’, muodostuu EU:n myöntämästä enintään 60 miljoonan euron lainasta ja enintään 40 miljoonan euron avustuksesta, joilla pyritään parantamaan maksutaseen kestävyyttä. Rahoitusavulla, joka maksetaan kolmena eränä, autetaan maata selviämä</w:t>
      </w:r>
      <w:r>
        <w:rPr>
          <w:noProof/>
        </w:rPr>
        <w:t xml:space="preserve">än nykyisestä vaikeasta talous- ja maksutasetilanteestaan. Lisäksi sillä edistetään rakenneuudistuksia, joilla pyritään vauhdittamaan kestävää talouskasvua, vähentämään makrotalouden haavoittuvuutta ja parantamaan julkista varainhoitoa. </w:t>
      </w:r>
    </w:p>
    <w:p w:rsidR="00D71B15" w:rsidRDefault="005012C0">
      <w:pPr>
        <w:pStyle w:val="Heading40"/>
      </w:pPr>
      <w:r>
        <w:t>1.4.4.</w:t>
      </w:r>
      <w:r>
        <w:tab/>
        <w:t>Tulos- ja v</w:t>
      </w:r>
      <w:r>
        <w:t xml:space="preserve">aikutusindikaattorit </w:t>
      </w:r>
    </w:p>
    <w:p w:rsidR="00D71B15" w:rsidRDefault="005012C0">
      <w:pPr>
        <w:pStyle w:val="Text1"/>
        <w:rPr>
          <w:noProof/>
        </w:rPr>
      </w:pPr>
      <w:r>
        <w:rPr>
          <w:noProof/>
        </w:rPr>
        <w:t>Viranomaisten edellytetään ilmoittavan komission yksiköille tiedot määrätyistä indikaattoreista säännöllisesti ja esittävän kattavan raportin sovittujen poliittisten ehtojen noudattamisesta aina ennen kuin kukin kolmesta rahoitusapuer</w:t>
      </w:r>
      <w:r>
        <w:rPr>
          <w:noProof/>
        </w:rPr>
        <w:t xml:space="preserve">ästä voidaan maksaa. </w:t>
      </w:r>
    </w:p>
    <w:p w:rsidR="00D71B15" w:rsidRDefault="005012C0">
      <w:pPr>
        <w:pStyle w:val="Text1"/>
        <w:rPr>
          <w:noProof/>
        </w:rPr>
      </w:pPr>
      <w:r>
        <w:rPr>
          <w:noProof/>
        </w:rPr>
        <w:t>Komission yksiköt jatkavat julkisen varainhoidon seurantaa sen jälkeen, kun rahoitusketjujen ja hallintomenettelyjen toiminta Moldovassa on arvioitu. Arviointi on toteutettu osana tämän rahoitusavun valmistelua. Myös EU:n edustusto Mo</w:t>
      </w:r>
      <w:r>
        <w:rPr>
          <w:noProof/>
        </w:rPr>
        <w:t xml:space="preserve">ldovassa raportoi säännöllisesti rahoitusavun seurannan kannalta olennaisista asioista. Komission yksiköt ovat tiiviissä yhteydessä IMF:ään ja Maailmanpankkiin hyötyäkseen näkemyksistä, joita niillä on Moldovassa parhaillaan toteuttamistaan toimista. </w:t>
      </w:r>
    </w:p>
    <w:p w:rsidR="00D71B15" w:rsidRDefault="005012C0">
      <w:pPr>
        <w:pStyle w:val="Text1"/>
        <w:rPr>
          <w:noProof/>
        </w:rPr>
      </w:pPr>
      <w:r>
        <w:rPr>
          <w:noProof/>
        </w:rPr>
        <w:t>Ehdo</w:t>
      </w:r>
      <w:r>
        <w:rPr>
          <w:noProof/>
        </w:rPr>
        <w:t>tetussa päätöksessä säädetään Euroopan parlamentille ja neuvostolle vuosittain annettavasta kertomuksesta, joka sisältää arvion tämän rahoitusaputoimen täytäntöönpanosta. Rahoitusavusta laaditaan riippumaton jälkiarviointi kahden vuoden kuluessa saatavuusa</w:t>
      </w:r>
      <w:r>
        <w:rPr>
          <w:noProof/>
        </w:rPr>
        <w:t>jan päättymisestä.</w:t>
      </w:r>
    </w:p>
    <w:p w:rsidR="00D71B15" w:rsidRDefault="005012C0">
      <w:pPr>
        <w:pStyle w:val="Heading30"/>
        <w:rPr>
          <w:b/>
        </w:rPr>
      </w:pPr>
      <w:r>
        <w:rPr>
          <w:b/>
        </w:rPr>
        <w:t>1.5.</w:t>
      </w:r>
      <w:r>
        <w:tab/>
      </w:r>
      <w:r>
        <w:rPr>
          <w:b/>
        </w:rPr>
        <w:t xml:space="preserve">Ehdotuksen/aloitteen perustelut </w:t>
      </w:r>
    </w:p>
    <w:p w:rsidR="00D71B15" w:rsidRDefault="005012C0">
      <w:pPr>
        <w:pStyle w:val="Heading40"/>
        <w:rPr>
          <w:b/>
        </w:rPr>
      </w:pPr>
      <w:r>
        <w:t>1.5.1.</w:t>
      </w:r>
      <w:r>
        <w:tab/>
        <w:t>Tarpeet, joihin ehdotuksella/aloitteella vastataan lyhyellä tai pitkällä aikavälillä</w:t>
      </w:r>
      <w:r>
        <w:rPr>
          <w:b/>
        </w:rPr>
        <w:t xml:space="preserve"> </w:t>
      </w:r>
    </w:p>
    <w:p w:rsidR="00D71B15" w:rsidRDefault="005012C0">
      <w:pPr>
        <w:pStyle w:val="Text1"/>
        <w:rPr>
          <w:noProof/>
        </w:rPr>
      </w:pPr>
      <w:r>
        <w:rPr>
          <w:noProof/>
        </w:rPr>
        <w:t>Rahoitusavun maksamisen ehtona on, että Moldova edistyy tyydyttävästi IMF:n kanssa sopimansa talousohjelma</w:t>
      </w:r>
      <w:r>
        <w:rPr>
          <w:noProof/>
        </w:rPr>
        <w:t xml:space="preserve">n toteutuksessa. IMF:n johtokunta hyväksyi ohjelman 7. marraskuuta 2016 Moldovan viranomaisten toteutettua useita etukäteistoimia. Lisäksi komissio sopii Moldovan viranomaisten kanssa yhteisymmärryspöytäkirjassa luetelluista poliittisista erityisehdoista, </w:t>
      </w:r>
      <w:r>
        <w:rPr>
          <w:noProof/>
        </w:rPr>
        <w:t xml:space="preserve">jotka on täytettävä tyydyttävästi, ennen kuin komissio maksaa kunkin kolmesta rahoitusapuerästä. </w:t>
      </w:r>
    </w:p>
    <w:p w:rsidR="00D71B15" w:rsidRDefault="005012C0">
      <w:pPr>
        <w:pStyle w:val="Heading40"/>
      </w:pPr>
      <w:r>
        <w:t>1.5.2.</w:t>
      </w:r>
      <w:r>
        <w:tab/>
        <w:t>EU:n osallistumisesta saatava lisäarvo</w:t>
      </w:r>
    </w:p>
    <w:p w:rsidR="00D71B15" w:rsidRDefault="005012C0">
      <w:pPr>
        <w:pStyle w:val="Text1"/>
        <w:rPr>
          <w:noProof/>
        </w:rPr>
      </w:pPr>
      <w:r>
        <w:rPr>
          <w:noProof/>
        </w:rPr>
        <w:t>Ehdotetulla makrotaloudellisella rahoitusavulla autetaan Moldovaa selviämään taloudellisista sokeista, jotka joh</w:t>
      </w:r>
      <w:r>
        <w:rPr>
          <w:noProof/>
        </w:rPr>
        <w:t>tuvat julkisen talouden rahoitusaseman ja maksutasetilanteen heikentymisestä marraskuussa 2014 tapahtuneen huomattavan pankkipetoksen jälkeen sekä viennin ja rahalähetysten supistumisesta joissakin Moldovan keskeisissä lähialueen kauppakumppanimaissa valli</w:t>
      </w:r>
      <w:r>
        <w:rPr>
          <w:noProof/>
        </w:rPr>
        <w:t>tsevan taantuman vuoksi. Näin se edistää osaltaan makrotalouden vakautta ja maassa toteutettavia rakenteellisia uudistuksia. Rahoitusapu parantaa kansainvälisen avunantajayhteisön tarjoaman rahoitustukipaketin kokonaisvaikutuksia täydentämällä kansainvälis</w:t>
      </w:r>
      <w:r>
        <w:rPr>
          <w:noProof/>
        </w:rPr>
        <w:t xml:space="preserve">ten rahoituslaitosten, EU:n ja muiden avunantajien myöntämiä resursseja. </w:t>
      </w:r>
    </w:p>
    <w:p w:rsidR="00D71B15" w:rsidRDefault="005012C0">
      <w:pPr>
        <w:pStyle w:val="Text1"/>
        <w:rPr>
          <w:noProof/>
        </w:rPr>
      </w:pPr>
      <w:r>
        <w:rPr>
          <w:noProof/>
        </w:rPr>
        <w:t>Ehdotettu ohjelma lujittaa myös maan hallituksen sitoutumista uudistuksiin ja pyrkimystä tiivistää suhteita EU:hun. Näihin tavoitteisiin päästään muun muassa siten, että rahoitusavun</w:t>
      </w:r>
      <w:r>
        <w:rPr>
          <w:noProof/>
        </w:rPr>
        <w:t xml:space="preserve"> maksamiselle asetetaan asianmukaiset ehdot. Laajemmin tarkastellen ohjelma osoittaa alueen muille maille, että EU tukee jatkossakin maita, jotka ryhtyvät määrätietoisesti ajamaan poliittisia uudistuksia taloudellisesti vaikeina aikoina.</w:t>
      </w:r>
    </w:p>
    <w:p w:rsidR="00D71B15" w:rsidRDefault="005012C0">
      <w:pPr>
        <w:pStyle w:val="Heading40"/>
      </w:pPr>
      <w:r>
        <w:t>1.5.3.</w:t>
      </w:r>
      <w:r>
        <w:tab/>
        <w:t>Vastaavista</w:t>
      </w:r>
      <w:r>
        <w:t xml:space="preserve"> toimista saadut kokemukset</w:t>
      </w:r>
    </w:p>
    <w:p w:rsidR="00D71B15" w:rsidRDefault="005012C0">
      <w:pPr>
        <w:pStyle w:val="Text1"/>
        <w:rPr>
          <w:noProof/>
        </w:rPr>
      </w:pPr>
      <w:r>
        <w:rPr>
          <w:noProof/>
        </w:rPr>
        <w:t>Makrotaloudellisista rahoitusaputoimista on laadittu vuodesta 2004 lähtien yhteensä 16 jälkiarviointia. Arviointien mukaan makrotaloudellinen rahoitusapu edistää osaltaan – vaikkakin toisinaan vaatimattomasti ja epäsuorasti – ul</w:t>
      </w:r>
      <w:r>
        <w:rPr>
          <w:noProof/>
        </w:rPr>
        <w:t>koisen kestävyyden kohentumista, makrotalouden vakautta ja rakenneuudistusten toteuttamista avunsaajamaassa. Useimmissa tapauksissa makrotaloudellinen rahoitusapu on vaikuttanut myönteisesti avunsaajamaan maksutaseeseen ja auttanut höllentämään budjettiraj</w:t>
      </w:r>
      <w:r>
        <w:rPr>
          <w:noProof/>
        </w:rPr>
        <w:t>oitteita. Rahoitusavun ansiosta myös talouskasvu on ollut hieman nopeampaa.</w:t>
      </w:r>
      <w:r>
        <w:rPr>
          <w:rStyle w:val="FootnoteReference"/>
          <w:noProof/>
        </w:rPr>
        <w:footnoteReference w:id="15"/>
      </w:r>
      <w:r>
        <w:rPr>
          <w:rStyle w:val="CommentReference"/>
          <w:noProof/>
        </w:rPr>
        <w:t xml:space="preserve"> </w:t>
      </w:r>
    </w:p>
    <w:p w:rsidR="00D71B15" w:rsidRDefault="005012C0">
      <w:pPr>
        <w:pStyle w:val="Heading40"/>
      </w:pPr>
      <w:r>
        <w:t>1.5.4.</w:t>
      </w:r>
      <w:r>
        <w:tab/>
        <w:t>Yhteensopivuus muiden kyseeseen tulevien välineiden kanssa ja mahdolliset synergiaedut</w:t>
      </w:r>
    </w:p>
    <w:p w:rsidR="00D71B15" w:rsidRDefault="005012C0">
      <w:pPr>
        <w:pStyle w:val="Text1"/>
        <w:rPr>
          <w:noProof/>
        </w:rPr>
      </w:pPr>
      <w:r>
        <w:rPr>
          <w:noProof/>
        </w:rPr>
        <w:t xml:space="preserve">EU on Moldovan suurin avunantaja. Moldovalle myönnettiin vuosina 2007–2013 yhteensä </w:t>
      </w:r>
      <w:r>
        <w:rPr>
          <w:noProof/>
        </w:rPr>
        <w:t>561 miljoonaa euroa rahoitusapua eurooppalaisesta naapuruuden ja kumppanuuden välineestä (ENPI). Tähän sisältyi 63 miljoonaa euroa, jotka myönnettiin vuosina 2012–2013 kannustimiin perustuvan, itäistä kumppanuutta koskevan integraatio- ja yhteistyöohjelman</w:t>
      </w:r>
      <w:r>
        <w:rPr>
          <w:noProof/>
        </w:rPr>
        <w:t xml:space="preserve"> (EaPIC) kautta. Euroopan naapuruusvälineen (ENI) kautta vuosina 2014–2016 toteutettu EU:n apu Moldovalle oli puolestaan 310 miljoonaa euroa. Näitä varoja täydennettiin rahoituksella EU:n muista välineistä, kuten naapuruuspolitiikan investointivälineestä. </w:t>
      </w:r>
      <w:r>
        <w:rPr>
          <w:noProof/>
        </w:rPr>
        <w:t>Kahdenvälisten yhteistyöohjelmien lisäksi Moldova on osallisena useissa alueellisissa ohjelmissa lähinnä liikenteen, energian ja ympäristön alalla. Moldova osallistuu myös kaikille naapuruusmaille avoimiin aloitteisiin, kuten Erasmus+, TAIEX ja SIGMA. ENI:</w:t>
      </w:r>
      <w:r>
        <w:rPr>
          <w:noProof/>
        </w:rPr>
        <w:t>n lisäksi Moldova voi saada rahoitusta EU:n temaattisista välineistä ja ohjelmista, kuten demokratiaa ja ihmisoikeuksia koskevasta eurooppalaisesta rahoitusvälineestä (EIDHR), vakautta ja rauhaa edistävästä välineestä (IcSP), samoin kuin kansalaisjärjestöj</w:t>
      </w:r>
      <w:r>
        <w:rPr>
          <w:noProof/>
        </w:rPr>
        <w:t>ä ja paikallisviranomaisia sekä inhimillistä kehitystä ja muuttoliikettä ja turvapaikka-asioita koskevista ohjelmista. Lisäksi Euroopan investointipankki (EIP) on myöntänyt Moldovalle lainoja yhteensä 658 miljoonaa euroa vuodesta 2007. Lainoista 50 miljoon</w:t>
      </w:r>
      <w:r>
        <w:rPr>
          <w:noProof/>
        </w:rPr>
        <w:t xml:space="preserve">aa euroa myönnettiin vuonna 2016. </w:t>
      </w:r>
    </w:p>
    <w:p w:rsidR="00D71B15" w:rsidRDefault="005012C0">
      <w:pPr>
        <w:pStyle w:val="Text1"/>
        <w:rPr>
          <w:noProof/>
        </w:rPr>
      </w:pPr>
      <w:r>
        <w:rPr>
          <w:noProof/>
        </w:rPr>
        <w:t>Tärkein lisäarvo, joka makrotaloudellisesta rahoitusavusta saadaan verrattuna EU:n muihin välineisiin, on se, että sillä autetaan luomaan vakaa makrotalouskehys – muun muassa parantamalla maksutaseen kestävyyttä ja julkis</w:t>
      </w:r>
      <w:r>
        <w:rPr>
          <w:noProof/>
        </w:rPr>
        <w:t>en talouden tilannetta – ja asianmukainen kehys rakenneuudistuksille. Makrotaloudellisessa rahoitusavussa ei ole kyse säännöllisestä rahoitustuesta avunsaajamaiden taloudelliseen ja sosiaaliseen kehitykseen. Rahoitusavun maksaminen lopetetaan heti, kun maa</w:t>
      </w:r>
      <w:r>
        <w:rPr>
          <w:noProof/>
        </w:rPr>
        <w:t>n ulkoinen rahoitusasema on saatu palautettua kestävälle pohjalle. Rahoitusapu on sen jälkeen tarkoitus korvata tavanomaisessa yhteistyössä käytettävillä EU:n avustusvälineillä.</w:t>
      </w:r>
    </w:p>
    <w:p w:rsidR="00D71B15" w:rsidRDefault="005012C0">
      <w:pPr>
        <w:pStyle w:val="Text1"/>
        <w:rPr>
          <w:noProof/>
        </w:rPr>
      </w:pPr>
      <w:r>
        <w:rPr>
          <w:noProof/>
        </w:rPr>
        <w:t>Makrotaloudellisen rahoitusavun on määrä myös täydentää kansainvälisten rahoit</w:t>
      </w:r>
      <w:r>
        <w:rPr>
          <w:noProof/>
        </w:rPr>
        <w:t>uslaitosten toteuttamia toimia, erityisesti IMF:n laajennetulla rahoitusjärjestelyllä tuettavia sopeutus- ja uudistusohjelmia sekä Maailmanpankin kehitysapulainoja.</w:t>
      </w:r>
    </w:p>
    <w:p w:rsidR="00D71B15" w:rsidRDefault="005012C0">
      <w:pPr>
        <w:pStyle w:val="Heading30"/>
        <w:rPr>
          <w:b/>
        </w:rPr>
      </w:pPr>
      <w:r>
        <w:rPr>
          <w:b/>
        </w:rPr>
        <w:t>1.6.</w:t>
      </w:r>
      <w:r>
        <w:tab/>
      </w:r>
      <w:r>
        <w:rPr>
          <w:b/>
        </w:rPr>
        <w:t xml:space="preserve">Toiminnan ja sen rahoitusvaikutusten kesto </w:t>
      </w:r>
    </w:p>
    <w:p w:rsidR="00D71B15" w:rsidRDefault="005012C0">
      <w:pPr>
        <w:pStyle w:val="Text1"/>
        <w:rPr>
          <w:noProof/>
        </w:rPr>
      </w:pPr>
      <w:r>
        <w:rPr>
          <w:noProof/>
        </w:rPr>
        <w:t xml:space="preserve">X Ehdotuksen/aloitteen mukaisen </w:t>
      </w:r>
      <w:r>
        <w:rPr>
          <w:b/>
          <w:noProof/>
        </w:rPr>
        <w:t xml:space="preserve">toiminnan </w:t>
      </w:r>
      <w:r>
        <w:rPr>
          <w:b/>
          <w:noProof/>
        </w:rPr>
        <w:t>kesto on rajattu</w:t>
      </w:r>
      <w:r>
        <w:rPr>
          <w:noProof/>
        </w:rPr>
        <w:t>.</w:t>
      </w:r>
      <w:r>
        <w:rPr>
          <w:b/>
          <w:noProof/>
        </w:rPr>
        <w:t xml:space="preserve"> </w:t>
      </w:r>
    </w:p>
    <w:p w:rsidR="00D71B15" w:rsidRDefault="005012C0">
      <w:pPr>
        <w:pStyle w:val="Text1"/>
        <w:rPr>
          <w:noProof/>
        </w:rPr>
      </w:pPr>
      <w:r>
        <w:rPr>
          <w:noProof/>
        </w:rPr>
        <w:t xml:space="preserve">X Ehdotus/aloite on voimassa 2,5 vuotta yhteisymmärryspöytäkirjan voimaantulosta, kuten päätöksen 1 artiklan 4 kohdassa todetaan. </w:t>
      </w:r>
    </w:p>
    <w:p w:rsidR="00D71B15" w:rsidRDefault="005012C0">
      <w:pPr>
        <w:pStyle w:val="Text1"/>
        <w:rPr>
          <w:noProof/>
        </w:rPr>
      </w:pPr>
      <w:r>
        <w:rPr>
          <w:noProof/>
        </w:rPr>
        <w:t>X Rahoitusvaikutusten odotetaan toteutuvan vuosina 2016</w:t>
      </w:r>
      <w:r>
        <w:rPr>
          <w:rStyle w:val="FootnoteReference"/>
          <w:noProof/>
        </w:rPr>
        <w:footnoteReference w:id="16"/>
      </w:r>
      <w:r>
        <w:rPr>
          <w:noProof/>
        </w:rPr>
        <w:t xml:space="preserve">–2020. </w:t>
      </w:r>
    </w:p>
    <w:p w:rsidR="00D71B15" w:rsidRDefault="005012C0">
      <w:pPr>
        <w:pStyle w:val="Heading30"/>
        <w:rPr>
          <w:b/>
        </w:rPr>
      </w:pPr>
      <w:r>
        <w:rPr>
          <w:b/>
        </w:rPr>
        <w:t>1.7.</w:t>
      </w:r>
      <w:r>
        <w:tab/>
      </w:r>
      <w:r>
        <w:rPr>
          <w:b/>
        </w:rPr>
        <w:t>Hallinnointitapa (Hallinnointitavat)</w:t>
      </w:r>
      <w:r>
        <w:rPr>
          <w:rStyle w:val="FootnoteReference"/>
          <w:b/>
        </w:rPr>
        <w:footnoteReference w:id="17"/>
      </w:r>
      <w:r>
        <w:rPr>
          <w:b/>
        </w:rPr>
        <w:t xml:space="preserve"> </w:t>
      </w:r>
    </w:p>
    <w:p w:rsidR="00D71B15" w:rsidRDefault="005012C0">
      <w:pPr>
        <w:pStyle w:val="Text1"/>
        <w:rPr>
          <w:noProof/>
        </w:rPr>
      </w:pPr>
      <w:r>
        <w:rPr>
          <w:noProof/>
        </w:rPr>
        <w:t xml:space="preserve">X </w:t>
      </w:r>
      <w:r>
        <w:rPr>
          <w:b/>
          <w:noProof/>
        </w:rPr>
        <w:t>Suora hallinnointi</w:t>
      </w:r>
      <w:r>
        <w:rPr>
          <w:noProof/>
        </w:rPr>
        <w:t xml:space="preserve">, jonka komissio toteuttaa. </w:t>
      </w:r>
    </w:p>
    <w:p w:rsidR="00D71B15" w:rsidRDefault="005012C0">
      <w:pPr>
        <w:pStyle w:val="Heading20"/>
        <w:rPr>
          <w:b/>
        </w:rPr>
      </w:pPr>
      <w:r>
        <w:rPr>
          <w:b/>
        </w:rPr>
        <w:t>2.</w:t>
      </w:r>
      <w:r>
        <w:tab/>
      </w:r>
      <w:r>
        <w:rPr>
          <w:b/>
        </w:rPr>
        <w:t xml:space="preserve">HALLINNOINTI </w:t>
      </w:r>
    </w:p>
    <w:p w:rsidR="00D71B15" w:rsidRDefault="005012C0">
      <w:pPr>
        <w:pStyle w:val="Heading30"/>
        <w:rPr>
          <w:b/>
        </w:rPr>
      </w:pPr>
      <w:r>
        <w:rPr>
          <w:b/>
        </w:rPr>
        <w:t>2.1.</w:t>
      </w:r>
      <w:r>
        <w:tab/>
      </w:r>
      <w:r>
        <w:rPr>
          <w:b/>
        </w:rPr>
        <w:t xml:space="preserve">Seuranta- ja raportointisäännöt </w:t>
      </w:r>
    </w:p>
    <w:p w:rsidR="00D71B15" w:rsidRDefault="005012C0">
      <w:pPr>
        <w:pStyle w:val="Text1"/>
        <w:rPr>
          <w:noProof/>
        </w:rPr>
      </w:pPr>
      <w:r>
        <w:rPr>
          <w:noProof/>
        </w:rPr>
        <w:t>Rahoitusapu on luonteeltaan makrotaloudellista, ja se on yhdenmukaista IMF:n tukeman talousohjelman kanssa. Komission yksiköt seuraavat toimia IMF:n ohjelman ja Moldovan viranomaisten kanssa yhteisymmärryspöytäkirjassa sovittavien uudistustoimenpiteiden tä</w:t>
      </w:r>
      <w:r>
        <w:rPr>
          <w:noProof/>
        </w:rPr>
        <w:t xml:space="preserve">ytäntöönpanon edistymisen perusteella (ks. myös 1.4.4 kohta). </w:t>
      </w:r>
    </w:p>
    <w:p w:rsidR="00D71B15" w:rsidRDefault="005012C0">
      <w:pPr>
        <w:pStyle w:val="Heading30"/>
        <w:rPr>
          <w:b/>
        </w:rPr>
      </w:pPr>
      <w:r>
        <w:rPr>
          <w:b/>
        </w:rPr>
        <w:t>2.2.</w:t>
      </w:r>
      <w:r>
        <w:tab/>
      </w:r>
      <w:r>
        <w:rPr>
          <w:b/>
        </w:rPr>
        <w:t xml:space="preserve">Hallinnointi- ja valvontajärjestelmä </w:t>
      </w:r>
    </w:p>
    <w:p w:rsidR="00D71B15" w:rsidRDefault="005012C0">
      <w:pPr>
        <w:pStyle w:val="Heading40"/>
        <w:rPr>
          <w:b/>
        </w:rPr>
      </w:pPr>
      <w:r>
        <w:t>2.2.1.</w:t>
      </w:r>
      <w:r>
        <w:tab/>
        <w:t>Todetut riskit</w:t>
      </w:r>
      <w:r>
        <w:rPr>
          <w:b/>
        </w:rPr>
        <w:t xml:space="preserve"> </w:t>
      </w:r>
    </w:p>
    <w:p w:rsidR="00D71B15" w:rsidRDefault="005012C0">
      <w:pPr>
        <w:pStyle w:val="Text1"/>
        <w:rPr>
          <w:noProof/>
        </w:rPr>
      </w:pPr>
      <w:r>
        <w:rPr>
          <w:noProof/>
        </w:rPr>
        <w:t>Ehdotettuun makrotaloudelliseen rahoitusapuun sisältyy varojen käyttöön ja toimintapolitiikkaan liittyviä ja poliittisia riskej</w:t>
      </w:r>
      <w:r>
        <w:rPr>
          <w:noProof/>
        </w:rPr>
        <w:t xml:space="preserve">ä. </w:t>
      </w:r>
    </w:p>
    <w:p w:rsidR="00D71B15" w:rsidRDefault="005012C0">
      <w:pPr>
        <w:pStyle w:val="Text1"/>
        <w:rPr>
          <w:noProof/>
        </w:rPr>
      </w:pPr>
      <w:r>
        <w:rPr>
          <w:noProof/>
        </w:rPr>
        <w:t>On olemassa riski, että makrotaloudellista rahoitusapua, jota ei ole osoitettu tiettyihin menoihin, voitaisiin käyttää petostarkoituksiin. Yleisesti ottaen kyseinen riski liittyy sellaisiin seikkoihin kuin keskuspankin ja valtiovarainministeriön hallin</w:t>
      </w:r>
      <w:r>
        <w:rPr>
          <w:noProof/>
        </w:rPr>
        <w:t xml:space="preserve">tojärjestelmien laatu sekä sisäisen ja ulkoisen tilintarkastuksen valmiudet. </w:t>
      </w:r>
    </w:p>
    <w:p w:rsidR="00D71B15" w:rsidRDefault="005012C0">
      <w:pPr>
        <w:pStyle w:val="Text1"/>
        <w:rPr>
          <w:noProof/>
        </w:rPr>
      </w:pPr>
      <w:r>
        <w:rPr>
          <w:noProof/>
        </w:rPr>
        <w:t>Toinen keskeinen rahoitusaputoimeen liittyvä riski johtuu alueen taloudellisesta ja poliittisesta epävarmuudesta, joka vaikuttaa suoraan Moldovan talouteen. Moldovan keskeisten l</w:t>
      </w:r>
      <w:r>
        <w:rPr>
          <w:noProof/>
        </w:rPr>
        <w:t>ähialueella sijaitsevien kauppakumppanien (etenkin Venäjän, mutta myös Valko-Venäjän ja Ukrainan) talouskehitys vaikuttaa suoraan vientiin ja rahalähetyksiin. Kotimaan riskeistä suurin liittyy talousuudistusprosessin vaikeuksiin ja makrotalouden heikkouksi</w:t>
      </w:r>
      <w:r>
        <w:rPr>
          <w:noProof/>
        </w:rPr>
        <w:t xml:space="preserve">in. </w:t>
      </w:r>
    </w:p>
    <w:p w:rsidR="00D71B15" w:rsidRDefault="005012C0">
      <w:pPr>
        <w:pStyle w:val="Text1"/>
        <w:rPr>
          <w:i/>
          <w:noProof/>
        </w:rPr>
      </w:pPr>
      <w:r>
        <w:rPr>
          <w:noProof/>
        </w:rPr>
        <w:t>Riskitekijöitä ovat myös Euroopan talouden ja maailmantalouden mahdollinen heikentyminen sekä energian ja elintarvikkeiden maailmanmarkkinahintojen nousu.</w:t>
      </w:r>
    </w:p>
    <w:p w:rsidR="00D71B15" w:rsidRDefault="005012C0">
      <w:pPr>
        <w:pStyle w:val="Heading40"/>
      </w:pPr>
      <w:r>
        <w:t>2.2.2.</w:t>
      </w:r>
      <w:r>
        <w:tab/>
        <w:t xml:space="preserve">Valvontamenetelmä(t) </w:t>
      </w:r>
    </w:p>
    <w:p w:rsidR="00D71B15" w:rsidRDefault="005012C0">
      <w:pPr>
        <w:pStyle w:val="Text1"/>
        <w:rPr>
          <w:noProof/>
        </w:rPr>
      </w:pPr>
      <w:r>
        <w:rPr>
          <w:noProof/>
        </w:rPr>
        <w:t>Makrotaloudellisen rahoitusavun käyttöön sovelletaan todentamis-, v</w:t>
      </w:r>
      <w:r>
        <w:rPr>
          <w:noProof/>
        </w:rPr>
        <w:t xml:space="preserve">alvonta- ja tarkastusmenettelyjä, jotka ovat komission, mukaan lukien Euroopan petostentorjuntaviraston (OLAF), ja Euroopan unionin tilintarkastustuomioistuimen vastuulla. </w:t>
      </w:r>
    </w:p>
    <w:p w:rsidR="00D71B15" w:rsidRDefault="005012C0">
      <w:pPr>
        <w:pStyle w:val="Heading40"/>
      </w:pPr>
      <w:r>
        <w:t>2.2.3.</w:t>
      </w:r>
      <w:r>
        <w:tab/>
        <w:t>Valvonnan kustannukset ja hyödyt ja todennäköinen vaatimustenvastaisuusaste</w:t>
      </w:r>
    </w:p>
    <w:p w:rsidR="00D71B15" w:rsidRDefault="005012C0">
      <w:pPr>
        <w:pStyle w:val="Text1"/>
        <w:rPr>
          <w:noProof/>
        </w:rPr>
      </w:pPr>
      <w:r>
        <w:rPr>
          <w:noProof/>
        </w:rPr>
        <w:t>Taulukossa 3.2.1 esitetään komissiolle aiheutuvat kustannukset, jotka liittyvät todentamis- ja valvontamenetelmiin. Lisäksi kustannuksia aiheutuu Euroopan tilintarkastustuomioistuimen tarkastuksista ja OLAFin mahdollisista toimista. Komission yksiköiden vu</w:t>
      </w:r>
      <w:r>
        <w:rPr>
          <w:noProof/>
        </w:rPr>
        <w:t>onna 2016 loppuun saattama toiminnan arviointi paitsi auttaa arvioimaan varojen väärinkäytön riskejä myös tuottaa hyödyllistä tietoa julkisen varainhoidon alalla tarvittavista uudistuksista. Tiedot voidaan ottaa huomioon rahoitusaputoimeen liittyvissä toim</w:t>
      </w:r>
      <w:r>
        <w:rPr>
          <w:noProof/>
        </w:rPr>
        <w:t xml:space="preserve">intapoliittisissa ehdoissa. Makrotaloudellisen rahoitusapuvälineen käyttöönotosta alkaen saatujen kokemusten perusteella arvioidaan, että vaatimustenvastaisuuden (eli lainojen takaisinmaksun laiminlyömisen tai varojen väärinkäytön) riski on vähäinen. </w:t>
      </w:r>
    </w:p>
    <w:p w:rsidR="00D71B15" w:rsidRDefault="005012C0">
      <w:pPr>
        <w:pStyle w:val="Heading40"/>
      </w:pPr>
      <w:r>
        <w:t>2.3.</w:t>
      </w:r>
      <w:r>
        <w:tab/>
        <w:t xml:space="preserve">Toimenpiteet petosten ja sääntöjenvastaisuuksien ehkäisemiseksi </w:t>
      </w:r>
    </w:p>
    <w:p w:rsidR="00D71B15" w:rsidRDefault="005012C0">
      <w:pPr>
        <w:pStyle w:val="Text1"/>
        <w:rPr>
          <w:noProof/>
        </w:rPr>
      </w:pPr>
      <w:r>
        <w:rPr>
          <w:noProof/>
        </w:rPr>
        <w:t xml:space="preserve">Varojen väärinkäyttöriskin pienentämiseksi toteutetaan useita toimia. </w:t>
      </w:r>
    </w:p>
    <w:p w:rsidR="00D71B15" w:rsidRDefault="005012C0">
      <w:pPr>
        <w:pStyle w:val="Text1"/>
        <w:rPr>
          <w:noProof/>
        </w:rPr>
      </w:pPr>
      <w:r>
        <w:rPr>
          <w:noProof/>
        </w:rPr>
        <w:t>Lainasopimukseen ja avustussopimukseen sisällytetään ensinnäkin määräykset tilintarkastuksista ja muista tarkastuksista, petostentorjunnasta sekä varojen takaisinperinnästä petosten ja korruption yhteydessä. Rahoitusapu maksetaan erilliselle tilille Moldov</w:t>
      </w:r>
      <w:r>
        <w:rPr>
          <w:noProof/>
        </w:rPr>
        <w:t xml:space="preserve">an keskuspankkiin. </w:t>
      </w:r>
    </w:p>
    <w:p w:rsidR="00D71B15" w:rsidRDefault="005012C0">
      <w:pPr>
        <w:pStyle w:val="Text1"/>
        <w:rPr>
          <w:noProof/>
        </w:rPr>
      </w:pPr>
      <w:r>
        <w:rPr>
          <w:noProof/>
        </w:rPr>
        <w:t>Lisäksi komission yksiköt saivat helmikuussa 2016 päätökseen ulkopuolisten konsulttien avustuksella toiminnan arvioinnin, jossa tarkasteltiin tämäntyyppisen rahoitusavun kannalta merkityksellisten rahoitusketjujen ja hallintomenettelyje</w:t>
      </w:r>
      <w:r>
        <w:rPr>
          <w:noProof/>
        </w:rPr>
        <w:t>n luotettavuutta. Tässä arvioinnissa todetaan, että Moldovan hallintomenettelyjen ja rahoitusketjujen tämänhetkinen tilanne on pitkälti asianmukainen uuden makrotaloudellisen rahoitusapuoperaation hallinnoimiseksi, vaikkakin merkittäviä heikkouksia on edel</w:t>
      </w:r>
      <w:r>
        <w:rPr>
          <w:noProof/>
        </w:rPr>
        <w:t xml:space="preserve">leen olemassa. </w:t>
      </w:r>
    </w:p>
    <w:p w:rsidR="00D71B15" w:rsidRDefault="005012C0">
      <w:pPr>
        <w:pStyle w:val="Text1"/>
        <w:rPr>
          <w:noProof/>
        </w:rPr>
      </w:pPr>
      <w:r>
        <w:rPr>
          <w:noProof/>
        </w:rPr>
        <w:t>Rahoitusavun käyttöön sovelletaan todentamis-, valvonta- ja tilintarkastusmenettelyjä, jotka ovat komission, mukaan lukien OLAFin, ja Euroopan tilintarkastustuomioistuimen vastuulla.</w:t>
      </w:r>
    </w:p>
    <w:p w:rsidR="00D71B15" w:rsidRDefault="005012C0">
      <w:pPr>
        <w:pStyle w:val="Heading20"/>
        <w:rPr>
          <w:b/>
        </w:rPr>
      </w:pPr>
      <w:r>
        <w:rPr>
          <w:b/>
        </w:rPr>
        <w:t>3.</w:t>
      </w:r>
      <w:r>
        <w:tab/>
      </w:r>
      <w:r>
        <w:rPr>
          <w:b/>
        </w:rPr>
        <w:t xml:space="preserve">EHDOTUKSEN/ALOITTEEN ARVIOIDUT RAHOITUSVAIKUTUKSET </w:t>
      </w:r>
    </w:p>
    <w:p w:rsidR="00D71B15" w:rsidRDefault="00D71B15">
      <w:pPr>
        <w:pStyle w:val="Heading20"/>
        <w:rPr>
          <w:b/>
        </w:rPr>
      </w:pPr>
    </w:p>
    <w:p w:rsidR="00D71B15" w:rsidRDefault="005012C0">
      <w:pPr>
        <w:pStyle w:val="Heading30"/>
        <w:rPr>
          <w:b/>
        </w:rPr>
      </w:pPr>
      <w:r>
        <w:rPr>
          <w:b/>
        </w:rPr>
        <w:t>3</w:t>
      </w:r>
      <w:r>
        <w:rPr>
          <w:b/>
        </w:rPr>
        <w:t>.1.</w:t>
      </w:r>
      <w:r>
        <w:tab/>
      </w:r>
      <w:r>
        <w:rPr>
          <w:b/>
        </w:rPr>
        <w:t>Kyseeseen tulevat monivuotisen rahoituskehyksen otsakkeet ja menopuolen budjettikohdat</w:t>
      </w:r>
      <w:r>
        <w:rPr>
          <w:b/>
          <w:i/>
        </w:rPr>
        <w:t xml:space="preserve"> </w:t>
      </w:r>
    </w:p>
    <w:p w:rsidR="00D71B15" w:rsidRDefault="005012C0">
      <w:pPr>
        <w:pStyle w:val="Text1"/>
        <w:rPr>
          <w:noProof/>
        </w:rPr>
      </w:pPr>
      <w:r>
        <w:rPr>
          <w:noProof/>
        </w:rPr>
        <w:t>Talousarviossa jo olevat budjettikohdat</w:t>
      </w:r>
    </w:p>
    <w:p w:rsidR="00D71B15" w:rsidRDefault="005012C0">
      <w:pPr>
        <w:pStyle w:val="Text1"/>
        <w:rPr>
          <w:noProof/>
        </w:rPr>
      </w:pPr>
      <w:r>
        <w:rPr>
          <w:noProof/>
        </w:rPr>
        <w:t>01 03 02 – Makrotaloudellinen rahoitusapu</w:t>
      </w:r>
    </w:p>
    <w:p w:rsidR="00D71B15" w:rsidRDefault="005012C0">
      <w:pPr>
        <w:pStyle w:val="Text1"/>
        <w:rPr>
          <w:noProof/>
        </w:rPr>
      </w:pPr>
      <w:r>
        <w:rPr>
          <w:noProof/>
        </w:rPr>
        <w:t>01 03 06 – Takuurahaston rahoittaminen</w:t>
      </w:r>
    </w:p>
    <w:p w:rsidR="00D71B15" w:rsidRDefault="005012C0">
      <w:pPr>
        <w:pStyle w:val="Text1"/>
        <w:spacing w:after="240"/>
        <w:rPr>
          <w:noProof/>
        </w:rPr>
      </w:pPr>
      <w:r>
        <w:rPr>
          <w:noProof/>
        </w:rPr>
        <w:t>Monivuotisen rahoituskehyksen otsakkeiden j</w:t>
      </w:r>
      <w:r>
        <w:rPr>
          <w:noProof/>
        </w:rPr>
        <w:t xml:space="preserve">a budjettikohtien mukaisessa </w:t>
      </w:r>
      <w:r>
        <w:rPr>
          <w:noProof/>
          <w:u w:val="single"/>
        </w:rPr>
        <w:t>järjestyksessä</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985"/>
        <w:gridCol w:w="1276"/>
        <w:gridCol w:w="1134"/>
        <w:gridCol w:w="1134"/>
        <w:gridCol w:w="1134"/>
        <w:gridCol w:w="1418"/>
      </w:tblGrid>
      <w:tr w:rsidR="00D71B15">
        <w:tc>
          <w:tcPr>
            <w:tcW w:w="1417" w:type="dxa"/>
            <w:vMerge w:val="restart"/>
            <w:vAlign w:val="center"/>
          </w:tcPr>
          <w:p w:rsidR="00D71B15" w:rsidRDefault="005012C0">
            <w:pPr>
              <w:pStyle w:val="Pagedecouverture"/>
              <w:rPr>
                <w:noProof/>
                <w:sz w:val="22"/>
              </w:rPr>
            </w:pPr>
            <w:r>
              <w:rPr>
                <w:noProof/>
                <w:sz w:val="22"/>
              </w:rPr>
              <w:t>Moniv. rahoitus</w:t>
            </w:r>
            <w:r>
              <w:rPr>
                <w:noProof/>
                <w:sz w:val="22"/>
              </w:rPr>
              <w:softHyphen/>
            </w:r>
            <w:r>
              <w:rPr>
                <w:noProof/>
                <w:sz w:val="22"/>
              </w:rPr>
              <w:softHyphen/>
              <w:t>kehyksen otsake</w:t>
            </w:r>
          </w:p>
        </w:tc>
        <w:tc>
          <w:tcPr>
            <w:tcW w:w="1985" w:type="dxa"/>
            <w:vAlign w:val="center"/>
          </w:tcPr>
          <w:p w:rsidR="00D71B15" w:rsidRDefault="005012C0">
            <w:pPr>
              <w:pStyle w:val="Pagedecouverture"/>
              <w:jc w:val="center"/>
              <w:rPr>
                <w:noProof/>
                <w:sz w:val="22"/>
              </w:rPr>
            </w:pPr>
            <w:r>
              <w:rPr>
                <w:noProof/>
                <w:sz w:val="22"/>
              </w:rPr>
              <w:t>Budjettikohta</w:t>
            </w:r>
          </w:p>
        </w:tc>
        <w:tc>
          <w:tcPr>
            <w:tcW w:w="1276" w:type="dxa"/>
            <w:vAlign w:val="center"/>
          </w:tcPr>
          <w:p w:rsidR="00D71B15" w:rsidRDefault="005012C0">
            <w:pPr>
              <w:pStyle w:val="Pagedecouverture"/>
              <w:jc w:val="center"/>
              <w:rPr>
                <w:noProof/>
                <w:sz w:val="22"/>
              </w:rPr>
            </w:pPr>
            <w:r>
              <w:rPr>
                <w:noProof/>
                <w:sz w:val="22"/>
              </w:rPr>
              <w:t>Määräraha</w:t>
            </w:r>
            <w:r>
              <w:rPr>
                <w:noProof/>
                <w:sz w:val="22"/>
              </w:rPr>
              <w:softHyphen/>
              <w:t>laji</w:t>
            </w:r>
          </w:p>
        </w:tc>
        <w:tc>
          <w:tcPr>
            <w:tcW w:w="4820" w:type="dxa"/>
            <w:gridSpan w:val="4"/>
            <w:vAlign w:val="center"/>
          </w:tcPr>
          <w:p w:rsidR="00D71B15" w:rsidRDefault="005012C0">
            <w:pPr>
              <w:pStyle w:val="Pagedecouverture"/>
              <w:jc w:val="center"/>
              <w:rPr>
                <w:noProof/>
                <w:sz w:val="22"/>
              </w:rPr>
            </w:pPr>
            <w:r>
              <w:rPr>
                <w:noProof/>
                <w:sz w:val="22"/>
              </w:rPr>
              <w:t>Rahoitusosuudet</w:t>
            </w:r>
          </w:p>
        </w:tc>
      </w:tr>
      <w:tr w:rsidR="00D71B15">
        <w:tc>
          <w:tcPr>
            <w:tcW w:w="1417" w:type="dxa"/>
            <w:vMerge/>
            <w:vAlign w:val="center"/>
          </w:tcPr>
          <w:p w:rsidR="00D71B15" w:rsidRDefault="00D71B15">
            <w:pPr>
              <w:pStyle w:val="Pagedecouverture"/>
              <w:rPr>
                <w:noProof/>
                <w:sz w:val="22"/>
              </w:rPr>
            </w:pPr>
          </w:p>
        </w:tc>
        <w:tc>
          <w:tcPr>
            <w:tcW w:w="1985" w:type="dxa"/>
            <w:vAlign w:val="center"/>
          </w:tcPr>
          <w:p w:rsidR="00D71B15" w:rsidRDefault="005012C0">
            <w:pPr>
              <w:pStyle w:val="Pagedecouverture"/>
              <w:rPr>
                <w:noProof/>
                <w:sz w:val="22"/>
              </w:rPr>
            </w:pPr>
            <w:r>
              <w:rPr>
                <w:noProof/>
                <w:sz w:val="22"/>
              </w:rPr>
              <w:t xml:space="preserve">Numero </w:t>
            </w:r>
            <w:r>
              <w:rPr>
                <w:noProof/>
                <w:sz w:val="22"/>
              </w:rPr>
              <w:br/>
              <w:t>[Nimi………………...……….]</w:t>
            </w:r>
          </w:p>
        </w:tc>
        <w:tc>
          <w:tcPr>
            <w:tcW w:w="1276" w:type="dxa"/>
            <w:vAlign w:val="center"/>
          </w:tcPr>
          <w:p w:rsidR="00D71B15" w:rsidRDefault="005012C0">
            <w:pPr>
              <w:pStyle w:val="Pagedecouverture"/>
              <w:rPr>
                <w:noProof/>
                <w:sz w:val="22"/>
              </w:rPr>
            </w:pPr>
            <w:r>
              <w:rPr>
                <w:noProof/>
                <w:sz w:val="22"/>
              </w:rPr>
              <w:t>JM/EI-JM</w:t>
            </w:r>
            <w:r>
              <w:rPr>
                <w:noProof/>
                <w:sz w:val="22"/>
              </w:rPr>
              <w:br/>
            </w:r>
            <w:r>
              <w:rPr>
                <w:noProof/>
                <w:sz w:val="22"/>
                <w:vertAlign w:val="superscript"/>
              </w:rPr>
              <w:t>(</w:t>
            </w:r>
            <w:r>
              <w:rPr>
                <w:rStyle w:val="FootnoteReference"/>
                <w:noProof/>
                <w:sz w:val="22"/>
              </w:rPr>
              <w:footnoteReference w:id="18"/>
            </w:r>
            <w:r>
              <w:rPr>
                <w:noProof/>
                <w:sz w:val="22"/>
                <w:vertAlign w:val="superscript"/>
              </w:rPr>
              <w:t>)</w:t>
            </w:r>
          </w:p>
          <w:p w:rsidR="00D71B15" w:rsidRDefault="00D71B15">
            <w:pPr>
              <w:pStyle w:val="Pagedecouverture"/>
              <w:rPr>
                <w:noProof/>
                <w:sz w:val="22"/>
              </w:rPr>
            </w:pPr>
          </w:p>
        </w:tc>
        <w:tc>
          <w:tcPr>
            <w:tcW w:w="1134" w:type="dxa"/>
            <w:vAlign w:val="center"/>
          </w:tcPr>
          <w:p w:rsidR="00D71B15" w:rsidRDefault="005012C0">
            <w:pPr>
              <w:pStyle w:val="Pagedecouverture"/>
              <w:rPr>
                <w:noProof/>
                <w:sz w:val="22"/>
              </w:rPr>
            </w:pPr>
            <w:r>
              <w:rPr>
                <w:noProof/>
                <w:sz w:val="22"/>
              </w:rPr>
              <w:t>EFTA-mailta</w:t>
            </w:r>
            <w:r>
              <w:rPr>
                <w:rStyle w:val="FootnoteReference"/>
                <w:noProof/>
                <w:sz w:val="22"/>
              </w:rPr>
              <w:footnoteReference w:id="19"/>
            </w:r>
          </w:p>
          <w:p w:rsidR="00D71B15" w:rsidRDefault="00D71B15">
            <w:pPr>
              <w:pStyle w:val="Pagedecouverture"/>
              <w:rPr>
                <w:noProof/>
                <w:sz w:val="22"/>
              </w:rPr>
            </w:pPr>
          </w:p>
        </w:tc>
        <w:tc>
          <w:tcPr>
            <w:tcW w:w="1134" w:type="dxa"/>
            <w:vAlign w:val="center"/>
          </w:tcPr>
          <w:p w:rsidR="00D71B15" w:rsidRDefault="005012C0">
            <w:pPr>
              <w:pStyle w:val="Pagedecouverture"/>
              <w:rPr>
                <w:noProof/>
                <w:sz w:val="22"/>
              </w:rPr>
            </w:pPr>
            <w:r>
              <w:rPr>
                <w:noProof/>
                <w:sz w:val="22"/>
              </w:rPr>
              <w:t>ehdokas</w:t>
            </w:r>
            <w:r>
              <w:rPr>
                <w:noProof/>
                <w:sz w:val="22"/>
              </w:rPr>
              <w:softHyphen/>
              <w:t>mailta</w:t>
            </w:r>
            <w:r>
              <w:rPr>
                <w:rStyle w:val="FootnoteReference"/>
                <w:noProof/>
                <w:sz w:val="22"/>
              </w:rPr>
              <w:footnoteReference w:id="20"/>
            </w:r>
          </w:p>
          <w:p w:rsidR="00D71B15" w:rsidRDefault="00D71B15">
            <w:pPr>
              <w:pStyle w:val="Pagedecouverture"/>
              <w:rPr>
                <w:noProof/>
                <w:sz w:val="22"/>
              </w:rPr>
            </w:pPr>
          </w:p>
        </w:tc>
        <w:tc>
          <w:tcPr>
            <w:tcW w:w="1134" w:type="dxa"/>
            <w:vAlign w:val="center"/>
          </w:tcPr>
          <w:p w:rsidR="00D71B15" w:rsidRDefault="005012C0">
            <w:pPr>
              <w:pStyle w:val="Pagedecouverture"/>
              <w:rPr>
                <w:noProof/>
                <w:sz w:val="22"/>
              </w:rPr>
            </w:pPr>
            <w:r>
              <w:rPr>
                <w:noProof/>
                <w:sz w:val="22"/>
              </w:rPr>
              <w:t>kolman</w:t>
            </w:r>
            <w:r>
              <w:rPr>
                <w:noProof/>
                <w:sz w:val="22"/>
              </w:rPr>
              <w:softHyphen/>
              <w:t>silta mailta</w:t>
            </w:r>
          </w:p>
        </w:tc>
        <w:tc>
          <w:tcPr>
            <w:tcW w:w="1418" w:type="dxa"/>
            <w:vAlign w:val="center"/>
          </w:tcPr>
          <w:p w:rsidR="00D71B15" w:rsidRDefault="005012C0">
            <w:pPr>
              <w:pStyle w:val="Pagedecouverture"/>
              <w:rPr>
                <w:noProof/>
                <w:sz w:val="22"/>
              </w:rPr>
            </w:pPr>
            <w:r>
              <w:rPr>
                <w:noProof/>
                <w:sz w:val="22"/>
              </w:rPr>
              <w:t>varainhoi</w:t>
            </w:r>
            <w:r>
              <w:rPr>
                <w:noProof/>
                <w:sz w:val="22"/>
              </w:rPr>
              <w:softHyphen/>
              <w:t xml:space="preserve">toasetuksen 18 artiklan 1 </w:t>
            </w:r>
            <w:r>
              <w:rPr>
                <w:noProof/>
                <w:sz w:val="22"/>
              </w:rPr>
              <w:t>kohdan aa alakoh</w:t>
            </w:r>
            <w:r>
              <w:rPr>
                <w:noProof/>
                <w:sz w:val="22"/>
              </w:rPr>
              <w:softHyphen/>
              <w:t>dassa tarkoitetut rahoitus</w:t>
            </w:r>
            <w:r>
              <w:rPr>
                <w:noProof/>
                <w:sz w:val="22"/>
              </w:rPr>
              <w:softHyphen/>
              <w:t xml:space="preserve">osuudet </w:t>
            </w:r>
          </w:p>
        </w:tc>
      </w:tr>
      <w:tr w:rsidR="00D71B15">
        <w:tc>
          <w:tcPr>
            <w:tcW w:w="1417" w:type="dxa"/>
            <w:vAlign w:val="center"/>
          </w:tcPr>
          <w:p w:rsidR="00D71B15" w:rsidRDefault="005012C0">
            <w:pPr>
              <w:pStyle w:val="Pagedecouverture"/>
              <w:jc w:val="center"/>
              <w:rPr>
                <w:noProof/>
              </w:rPr>
            </w:pPr>
            <w:r>
              <w:rPr>
                <w:noProof/>
              </w:rPr>
              <w:t>4</w:t>
            </w:r>
          </w:p>
        </w:tc>
        <w:tc>
          <w:tcPr>
            <w:tcW w:w="1985" w:type="dxa"/>
            <w:vAlign w:val="center"/>
          </w:tcPr>
          <w:p w:rsidR="00D71B15" w:rsidRDefault="005012C0">
            <w:pPr>
              <w:pStyle w:val="Pagedecouverture"/>
              <w:jc w:val="left"/>
              <w:rPr>
                <w:noProof/>
              </w:rPr>
            </w:pPr>
            <w:r>
              <w:rPr>
                <w:noProof/>
              </w:rPr>
              <w:t>01 03 02</w:t>
            </w:r>
          </w:p>
          <w:p w:rsidR="00D71B15" w:rsidRDefault="005012C0">
            <w:pPr>
              <w:pStyle w:val="Pagedecouverture"/>
              <w:jc w:val="left"/>
              <w:rPr>
                <w:noProof/>
              </w:rPr>
            </w:pPr>
            <w:r>
              <w:rPr>
                <w:noProof/>
              </w:rPr>
              <w:t>Makrotaloudelli</w:t>
            </w:r>
            <w:r>
              <w:rPr>
                <w:noProof/>
              </w:rPr>
              <w:softHyphen/>
              <w:t>nen rahoitusapu</w:t>
            </w:r>
          </w:p>
        </w:tc>
        <w:tc>
          <w:tcPr>
            <w:tcW w:w="1276" w:type="dxa"/>
            <w:vAlign w:val="center"/>
          </w:tcPr>
          <w:p w:rsidR="00D71B15" w:rsidRDefault="005012C0">
            <w:pPr>
              <w:pStyle w:val="Pagedecouverture"/>
              <w:jc w:val="center"/>
              <w:rPr>
                <w:noProof/>
              </w:rPr>
            </w:pPr>
            <w:r>
              <w:rPr>
                <w:noProof/>
              </w:rPr>
              <w:t>JM</w:t>
            </w:r>
          </w:p>
        </w:tc>
        <w:tc>
          <w:tcPr>
            <w:tcW w:w="1134" w:type="dxa"/>
            <w:vAlign w:val="center"/>
          </w:tcPr>
          <w:p w:rsidR="00D71B15" w:rsidRDefault="005012C0">
            <w:pPr>
              <w:pStyle w:val="Pagedecouverture"/>
              <w:jc w:val="center"/>
              <w:rPr>
                <w:noProof/>
              </w:rPr>
            </w:pPr>
            <w:r>
              <w:rPr>
                <w:noProof/>
              </w:rPr>
              <w:t>EI</w:t>
            </w:r>
          </w:p>
        </w:tc>
        <w:tc>
          <w:tcPr>
            <w:tcW w:w="1134" w:type="dxa"/>
            <w:vAlign w:val="center"/>
          </w:tcPr>
          <w:p w:rsidR="00D71B15" w:rsidRDefault="005012C0">
            <w:pPr>
              <w:pStyle w:val="Pagedecouverture"/>
              <w:jc w:val="center"/>
              <w:rPr>
                <w:noProof/>
              </w:rPr>
            </w:pPr>
            <w:r>
              <w:rPr>
                <w:noProof/>
              </w:rPr>
              <w:t>EI</w:t>
            </w:r>
          </w:p>
        </w:tc>
        <w:tc>
          <w:tcPr>
            <w:tcW w:w="1134" w:type="dxa"/>
            <w:vAlign w:val="center"/>
          </w:tcPr>
          <w:p w:rsidR="00D71B15" w:rsidRDefault="005012C0">
            <w:pPr>
              <w:pStyle w:val="Pagedecouverture"/>
              <w:jc w:val="center"/>
              <w:rPr>
                <w:noProof/>
              </w:rPr>
            </w:pPr>
            <w:r>
              <w:rPr>
                <w:noProof/>
              </w:rPr>
              <w:t>EI</w:t>
            </w:r>
          </w:p>
        </w:tc>
        <w:tc>
          <w:tcPr>
            <w:tcW w:w="1418" w:type="dxa"/>
            <w:vAlign w:val="center"/>
          </w:tcPr>
          <w:p w:rsidR="00D71B15" w:rsidRDefault="005012C0">
            <w:pPr>
              <w:pStyle w:val="Pagedecouverture"/>
              <w:jc w:val="center"/>
              <w:rPr>
                <w:noProof/>
              </w:rPr>
            </w:pPr>
            <w:r>
              <w:rPr>
                <w:noProof/>
              </w:rPr>
              <w:t>EI</w:t>
            </w:r>
          </w:p>
        </w:tc>
      </w:tr>
      <w:tr w:rsidR="00D71B15">
        <w:tc>
          <w:tcPr>
            <w:tcW w:w="1417" w:type="dxa"/>
            <w:vAlign w:val="center"/>
          </w:tcPr>
          <w:p w:rsidR="00D71B15" w:rsidRDefault="005012C0">
            <w:pPr>
              <w:pStyle w:val="Pagedecouverture"/>
              <w:jc w:val="center"/>
              <w:rPr>
                <w:noProof/>
              </w:rPr>
            </w:pPr>
            <w:r>
              <w:rPr>
                <w:noProof/>
              </w:rPr>
              <w:t>4</w:t>
            </w:r>
          </w:p>
        </w:tc>
        <w:tc>
          <w:tcPr>
            <w:tcW w:w="1985" w:type="dxa"/>
            <w:vAlign w:val="center"/>
          </w:tcPr>
          <w:p w:rsidR="00D71B15" w:rsidRDefault="005012C0">
            <w:pPr>
              <w:pStyle w:val="Pagedecouverture"/>
              <w:jc w:val="left"/>
              <w:rPr>
                <w:noProof/>
              </w:rPr>
            </w:pPr>
            <w:r>
              <w:rPr>
                <w:noProof/>
              </w:rPr>
              <w:t xml:space="preserve">01 03 06 </w:t>
            </w:r>
          </w:p>
          <w:p w:rsidR="00D71B15" w:rsidRDefault="005012C0">
            <w:pPr>
              <w:pStyle w:val="Pagedecouverture"/>
              <w:jc w:val="left"/>
              <w:rPr>
                <w:noProof/>
              </w:rPr>
            </w:pPr>
            <w:r>
              <w:rPr>
                <w:noProof/>
              </w:rPr>
              <w:t>Takuurahaston rahoittaminen</w:t>
            </w:r>
          </w:p>
        </w:tc>
        <w:tc>
          <w:tcPr>
            <w:tcW w:w="1276" w:type="dxa"/>
            <w:vAlign w:val="center"/>
          </w:tcPr>
          <w:p w:rsidR="00D71B15" w:rsidRDefault="005012C0">
            <w:pPr>
              <w:pStyle w:val="Pagedecouverture"/>
              <w:jc w:val="center"/>
              <w:rPr>
                <w:noProof/>
              </w:rPr>
            </w:pPr>
            <w:r>
              <w:rPr>
                <w:noProof/>
              </w:rPr>
              <w:t>EI-JM</w:t>
            </w:r>
          </w:p>
        </w:tc>
        <w:tc>
          <w:tcPr>
            <w:tcW w:w="1134" w:type="dxa"/>
            <w:vAlign w:val="center"/>
          </w:tcPr>
          <w:p w:rsidR="00D71B15" w:rsidRDefault="005012C0">
            <w:pPr>
              <w:pStyle w:val="Pagedecouverture"/>
              <w:jc w:val="center"/>
              <w:rPr>
                <w:noProof/>
              </w:rPr>
            </w:pPr>
            <w:r>
              <w:rPr>
                <w:noProof/>
              </w:rPr>
              <w:t>EI</w:t>
            </w:r>
          </w:p>
        </w:tc>
        <w:tc>
          <w:tcPr>
            <w:tcW w:w="1134" w:type="dxa"/>
            <w:vAlign w:val="center"/>
          </w:tcPr>
          <w:p w:rsidR="00D71B15" w:rsidRDefault="005012C0">
            <w:pPr>
              <w:pStyle w:val="Pagedecouverture"/>
              <w:jc w:val="center"/>
              <w:rPr>
                <w:noProof/>
              </w:rPr>
            </w:pPr>
            <w:r>
              <w:rPr>
                <w:noProof/>
              </w:rPr>
              <w:t>EI</w:t>
            </w:r>
          </w:p>
        </w:tc>
        <w:tc>
          <w:tcPr>
            <w:tcW w:w="1134" w:type="dxa"/>
            <w:vAlign w:val="center"/>
          </w:tcPr>
          <w:p w:rsidR="00D71B15" w:rsidRDefault="005012C0">
            <w:pPr>
              <w:pStyle w:val="Pagedecouverture"/>
              <w:jc w:val="center"/>
              <w:rPr>
                <w:noProof/>
              </w:rPr>
            </w:pPr>
            <w:r>
              <w:rPr>
                <w:noProof/>
              </w:rPr>
              <w:t>EI</w:t>
            </w:r>
          </w:p>
        </w:tc>
        <w:tc>
          <w:tcPr>
            <w:tcW w:w="1418" w:type="dxa"/>
            <w:vAlign w:val="center"/>
          </w:tcPr>
          <w:p w:rsidR="00D71B15" w:rsidRDefault="005012C0">
            <w:pPr>
              <w:pStyle w:val="Pagedecouverture"/>
              <w:jc w:val="center"/>
              <w:rPr>
                <w:noProof/>
              </w:rPr>
            </w:pPr>
            <w:r>
              <w:rPr>
                <w:noProof/>
              </w:rPr>
              <w:t>EI</w:t>
            </w:r>
          </w:p>
        </w:tc>
      </w:tr>
    </w:tbl>
    <w:p w:rsidR="00D71B15" w:rsidRDefault="005012C0">
      <w:pPr>
        <w:pStyle w:val="Text1"/>
        <w:spacing w:before="240"/>
        <w:rPr>
          <w:noProof/>
        </w:rPr>
      </w:pPr>
      <w:r>
        <w:rPr>
          <w:noProof/>
        </w:rPr>
        <w:t xml:space="preserve">01 03 06 – Euroopan unionin takaus unionin lainoille, jotka on otettu </w:t>
      </w:r>
      <w:r>
        <w:rPr>
          <w:noProof/>
        </w:rPr>
        <w:t>makrotaloudellisen avun antamiseksi kolmansille maille: Ulkosuhteisiin liittyvien hankkeiden takuurahastoa on rahoitettava rahastoasetuksen</w:t>
      </w:r>
      <w:r>
        <w:rPr>
          <w:rStyle w:val="FootnoteReference"/>
          <w:noProof/>
        </w:rPr>
        <w:footnoteReference w:id="21"/>
      </w:r>
      <w:r>
        <w:rPr>
          <w:noProof/>
        </w:rPr>
        <w:t xml:space="preserve"> mukaan käyttämällä budjettikohdan 01 03 06 (”Takuurahaston rahoittaminen”) määrärahoja siten, että rahastossa on 9 </w:t>
      </w:r>
      <w:r>
        <w:rPr>
          <w:noProof/>
        </w:rPr>
        <w:t>prosenttia maksamattomien velkojen kokonaismäärästä. Rahoitettava määrä lasketaan vuoden ”n” alussa tavoitesumman ja rahastossa vuoden ”n – 1” lopussa olevien nettovarojen erotuksena. Rahoitettava määrä otetaan vuonna ”n” vuoden ”n + 1” alustavaan talousar</w:t>
      </w:r>
      <w:r>
        <w:rPr>
          <w:noProof/>
        </w:rPr>
        <w:t>vioon ja maksetaan tosiasiallisesti yhtenä suorituksena vuoden ”n + 1” alussa budjettikohdasta 01 03 06. Tämän seurauksena 9 prosenttia (enintään 5,4 miljoonaa euroa) tosiasiallisesti maksetusta lainamäärästä otetaan huomioon tavoitesummassa vuoden ”n – 1”</w:t>
      </w:r>
      <w:r>
        <w:rPr>
          <w:noProof/>
        </w:rPr>
        <w:t xml:space="preserve"> lopussa laskettaessa takuurahastoon maksettavaa maksua. Uudet perustettaviksi esitetyt budjettikohdat: ei ole.</w:t>
      </w:r>
    </w:p>
    <w:p w:rsidR="00D71B15" w:rsidRDefault="00D71B15">
      <w:pPr>
        <w:pStyle w:val="Heading30"/>
        <w:rPr>
          <w:b/>
        </w:rPr>
      </w:pPr>
    </w:p>
    <w:p w:rsidR="00D71B15" w:rsidRDefault="00D71B15">
      <w:pPr>
        <w:pStyle w:val="Heading30"/>
        <w:rPr>
          <w:b/>
        </w:rPr>
      </w:pPr>
    </w:p>
    <w:p w:rsidR="00D71B15" w:rsidRDefault="00D71B15">
      <w:pPr>
        <w:pStyle w:val="Heading30"/>
        <w:rPr>
          <w:b/>
        </w:rPr>
      </w:pPr>
    </w:p>
    <w:p w:rsidR="00D71B15" w:rsidRDefault="005012C0">
      <w:pPr>
        <w:pStyle w:val="Heading30"/>
        <w:rPr>
          <w:b/>
        </w:rPr>
      </w:pPr>
      <w:r>
        <w:rPr>
          <w:b/>
        </w:rPr>
        <w:t>3.2.</w:t>
      </w:r>
      <w:r>
        <w:tab/>
      </w:r>
      <w:r>
        <w:rPr>
          <w:b/>
        </w:rPr>
        <w:t xml:space="preserve">Arvioidut vaikutukset menoihin </w:t>
      </w:r>
    </w:p>
    <w:p w:rsidR="00D71B15" w:rsidRDefault="005012C0">
      <w:pPr>
        <w:pStyle w:val="Heading40"/>
        <w:rPr>
          <w:u w:val="single"/>
        </w:rPr>
      </w:pPr>
      <w:r>
        <w:t>3.2.1.</w:t>
      </w:r>
      <w:r>
        <w:tab/>
        <w:t xml:space="preserve">Yhteenveto arvioiduista vaikutuksista menoihin </w:t>
      </w:r>
    </w:p>
    <w:p w:rsidR="00D71B15" w:rsidRDefault="00D71B15">
      <w:pPr>
        <w:pStyle w:val="Text1"/>
        <w:rPr>
          <w:noProof/>
        </w:rPr>
      </w:pPr>
    </w:p>
    <w:p w:rsidR="00D71B15" w:rsidRDefault="005012C0">
      <w:pPr>
        <w:pStyle w:val="Text1"/>
        <w:jc w:val="right"/>
        <w:rPr>
          <w:noProof/>
          <w:sz w:val="4"/>
          <w:szCs w:val="4"/>
        </w:rPr>
      </w:pPr>
      <w:r>
        <w:rPr>
          <w:noProof/>
        </w:rPr>
        <w:t>milj. euroa (kolmen desimaalin tarkkuudella)</w:t>
      </w:r>
    </w:p>
    <w:tbl>
      <w:tblPr>
        <w:tblW w:w="10643" w:type="dxa"/>
        <w:tblInd w:w="-318" w:type="dxa"/>
        <w:tblLayout w:type="fixed"/>
        <w:tblLook w:val="01E0" w:firstRow="1" w:lastRow="1" w:firstColumn="1" w:lastColumn="1" w:noHBand="0" w:noVBand="0"/>
      </w:tblPr>
      <w:tblGrid>
        <w:gridCol w:w="3686"/>
        <w:gridCol w:w="1418"/>
        <w:gridCol w:w="748"/>
        <w:gridCol w:w="748"/>
        <w:gridCol w:w="748"/>
        <w:gridCol w:w="748"/>
        <w:gridCol w:w="748"/>
        <w:gridCol w:w="748"/>
        <w:gridCol w:w="1051"/>
      </w:tblGrid>
      <w:tr w:rsidR="00D71B15">
        <w:trPr>
          <w:gridAfter w:val="4"/>
          <w:wAfter w:w="3295" w:type="dxa"/>
        </w:trPr>
        <w:tc>
          <w:tcPr>
            <w:tcW w:w="3686" w:type="dxa"/>
          </w:tcPr>
          <w:p w:rsidR="00D71B15" w:rsidRDefault="005012C0">
            <w:pPr>
              <w:pStyle w:val="Pagedecouverture"/>
              <w:spacing w:after="240"/>
              <w:jc w:val="left"/>
              <w:rPr>
                <w:b/>
                <w:noProof/>
              </w:rPr>
            </w:pPr>
            <w:r>
              <w:rPr>
                <w:b/>
                <w:noProof/>
              </w:rPr>
              <w:t>Mon</w:t>
            </w:r>
            <w:r>
              <w:rPr>
                <w:b/>
                <w:noProof/>
              </w:rPr>
              <w:t>ivuotisen rahoituskehyksen otsake</w:t>
            </w:r>
          </w:p>
        </w:tc>
        <w:tc>
          <w:tcPr>
            <w:tcW w:w="1418" w:type="dxa"/>
          </w:tcPr>
          <w:p w:rsidR="00D71B15" w:rsidRDefault="005012C0">
            <w:pPr>
              <w:pStyle w:val="Pagedecouverture"/>
              <w:jc w:val="center"/>
              <w:rPr>
                <w:b/>
                <w:noProof/>
              </w:rPr>
            </w:pPr>
            <w:r>
              <w:rPr>
                <w:noProof/>
              </w:rPr>
              <w:br/>
            </w:r>
            <w:r>
              <w:rPr>
                <w:b/>
                <w:noProof/>
              </w:rPr>
              <w:t>4</w:t>
            </w:r>
          </w:p>
        </w:tc>
        <w:tc>
          <w:tcPr>
            <w:tcW w:w="748" w:type="dxa"/>
          </w:tcPr>
          <w:p w:rsidR="00D71B15" w:rsidRDefault="00D71B15">
            <w:pPr>
              <w:pStyle w:val="Pagedecouverture"/>
              <w:rPr>
                <w:noProof/>
              </w:rPr>
            </w:pPr>
          </w:p>
        </w:tc>
        <w:tc>
          <w:tcPr>
            <w:tcW w:w="748" w:type="dxa"/>
          </w:tcPr>
          <w:p w:rsidR="00D71B15" w:rsidRDefault="00D71B15">
            <w:pPr>
              <w:pStyle w:val="Pagedecouverture"/>
              <w:rPr>
                <w:noProof/>
              </w:rPr>
            </w:pPr>
          </w:p>
        </w:tc>
        <w:tc>
          <w:tcPr>
            <w:tcW w:w="748" w:type="dxa"/>
          </w:tcPr>
          <w:p w:rsidR="00D71B15" w:rsidRDefault="00D71B15">
            <w:pPr>
              <w:pStyle w:val="Pagedecouverture"/>
              <w:rPr>
                <w:noProof/>
              </w:rPr>
            </w:pPr>
          </w:p>
        </w:tc>
      </w:tr>
      <w:tr w:rsidR="00D71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vAlign w:val="center"/>
          </w:tcPr>
          <w:p w:rsidR="00D71B15" w:rsidRDefault="005012C0">
            <w:pPr>
              <w:pStyle w:val="Pagedecouverture"/>
              <w:jc w:val="center"/>
              <w:rPr>
                <w:noProof/>
                <w:sz w:val="20"/>
              </w:rPr>
            </w:pPr>
            <w:r>
              <w:rPr>
                <w:noProof/>
                <w:sz w:val="20"/>
              </w:rPr>
              <w:t>PO: ECFIN</w:t>
            </w:r>
          </w:p>
        </w:tc>
        <w:tc>
          <w:tcPr>
            <w:tcW w:w="1418" w:type="dxa"/>
            <w:vAlign w:val="center"/>
          </w:tcPr>
          <w:p w:rsidR="00D71B15" w:rsidRDefault="00D71B15">
            <w:pPr>
              <w:pStyle w:val="Pagedecouverture"/>
              <w:jc w:val="center"/>
              <w:rPr>
                <w:noProof/>
                <w:sz w:val="20"/>
              </w:rPr>
            </w:pPr>
          </w:p>
        </w:tc>
        <w:tc>
          <w:tcPr>
            <w:tcW w:w="748" w:type="dxa"/>
            <w:vAlign w:val="center"/>
          </w:tcPr>
          <w:p w:rsidR="00D71B15" w:rsidRDefault="00D71B15">
            <w:pPr>
              <w:pStyle w:val="Pagedecouverture"/>
              <w:jc w:val="center"/>
              <w:rPr>
                <w:noProof/>
                <w:sz w:val="20"/>
              </w:rPr>
            </w:pPr>
          </w:p>
        </w:tc>
        <w:tc>
          <w:tcPr>
            <w:tcW w:w="748" w:type="dxa"/>
            <w:vAlign w:val="center"/>
          </w:tcPr>
          <w:p w:rsidR="00D71B15" w:rsidRDefault="005012C0">
            <w:pPr>
              <w:pStyle w:val="Pagedecouverture"/>
              <w:jc w:val="center"/>
              <w:rPr>
                <w:noProof/>
                <w:sz w:val="20"/>
              </w:rPr>
            </w:pPr>
            <w:r>
              <w:rPr>
                <w:noProof/>
                <w:sz w:val="20"/>
              </w:rPr>
              <w:t>Vuosi</w:t>
            </w:r>
            <w:r>
              <w:rPr>
                <w:noProof/>
                <w:sz w:val="20"/>
              </w:rPr>
              <w:br/>
            </w:r>
            <w:r>
              <w:rPr>
                <w:b/>
                <w:noProof/>
                <w:sz w:val="20"/>
              </w:rPr>
              <w:t>2016</w:t>
            </w:r>
          </w:p>
        </w:tc>
        <w:tc>
          <w:tcPr>
            <w:tcW w:w="748" w:type="dxa"/>
            <w:vAlign w:val="center"/>
          </w:tcPr>
          <w:p w:rsidR="00D71B15" w:rsidRDefault="005012C0">
            <w:pPr>
              <w:pStyle w:val="Pagedecouverture"/>
              <w:jc w:val="center"/>
              <w:rPr>
                <w:noProof/>
                <w:sz w:val="20"/>
                <w:szCs w:val="20"/>
              </w:rPr>
            </w:pPr>
            <w:r>
              <w:rPr>
                <w:noProof/>
                <w:sz w:val="20"/>
              </w:rPr>
              <w:t xml:space="preserve">Vuosi </w:t>
            </w:r>
            <w:r>
              <w:rPr>
                <w:b/>
                <w:noProof/>
                <w:sz w:val="20"/>
              </w:rPr>
              <w:t>2017</w:t>
            </w:r>
            <w:r>
              <w:rPr>
                <w:rStyle w:val="FootnoteReference"/>
                <w:b/>
                <w:noProof/>
                <w:sz w:val="20"/>
              </w:rPr>
              <w:footnoteReference w:id="22"/>
            </w:r>
          </w:p>
        </w:tc>
        <w:tc>
          <w:tcPr>
            <w:tcW w:w="748" w:type="dxa"/>
            <w:vAlign w:val="center"/>
          </w:tcPr>
          <w:p w:rsidR="00D71B15" w:rsidRDefault="005012C0">
            <w:pPr>
              <w:pStyle w:val="Pagedecouverture"/>
              <w:jc w:val="center"/>
              <w:rPr>
                <w:noProof/>
                <w:sz w:val="20"/>
              </w:rPr>
            </w:pPr>
            <w:r>
              <w:rPr>
                <w:noProof/>
                <w:sz w:val="20"/>
              </w:rPr>
              <w:t>Vuosi</w:t>
            </w:r>
            <w:r>
              <w:rPr>
                <w:noProof/>
                <w:sz w:val="20"/>
              </w:rPr>
              <w:br/>
            </w:r>
            <w:r>
              <w:rPr>
                <w:b/>
                <w:noProof/>
                <w:sz w:val="20"/>
              </w:rPr>
              <w:t>2018</w:t>
            </w:r>
          </w:p>
        </w:tc>
        <w:tc>
          <w:tcPr>
            <w:tcW w:w="748" w:type="dxa"/>
            <w:vAlign w:val="center"/>
          </w:tcPr>
          <w:p w:rsidR="00D71B15" w:rsidRDefault="005012C0">
            <w:pPr>
              <w:pStyle w:val="Pagedecouverture"/>
              <w:jc w:val="center"/>
              <w:rPr>
                <w:noProof/>
                <w:sz w:val="20"/>
              </w:rPr>
            </w:pPr>
            <w:r>
              <w:rPr>
                <w:noProof/>
                <w:sz w:val="20"/>
              </w:rPr>
              <w:t>Vuosi</w:t>
            </w:r>
            <w:r>
              <w:rPr>
                <w:noProof/>
                <w:sz w:val="20"/>
              </w:rPr>
              <w:br/>
            </w:r>
            <w:r>
              <w:rPr>
                <w:b/>
                <w:noProof/>
                <w:sz w:val="20"/>
              </w:rPr>
              <w:t>2019</w:t>
            </w:r>
          </w:p>
        </w:tc>
        <w:tc>
          <w:tcPr>
            <w:tcW w:w="748" w:type="dxa"/>
            <w:vAlign w:val="center"/>
          </w:tcPr>
          <w:p w:rsidR="00D71B15" w:rsidRDefault="005012C0">
            <w:pPr>
              <w:pStyle w:val="Pagedecouverture"/>
              <w:jc w:val="center"/>
              <w:rPr>
                <w:noProof/>
                <w:sz w:val="20"/>
              </w:rPr>
            </w:pPr>
            <w:r>
              <w:rPr>
                <w:noProof/>
                <w:sz w:val="20"/>
              </w:rPr>
              <w:t>Vuosi</w:t>
            </w:r>
            <w:r>
              <w:rPr>
                <w:noProof/>
                <w:sz w:val="20"/>
              </w:rPr>
              <w:br/>
            </w:r>
            <w:r>
              <w:rPr>
                <w:b/>
                <w:noProof/>
                <w:sz w:val="20"/>
              </w:rPr>
              <w:t>2020</w:t>
            </w:r>
          </w:p>
        </w:tc>
        <w:tc>
          <w:tcPr>
            <w:tcW w:w="1051" w:type="dxa"/>
            <w:vAlign w:val="center"/>
          </w:tcPr>
          <w:p w:rsidR="00D71B15" w:rsidRDefault="005012C0">
            <w:pPr>
              <w:pStyle w:val="Pagedecouverture"/>
              <w:jc w:val="center"/>
              <w:rPr>
                <w:b/>
                <w:noProof/>
                <w:sz w:val="20"/>
              </w:rPr>
            </w:pPr>
            <w:r>
              <w:rPr>
                <w:b/>
                <w:noProof/>
                <w:sz w:val="20"/>
              </w:rPr>
              <w:t>YH</w:t>
            </w:r>
            <w:r>
              <w:rPr>
                <w:b/>
                <w:noProof/>
                <w:sz w:val="20"/>
              </w:rPr>
              <w:softHyphen/>
              <w:t>TEEN</w:t>
            </w:r>
            <w:r>
              <w:rPr>
                <w:b/>
                <w:noProof/>
                <w:sz w:val="20"/>
              </w:rPr>
              <w:softHyphen/>
              <w:t>SÄ</w:t>
            </w:r>
          </w:p>
        </w:tc>
      </w:tr>
      <w:tr w:rsidR="00D71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5852" w:type="dxa"/>
            <w:gridSpan w:val="3"/>
            <w:vAlign w:val="center"/>
          </w:tcPr>
          <w:p w:rsidR="00D71B15" w:rsidRDefault="005012C0">
            <w:pPr>
              <w:pStyle w:val="Pagedecouverture"/>
              <w:jc w:val="left"/>
              <w:rPr>
                <w:noProof/>
                <w:sz w:val="20"/>
              </w:rPr>
            </w:pPr>
            <w:r>
              <w:rPr>
                <w:noProof/>
                <w:sz w:val="20"/>
                <w:szCs w:val="20"/>
              </w:rPr>
              <w:sym w:font="Wingdings" w:char="F09F"/>
            </w:r>
            <w:r>
              <w:rPr>
                <w:noProof/>
                <w:sz w:val="20"/>
              </w:rPr>
              <w:t xml:space="preserve"> Toimintamäärärahat</w:t>
            </w:r>
          </w:p>
        </w:tc>
        <w:tc>
          <w:tcPr>
            <w:tcW w:w="748" w:type="dxa"/>
            <w:vAlign w:val="center"/>
          </w:tcPr>
          <w:p w:rsidR="00D71B15" w:rsidRDefault="00D71B15">
            <w:pPr>
              <w:pStyle w:val="Pagedecouverture"/>
              <w:jc w:val="center"/>
              <w:rPr>
                <w:noProof/>
                <w:sz w:val="20"/>
              </w:rPr>
            </w:pPr>
          </w:p>
        </w:tc>
        <w:tc>
          <w:tcPr>
            <w:tcW w:w="748" w:type="dxa"/>
            <w:vAlign w:val="center"/>
          </w:tcPr>
          <w:p w:rsidR="00D71B15" w:rsidRDefault="00D71B15">
            <w:pPr>
              <w:pStyle w:val="Pagedecouverture"/>
              <w:jc w:val="center"/>
              <w:rPr>
                <w:noProof/>
                <w:sz w:val="20"/>
              </w:rPr>
            </w:pPr>
          </w:p>
        </w:tc>
        <w:tc>
          <w:tcPr>
            <w:tcW w:w="748" w:type="dxa"/>
            <w:vAlign w:val="center"/>
          </w:tcPr>
          <w:p w:rsidR="00D71B15" w:rsidRDefault="00D71B15">
            <w:pPr>
              <w:pStyle w:val="Pagedecouverture"/>
              <w:jc w:val="center"/>
              <w:rPr>
                <w:noProof/>
                <w:sz w:val="20"/>
              </w:rPr>
            </w:pPr>
          </w:p>
        </w:tc>
        <w:tc>
          <w:tcPr>
            <w:tcW w:w="748" w:type="dxa"/>
            <w:vAlign w:val="center"/>
          </w:tcPr>
          <w:p w:rsidR="00D71B15" w:rsidRDefault="00D71B15">
            <w:pPr>
              <w:pStyle w:val="Pagedecouverture"/>
              <w:jc w:val="center"/>
              <w:rPr>
                <w:noProof/>
                <w:sz w:val="20"/>
              </w:rPr>
            </w:pPr>
          </w:p>
        </w:tc>
        <w:tc>
          <w:tcPr>
            <w:tcW w:w="748" w:type="dxa"/>
            <w:vAlign w:val="center"/>
          </w:tcPr>
          <w:p w:rsidR="00D71B15" w:rsidRDefault="00D71B15">
            <w:pPr>
              <w:pStyle w:val="Pagedecouverture"/>
              <w:jc w:val="center"/>
              <w:rPr>
                <w:noProof/>
                <w:sz w:val="20"/>
              </w:rPr>
            </w:pPr>
          </w:p>
        </w:tc>
        <w:tc>
          <w:tcPr>
            <w:tcW w:w="1051" w:type="dxa"/>
            <w:vAlign w:val="center"/>
          </w:tcPr>
          <w:p w:rsidR="00D71B15" w:rsidRDefault="00D71B15">
            <w:pPr>
              <w:pStyle w:val="Pagedecouverture"/>
              <w:jc w:val="center"/>
              <w:rPr>
                <w:b/>
                <w:noProof/>
                <w:sz w:val="20"/>
              </w:rPr>
            </w:pPr>
          </w:p>
        </w:tc>
      </w:tr>
      <w:tr w:rsidR="00D71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vMerge w:val="restart"/>
            <w:vAlign w:val="center"/>
          </w:tcPr>
          <w:p w:rsidR="00D71B15" w:rsidRDefault="005012C0">
            <w:pPr>
              <w:pStyle w:val="Pagedecouverture"/>
              <w:jc w:val="left"/>
              <w:rPr>
                <w:noProof/>
                <w:sz w:val="20"/>
              </w:rPr>
            </w:pPr>
            <w:r>
              <w:rPr>
                <w:noProof/>
                <w:sz w:val="20"/>
              </w:rPr>
              <w:t>Budjettikohta 01 03 02 – Makrotaloudellinen rahoitusapu</w:t>
            </w:r>
          </w:p>
        </w:tc>
        <w:tc>
          <w:tcPr>
            <w:tcW w:w="1418" w:type="dxa"/>
            <w:vAlign w:val="center"/>
          </w:tcPr>
          <w:p w:rsidR="00D71B15" w:rsidRDefault="005012C0">
            <w:pPr>
              <w:pStyle w:val="Pagedecouverture"/>
              <w:jc w:val="center"/>
              <w:rPr>
                <w:noProof/>
                <w:sz w:val="20"/>
              </w:rPr>
            </w:pPr>
            <w:r>
              <w:rPr>
                <w:noProof/>
                <w:sz w:val="20"/>
              </w:rPr>
              <w:t>Sitoumukset</w:t>
            </w:r>
          </w:p>
        </w:tc>
        <w:tc>
          <w:tcPr>
            <w:tcW w:w="748" w:type="dxa"/>
            <w:vAlign w:val="center"/>
          </w:tcPr>
          <w:p w:rsidR="00D71B15" w:rsidRDefault="005012C0">
            <w:pPr>
              <w:pStyle w:val="Pagedecouverture"/>
              <w:jc w:val="center"/>
              <w:rPr>
                <w:noProof/>
                <w:sz w:val="16"/>
              </w:rPr>
            </w:pPr>
            <w:r>
              <w:rPr>
                <w:noProof/>
                <w:sz w:val="16"/>
              </w:rPr>
              <w:t>(1)</w:t>
            </w:r>
          </w:p>
        </w:tc>
        <w:tc>
          <w:tcPr>
            <w:tcW w:w="748" w:type="dxa"/>
            <w:vAlign w:val="center"/>
          </w:tcPr>
          <w:p w:rsidR="00D71B15" w:rsidRDefault="00D71B15">
            <w:pPr>
              <w:pStyle w:val="Pagedecouverture"/>
              <w:jc w:val="center"/>
              <w:rPr>
                <w:noProof/>
                <w:sz w:val="20"/>
              </w:rPr>
            </w:pPr>
          </w:p>
        </w:tc>
        <w:tc>
          <w:tcPr>
            <w:tcW w:w="748" w:type="dxa"/>
            <w:vAlign w:val="center"/>
          </w:tcPr>
          <w:p w:rsidR="00D71B15" w:rsidRDefault="005012C0">
            <w:pPr>
              <w:pStyle w:val="Pagedecouverture"/>
              <w:jc w:val="center"/>
              <w:rPr>
                <w:noProof/>
                <w:sz w:val="20"/>
              </w:rPr>
            </w:pPr>
            <w:r>
              <w:rPr>
                <w:noProof/>
                <w:sz w:val="20"/>
              </w:rPr>
              <w:t>40</w:t>
            </w:r>
          </w:p>
        </w:tc>
        <w:tc>
          <w:tcPr>
            <w:tcW w:w="748" w:type="dxa"/>
            <w:vAlign w:val="center"/>
          </w:tcPr>
          <w:p w:rsidR="00D71B15" w:rsidRDefault="00D71B15">
            <w:pPr>
              <w:pStyle w:val="Pagedecouverture"/>
              <w:jc w:val="center"/>
              <w:rPr>
                <w:noProof/>
                <w:sz w:val="20"/>
              </w:rPr>
            </w:pPr>
          </w:p>
        </w:tc>
        <w:tc>
          <w:tcPr>
            <w:tcW w:w="748" w:type="dxa"/>
            <w:vAlign w:val="center"/>
          </w:tcPr>
          <w:p w:rsidR="00D71B15" w:rsidRDefault="00D71B15">
            <w:pPr>
              <w:pStyle w:val="Pagedecouverture"/>
              <w:jc w:val="center"/>
              <w:rPr>
                <w:noProof/>
                <w:sz w:val="20"/>
              </w:rPr>
            </w:pPr>
          </w:p>
        </w:tc>
        <w:tc>
          <w:tcPr>
            <w:tcW w:w="748" w:type="dxa"/>
            <w:vAlign w:val="center"/>
          </w:tcPr>
          <w:p w:rsidR="00D71B15" w:rsidRDefault="00D71B15">
            <w:pPr>
              <w:pStyle w:val="Pagedecouverture"/>
              <w:jc w:val="center"/>
              <w:rPr>
                <w:noProof/>
                <w:sz w:val="20"/>
              </w:rPr>
            </w:pPr>
          </w:p>
        </w:tc>
        <w:tc>
          <w:tcPr>
            <w:tcW w:w="1051" w:type="dxa"/>
            <w:vAlign w:val="center"/>
          </w:tcPr>
          <w:p w:rsidR="00D71B15" w:rsidRDefault="005012C0">
            <w:pPr>
              <w:pStyle w:val="Pagedecouverture"/>
              <w:jc w:val="center"/>
              <w:rPr>
                <w:b/>
                <w:noProof/>
                <w:sz w:val="20"/>
              </w:rPr>
            </w:pPr>
            <w:r>
              <w:rPr>
                <w:b/>
                <w:noProof/>
                <w:sz w:val="20"/>
              </w:rPr>
              <w:t>40</w:t>
            </w:r>
          </w:p>
        </w:tc>
      </w:tr>
      <w:tr w:rsidR="00D71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686" w:type="dxa"/>
            <w:vMerge/>
            <w:vAlign w:val="center"/>
          </w:tcPr>
          <w:p w:rsidR="00D71B15" w:rsidRDefault="00D71B15">
            <w:pPr>
              <w:pStyle w:val="Pagedecouverture"/>
              <w:jc w:val="left"/>
              <w:rPr>
                <w:noProof/>
                <w:sz w:val="20"/>
              </w:rPr>
            </w:pPr>
          </w:p>
        </w:tc>
        <w:tc>
          <w:tcPr>
            <w:tcW w:w="1418" w:type="dxa"/>
            <w:vAlign w:val="center"/>
          </w:tcPr>
          <w:p w:rsidR="00D71B15" w:rsidRDefault="005012C0">
            <w:pPr>
              <w:pStyle w:val="Pagedecouverture"/>
              <w:jc w:val="center"/>
              <w:rPr>
                <w:noProof/>
                <w:sz w:val="20"/>
              </w:rPr>
            </w:pPr>
            <w:r>
              <w:rPr>
                <w:noProof/>
                <w:sz w:val="20"/>
              </w:rPr>
              <w:t>Maksut</w:t>
            </w:r>
          </w:p>
        </w:tc>
        <w:tc>
          <w:tcPr>
            <w:tcW w:w="748" w:type="dxa"/>
            <w:vAlign w:val="center"/>
          </w:tcPr>
          <w:p w:rsidR="00D71B15" w:rsidRDefault="005012C0">
            <w:pPr>
              <w:pStyle w:val="Pagedecouverture"/>
              <w:jc w:val="center"/>
              <w:rPr>
                <w:noProof/>
                <w:sz w:val="16"/>
              </w:rPr>
            </w:pPr>
            <w:r>
              <w:rPr>
                <w:noProof/>
                <w:sz w:val="16"/>
              </w:rPr>
              <w:t>(2)</w:t>
            </w:r>
          </w:p>
        </w:tc>
        <w:tc>
          <w:tcPr>
            <w:tcW w:w="748" w:type="dxa"/>
            <w:vAlign w:val="center"/>
          </w:tcPr>
          <w:p w:rsidR="00D71B15" w:rsidRDefault="00D71B15">
            <w:pPr>
              <w:pStyle w:val="Pagedecouverture"/>
              <w:jc w:val="center"/>
              <w:rPr>
                <w:noProof/>
                <w:sz w:val="20"/>
              </w:rPr>
            </w:pPr>
          </w:p>
        </w:tc>
        <w:tc>
          <w:tcPr>
            <w:tcW w:w="748" w:type="dxa"/>
            <w:vAlign w:val="center"/>
          </w:tcPr>
          <w:p w:rsidR="00D71B15" w:rsidRDefault="005012C0">
            <w:pPr>
              <w:pStyle w:val="Pagedecouverture"/>
              <w:jc w:val="center"/>
              <w:rPr>
                <w:noProof/>
                <w:sz w:val="20"/>
              </w:rPr>
            </w:pPr>
            <w:r>
              <w:rPr>
                <w:noProof/>
                <w:sz w:val="20"/>
              </w:rPr>
              <w:t>20</w:t>
            </w:r>
          </w:p>
        </w:tc>
        <w:tc>
          <w:tcPr>
            <w:tcW w:w="748" w:type="dxa"/>
            <w:vAlign w:val="center"/>
          </w:tcPr>
          <w:p w:rsidR="00D71B15" w:rsidRDefault="005012C0">
            <w:pPr>
              <w:pStyle w:val="Pagedecouverture"/>
              <w:jc w:val="center"/>
              <w:rPr>
                <w:noProof/>
                <w:sz w:val="20"/>
              </w:rPr>
            </w:pPr>
            <w:r>
              <w:rPr>
                <w:noProof/>
                <w:sz w:val="20"/>
              </w:rPr>
              <w:t>20</w:t>
            </w:r>
          </w:p>
        </w:tc>
        <w:tc>
          <w:tcPr>
            <w:tcW w:w="748" w:type="dxa"/>
            <w:vAlign w:val="center"/>
          </w:tcPr>
          <w:p w:rsidR="00D71B15" w:rsidRDefault="00D71B15">
            <w:pPr>
              <w:pStyle w:val="Pagedecouverture"/>
              <w:jc w:val="center"/>
              <w:rPr>
                <w:noProof/>
                <w:sz w:val="20"/>
              </w:rPr>
            </w:pPr>
          </w:p>
        </w:tc>
        <w:tc>
          <w:tcPr>
            <w:tcW w:w="748" w:type="dxa"/>
            <w:vAlign w:val="center"/>
          </w:tcPr>
          <w:p w:rsidR="00D71B15" w:rsidRDefault="00D71B15">
            <w:pPr>
              <w:pStyle w:val="Pagedecouverture"/>
              <w:jc w:val="center"/>
              <w:rPr>
                <w:noProof/>
                <w:sz w:val="20"/>
              </w:rPr>
            </w:pPr>
          </w:p>
        </w:tc>
        <w:tc>
          <w:tcPr>
            <w:tcW w:w="1051" w:type="dxa"/>
            <w:vAlign w:val="center"/>
          </w:tcPr>
          <w:p w:rsidR="00D71B15" w:rsidRDefault="005012C0">
            <w:pPr>
              <w:pStyle w:val="Pagedecouverture"/>
              <w:jc w:val="center"/>
              <w:rPr>
                <w:b/>
                <w:noProof/>
                <w:sz w:val="20"/>
                <w:szCs w:val="20"/>
              </w:rPr>
            </w:pPr>
            <w:r>
              <w:rPr>
                <w:b/>
                <w:noProof/>
                <w:sz w:val="20"/>
              </w:rPr>
              <w:t>40</w:t>
            </w:r>
          </w:p>
        </w:tc>
      </w:tr>
      <w:tr w:rsidR="00D71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vMerge w:val="restart"/>
            <w:vAlign w:val="center"/>
          </w:tcPr>
          <w:p w:rsidR="00D71B15" w:rsidRDefault="005012C0">
            <w:pPr>
              <w:pStyle w:val="Pagedecouverture"/>
              <w:jc w:val="left"/>
              <w:rPr>
                <w:noProof/>
                <w:sz w:val="20"/>
              </w:rPr>
            </w:pPr>
            <w:r>
              <w:rPr>
                <w:noProof/>
                <w:sz w:val="20"/>
              </w:rPr>
              <w:t>Budjettikohta 01 03 06 − Takuurahaston rahoittaminen</w:t>
            </w:r>
          </w:p>
        </w:tc>
        <w:tc>
          <w:tcPr>
            <w:tcW w:w="1418" w:type="dxa"/>
            <w:vAlign w:val="center"/>
          </w:tcPr>
          <w:p w:rsidR="00D71B15" w:rsidRDefault="005012C0">
            <w:pPr>
              <w:pStyle w:val="Pagedecouverture"/>
              <w:jc w:val="center"/>
              <w:rPr>
                <w:noProof/>
                <w:sz w:val="20"/>
              </w:rPr>
            </w:pPr>
            <w:r>
              <w:rPr>
                <w:noProof/>
                <w:sz w:val="20"/>
              </w:rPr>
              <w:t>Sitoumukset</w:t>
            </w:r>
          </w:p>
        </w:tc>
        <w:tc>
          <w:tcPr>
            <w:tcW w:w="748" w:type="dxa"/>
            <w:vAlign w:val="center"/>
          </w:tcPr>
          <w:p w:rsidR="00D71B15" w:rsidRDefault="005012C0">
            <w:pPr>
              <w:pStyle w:val="Pagedecouverture"/>
              <w:jc w:val="center"/>
              <w:rPr>
                <w:noProof/>
                <w:sz w:val="16"/>
              </w:rPr>
            </w:pPr>
            <w:r>
              <w:rPr>
                <w:noProof/>
                <w:sz w:val="16"/>
              </w:rPr>
              <w:t>(1a)</w:t>
            </w:r>
          </w:p>
        </w:tc>
        <w:tc>
          <w:tcPr>
            <w:tcW w:w="748" w:type="dxa"/>
            <w:vAlign w:val="center"/>
          </w:tcPr>
          <w:p w:rsidR="00D71B15" w:rsidRDefault="00D71B15">
            <w:pPr>
              <w:pStyle w:val="Pagedecouverture"/>
              <w:jc w:val="center"/>
              <w:rPr>
                <w:noProof/>
                <w:sz w:val="20"/>
              </w:rPr>
            </w:pPr>
          </w:p>
        </w:tc>
        <w:tc>
          <w:tcPr>
            <w:tcW w:w="748" w:type="dxa"/>
            <w:vAlign w:val="center"/>
          </w:tcPr>
          <w:p w:rsidR="00D71B15" w:rsidRDefault="00D71B15">
            <w:pPr>
              <w:pStyle w:val="Pagedecouverture"/>
              <w:jc w:val="center"/>
              <w:rPr>
                <w:noProof/>
                <w:sz w:val="20"/>
              </w:rPr>
            </w:pPr>
          </w:p>
        </w:tc>
        <w:tc>
          <w:tcPr>
            <w:tcW w:w="748" w:type="dxa"/>
            <w:vAlign w:val="center"/>
          </w:tcPr>
          <w:p w:rsidR="00D71B15" w:rsidRDefault="00D71B15">
            <w:pPr>
              <w:pStyle w:val="Pagedecouverture"/>
              <w:jc w:val="center"/>
              <w:rPr>
                <w:noProof/>
                <w:sz w:val="20"/>
              </w:rPr>
            </w:pPr>
          </w:p>
        </w:tc>
        <w:tc>
          <w:tcPr>
            <w:tcW w:w="748" w:type="dxa"/>
            <w:vAlign w:val="center"/>
          </w:tcPr>
          <w:p w:rsidR="00D71B15" w:rsidRDefault="005012C0">
            <w:pPr>
              <w:pStyle w:val="Pagedecouverture"/>
              <w:jc w:val="center"/>
              <w:rPr>
                <w:noProof/>
                <w:sz w:val="20"/>
              </w:rPr>
            </w:pPr>
            <w:r>
              <w:rPr>
                <w:noProof/>
                <w:sz w:val="20"/>
              </w:rPr>
              <w:t>3,6</w:t>
            </w:r>
          </w:p>
        </w:tc>
        <w:tc>
          <w:tcPr>
            <w:tcW w:w="748" w:type="dxa"/>
            <w:vAlign w:val="center"/>
          </w:tcPr>
          <w:p w:rsidR="00D71B15" w:rsidRDefault="005012C0">
            <w:pPr>
              <w:pStyle w:val="Pagedecouverture"/>
              <w:jc w:val="center"/>
              <w:rPr>
                <w:noProof/>
                <w:sz w:val="20"/>
              </w:rPr>
            </w:pPr>
            <w:r>
              <w:rPr>
                <w:noProof/>
                <w:sz w:val="20"/>
              </w:rPr>
              <w:t>1,8</w:t>
            </w:r>
          </w:p>
        </w:tc>
        <w:tc>
          <w:tcPr>
            <w:tcW w:w="1051" w:type="dxa"/>
            <w:vAlign w:val="center"/>
          </w:tcPr>
          <w:p w:rsidR="00D71B15" w:rsidRDefault="005012C0">
            <w:pPr>
              <w:pStyle w:val="Pagedecouverture"/>
              <w:jc w:val="center"/>
              <w:rPr>
                <w:b/>
                <w:noProof/>
                <w:sz w:val="20"/>
              </w:rPr>
            </w:pPr>
            <w:r>
              <w:rPr>
                <w:b/>
                <w:noProof/>
                <w:sz w:val="20"/>
              </w:rPr>
              <w:t>5,4</w:t>
            </w:r>
          </w:p>
        </w:tc>
      </w:tr>
      <w:tr w:rsidR="00D71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3686" w:type="dxa"/>
            <w:vMerge/>
            <w:vAlign w:val="center"/>
          </w:tcPr>
          <w:p w:rsidR="00D71B15" w:rsidRDefault="00D71B15">
            <w:pPr>
              <w:pStyle w:val="Pagedecouverture"/>
              <w:jc w:val="center"/>
              <w:rPr>
                <w:noProof/>
                <w:sz w:val="20"/>
              </w:rPr>
            </w:pPr>
          </w:p>
        </w:tc>
        <w:tc>
          <w:tcPr>
            <w:tcW w:w="1418" w:type="dxa"/>
            <w:vAlign w:val="center"/>
          </w:tcPr>
          <w:p w:rsidR="00D71B15" w:rsidRDefault="005012C0">
            <w:pPr>
              <w:pStyle w:val="Pagedecouverture"/>
              <w:jc w:val="center"/>
              <w:rPr>
                <w:noProof/>
                <w:sz w:val="20"/>
              </w:rPr>
            </w:pPr>
            <w:r>
              <w:rPr>
                <w:noProof/>
                <w:sz w:val="20"/>
              </w:rPr>
              <w:t>Maksut</w:t>
            </w:r>
          </w:p>
        </w:tc>
        <w:tc>
          <w:tcPr>
            <w:tcW w:w="748" w:type="dxa"/>
            <w:vAlign w:val="center"/>
          </w:tcPr>
          <w:p w:rsidR="00D71B15" w:rsidRDefault="005012C0">
            <w:pPr>
              <w:pStyle w:val="Pagedecouverture"/>
              <w:jc w:val="center"/>
              <w:rPr>
                <w:noProof/>
                <w:sz w:val="16"/>
              </w:rPr>
            </w:pPr>
            <w:r>
              <w:rPr>
                <w:noProof/>
                <w:sz w:val="16"/>
              </w:rPr>
              <w:t>(2a)</w:t>
            </w:r>
          </w:p>
        </w:tc>
        <w:tc>
          <w:tcPr>
            <w:tcW w:w="748" w:type="dxa"/>
            <w:vAlign w:val="center"/>
          </w:tcPr>
          <w:p w:rsidR="00D71B15" w:rsidRDefault="00D71B15">
            <w:pPr>
              <w:pStyle w:val="Pagedecouverture"/>
              <w:jc w:val="center"/>
              <w:rPr>
                <w:noProof/>
                <w:sz w:val="20"/>
              </w:rPr>
            </w:pPr>
          </w:p>
        </w:tc>
        <w:tc>
          <w:tcPr>
            <w:tcW w:w="748" w:type="dxa"/>
            <w:vAlign w:val="center"/>
          </w:tcPr>
          <w:p w:rsidR="00D71B15" w:rsidRDefault="00D71B15">
            <w:pPr>
              <w:pStyle w:val="Pagedecouverture"/>
              <w:jc w:val="center"/>
              <w:rPr>
                <w:noProof/>
                <w:sz w:val="20"/>
              </w:rPr>
            </w:pPr>
          </w:p>
        </w:tc>
        <w:tc>
          <w:tcPr>
            <w:tcW w:w="748" w:type="dxa"/>
            <w:vAlign w:val="center"/>
          </w:tcPr>
          <w:p w:rsidR="00D71B15" w:rsidRDefault="00D71B15">
            <w:pPr>
              <w:pStyle w:val="Pagedecouverture"/>
              <w:jc w:val="center"/>
              <w:rPr>
                <w:noProof/>
                <w:sz w:val="20"/>
              </w:rPr>
            </w:pPr>
          </w:p>
        </w:tc>
        <w:tc>
          <w:tcPr>
            <w:tcW w:w="748" w:type="dxa"/>
            <w:vAlign w:val="center"/>
          </w:tcPr>
          <w:p w:rsidR="00D71B15" w:rsidRDefault="005012C0">
            <w:pPr>
              <w:pStyle w:val="Pagedecouverture"/>
              <w:jc w:val="center"/>
              <w:rPr>
                <w:noProof/>
                <w:sz w:val="20"/>
              </w:rPr>
            </w:pPr>
            <w:r>
              <w:rPr>
                <w:noProof/>
                <w:sz w:val="20"/>
              </w:rPr>
              <w:t>3,6</w:t>
            </w:r>
          </w:p>
        </w:tc>
        <w:tc>
          <w:tcPr>
            <w:tcW w:w="748" w:type="dxa"/>
            <w:vAlign w:val="center"/>
          </w:tcPr>
          <w:p w:rsidR="00D71B15" w:rsidRDefault="005012C0">
            <w:pPr>
              <w:pStyle w:val="Pagedecouverture"/>
              <w:jc w:val="center"/>
              <w:rPr>
                <w:noProof/>
                <w:sz w:val="20"/>
              </w:rPr>
            </w:pPr>
            <w:r>
              <w:rPr>
                <w:noProof/>
                <w:sz w:val="20"/>
              </w:rPr>
              <w:t>1,8</w:t>
            </w:r>
          </w:p>
        </w:tc>
        <w:tc>
          <w:tcPr>
            <w:tcW w:w="1051" w:type="dxa"/>
            <w:vAlign w:val="center"/>
          </w:tcPr>
          <w:p w:rsidR="00D71B15" w:rsidRDefault="005012C0">
            <w:pPr>
              <w:pStyle w:val="Pagedecouverture"/>
              <w:jc w:val="center"/>
              <w:rPr>
                <w:b/>
                <w:noProof/>
                <w:sz w:val="20"/>
              </w:rPr>
            </w:pPr>
            <w:r>
              <w:rPr>
                <w:b/>
                <w:noProof/>
                <w:sz w:val="20"/>
              </w:rPr>
              <w:t>5,4</w:t>
            </w:r>
          </w:p>
        </w:tc>
      </w:tr>
      <w:tr w:rsidR="00D71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8"/>
        </w:trPr>
        <w:tc>
          <w:tcPr>
            <w:tcW w:w="5852" w:type="dxa"/>
            <w:gridSpan w:val="3"/>
            <w:vAlign w:val="center"/>
          </w:tcPr>
          <w:p w:rsidR="00D71B15" w:rsidRDefault="005012C0">
            <w:pPr>
              <w:pStyle w:val="Pagedecouverture"/>
              <w:jc w:val="left"/>
              <w:rPr>
                <w:noProof/>
                <w:sz w:val="20"/>
              </w:rPr>
            </w:pPr>
            <w:r>
              <w:rPr>
                <w:noProof/>
                <w:sz w:val="20"/>
              </w:rPr>
              <w:t>Tiettyjen ohjelmien määrärahoista katettavat hallintomäärärahat</w:t>
            </w:r>
            <w:r>
              <w:rPr>
                <w:rStyle w:val="FootnoteReference"/>
                <w:noProof/>
                <w:sz w:val="20"/>
              </w:rPr>
              <w:footnoteReference w:id="23"/>
            </w:r>
          </w:p>
          <w:p w:rsidR="00D71B15" w:rsidRDefault="005012C0">
            <w:pPr>
              <w:pStyle w:val="Pagedecouverture"/>
              <w:jc w:val="left"/>
              <w:rPr>
                <w:noProof/>
                <w:sz w:val="20"/>
              </w:rPr>
            </w:pPr>
            <w:r>
              <w:rPr>
                <w:noProof/>
                <w:sz w:val="20"/>
              </w:rPr>
              <w:t>(toiminnan arviointi ja jälkiarviointi)</w:t>
            </w:r>
          </w:p>
        </w:tc>
        <w:tc>
          <w:tcPr>
            <w:tcW w:w="748" w:type="dxa"/>
            <w:vAlign w:val="center"/>
          </w:tcPr>
          <w:p w:rsidR="00D71B15" w:rsidRDefault="00D71B15">
            <w:pPr>
              <w:pStyle w:val="Pagedecouverture"/>
              <w:jc w:val="center"/>
              <w:rPr>
                <w:noProof/>
                <w:sz w:val="20"/>
              </w:rPr>
            </w:pPr>
          </w:p>
        </w:tc>
        <w:tc>
          <w:tcPr>
            <w:tcW w:w="748" w:type="dxa"/>
            <w:vAlign w:val="center"/>
          </w:tcPr>
          <w:p w:rsidR="00D71B15" w:rsidRDefault="00D71B15">
            <w:pPr>
              <w:pStyle w:val="Pagedecouverture"/>
              <w:jc w:val="center"/>
              <w:rPr>
                <w:noProof/>
                <w:sz w:val="20"/>
              </w:rPr>
            </w:pPr>
          </w:p>
        </w:tc>
        <w:tc>
          <w:tcPr>
            <w:tcW w:w="748" w:type="dxa"/>
            <w:vAlign w:val="center"/>
          </w:tcPr>
          <w:p w:rsidR="00D71B15" w:rsidRDefault="00D71B15">
            <w:pPr>
              <w:pStyle w:val="Pagedecouverture"/>
              <w:jc w:val="center"/>
              <w:rPr>
                <w:noProof/>
                <w:sz w:val="20"/>
              </w:rPr>
            </w:pPr>
          </w:p>
        </w:tc>
        <w:tc>
          <w:tcPr>
            <w:tcW w:w="748" w:type="dxa"/>
            <w:vAlign w:val="center"/>
          </w:tcPr>
          <w:p w:rsidR="00D71B15" w:rsidRDefault="00D71B15">
            <w:pPr>
              <w:pStyle w:val="Pagedecouverture"/>
              <w:jc w:val="center"/>
              <w:rPr>
                <w:noProof/>
                <w:sz w:val="20"/>
              </w:rPr>
            </w:pPr>
          </w:p>
        </w:tc>
        <w:tc>
          <w:tcPr>
            <w:tcW w:w="748" w:type="dxa"/>
            <w:vAlign w:val="center"/>
          </w:tcPr>
          <w:p w:rsidR="00D71B15" w:rsidRDefault="00D71B15">
            <w:pPr>
              <w:pStyle w:val="Pagedecouverture"/>
              <w:jc w:val="center"/>
              <w:rPr>
                <w:noProof/>
                <w:sz w:val="20"/>
              </w:rPr>
            </w:pPr>
          </w:p>
        </w:tc>
        <w:tc>
          <w:tcPr>
            <w:tcW w:w="1051" w:type="dxa"/>
            <w:vAlign w:val="center"/>
          </w:tcPr>
          <w:p w:rsidR="00D71B15" w:rsidRDefault="00D71B15">
            <w:pPr>
              <w:pStyle w:val="Pagedecouverture"/>
              <w:jc w:val="center"/>
              <w:rPr>
                <w:b/>
                <w:noProof/>
                <w:sz w:val="20"/>
              </w:rPr>
            </w:pPr>
          </w:p>
        </w:tc>
      </w:tr>
      <w:tr w:rsidR="00D71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
        </w:trPr>
        <w:tc>
          <w:tcPr>
            <w:tcW w:w="3686" w:type="dxa"/>
            <w:vAlign w:val="center"/>
          </w:tcPr>
          <w:p w:rsidR="00D71B15" w:rsidRDefault="005012C0">
            <w:pPr>
              <w:pStyle w:val="Pagedecouverture"/>
              <w:jc w:val="left"/>
              <w:rPr>
                <w:noProof/>
                <w:sz w:val="20"/>
              </w:rPr>
            </w:pPr>
            <w:r>
              <w:rPr>
                <w:noProof/>
                <w:sz w:val="20"/>
              </w:rPr>
              <w:t xml:space="preserve">Budjettikohta 01 03 02 – </w:t>
            </w:r>
            <w:r>
              <w:rPr>
                <w:noProof/>
                <w:sz w:val="20"/>
              </w:rPr>
              <w:t>Makrotaloudellinen rahoitusapu</w:t>
            </w:r>
          </w:p>
        </w:tc>
        <w:tc>
          <w:tcPr>
            <w:tcW w:w="1418" w:type="dxa"/>
            <w:vAlign w:val="center"/>
          </w:tcPr>
          <w:p w:rsidR="00D71B15" w:rsidRDefault="005012C0">
            <w:pPr>
              <w:pStyle w:val="Pagedecouverture"/>
              <w:jc w:val="center"/>
              <w:rPr>
                <w:noProof/>
                <w:sz w:val="20"/>
              </w:rPr>
            </w:pPr>
            <w:r>
              <w:rPr>
                <w:noProof/>
                <w:sz w:val="20"/>
              </w:rPr>
              <w:t>Sitoumukset</w:t>
            </w:r>
          </w:p>
        </w:tc>
        <w:tc>
          <w:tcPr>
            <w:tcW w:w="748" w:type="dxa"/>
            <w:vAlign w:val="center"/>
          </w:tcPr>
          <w:p w:rsidR="00D71B15" w:rsidRDefault="005012C0">
            <w:pPr>
              <w:pStyle w:val="Pagedecouverture"/>
              <w:jc w:val="center"/>
              <w:rPr>
                <w:noProof/>
                <w:sz w:val="16"/>
              </w:rPr>
            </w:pPr>
            <w:r>
              <w:rPr>
                <w:noProof/>
                <w:sz w:val="16"/>
              </w:rPr>
              <w:t>(3)</w:t>
            </w:r>
          </w:p>
        </w:tc>
        <w:tc>
          <w:tcPr>
            <w:tcW w:w="748" w:type="dxa"/>
            <w:vAlign w:val="center"/>
          </w:tcPr>
          <w:p w:rsidR="00D71B15" w:rsidRDefault="00D71B15">
            <w:pPr>
              <w:pStyle w:val="Pagedecouverture"/>
              <w:jc w:val="center"/>
              <w:rPr>
                <w:noProof/>
                <w:sz w:val="20"/>
              </w:rPr>
            </w:pPr>
          </w:p>
        </w:tc>
        <w:tc>
          <w:tcPr>
            <w:tcW w:w="748" w:type="dxa"/>
            <w:vAlign w:val="center"/>
          </w:tcPr>
          <w:p w:rsidR="00D71B15" w:rsidRDefault="00D71B15">
            <w:pPr>
              <w:pStyle w:val="Pagedecouverture"/>
              <w:jc w:val="center"/>
              <w:rPr>
                <w:noProof/>
                <w:sz w:val="20"/>
              </w:rPr>
            </w:pPr>
          </w:p>
        </w:tc>
        <w:tc>
          <w:tcPr>
            <w:tcW w:w="748" w:type="dxa"/>
            <w:vAlign w:val="center"/>
          </w:tcPr>
          <w:p w:rsidR="00D71B15" w:rsidRDefault="00D71B15">
            <w:pPr>
              <w:pStyle w:val="Pagedecouverture"/>
              <w:jc w:val="center"/>
              <w:rPr>
                <w:noProof/>
                <w:sz w:val="20"/>
              </w:rPr>
            </w:pPr>
          </w:p>
        </w:tc>
        <w:tc>
          <w:tcPr>
            <w:tcW w:w="748" w:type="dxa"/>
            <w:vAlign w:val="center"/>
          </w:tcPr>
          <w:p w:rsidR="00D71B15" w:rsidRDefault="00D71B15">
            <w:pPr>
              <w:pStyle w:val="Pagedecouverture"/>
              <w:jc w:val="center"/>
              <w:rPr>
                <w:noProof/>
                <w:sz w:val="20"/>
              </w:rPr>
            </w:pPr>
          </w:p>
        </w:tc>
        <w:tc>
          <w:tcPr>
            <w:tcW w:w="748" w:type="dxa"/>
            <w:vAlign w:val="center"/>
          </w:tcPr>
          <w:p w:rsidR="00D71B15" w:rsidRDefault="005012C0">
            <w:pPr>
              <w:pStyle w:val="Pagedecouverture"/>
              <w:jc w:val="center"/>
              <w:rPr>
                <w:noProof/>
                <w:sz w:val="20"/>
              </w:rPr>
            </w:pPr>
            <w:r>
              <w:rPr>
                <w:noProof/>
                <w:sz w:val="20"/>
              </w:rPr>
              <w:t>0,15</w:t>
            </w:r>
          </w:p>
        </w:tc>
        <w:tc>
          <w:tcPr>
            <w:tcW w:w="1051" w:type="dxa"/>
            <w:vAlign w:val="center"/>
          </w:tcPr>
          <w:p w:rsidR="00D71B15" w:rsidRDefault="005012C0">
            <w:pPr>
              <w:pStyle w:val="Pagedecouverture"/>
              <w:jc w:val="center"/>
              <w:rPr>
                <w:b/>
                <w:noProof/>
                <w:sz w:val="20"/>
              </w:rPr>
            </w:pPr>
            <w:r>
              <w:rPr>
                <w:b/>
                <w:noProof/>
                <w:sz w:val="20"/>
              </w:rPr>
              <w:t>0,15</w:t>
            </w:r>
          </w:p>
        </w:tc>
      </w:tr>
      <w:tr w:rsidR="00D71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3686" w:type="dxa"/>
            <w:vAlign w:val="center"/>
          </w:tcPr>
          <w:p w:rsidR="00D71B15" w:rsidRDefault="00D71B15">
            <w:pPr>
              <w:pStyle w:val="Pagedecouverture"/>
              <w:jc w:val="center"/>
              <w:rPr>
                <w:noProof/>
                <w:sz w:val="20"/>
              </w:rPr>
            </w:pPr>
          </w:p>
        </w:tc>
        <w:tc>
          <w:tcPr>
            <w:tcW w:w="1418" w:type="dxa"/>
            <w:vAlign w:val="center"/>
          </w:tcPr>
          <w:p w:rsidR="00D71B15" w:rsidRDefault="005012C0">
            <w:pPr>
              <w:pStyle w:val="Pagedecouverture"/>
              <w:jc w:val="center"/>
              <w:rPr>
                <w:noProof/>
                <w:sz w:val="20"/>
              </w:rPr>
            </w:pPr>
            <w:r>
              <w:rPr>
                <w:noProof/>
                <w:sz w:val="20"/>
              </w:rPr>
              <w:t>Maksut</w:t>
            </w:r>
          </w:p>
        </w:tc>
        <w:tc>
          <w:tcPr>
            <w:tcW w:w="748" w:type="dxa"/>
            <w:vAlign w:val="center"/>
          </w:tcPr>
          <w:p w:rsidR="00D71B15" w:rsidRDefault="005012C0">
            <w:pPr>
              <w:pStyle w:val="Pagedecouverture"/>
              <w:jc w:val="center"/>
              <w:rPr>
                <w:noProof/>
                <w:sz w:val="16"/>
              </w:rPr>
            </w:pPr>
            <w:r>
              <w:rPr>
                <w:noProof/>
                <w:sz w:val="16"/>
              </w:rPr>
              <w:t>(3a)</w:t>
            </w:r>
          </w:p>
        </w:tc>
        <w:tc>
          <w:tcPr>
            <w:tcW w:w="748" w:type="dxa"/>
            <w:vAlign w:val="center"/>
          </w:tcPr>
          <w:p w:rsidR="00D71B15" w:rsidRDefault="005012C0">
            <w:pPr>
              <w:pStyle w:val="Pagedecouverture"/>
              <w:jc w:val="center"/>
              <w:rPr>
                <w:noProof/>
                <w:sz w:val="20"/>
              </w:rPr>
            </w:pPr>
            <w:r>
              <w:rPr>
                <w:noProof/>
                <w:sz w:val="20"/>
              </w:rPr>
              <w:t>0,06</w:t>
            </w:r>
          </w:p>
        </w:tc>
        <w:tc>
          <w:tcPr>
            <w:tcW w:w="748" w:type="dxa"/>
            <w:vAlign w:val="center"/>
          </w:tcPr>
          <w:p w:rsidR="00D71B15" w:rsidRDefault="00D71B15">
            <w:pPr>
              <w:pStyle w:val="Pagedecouverture"/>
              <w:jc w:val="center"/>
              <w:rPr>
                <w:noProof/>
                <w:sz w:val="20"/>
              </w:rPr>
            </w:pPr>
          </w:p>
        </w:tc>
        <w:tc>
          <w:tcPr>
            <w:tcW w:w="748" w:type="dxa"/>
            <w:vAlign w:val="center"/>
          </w:tcPr>
          <w:p w:rsidR="00D71B15" w:rsidRDefault="00D71B15">
            <w:pPr>
              <w:pStyle w:val="Pagedecouverture"/>
              <w:jc w:val="center"/>
              <w:rPr>
                <w:noProof/>
                <w:sz w:val="20"/>
              </w:rPr>
            </w:pPr>
          </w:p>
        </w:tc>
        <w:tc>
          <w:tcPr>
            <w:tcW w:w="748" w:type="dxa"/>
            <w:vAlign w:val="center"/>
          </w:tcPr>
          <w:p w:rsidR="00D71B15" w:rsidRDefault="00D71B15">
            <w:pPr>
              <w:pStyle w:val="Pagedecouverture"/>
              <w:jc w:val="center"/>
              <w:rPr>
                <w:noProof/>
                <w:sz w:val="20"/>
              </w:rPr>
            </w:pPr>
          </w:p>
        </w:tc>
        <w:tc>
          <w:tcPr>
            <w:tcW w:w="748" w:type="dxa"/>
            <w:vAlign w:val="center"/>
          </w:tcPr>
          <w:p w:rsidR="00D71B15" w:rsidRDefault="005012C0">
            <w:pPr>
              <w:pStyle w:val="Pagedecouverture"/>
              <w:jc w:val="center"/>
              <w:rPr>
                <w:noProof/>
                <w:sz w:val="20"/>
              </w:rPr>
            </w:pPr>
            <w:r>
              <w:rPr>
                <w:noProof/>
                <w:sz w:val="20"/>
              </w:rPr>
              <w:t>0,15</w:t>
            </w:r>
          </w:p>
        </w:tc>
        <w:tc>
          <w:tcPr>
            <w:tcW w:w="1051" w:type="dxa"/>
            <w:vAlign w:val="center"/>
          </w:tcPr>
          <w:p w:rsidR="00D71B15" w:rsidRDefault="005012C0">
            <w:pPr>
              <w:pStyle w:val="Pagedecouverture"/>
              <w:jc w:val="center"/>
              <w:rPr>
                <w:b/>
                <w:noProof/>
                <w:sz w:val="20"/>
              </w:rPr>
            </w:pPr>
            <w:r>
              <w:rPr>
                <w:b/>
                <w:noProof/>
                <w:sz w:val="20"/>
              </w:rPr>
              <w:t>0,21</w:t>
            </w:r>
          </w:p>
        </w:tc>
      </w:tr>
      <w:tr w:rsidR="00D71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vMerge w:val="restart"/>
            <w:vAlign w:val="center"/>
          </w:tcPr>
          <w:p w:rsidR="00D71B15" w:rsidRDefault="005012C0">
            <w:pPr>
              <w:pStyle w:val="Pagedecouverture"/>
              <w:jc w:val="center"/>
              <w:rPr>
                <w:b/>
                <w:noProof/>
                <w:sz w:val="20"/>
              </w:rPr>
            </w:pPr>
            <w:r>
              <w:rPr>
                <w:b/>
                <w:noProof/>
                <w:sz w:val="22"/>
              </w:rPr>
              <w:t>PO ECFINin määrärahat YHTEENSÄ</w:t>
            </w:r>
            <w:r>
              <w:rPr>
                <w:b/>
                <w:noProof/>
                <w:sz w:val="22"/>
              </w:rPr>
              <w:br/>
            </w:r>
          </w:p>
        </w:tc>
        <w:tc>
          <w:tcPr>
            <w:tcW w:w="1418" w:type="dxa"/>
            <w:vAlign w:val="center"/>
          </w:tcPr>
          <w:p w:rsidR="00D71B15" w:rsidRDefault="005012C0">
            <w:pPr>
              <w:pStyle w:val="Pagedecouverture"/>
              <w:jc w:val="center"/>
              <w:rPr>
                <w:noProof/>
                <w:sz w:val="20"/>
              </w:rPr>
            </w:pPr>
            <w:r>
              <w:rPr>
                <w:noProof/>
                <w:sz w:val="20"/>
              </w:rPr>
              <w:t>Sitoumukset</w:t>
            </w:r>
          </w:p>
        </w:tc>
        <w:tc>
          <w:tcPr>
            <w:tcW w:w="748" w:type="dxa"/>
            <w:vAlign w:val="center"/>
          </w:tcPr>
          <w:p w:rsidR="00D71B15" w:rsidRDefault="005012C0">
            <w:pPr>
              <w:pStyle w:val="Pagedecouverture"/>
              <w:jc w:val="center"/>
              <w:rPr>
                <w:noProof/>
                <w:sz w:val="16"/>
              </w:rPr>
            </w:pPr>
            <w:r>
              <w:rPr>
                <w:noProof/>
                <w:sz w:val="16"/>
              </w:rPr>
              <w:t>=1 + 1a + 3</w:t>
            </w:r>
          </w:p>
        </w:tc>
        <w:tc>
          <w:tcPr>
            <w:tcW w:w="748" w:type="dxa"/>
            <w:vAlign w:val="center"/>
          </w:tcPr>
          <w:p w:rsidR="00D71B15" w:rsidRDefault="00D71B15">
            <w:pPr>
              <w:pStyle w:val="Pagedecouverture"/>
              <w:jc w:val="center"/>
              <w:rPr>
                <w:noProof/>
                <w:sz w:val="20"/>
              </w:rPr>
            </w:pPr>
          </w:p>
        </w:tc>
        <w:tc>
          <w:tcPr>
            <w:tcW w:w="748" w:type="dxa"/>
            <w:vAlign w:val="center"/>
          </w:tcPr>
          <w:p w:rsidR="00D71B15" w:rsidRDefault="005012C0">
            <w:pPr>
              <w:pStyle w:val="Pagedecouverture"/>
              <w:jc w:val="center"/>
              <w:rPr>
                <w:noProof/>
                <w:sz w:val="20"/>
              </w:rPr>
            </w:pPr>
            <w:r>
              <w:rPr>
                <w:noProof/>
                <w:sz w:val="20"/>
              </w:rPr>
              <w:t>40</w:t>
            </w:r>
          </w:p>
        </w:tc>
        <w:tc>
          <w:tcPr>
            <w:tcW w:w="748" w:type="dxa"/>
            <w:vAlign w:val="center"/>
          </w:tcPr>
          <w:p w:rsidR="00D71B15" w:rsidRDefault="00D71B15">
            <w:pPr>
              <w:pStyle w:val="Pagedecouverture"/>
              <w:jc w:val="center"/>
              <w:rPr>
                <w:noProof/>
                <w:sz w:val="20"/>
              </w:rPr>
            </w:pPr>
          </w:p>
        </w:tc>
        <w:tc>
          <w:tcPr>
            <w:tcW w:w="748" w:type="dxa"/>
            <w:vAlign w:val="center"/>
          </w:tcPr>
          <w:p w:rsidR="00D71B15" w:rsidRDefault="005012C0">
            <w:pPr>
              <w:pStyle w:val="Pagedecouverture"/>
              <w:jc w:val="center"/>
              <w:rPr>
                <w:noProof/>
                <w:sz w:val="20"/>
              </w:rPr>
            </w:pPr>
            <w:r>
              <w:rPr>
                <w:noProof/>
                <w:sz w:val="20"/>
              </w:rPr>
              <w:t>3,6</w:t>
            </w:r>
          </w:p>
        </w:tc>
        <w:tc>
          <w:tcPr>
            <w:tcW w:w="748" w:type="dxa"/>
            <w:vAlign w:val="center"/>
          </w:tcPr>
          <w:p w:rsidR="00D71B15" w:rsidRDefault="005012C0">
            <w:pPr>
              <w:pStyle w:val="Pagedecouverture"/>
              <w:jc w:val="center"/>
              <w:rPr>
                <w:noProof/>
                <w:sz w:val="20"/>
              </w:rPr>
            </w:pPr>
            <w:r>
              <w:rPr>
                <w:noProof/>
                <w:sz w:val="20"/>
              </w:rPr>
              <w:t>1,95</w:t>
            </w:r>
          </w:p>
        </w:tc>
        <w:tc>
          <w:tcPr>
            <w:tcW w:w="1051" w:type="dxa"/>
            <w:vAlign w:val="center"/>
          </w:tcPr>
          <w:p w:rsidR="00D71B15" w:rsidRDefault="005012C0">
            <w:pPr>
              <w:pStyle w:val="Pagedecouverture"/>
              <w:jc w:val="center"/>
              <w:rPr>
                <w:b/>
                <w:noProof/>
                <w:sz w:val="20"/>
              </w:rPr>
            </w:pPr>
            <w:r>
              <w:rPr>
                <w:b/>
                <w:noProof/>
                <w:sz w:val="20"/>
              </w:rPr>
              <w:t>45,55</w:t>
            </w:r>
          </w:p>
        </w:tc>
      </w:tr>
      <w:tr w:rsidR="00D71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vMerge/>
            <w:vAlign w:val="center"/>
          </w:tcPr>
          <w:p w:rsidR="00D71B15" w:rsidRDefault="00D71B15">
            <w:pPr>
              <w:pStyle w:val="Pagedecouverture"/>
              <w:jc w:val="center"/>
              <w:rPr>
                <w:noProof/>
                <w:sz w:val="20"/>
              </w:rPr>
            </w:pPr>
          </w:p>
        </w:tc>
        <w:tc>
          <w:tcPr>
            <w:tcW w:w="1418" w:type="dxa"/>
            <w:vAlign w:val="center"/>
          </w:tcPr>
          <w:p w:rsidR="00D71B15" w:rsidRDefault="005012C0">
            <w:pPr>
              <w:pStyle w:val="Pagedecouverture"/>
              <w:jc w:val="center"/>
              <w:rPr>
                <w:noProof/>
                <w:sz w:val="20"/>
              </w:rPr>
            </w:pPr>
            <w:r>
              <w:rPr>
                <w:noProof/>
                <w:sz w:val="20"/>
              </w:rPr>
              <w:t>Maksut</w:t>
            </w:r>
          </w:p>
        </w:tc>
        <w:tc>
          <w:tcPr>
            <w:tcW w:w="748" w:type="dxa"/>
            <w:vAlign w:val="center"/>
          </w:tcPr>
          <w:p w:rsidR="00D71B15" w:rsidRDefault="005012C0">
            <w:pPr>
              <w:pStyle w:val="Pagedecouverture"/>
              <w:jc w:val="center"/>
              <w:rPr>
                <w:noProof/>
                <w:sz w:val="16"/>
              </w:rPr>
            </w:pPr>
            <w:r>
              <w:rPr>
                <w:noProof/>
                <w:sz w:val="16"/>
              </w:rPr>
              <w:t>= 2 + 2 a</w:t>
            </w:r>
          </w:p>
          <w:p w:rsidR="00D71B15" w:rsidRDefault="005012C0">
            <w:pPr>
              <w:pStyle w:val="Pagedecouverture"/>
              <w:jc w:val="center"/>
              <w:rPr>
                <w:noProof/>
                <w:sz w:val="16"/>
              </w:rPr>
            </w:pPr>
            <w:r>
              <w:rPr>
                <w:noProof/>
                <w:sz w:val="16"/>
              </w:rPr>
              <w:t>+3</w:t>
            </w:r>
          </w:p>
        </w:tc>
        <w:tc>
          <w:tcPr>
            <w:tcW w:w="748" w:type="dxa"/>
            <w:vAlign w:val="center"/>
          </w:tcPr>
          <w:p w:rsidR="00D71B15" w:rsidRDefault="005012C0">
            <w:pPr>
              <w:pStyle w:val="Pagedecouverture"/>
              <w:jc w:val="center"/>
              <w:rPr>
                <w:noProof/>
                <w:sz w:val="20"/>
              </w:rPr>
            </w:pPr>
            <w:r>
              <w:rPr>
                <w:noProof/>
                <w:sz w:val="20"/>
              </w:rPr>
              <w:t>0,06</w:t>
            </w:r>
          </w:p>
        </w:tc>
        <w:tc>
          <w:tcPr>
            <w:tcW w:w="748" w:type="dxa"/>
            <w:vAlign w:val="center"/>
          </w:tcPr>
          <w:p w:rsidR="00D71B15" w:rsidRDefault="005012C0">
            <w:pPr>
              <w:pStyle w:val="Pagedecouverture"/>
              <w:jc w:val="center"/>
              <w:rPr>
                <w:noProof/>
                <w:sz w:val="20"/>
              </w:rPr>
            </w:pPr>
            <w:r>
              <w:rPr>
                <w:noProof/>
                <w:sz w:val="20"/>
              </w:rPr>
              <w:t>20</w:t>
            </w:r>
          </w:p>
        </w:tc>
        <w:tc>
          <w:tcPr>
            <w:tcW w:w="748" w:type="dxa"/>
            <w:vAlign w:val="center"/>
          </w:tcPr>
          <w:p w:rsidR="00D71B15" w:rsidRDefault="005012C0">
            <w:pPr>
              <w:pStyle w:val="Pagedecouverture"/>
              <w:jc w:val="center"/>
              <w:rPr>
                <w:noProof/>
                <w:sz w:val="20"/>
              </w:rPr>
            </w:pPr>
            <w:r>
              <w:rPr>
                <w:noProof/>
                <w:sz w:val="20"/>
              </w:rPr>
              <w:t>20</w:t>
            </w:r>
          </w:p>
        </w:tc>
        <w:tc>
          <w:tcPr>
            <w:tcW w:w="748" w:type="dxa"/>
            <w:vAlign w:val="center"/>
          </w:tcPr>
          <w:p w:rsidR="00D71B15" w:rsidRDefault="005012C0">
            <w:pPr>
              <w:pStyle w:val="Pagedecouverture"/>
              <w:jc w:val="center"/>
              <w:rPr>
                <w:noProof/>
                <w:sz w:val="20"/>
              </w:rPr>
            </w:pPr>
            <w:r>
              <w:rPr>
                <w:noProof/>
                <w:sz w:val="20"/>
              </w:rPr>
              <w:t>3,6</w:t>
            </w:r>
          </w:p>
        </w:tc>
        <w:tc>
          <w:tcPr>
            <w:tcW w:w="748" w:type="dxa"/>
            <w:vAlign w:val="center"/>
          </w:tcPr>
          <w:p w:rsidR="00D71B15" w:rsidRDefault="005012C0">
            <w:pPr>
              <w:pStyle w:val="Pagedecouverture"/>
              <w:jc w:val="center"/>
              <w:rPr>
                <w:noProof/>
                <w:sz w:val="20"/>
              </w:rPr>
            </w:pPr>
            <w:r>
              <w:rPr>
                <w:noProof/>
                <w:sz w:val="20"/>
              </w:rPr>
              <w:t>1,95</w:t>
            </w:r>
          </w:p>
        </w:tc>
        <w:tc>
          <w:tcPr>
            <w:tcW w:w="1051" w:type="dxa"/>
            <w:vAlign w:val="center"/>
          </w:tcPr>
          <w:p w:rsidR="00D71B15" w:rsidRDefault="005012C0">
            <w:pPr>
              <w:pStyle w:val="Pagedecouverture"/>
              <w:jc w:val="center"/>
              <w:rPr>
                <w:b/>
                <w:noProof/>
                <w:sz w:val="20"/>
              </w:rPr>
            </w:pPr>
            <w:r>
              <w:rPr>
                <w:b/>
                <w:noProof/>
                <w:sz w:val="20"/>
              </w:rPr>
              <w:t>45,61</w:t>
            </w:r>
          </w:p>
        </w:tc>
      </w:tr>
    </w:tbl>
    <w:p w:rsidR="00D71B15" w:rsidRDefault="00D71B15">
      <w:pPr>
        <w:pStyle w:val="Text1"/>
        <w:rPr>
          <w:noProof/>
          <w:sz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7"/>
        <w:gridCol w:w="1417"/>
        <w:gridCol w:w="709"/>
        <w:gridCol w:w="747"/>
        <w:gridCol w:w="747"/>
        <w:gridCol w:w="709"/>
        <w:gridCol w:w="850"/>
        <w:gridCol w:w="709"/>
        <w:gridCol w:w="1057"/>
      </w:tblGrid>
      <w:tr w:rsidR="00D71B15">
        <w:trPr>
          <w:trHeight w:val="277"/>
        </w:trPr>
        <w:tc>
          <w:tcPr>
            <w:tcW w:w="3687" w:type="dxa"/>
            <w:vMerge w:val="restart"/>
            <w:vAlign w:val="center"/>
          </w:tcPr>
          <w:p w:rsidR="00D71B15" w:rsidRDefault="005012C0">
            <w:pPr>
              <w:pStyle w:val="Pagedecouverture"/>
              <w:jc w:val="left"/>
              <w:rPr>
                <w:noProof/>
                <w:sz w:val="20"/>
              </w:rPr>
            </w:pPr>
            <w:r>
              <w:rPr>
                <w:noProof/>
              </w:rPr>
              <w:br w:type="page"/>
            </w:r>
            <w:r>
              <w:rPr>
                <w:noProof/>
                <w:sz w:val="20"/>
                <w:szCs w:val="20"/>
              </w:rPr>
              <w:sym w:font="Wingdings" w:char="F09F"/>
            </w:r>
            <w:r>
              <w:rPr>
                <w:noProof/>
                <w:sz w:val="20"/>
              </w:rPr>
              <w:t>Toimintamäärärahat YHTEENSÄ</w:t>
            </w:r>
          </w:p>
        </w:tc>
        <w:tc>
          <w:tcPr>
            <w:tcW w:w="1417" w:type="dxa"/>
            <w:vAlign w:val="center"/>
          </w:tcPr>
          <w:p w:rsidR="00D71B15" w:rsidRDefault="005012C0">
            <w:pPr>
              <w:pStyle w:val="Pagedecouverture"/>
              <w:jc w:val="center"/>
              <w:rPr>
                <w:noProof/>
                <w:sz w:val="20"/>
              </w:rPr>
            </w:pPr>
            <w:r>
              <w:rPr>
                <w:noProof/>
                <w:sz w:val="20"/>
              </w:rPr>
              <w:t>Sitoumukset</w:t>
            </w:r>
          </w:p>
        </w:tc>
        <w:tc>
          <w:tcPr>
            <w:tcW w:w="709" w:type="dxa"/>
            <w:vAlign w:val="center"/>
          </w:tcPr>
          <w:p w:rsidR="00D71B15" w:rsidRDefault="005012C0">
            <w:pPr>
              <w:pStyle w:val="Pagedecouverture"/>
              <w:jc w:val="center"/>
              <w:rPr>
                <w:noProof/>
                <w:sz w:val="16"/>
              </w:rPr>
            </w:pPr>
            <w:r>
              <w:rPr>
                <w:noProof/>
                <w:sz w:val="16"/>
              </w:rPr>
              <w:t>(4)</w:t>
            </w:r>
          </w:p>
        </w:tc>
        <w:tc>
          <w:tcPr>
            <w:tcW w:w="747" w:type="dxa"/>
          </w:tcPr>
          <w:p w:rsidR="00D71B15" w:rsidRDefault="00D71B15">
            <w:pPr>
              <w:pStyle w:val="Pagedecouverture"/>
              <w:jc w:val="center"/>
              <w:rPr>
                <w:noProof/>
                <w:sz w:val="20"/>
              </w:rPr>
            </w:pPr>
          </w:p>
        </w:tc>
        <w:tc>
          <w:tcPr>
            <w:tcW w:w="747" w:type="dxa"/>
            <w:vAlign w:val="center"/>
          </w:tcPr>
          <w:p w:rsidR="00D71B15" w:rsidRDefault="005012C0">
            <w:pPr>
              <w:pStyle w:val="Pagedecouverture"/>
              <w:jc w:val="center"/>
              <w:rPr>
                <w:noProof/>
                <w:sz w:val="20"/>
              </w:rPr>
            </w:pPr>
            <w:r>
              <w:rPr>
                <w:noProof/>
                <w:sz w:val="20"/>
              </w:rPr>
              <w:t>40</w:t>
            </w:r>
          </w:p>
        </w:tc>
        <w:tc>
          <w:tcPr>
            <w:tcW w:w="709" w:type="dxa"/>
            <w:vAlign w:val="center"/>
          </w:tcPr>
          <w:p w:rsidR="00D71B15" w:rsidRDefault="00D71B15">
            <w:pPr>
              <w:pStyle w:val="Pagedecouverture"/>
              <w:jc w:val="center"/>
              <w:rPr>
                <w:noProof/>
                <w:sz w:val="20"/>
              </w:rPr>
            </w:pPr>
          </w:p>
        </w:tc>
        <w:tc>
          <w:tcPr>
            <w:tcW w:w="850" w:type="dxa"/>
            <w:vAlign w:val="center"/>
          </w:tcPr>
          <w:p w:rsidR="00D71B15" w:rsidRDefault="005012C0">
            <w:pPr>
              <w:pStyle w:val="Pagedecouverture"/>
              <w:jc w:val="center"/>
              <w:rPr>
                <w:noProof/>
                <w:sz w:val="20"/>
              </w:rPr>
            </w:pPr>
            <w:r>
              <w:rPr>
                <w:noProof/>
                <w:sz w:val="20"/>
              </w:rPr>
              <w:t>3,6</w:t>
            </w:r>
          </w:p>
        </w:tc>
        <w:tc>
          <w:tcPr>
            <w:tcW w:w="709" w:type="dxa"/>
            <w:vAlign w:val="center"/>
          </w:tcPr>
          <w:p w:rsidR="00D71B15" w:rsidRDefault="005012C0">
            <w:pPr>
              <w:pStyle w:val="Pagedecouverture"/>
              <w:jc w:val="center"/>
              <w:rPr>
                <w:noProof/>
                <w:sz w:val="20"/>
              </w:rPr>
            </w:pPr>
            <w:r>
              <w:rPr>
                <w:noProof/>
                <w:sz w:val="20"/>
              </w:rPr>
              <w:t>1,8</w:t>
            </w:r>
          </w:p>
        </w:tc>
        <w:tc>
          <w:tcPr>
            <w:tcW w:w="1057" w:type="dxa"/>
            <w:vAlign w:val="center"/>
          </w:tcPr>
          <w:p w:rsidR="00D71B15" w:rsidRDefault="005012C0">
            <w:pPr>
              <w:pStyle w:val="Pagedecouverture"/>
              <w:jc w:val="center"/>
              <w:rPr>
                <w:b/>
                <w:noProof/>
                <w:sz w:val="20"/>
              </w:rPr>
            </w:pPr>
            <w:r>
              <w:rPr>
                <w:b/>
                <w:noProof/>
                <w:sz w:val="20"/>
              </w:rPr>
              <w:t>45,4</w:t>
            </w:r>
          </w:p>
        </w:tc>
      </w:tr>
      <w:tr w:rsidR="00D71B15">
        <w:tc>
          <w:tcPr>
            <w:tcW w:w="3687" w:type="dxa"/>
            <w:vMerge/>
          </w:tcPr>
          <w:p w:rsidR="00D71B15" w:rsidRDefault="00D71B15">
            <w:pPr>
              <w:pStyle w:val="Pagedecouverture"/>
              <w:rPr>
                <w:noProof/>
                <w:sz w:val="20"/>
              </w:rPr>
            </w:pPr>
          </w:p>
        </w:tc>
        <w:tc>
          <w:tcPr>
            <w:tcW w:w="1417" w:type="dxa"/>
            <w:vAlign w:val="center"/>
          </w:tcPr>
          <w:p w:rsidR="00D71B15" w:rsidRDefault="005012C0">
            <w:pPr>
              <w:pStyle w:val="Pagedecouverture"/>
              <w:jc w:val="center"/>
              <w:rPr>
                <w:noProof/>
                <w:sz w:val="20"/>
              </w:rPr>
            </w:pPr>
            <w:r>
              <w:rPr>
                <w:noProof/>
                <w:sz w:val="20"/>
              </w:rPr>
              <w:t>Maksut</w:t>
            </w:r>
          </w:p>
        </w:tc>
        <w:tc>
          <w:tcPr>
            <w:tcW w:w="709" w:type="dxa"/>
            <w:vAlign w:val="center"/>
          </w:tcPr>
          <w:p w:rsidR="00D71B15" w:rsidRDefault="005012C0">
            <w:pPr>
              <w:pStyle w:val="Pagedecouverture"/>
              <w:jc w:val="center"/>
              <w:rPr>
                <w:noProof/>
                <w:sz w:val="16"/>
              </w:rPr>
            </w:pPr>
            <w:r>
              <w:rPr>
                <w:noProof/>
                <w:sz w:val="16"/>
              </w:rPr>
              <w:t>(5)</w:t>
            </w:r>
          </w:p>
        </w:tc>
        <w:tc>
          <w:tcPr>
            <w:tcW w:w="747" w:type="dxa"/>
          </w:tcPr>
          <w:p w:rsidR="00D71B15" w:rsidRDefault="00D71B15">
            <w:pPr>
              <w:pStyle w:val="Pagedecouverture"/>
              <w:jc w:val="center"/>
              <w:rPr>
                <w:noProof/>
                <w:sz w:val="20"/>
              </w:rPr>
            </w:pPr>
          </w:p>
        </w:tc>
        <w:tc>
          <w:tcPr>
            <w:tcW w:w="747" w:type="dxa"/>
            <w:vAlign w:val="center"/>
          </w:tcPr>
          <w:p w:rsidR="00D71B15" w:rsidRDefault="005012C0">
            <w:pPr>
              <w:pStyle w:val="Pagedecouverture"/>
              <w:jc w:val="center"/>
              <w:rPr>
                <w:noProof/>
                <w:sz w:val="20"/>
              </w:rPr>
            </w:pPr>
            <w:r>
              <w:rPr>
                <w:noProof/>
                <w:sz w:val="20"/>
              </w:rPr>
              <w:t>20</w:t>
            </w:r>
          </w:p>
        </w:tc>
        <w:tc>
          <w:tcPr>
            <w:tcW w:w="709" w:type="dxa"/>
            <w:vAlign w:val="center"/>
          </w:tcPr>
          <w:p w:rsidR="00D71B15" w:rsidRDefault="005012C0">
            <w:pPr>
              <w:pStyle w:val="Pagedecouverture"/>
              <w:jc w:val="center"/>
              <w:rPr>
                <w:noProof/>
                <w:sz w:val="20"/>
              </w:rPr>
            </w:pPr>
            <w:r>
              <w:rPr>
                <w:noProof/>
                <w:sz w:val="20"/>
              </w:rPr>
              <w:t>20</w:t>
            </w:r>
          </w:p>
        </w:tc>
        <w:tc>
          <w:tcPr>
            <w:tcW w:w="850" w:type="dxa"/>
            <w:vAlign w:val="center"/>
          </w:tcPr>
          <w:p w:rsidR="00D71B15" w:rsidRDefault="005012C0">
            <w:pPr>
              <w:pStyle w:val="Pagedecouverture"/>
              <w:jc w:val="center"/>
              <w:rPr>
                <w:noProof/>
                <w:sz w:val="20"/>
              </w:rPr>
            </w:pPr>
            <w:r>
              <w:rPr>
                <w:noProof/>
                <w:sz w:val="20"/>
              </w:rPr>
              <w:t>3,6</w:t>
            </w:r>
          </w:p>
        </w:tc>
        <w:tc>
          <w:tcPr>
            <w:tcW w:w="709" w:type="dxa"/>
            <w:vAlign w:val="center"/>
          </w:tcPr>
          <w:p w:rsidR="00D71B15" w:rsidRDefault="005012C0">
            <w:pPr>
              <w:pStyle w:val="Pagedecouverture"/>
              <w:jc w:val="center"/>
              <w:rPr>
                <w:noProof/>
                <w:sz w:val="20"/>
              </w:rPr>
            </w:pPr>
            <w:r>
              <w:rPr>
                <w:noProof/>
                <w:sz w:val="20"/>
              </w:rPr>
              <w:t>1,8</w:t>
            </w:r>
          </w:p>
        </w:tc>
        <w:tc>
          <w:tcPr>
            <w:tcW w:w="1057" w:type="dxa"/>
            <w:vAlign w:val="center"/>
          </w:tcPr>
          <w:p w:rsidR="00D71B15" w:rsidRDefault="005012C0">
            <w:pPr>
              <w:pStyle w:val="Pagedecouverture"/>
              <w:jc w:val="center"/>
              <w:rPr>
                <w:b/>
                <w:noProof/>
                <w:sz w:val="20"/>
              </w:rPr>
            </w:pPr>
            <w:r>
              <w:rPr>
                <w:b/>
                <w:noProof/>
                <w:sz w:val="20"/>
              </w:rPr>
              <w:t>45,4</w:t>
            </w:r>
          </w:p>
        </w:tc>
      </w:tr>
      <w:tr w:rsidR="00D71B15">
        <w:trPr>
          <w:trHeight w:val="641"/>
        </w:trPr>
        <w:tc>
          <w:tcPr>
            <w:tcW w:w="5104" w:type="dxa"/>
            <w:gridSpan w:val="2"/>
            <w:vAlign w:val="center"/>
          </w:tcPr>
          <w:p w:rsidR="00D71B15" w:rsidRDefault="005012C0">
            <w:pPr>
              <w:pStyle w:val="Pagedecouverture"/>
              <w:jc w:val="left"/>
              <w:rPr>
                <w:noProof/>
                <w:sz w:val="14"/>
              </w:rPr>
            </w:pPr>
            <w:r>
              <w:rPr>
                <w:noProof/>
                <w:sz w:val="20"/>
              </w:rPr>
              <w:t>Tiettyjen ohjelmien määrärahoista katettavat hallintomäärärahat YHTEENSÄ</w:t>
            </w:r>
          </w:p>
        </w:tc>
        <w:tc>
          <w:tcPr>
            <w:tcW w:w="709" w:type="dxa"/>
            <w:vAlign w:val="center"/>
          </w:tcPr>
          <w:p w:rsidR="00D71B15" w:rsidRDefault="005012C0">
            <w:pPr>
              <w:pStyle w:val="Pagedecouverture"/>
              <w:jc w:val="center"/>
              <w:rPr>
                <w:noProof/>
                <w:sz w:val="16"/>
              </w:rPr>
            </w:pPr>
            <w:r>
              <w:rPr>
                <w:noProof/>
                <w:sz w:val="16"/>
              </w:rPr>
              <w:t>(6)</w:t>
            </w:r>
          </w:p>
        </w:tc>
        <w:tc>
          <w:tcPr>
            <w:tcW w:w="747" w:type="dxa"/>
            <w:vAlign w:val="center"/>
          </w:tcPr>
          <w:p w:rsidR="00D71B15" w:rsidRDefault="005012C0">
            <w:pPr>
              <w:pStyle w:val="Pagedecouverture"/>
              <w:jc w:val="center"/>
              <w:rPr>
                <w:noProof/>
                <w:sz w:val="20"/>
              </w:rPr>
            </w:pPr>
            <w:r>
              <w:rPr>
                <w:noProof/>
                <w:sz w:val="20"/>
              </w:rPr>
              <w:t>0,06</w:t>
            </w:r>
          </w:p>
        </w:tc>
        <w:tc>
          <w:tcPr>
            <w:tcW w:w="747" w:type="dxa"/>
            <w:vAlign w:val="center"/>
          </w:tcPr>
          <w:p w:rsidR="00D71B15" w:rsidRDefault="00D71B15">
            <w:pPr>
              <w:pStyle w:val="Pagedecouverture"/>
              <w:jc w:val="center"/>
              <w:rPr>
                <w:noProof/>
                <w:sz w:val="20"/>
              </w:rPr>
            </w:pPr>
          </w:p>
        </w:tc>
        <w:tc>
          <w:tcPr>
            <w:tcW w:w="709" w:type="dxa"/>
            <w:vAlign w:val="center"/>
          </w:tcPr>
          <w:p w:rsidR="00D71B15" w:rsidRDefault="00D71B15">
            <w:pPr>
              <w:pStyle w:val="Pagedecouverture"/>
              <w:jc w:val="center"/>
              <w:rPr>
                <w:noProof/>
                <w:sz w:val="20"/>
              </w:rPr>
            </w:pPr>
          </w:p>
        </w:tc>
        <w:tc>
          <w:tcPr>
            <w:tcW w:w="850" w:type="dxa"/>
            <w:vAlign w:val="center"/>
          </w:tcPr>
          <w:p w:rsidR="00D71B15" w:rsidRDefault="00D71B15">
            <w:pPr>
              <w:pStyle w:val="Pagedecouverture"/>
              <w:jc w:val="center"/>
              <w:rPr>
                <w:noProof/>
                <w:sz w:val="20"/>
              </w:rPr>
            </w:pPr>
          </w:p>
        </w:tc>
        <w:tc>
          <w:tcPr>
            <w:tcW w:w="709" w:type="dxa"/>
            <w:vAlign w:val="center"/>
          </w:tcPr>
          <w:p w:rsidR="00D71B15" w:rsidRDefault="005012C0">
            <w:pPr>
              <w:pStyle w:val="Pagedecouverture"/>
              <w:jc w:val="center"/>
              <w:rPr>
                <w:noProof/>
                <w:sz w:val="20"/>
              </w:rPr>
            </w:pPr>
            <w:r>
              <w:rPr>
                <w:noProof/>
                <w:sz w:val="20"/>
              </w:rPr>
              <w:t>0,15</w:t>
            </w:r>
          </w:p>
        </w:tc>
        <w:tc>
          <w:tcPr>
            <w:tcW w:w="1057" w:type="dxa"/>
            <w:vAlign w:val="center"/>
          </w:tcPr>
          <w:p w:rsidR="00D71B15" w:rsidRDefault="005012C0">
            <w:pPr>
              <w:pStyle w:val="Pagedecouverture"/>
              <w:jc w:val="center"/>
              <w:rPr>
                <w:b/>
                <w:noProof/>
                <w:sz w:val="20"/>
              </w:rPr>
            </w:pPr>
            <w:r>
              <w:rPr>
                <w:b/>
                <w:noProof/>
                <w:sz w:val="20"/>
              </w:rPr>
              <w:t>0,21</w:t>
            </w:r>
          </w:p>
        </w:tc>
      </w:tr>
      <w:tr w:rsidR="00D7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4" w:type="dxa"/>
            <w:gridSpan w:val="2"/>
          </w:tcPr>
          <w:p w:rsidR="00D71B15" w:rsidRDefault="00D71B15">
            <w:pPr>
              <w:pStyle w:val="Pagedecouverture"/>
              <w:rPr>
                <w:noProof/>
                <w:sz w:val="20"/>
              </w:rPr>
            </w:pPr>
          </w:p>
        </w:tc>
        <w:tc>
          <w:tcPr>
            <w:tcW w:w="709" w:type="dxa"/>
          </w:tcPr>
          <w:p w:rsidR="00D71B15" w:rsidRDefault="00D71B15">
            <w:pPr>
              <w:pStyle w:val="Pagedecouverture"/>
              <w:jc w:val="center"/>
              <w:rPr>
                <w:noProof/>
                <w:sz w:val="20"/>
              </w:rPr>
            </w:pPr>
          </w:p>
        </w:tc>
        <w:tc>
          <w:tcPr>
            <w:tcW w:w="747" w:type="dxa"/>
          </w:tcPr>
          <w:p w:rsidR="00D71B15" w:rsidRDefault="00D71B15">
            <w:pPr>
              <w:pStyle w:val="Pagedecouverture"/>
              <w:jc w:val="center"/>
              <w:rPr>
                <w:noProof/>
                <w:sz w:val="20"/>
              </w:rPr>
            </w:pPr>
          </w:p>
        </w:tc>
        <w:tc>
          <w:tcPr>
            <w:tcW w:w="747" w:type="dxa"/>
          </w:tcPr>
          <w:p w:rsidR="00D71B15" w:rsidRDefault="00D71B15">
            <w:pPr>
              <w:pStyle w:val="Pagedecouverture"/>
              <w:jc w:val="center"/>
              <w:rPr>
                <w:noProof/>
                <w:sz w:val="20"/>
              </w:rPr>
            </w:pPr>
          </w:p>
        </w:tc>
        <w:tc>
          <w:tcPr>
            <w:tcW w:w="709" w:type="dxa"/>
          </w:tcPr>
          <w:p w:rsidR="00D71B15" w:rsidRDefault="00D71B15">
            <w:pPr>
              <w:pStyle w:val="Pagedecouverture"/>
              <w:jc w:val="center"/>
              <w:rPr>
                <w:noProof/>
                <w:sz w:val="20"/>
              </w:rPr>
            </w:pPr>
          </w:p>
        </w:tc>
        <w:tc>
          <w:tcPr>
            <w:tcW w:w="850" w:type="dxa"/>
          </w:tcPr>
          <w:p w:rsidR="00D71B15" w:rsidRDefault="00D71B15">
            <w:pPr>
              <w:pStyle w:val="Pagedecouverture"/>
              <w:jc w:val="center"/>
              <w:rPr>
                <w:noProof/>
                <w:sz w:val="20"/>
              </w:rPr>
            </w:pPr>
          </w:p>
        </w:tc>
        <w:tc>
          <w:tcPr>
            <w:tcW w:w="709" w:type="dxa"/>
          </w:tcPr>
          <w:p w:rsidR="00D71B15" w:rsidRDefault="00D71B15">
            <w:pPr>
              <w:pStyle w:val="Pagedecouverture"/>
              <w:jc w:val="center"/>
              <w:rPr>
                <w:noProof/>
                <w:sz w:val="20"/>
              </w:rPr>
            </w:pPr>
          </w:p>
        </w:tc>
        <w:tc>
          <w:tcPr>
            <w:tcW w:w="1057" w:type="dxa"/>
          </w:tcPr>
          <w:p w:rsidR="00D71B15" w:rsidRDefault="00D71B15">
            <w:pPr>
              <w:pStyle w:val="Pagedecouverture"/>
              <w:jc w:val="center"/>
              <w:rPr>
                <w:b/>
                <w:noProof/>
                <w:sz w:val="20"/>
              </w:rPr>
            </w:pPr>
          </w:p>
        </w:tc>
      </w:tr>
      <w:tr w:rsidR="00D71B15">
        <w:tc>
          <w:tcPr>
            <w:tcW w:w="3687" w:type="dxa"/>
            <w:vMerge w:val="restart"/>
            <w:shd w:val="clear" w:color="C0C0C0" w:fill="auto"/>
            <w:vAlign w:val="center"/>
          </w:tcPr>
          <w:p w:rsidR="00D71B15" w:rsidRDefault="005012C0">
            <w:pPr>
              <w:pStyle w:val="Pagedecouverture"/>
              <w:jc w:val="center"/>
              <w:rPr>
                <w:noProof/>
                <w:sz w:val="20"/>
              </w:rPr>
            </w:pPr>
            <w:r>
              <w:rPr>
                <w:noProof/>
                <w:sz w:val="20"/>
              </w:rPr>
              <w:t>Monivuotisen rahoituskehyksen</w:t>
            </w:r>
            <w:r>
              <w:rPr>
                <w:noProof/>
              </w:rPr>
              <w:t xml:space="preserve"> </w:t>
            </w:r>
            <w:r>
              <w:rPr>
                <w:b/>
                <w:noProof/>
                <w:sz w:val="22"/>
              </w:rPr>
              <w:t>OTSAKKEESEEN 4 kuuluvat määrärahat YHTEENSÄ</w:t>
            </w:r>
            <w:r>
              <w:rPr>
                <w:noProof/>
              </w:rPr>
              <w:br/>
            </w:r>
          </w:p>
        </w:tc>
        <w:tc>
          <w:tcPr>
            <w:tcW w:w="1417" w:type="dxa"/>
            <w:vAlign w:val="center"/>
          </w:tcPr>
          <w:p w:rsidR="00D71B15" w:rsidRDefault="005012C0">
            <w:pPr>
              <w:pStyle w:val="Pagedecouverture"/>
              <w:jc w:val="center"/>
              <w:rPr>
                <w:noProof/>
                <w:sz w:val="20"/>
              </w:rPr>
            </w:pPr>
            <w:r>
              <w:rPr>
                <w:noProof/>
                <w:sz w:val="20"/>
              </w:rPr>
              <w:t>Sitoumukset</w:t>
            </w:r>
          </w:p>
        </w:tc>
        <w:tc>
          <w:tcPr>
            <w:tcW w:w="709" w:type="dxa"/>
            <w:vAlign w:val="center"/>
          </w:tcPr>
          <w:p w:rsidR="00D71B15" w:rsidRDefault="005012C0">
            <w:pPr>
              <w:pStyle w:val="Pagedecouverture"/>
              <w:jc w:val="center"/>
              <w:rPr>
                <w:noProof/>
                <w:sz w:val="16"/>
              </w:rPr>
            </w:pPr>
            <w:r>
              <w:rPr>
                <w:noProof/>
                <w:sz w:val="16"/>
              </w:rPr>
              <w:t>=4+ 6</w:t>
            </w:r>
          </w:p>
        </w:tc>
        <w:tc>
          <w:tcPr>
            <w:tcW w:w="747" w:type="dxa"/>
          </w:tcPr>
          <w:p w:rsidR="00D71B15" w:rsidRDefault="00D71B15">
            <w:pPr>
              <w:pStyle w:val="Pagedecouverture"/>
              <w:jc w:val="center"/>
              <w:rPr>
                <w:noProof/>
                <w:sz w:val="20"/>
              </w:rPr>
            </w:pPr>
          </w:p>
        </w:tc>
        <w:tc>
          <w:tcPr>
            <w:tcW w:w="747" w:type="dxa"/>
            <w:vAlign w:val="center"/>
          </w:tcPr>
          <w:p w:rsidR="00D71B15" w:rsidRDefault="005012C0">
            <w:pPr>
              <w:pStyle w:val="Pagedecouverture"/>
              <w:jc w:val="center"/>
              <w:rPr>
                <w:noProof/>
                <w:sz w:val="20"/>
              </w:rPr>
            </w:pPr>
            <w:r>
              <w:rPr>
                <w:noProof/>
                <w:sz w:val="20"/>
              </w:rPr>
              <w:t>40</w:t>
            </w:r>
          </w:p>
        </w:tc>
        <w:tc>
          <w:tcPr>
            <w:tcW w:w="709" w:type="dxa"/>
            <w:vAlign w:val="center"/>
          </w:tcPr>
          <w:p w:rsidR="00D71B15" w:rsidRDefault="00D71B15">
            <w:pPr>
              <w:pStyle w:val="Pagedecouverture"/>
              <w:jc w:val="center"/>
              <w:rPr>
                <w:noProof/>
                <w:sz w:val="20"/>
              </w:rPr>
            </w:pPr>
          </w:p>
        </w:tc>
        <w:tc>
          <w:tcPr>
            <w:tcW w:w="850" w:type="dxa"/>
            <w:vAlign w:val="center"/>
          </w:tcPr>
          <w:p w:rsidR="00D71B15" w:rsidRDefault="005012C0">
            <w:pPr>
              <w:pStyle w:val="Pagedecouverture"/>
              <w:jc w:val="center"/>
              <w:rPr>
                <w:noProof/>
                <w:sz w:val="20"/>
              </w:rPr>
            </w:pPr>
            <w:r>
              <w:rPr>
                <w:noProof/>
                <w:sz w:val="20"/>
              </w:rPr>
              <w:t>3,6</w:t>
            </w:r>
          </w:p>
        </w:tc>
        <w:tc>
          <w:tcPr>
            <w:tcW w:w="709" w:type="dxa"/>
            <w:vAlign w:val="center"/>
          </w:tcPr>
          <w:p w:rsidR="00D71B15" w:rsidRDefault="005012C0">
            <w:pPr>
              <w:pStyle w:val="Pagedecouverture"/>
              <w:jc w:val="center"/>
              <w:rPr>
                <w:noProof/>
                <w:sz w:val="20"/>
              </w:rPr>
            </w:pPr>
            <w:r>
              <w:rPr>
                <w:noProof/>
                <w:sz w:val="20"/>
              </w:rPr>
              <w:t>1,95</w:t>
            </w:r>
          </w:p>
        </w:tc>
        <w:tc>
          <w:tcPr>
            <w:tcW w:w="1057" w:type="dxa"/>
            <w:vAlign w:val="center"/>
          </w:tcPr>
          <w:p w:rsidR="00D71B15" w:rsidRDefault="005012C0">
            <w:pPr>
              <w:pStyle w:val="Pagedecouverture"/>
              <w:jc w:val="center"/>
              <w:rPr>
                <w:b/>
                <w:noProof/>
                <w:sz w:val="20"/>
              </w:rPr>
            </w:pPr>
            <w:r>
              <w:rPr>
                <w:b/>
                <w:noProof/>
                <w:sz w:val="20"/>
              </w:rPr>
              <w:t>45,55</w:t>
            </w:r>
          </w:p>
        </w:tc>
      </w:tr>
      <w:tr w:rsidR="00D71B15">
        <w:tc>
          <w:tcPr>
            <w:tcW w:w="3687" w:type="dxa"/>
            <w:vMerge/>
            <w:shd w:val="thinDiagStripe" w:color="C0C0C0" w:fill="auto"/>
          </w:tcPr>
          <w:p w:rsidR="00D71B15" w:rsidRDefault="00D71B15">
            <w:pPr>
              <w:pStyle w:val="Pagedecouverture"/>
              <w:rPr>
                <w:noProof/>
                <w:sz w:val="20"/>
              </w:rPr>
            </w:pPr>
          </w:p>
        </w:tc>
        <w:tc>
          <w:tcPr>
            <w:tcW w:w="1417" w:type="dxa"/>
            <w:vAlign w:val="center"/>
          </w:tcPr>
          <w:p w:rsidR="00D71B15" w:rsidRDefault="005012C0">
            <w:pPr>
              <w:pStyle w:val="Pagedecouverture"/>
              <w:jc w:val="center"/>
              <w:rPr>
                <w:noProof/>
                <w:sz w:val="20"/>
              </w:rPr>
            </w:pPr>
            <w:r>
              <w:rPr>
                <w:noProof/>
                <w:sz w:val="20"/>
              </w:rPr>
              <w:t>Maksut</w:t>
            </w:r>
          </w:p>
        </w:tc>
        <w:tc>
          <w:tcPr>
            <w:tcW w:w="709" w:type="dxa"/>
            <w:vAlign w:val="center"/>
          </w:tcPr>
          <w:p w:rsidR="00D71B15" w:rsidRDefault="005012C0">
            <w:pPr>
              <w:pStyle w:val="Pagedecouverture"/>
              <w:jc w:val="center"/>
              <w:rPr>
                <w:noProof/>
                <w:sz w:val="16"/>
              </w:rPr>
            </w:pPr>
            <w:r>
              <w:rPr>
                <w:noProof/>
                <w:sz w:val="16"/>
              </w:rPr>
              <w:t>=5+ 6</w:t>
            </w:r>
          </w:p>
        </w:tc>
        <w:tc>
          <w:tcPr>
            <w:tcW w:w="747" w:type="dxa"/>
            <w:vAlign w:val="center"/>
          </w:tcPr>
          <w:p w:rsidR="00D71B15" w:rsidRDefault="005012C0">
            <w:pPr>
              <w:pStyle w:val="Pagedecouverture"/>
              <w:jc w:val="center"/>
              <w:rPr>
                <w:noProof/>
                <w:sz w:val="20"/>
              </w:rPr>
            </w:pPr>
            <w:r>
              <w:rPr>
                <w:noProof/>
                <w:sz w:val="20"/>
              </w:rPr>
              <w:t>0,06</w:t>
            </w:r>
          </w:p>
        </w:tc>
        <w:tc>
          <w:tcPr>
            <w:tcW w:w="747" w:type="dxa"/>
            <w:vAlign w:val="center"/>
          </w:tcPr>
          <w:p w:rsidR="00D71B15" w:rsidRDefault="005012C0">
            <w:pPr>
              <w:pStyle w:val="Pagedecouverture"/>
              <w:jc w:val="center"/>
              <w:rPr>
                <w:noProof/>
                <w:sz w:val="20"/>
              </w:rPr>
            </w:pPr>
            <w:r>
              <w:rPr>
                <w:noProof/>
                <w:sz w:val="20"/>
              </w:rPr>
              <w:t>20</w:t>
            </w:r>
          </w:p>
        </w:tc>
        <w:tc>
          <w:tcPr>
            <w:tcW w:w="709" w:type="dxa"/>
            <w:vAlign w:val="center"/>
          </w:tcPr>
          <w:p w:rsidR="00D71B15" w:rsidRDefault="005012C0">
            <w:pPr>
              <w:pStyle w:val="Pagedecouverture"/>
              <w:jc w:val="center"/>
              <w:rPr>
                <w:noProof/>
                <w:sz w:val="20"/>
              </w:rPr>
            </w:pPr>
            <w:r>
              <w:rPr>
                <w:noProof/>
                <w:sz w:val="20"/>
              </w:rPr>
              <w:t>20</w:t>
            </w:r>
          </w:p>
        </w:tc>
        <w:tc>
          <w:tcPr>
            <w:tcW w:w="850" w:type="dxa"/>
            <w:vAlign w:val="center"/>
          </w:tcPr>
          <w:p w:rsidR="00D71B15" w:rsidRDefault="005012C0">
            <w:pPr>
              <w:pStyle w:val="Pagedecouverture"/>
              <w:jc w:val="center"/>
              <w:rPr>
                <w:noProof/>
                <w:sz w:val="20"/>
              </w:rPr>
            </w:pPr>
            <w:r>
              <w:rPr>
                <w:noProof/>
                <w:sz w:val="20"/>
              </w:rPr>
              <w:t>3,6</w:t>
            </w:r>
          </w:p>
        </w:tc>
        <w:tc>
          <w:tcPr>
            <w:tcW w:w="709" w:type="dxa"/>
            <w:vAlign w:val="center"/>
          </w:tcPr>
          <w:p w:rsidR="00D71B15" w:rsidRDefault="005012C0">
            <w:pPr>
              <w:pStyle w:val="Pagedecouverture"/>
              <w:jc w:val="center"/>
              <w:rPr>
                <w:noProof/>
                <w:sz w:val="20"/>
              </w:rPr>
            </w:pPr>
            <w:r>
              <w:rPr>
                <w:noProof/>
                <w:sz w:val="20"/>
              </w:rPr>
              <w:t>1,95</w:t>
            </w:r>
          </w:p>
        </w:tc>
        <w:tc>
          <w:tcPr>
            <w:tcW w:w="1057" w:type="dxa"/>
            <w:vAlign w:val="center"/>
          </w:tcPr>
          <w:p w:rsidR="00D71B15" w:rsidRDefault="005012C0">
            <w:pPr>
              <w:pStyle w:val="Pagedecouverture"/>
              <w:jc w:val="center"/>
              <w:rPr>
                <w:b/>
                <w:noProof/>
                <w:sz w:val="20"/>
              </w:rPr>
            </w:pPr>
            <w:r>
              <w:rPr>
                <w:b/>
                <w:noProof/>
                <w:sz w:val="20"/>
              </w:rPr>
              <w:t>45,61</w:t>
            </w:r>
          </w:p>
        </w:tc>
      </w:tr>
    </w:tbl>
    <w:p w:rsidR="00D71B15" w:rsidRDefault="00D71B15">
      <w:pPr>
        <w:pStyle w:val="Text1"/>
        <w:rPr>
          <w:noProof/>
        </w:rPr>
      </w:pPr>
    </w:p>
    <w:p w:rsidR="00D71B15" w:rsidRDefault="005012C0">
      <w:pPr>
        <w:pStyle w:val="Text1"/>
        <w:rPr>
          <w:noProof/>
        </w:rPr>
      </w:pPr>
      <w:r>
        <w:rPr>
          <w:noProof/>
        </w:rPr>
        <w:br w:type="page"/>
      </w:r>
    </w:p>
    <w:p w:rsidR="00D71B15" w:rsidRDefault="005012C0">
      <w:pPr>
        <w:pStyle w:val="Text10"/>
        <w:rPr>
          <w:b/>
          <w:sz w:val="22"/>
          <w:szCs w:val="22"/>
          <w:u w:val="single"/>
        </w:rPr>
      </w:pPr>
      <w:r>
        <w:rPr>
          <w:b/>
          <w:sz w:val="22"/>
          <w:u w:val="single"/>
        </w:rPr>
        <w:t>Jos ehdotuksella/aloitteella on vaikutuksia useampaan otsakkeeseen:</w:t>
      </w:r>
    </w:p>
    <w:p w:rsidR="00D71B15" w:rsidRDefault="005012C0">
      <w:pPr>
        <w:pStyle w:val="Text10"/>
        <w:spacing w:before="240" w:after="120"/>
        <w:jc w:val="right"/>
        <w:rPr>
          <w:sz w:val="22"/>
          <w:szCs w:val="22"/>
        </w:rPr>
      </w:pPr>
      <w:r>
        <w:rPr>
          <w:sz w:val="22"/>
        </w:rPr>
        <w:t>milj. euroa (kolmen desimaalin tarkkuudella)</w:t>
      </w:r>
    </w:p>
    <w:tbl>
      <w:tblPr>
        <w:tblW w:w="102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1842"/>
        <w:gridCol w:w="851"/>
        <w:gridCol w:w="142"/>
        <w:gridCol w:w="851"/>
        <w:gridCol w:w="851"/>
        <w:gridCol w:w="850"/>
        <w:gridCol w:w="851"/>
        <w:gridCol w:w="992"/>
      </w:tblGrid>
      <w:tr w:rsidR="00D71B15">
        <w:trPr>
          <w:trHeight w:val="692"/>
        </w:trPr>
        <w:tc>
          <w:tcPr>
            <w:tcW w:w="3054" w:type="dxa"/>
            <w:vAlign w:val="center"/>
          </w:tcPr>
          <w:p w:rsidR="00D71B15" w:rsidRDefault="005012C0">
            <w:pPr>
              <w:pStyle w:val="Pagedecouverture"/>
              <w:jc w:val="center"/>
              <w:rPr>
                <w:b/>
                <w:noProof/>
              </w:rPr>
            </w:pPr>
            <w:r>
              <w:rPr>
                <w:b/>
                <w:noProof/>
              </w:rPr>
              <w:t>Monivuotisen rahoituskehyksen otsake</w:t>
            </w:r>
          </w:p>
        </w:tc>
        <w:tc>
          <w:tcPr>
            <w:tcW w:w="1842" w:type="dxa"/>
            <w:vAlign w:val="center"/>
          </w:tcPr>
          <w:p w:rsidR="00D71B15" w:rsidRDefault="005012C0">
            <w:pPr>
              <w:pStyle w:val="Pagedecouverture"/>
              <w:jc w:val="center"/>
              <w:rPr>
                <w:b/>
                <w:noProof/>
              </w:rPr>
            </w:pPr>
            <w:r>
              <w:rPr>
                <w:b/>
                <w:noProof/>
              </w:rPr>
              <w:t>5</w:t>
            </w:r>
          </w:p>
        </w:tc>
        <w:tc>
          <w:tcPr>
            <w:tcW w:w="5388" w:type="dxa"/>
            <w:gridSpan w:val="7"/>
            <w:vAlign w:val="center"/>
          </w:tcPr>
          <w:p w:rsidR="00D71B15" w:rsidRDefault="005012C0">
            <w:pPr>
              <w:pStyle w:val="Pagedecouverture"/>
              <w:jc w:val="center"/>
              <w:rPr>
                <w:b/>
                <w:noProof/>
              </w:rPr>
            </w:pPr>
            <w:r>
              <w:rPr>
                <w:noProof/>
              </w:rPr>
              <w:t>”Hallintomenot”</w:t>
            </w:r>
          </w:p>
        </w:tc>
      </w:tr>
      <w:tr w:rsidR="00D7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54" w:type="dxa"/>
          </w:tcPr>
          <w:p w:rsidR="00D71B15" w:rsidRDefault="00D71B15">
            <w:pPr>
              <w:pStyle w:val="Pagedecouverture"/>
              <w:rPr>
                <w:noProof/>
                <w:sz w:val="22"/>
              </w:rPr>
            </w:pPr>
          </w:p>
        </w:tc>
        <w:tc>
          <w:tcPr>
            <w:tcW w:w="1842" w:type="dxa"/>
          </w:tcPr>
          <w:p w:rsidR="00D71B15" w:rsidRDefault="00D71B15">
            <w:pPr>
              <w:pStyle w:val="Pagedecouverture"/>
              <w:rPr>
                <w:noProof/>
                <w:sz w:val="22"/>
              </w:rPr>
            </w:pPr>
          </w:p>
        </w:tc>
        <w:tc>
          <w:tcPr>
            <w:tcW w:w="993" w:type="dxa"/>
            <w:gridSpan w:val="2"/>
          </w:tcPr>
          <w:p w:rsidR="00D71B15" w:rsidRDefault="005012C0">
            <w:pPr>
              <w:pStyle w:val="Pagedecouverture"/>
              <w:spacing w:before="120" w:after="240"/>
              <w:jc w:val="center"/>
              <w:rPr>
                <w:noProof/>
                <w:sz w:val="22"/>
              </w:rPr>
            </w:pPr>
            <w:r>
              <w:rPr>
                <w:noProof/>
                <w:sz w:val="22"/>
              </w:rPr>
              <w:t>Vuosi</w:t>
            </w:r>
            <w:r>
              <w:rPr>
                <w:noProof/>
                <w:sz w:val="22"/>
              </w:rPr>
              <w:br/>
            </w:r>
            <w:r>
              <w:rPr>
                <w:b/>
                <w:noProof/>
                <w:sz w:val="22"/>
              </w:rPr>
              <w:t>2016</w:t>
            </w:r>
          </w:p>
        </w:tc>
        <w:tc>
          <w:tcPr>
            <w:tcW w:w="851" w:type="dxa"/>
          </w:tcPr>
          <w:p w:rsidR="00D71B15" w:rsidRDefault="005012C0">
            <w:pPr>
              <w:pStyle w:val="Pagedecouverture"/>
              <w:spacing w:before="120" w:after="240"/>
              <w:jc w:val="center"/>
              <w:rPr>
                <w:noProof/>
                <w:sz w:val="22"/>
              </w:rPr>
            </w:pPr>
            <w:r>
              <w:rPr>
                <w:noProof/>
                <w:sz w:val="22"/>
              </w:rPr>
              <w:t>Vuosi</w:t>
            </w:r>
            <w:r>
              <w:rPr>
                <w:noProof/>
                <w:sz w:val="22"/>
              </w:rPr>
              <w:br/>
            </w:r>
            <w:r>
              <w:rPr>
                <w:b/>
                <w:noProof/>
                <w:sz w:val="22"/>
              </w:rPr>
              <w:t>2017</w:t>
            </w:r>
          </w:p>
        </w:tc>
        <w:tc>
          <w:tcPr>
            <w:tcW w:w="851" w:type="dxa"/>
          </w:tcPr>
          <w:p w:rsidR="00D71B15" w:rsidRDefault="005012C0">
            <w:pPr>
              <w:pStyle w:val="Pagedecouverture"/>
              <w:spacing w:before="120" w:after="240"/>
              <w:jc w:val="center"/>
              <w:rPr>
                <w:noProof/>
                <w:sz w:val="22"/>
              </w:rPr>
            </w:pPr>
            <w:r>
              <w:rPr>
                <w:noProof/>
                <w:sz w:val="22"/>
              </w:rPr>
              <w:t>Vuosi</w:t>
            </w:r>
            <w:r>
              <w:rPr>
                <w:noProof/>
                <w:sz w:val="22"/>
              </w:rPr>
              <w:br/>
            </w:r>
            <w:r>
              <w:rPr>
                <w:b/>
                <w:noProof/>
                <w:sz w:val="22"/>
              </w:rPr>
              <w:t>2018</w:t>
            </w:r>
          </w:p>
        </w:tc>
        <w:tc>
          <w:tcPr>
            <w:tcW w:w="850" w:type="dxa"/>
          </w:tcPr>
          <w:p w:rsidR="00D71B15" w:rsidRDefault="005012C0">
            <w:pPr>
              <w:pStyle w:val="Pagedecouverture"/>
              <w:spacing w:before="120" w:after="240"/>
              <w:jc w:val="center"/>
              <w:rPr>
                <w:noProof/>
                <w:sz w:val="22"/>
              </w:rPr>
            </w:pPr>
            <w:r>
              <w:rPr>
                <w:noProof/>
                <w:sz w:val="22"/>
              </w:rPr>
              <w:t>Vuosi</w:t>
            </w:r>
            <w:r>
              <w:rPr>
                <w:noProof/>
                <w:sz w:val="22"/>
              </w:rPr>
              <w:br/>
            </w:r>
            <w:r>
              <w:rPr>
                <w:b/>
                <w:noProof/>
                <w:sz w:val="22"/>
              </w:rPr>
              <w:t>2019</w:t>
            </w:r>
          </w:p>
        </w:tc>
        <w:tc>
          <w:tcPr>
            <w:tcW w:w="851" w:type="dxa"/>
          </w:tcPr>
          <w:p w:rsidR="00D71B15" w:rsidRDefault="005012C0">
            <w:pPr>
              <w:pStyle w:val="Pagedecouverture"/>
              <w:spacing w:before="120" w:after="240"/>
              <w:jc w:val="center"/>
              <w:rPr>
                <w:noProof/>
                <w:sz w:val="22"/>
              </w:rPr>
            </w:pPr>
            <w:r>
              <w:rPr>
                <w:noProof/>
                <w:sz w:val="22"/>
              </w:rPr>
              <w:t>Vuosi</w:t>
            </w:r>
            <w:r>
              <w:rPr>
                <w:noProof/>
                <w:sz w:val="22"/>
              </w:rPr>
              <w:br/>
            </w:r>
            <w:r>
              <w:rPr>
                <w:b/>
                <w:noProof/>
                <w:sz w:val="22"/>
              </w:rPr>
              <w:t>2020</w:t>
            </w:r>
          </w:p>
        </w:tc>
        <w:tc>
          <w:tcPr>
            <w:tcW w:w="992" w:type="dxa"/>
          </w:tcPr>
          <w:p w:rsidR="00D71B15" w:rsidRDefault="005012C0">
            <w:pPr>
              <w:pStyle w:val="Pagedecouverture"/>
              <w:spacing w:before="120" w:after="240"/>
              <w:jc w:val="center"/>
              <w:rPr>
                <w:b/>
                <w:noProof/>
                <w:sz w:val="22"/>
              </w:rPr>
            </w:pPr>
            <w:r>
              <w:rPr>
                <w:b/>
                <w:noProof/>
                <w:sz w:val="22"/>
              </w:rPr>
              <w:t>YH</w:t>
            </w:r>
            <w:r>
              <w:rPr>
                <w:b/>
                <w:noProof/>
                <w:sz w:val="22"/>
              </w:rPr>
              <w:softHyphen/>
              <w:t>TEEN</w:t>
            </w:r>
            <w:r>
              <w:rPr>
                <w:b/>
                <w:noProof/>
                <w:sz w:val="22"/>
              </w:rPr>
              <w:softHyphen/>
              <w:t>SÄ</w:t>
            </w:r>
          </w:p>
        </w:tc>
      </w:tr>
      <w:tr w:rsidR="00D71B15">
        <w:trPr>
          <w:gridAfter w:val="6"/>
          <w:wAfter w:w="4537" w:type="dxa"/>
          <w:trHeight w:val="386"/>
        </w:trPr>
        <w:tc>
          <w:tcPr>
            <w:tcW w:w="3054" w:type="dxa"/>
            <w:vAlign w:val="center"/>
          </w:tcPr>
          <w:p w:rsidR="00D71B15" w:rsidRDefault="005012C0">
            <w:pPr>
              <w:pStyle w:val="Pagedecouverture"/>
              <w:rPr>
                <w:noProof/>
                <w:sz w:val="22"/>
              </w:rPr>
            </w:pPr>
            <w:r>
              <w:rPr>
                <w:noProof/>
                <w:sz w:val="22"/>
              </w:rPr>
              <w:t>PO: ECFIN</w:t>
            </w:r>
          </w:p>
        </w:tc>
        <w:tc>
          <w:tcPr>
            <w:tcW w:w="2693" w:type="dxa"/>
            <w:gridSpan w:val="2"/>
            <w:tcBorders>
              <w:top w:val="nil"/>
              <w:right w:val="nil"/>
            </w:tcBorders>
          </w:tcPr>
          <w:p w:rsidR="00D71B15" w:rsidRDefault="00D71B15">
            <w:pPr>
              <w:pStyle w:val="Pagedecouverture"/>
              <w:rPr>
                <w:noProof/>
                <w:sz w:val="22"/>
              </w:rPr>
            </w:pPr>
          </w:p>
        </w:tc>
      </w:tr>
      <w:tr w:rsidR="00D71B15">
        <w:trPr>
          <w:trHeight w:val="548"/>
        </w:trPr>
        <w:tc>
          <w:tcPr>
            <w:tcW w:w="4896" w:type="dxa"/>
            <w:gridSpan w:val="2"/>
            <w:vAlign w:val="center"/>
          </w:tcPr>
          <w:p w:rsidR="00D71B15" w:rsidRDefault="005012C0">
            <w:pPr>
              <w:pStyle w:val="Pagedecouverture"/>
              <w:rPr>
                <w:noProof/>
                <w:sz w:val="22"/>
              </w:rPr>
            </w:pPr>
            <w:r>
              <w:rPr>
                <w:noProof/>
                <w:sz w:val="22"/>
              </w:rPr>
              <w:sym w:font="Wingdings" w:char="F09F"/>
            </w:r>
            <w:r>
              <w:rPr>
                <w:noProof/>
                <w:sz w:val="22"/>
              </w:rPr>
              <w:t xml:space="preserve"> Henkilöresurssit</w:t>
            </w:r>
          </w:p>
        </w:tc>
        <w:tc>
          <w:tcPr>
            <w:tcW w:w="993" w:type="dxa"/>
            <w:gridSpan w:val="2"/>
            <w:vAlign w:val="center"/>
          </w:tcPr>
          <w:p w:rsidR="00D71B15" w:rsidRDefault="005012C0">
            <w:pPr>
              <w:pStyle w:val="Pagedecouverture"/>
              <w:jc w:val="center"/>
              <w:rPr>
                <w:noProof/>
                <w:sz w:val="22"/>
              </w:rPr>
            </w:pPr>
            <w:r>
              <w:rPr>
                <w:noProof/>
                <w:sz w:val="22"/>
              </w:rPr>
              <w:t>0,034</w:t>
            </w:r>
          </w:p>
        </w:tc>
        <w:tc>
          <w:tcPr>
            <w:tcW w:w="851" w:type="dxa"/>
            <w:vAlign w:val="center"/>
          </w:tcPr>
          <w:p w:rsidR="00D71B15" w:rsidRDefault="005012C0">
            <w:pPr>
              <w:pStyle w:val="Pagedecouverture"/>
              <w:jc w:val="center"/>
              <w:rPr>
                <w:noProof/>
                <w:sz w:val="22"/>
              </w:rPr>
            </w:pPr>
            <w:r>
              <w:rPr>
                <w:noProof/>
                <w:sz w:val="22"/>
              </w:rPr>
              <w:t>0,044</w:t>
            </w:r>
          </w:p>
        </w:tc>
        <w:tc>
          <w:tcPr>
            <w:tcW w:w="851" w:type="dxa"/>
            <w:vAlign w:val="center"/>
          </w:tcPr>
          <w:p w:rsidR="00D71B15" w:rsidRDefault="005012C0">
            <w:pPr>
              <w:pStyle w:val="Pagedecouverture"/>
              <w:jc w:val="center"/>
              <w:rPr>
                <w:noProof/>
                <w:sz w:val="22"/>
              </w:rPr>
            </w:pPr>
            <w:r>
              <w:rPr>
                <w:noProof/>
                <w:sz w:val="22"/>
              </w:rPr>
              <w:t>0,022</w:t>
            </w:r>
          </w:p>
        </w:tc>
        <w:tc>
          <w:tcPr>
            <w:tcW w:w="850" w:type="dxa"/>
            <w:vAlign w:val="center"/>
          </w:tcPr>
          <w:p w:rsidR="00D71B15" w:rsidRDefault="005012C0">
            <w:pPr>
              <w:pStyle w:val="Pagedecouverture"/>
              <w:jc w:val="center"/>
              <w:rPr>
                <w:noProof/>
                <w:sz w:val="22"/>
              </w:rPr>
            </w:pPr>
            <w:r>
              <w:rPr>
                <w:noProof/>
                <w:sz w:val="22"/>
              </w:rPr>
              <w:t>0,011</w:t>
            </w:r>
          </w:p>
        </w:tc>
        <w:tc>
          <w:tcPr>
            <w:tcW w:w="851" w:type="dxa"/>
            <w:vAlign w:val="center"/>
          </w:tcPr>
          <w:p w:rsidR="00D71B15" w:rsidRDefault="005012C0">
            <w:pPr>
              <w:pStyle w:val="Pagedecouverture"/>
              <w:jc w:val="center"/>
              <w:rPr>
                <w:noProof/>
                <w:sz w:val="22"/>
              </w:rPr>
            </w:pPr>
            <w:r>
              <w:rPr>
                <w:noProof/>
                <w:sz w:val="22"/>
              </w:rPr>
              <w:t>0,011</w:t>
            </w:r>
          </w:p>
        </w:tc>
        <w:tc>
          <w:tcPr>
            <w:tcW w:w="992" w:type="dxa"/>
            <w:vAlign w:val="center"/>
          </w:tcPr>
          <w:p w:rsidR="00D71B15" w:rsidRDefault="005012C0">
            <w:pPr>
              <w:pStyle w:val="Pagedecouverture"/>
              <w:jc w:val="center"/>
              <w:rPr>
                <w:b/>
                <w:noProof/>
                <w:sz w:val="22"/>
              </w:rPr>
            </w:pPr>
            <w:r>
              <w:rPr>
                <w:b/>
                <w:noProof/>
                <w:sz w:val="22"/>
              </w:rPr>
              <w:t>0,122</w:t>
            </w:r>
          </w:p>
        </w:tc>
      </w:tr>
      <w:tr w:rsidR="00D71B15">
        <w:trPr>
          <w:trHeight w:val="569"/>
        </w:trPr>
        <w:tc>
          <w:tcPr>
            <w:tcW w:w="4896" w:type="dxa"/>
            <w:gridSpan w:val="2"/>
            <w:vAlign w:val="center"/>
          </w:tcPr>
          <w:p w:rsidR="00D71B15" w:rsidRDefault="005012C0">
            <w:pPr>
              <w:pStyle w:val="Pagedecouverture"/>
              <w:rPr>
                <w:noProof/>
                <w:sz w:val="22"/>
              </w:rPr>
            </w:pPr>
            <w:r>
              <w:rPr>
                <w:noProof/>
                <w:sz w:val="22"/>
              </w:rPr>
              <w:sym w:font="Wingdings" w:char="F09F"/>
            </w:r>
            <w:r>
              <w:rPr>
                <w:noProof/>
              </w:rPr>
              <w:t xml:space="preserve"> </w:t>
            </w:r>
            <w:r>
              <w:rPr>
                <w:noProof/>
                <w:sz w:val="22"/>
              </w:rPr>
              <w:t>Muut hallintomenot</w:t>
            </w:r>
          </w:p>
        </w:tc>
        <w:tc>
          <w:tcPr>
            <w:tcW w:w="993" w:type="dxa"/>
            <w:gridSpan w:val="2"/>
            <w:vAlign w:val="center"/>
          </w:tcPr>
          <w:p w:rsidR="00D71B15" w:rsidRDefault="005012C0">
            <w:pPr>
              <w:pStyle w:val="Pagedecouverture"/>
              <w:jc w:val="center"/>
              <w:rPr>
                <w:noProof/>
                <w:sz w:val="22"/>
              </w:rPr>
            </w:pPr>
            <w:r>
              <w:rPr>
                <w:noProof/>
                <w:sz w:val="22"/>
              </w:rPr>
              <w:t>0,010</w:t>
            </w:r>
          </w:p>
        </w:tc>
        <w:tc>
          <w:tcPr>
            <w:tcW w:w="851" w:type="dxa"/>
            <w:vAlign w:val="center"/>
          </w:tcPr>
          <w:p w:rsidR="00D71B15" w:rsidRDefault="005012C0">
            <w:pPr>
              <w:pStyle w:val="Pagedecouverture"/>
              <w:jc w:val="center"/>
              <w:rPr>
                <w:noProof/>
                <w:sz w:val="22"/>
              </w:rPr>
            </w:pPr>
            <w:r>
              <w:rPr>
                <w:noProof/>
                <w:sz w:val="22"/>
              </w:rPr>
              <w:t>0,020</w:t>
            </w:r>
          </w:p>
        </w:tc>
        <w:tc>
          <w:tcPr>
            <w:tcW w:w="851" w:type="dxa"/>
            <w:vAlign w:val="center"/>
          </w:tcPr>
          <w:p w:rsidR="00D71B15" w:rsidRDefault="005012C0">
            <w:pPr>
              <w:pStyle w:val="Pagedecouverture"/>
              <w:jc w:val="center"/>
              <w:rPr>
                <w:noProof/>
                <w:sz w:val="22"/>
              </w:rPr>
            </w:pPr>
            <w:r>
              <w:rPr>
                <w:noProof/>
                <w:sz w:val="22"/>
              </w:rPr>
              <w:t>0,010</w:t>
            </w:r>
          </w:p>
        </w:tc>
        <w:tc>
          <w:tcPr>
            <w:tcW w:w="850" w:type="dxa"/>
            <w:vAlign w:val="center"/>
          </w:tcPr>
          <w:p w:rsidR="00D71B15" w:rsidRDefault="00D71B15">
            <w:pPr>
              <w:pStyle w:val="Pagedecouverture"/>
              <w:jc w:val="center"/>
              <w:rPr>
                <w:noProof/>
                <w:sz w:val="22"/>
              </w:rPr>
            </w:pPr>
          </w:p>
        </w:tc>
        <w:tc>
          <w:tcPr>
            <w:tcW w:w="851" w:type="dxa"/>
            <w:vAlign w:val="center"/>
          </w:tcPr>
          <w:p w:rsidR="00D71B15" w:rsidRDefault="00D71B15">
            <w:pPr>
              <w:pStyle w:val="Pagedecouverture"/>
              <w:jc w:val="center"/>
              <w:rPr>
                <w:noProof/>
                <w:sz w:val="22"/>
              </w:rPr>
            </w:pPr>
          </w:p>
        </w:tc>
        <w:tc>
          <w:tcPr>
            <w:tcW w:w="992" w:type="dxa"/>
            <w:vAlign w:val="center"/>
          </w:tcPr>
          <w:p w:rsidR="00D71B15" w:rsidRDefault="005012C0">
            <w:pPr>
              <w:pStyle w:val="Pagedecouverture"/>
              <w:jc w:val="center"/>
              <w:rPr>
                <w:b/>
                <w:noProof/>
                <w:sz w:val="22"/>
              </w:rPr>
            </w:pPr>
            <w:r>
              <w:rPr>
                <w:b/>
                <w:noProof/>
                <w:sz w:val="22"/>
              </w:rPr>
              <w:t>0,040</w:t>
            </w:r>
          </w:p>
        </w:tc>
      </w:tr>
      <w:tr w:rsidR="00D71B15">
        <w:trPr>
          <w:trHeight w:val="551"/>
        </w:trPr>
        <w:tc>
          <w:tcPr>
            <w:tcW w:w="3054" w:type="dxa"/>
            <w:vAlign w:val="center"/>
          </w:tcPr>
          <w:p w:rsidR="00D71B15" w:rsidRDefault="005012C0">
            <w:pPr>
              <w:pStyle w:val="Pagedecouverture"/>
              <w:jc w:val="center"/>
              <w:rPr>
                <w:b/>
                <w:noProof/>
                <w:sz w:val="22"/>
              </w:rPr>
            </w:pPr>
            <w:r>
              <w:rPr>
                <w:b/>
                <w:noProof/>
                <w:sz w:val="22"/>
              </w:rPr>
              <w:t>PO ECFIN YHTEENSÄ</w:t>
            </w:r>
          </w:p>
        </w:tc>
        <w:tc>
          <w:tcPr>
            <w:tcW w:w="1842" w:type="dxa"/>
            <w:vAlign w:val="center"/>
          </w:tcPr>
          <w:p w:rsidR="00D71B15" w:rsidRDefault="005012C0">
            <w:pPr>
              <w:pStyle w:val="Pagedecouverture"/>
              <w:rPr>
                <w:noProof/>
                <w:sz w:val="22"/>
              </w:rPr>
            </w:pPr>
            <w:r>
              <w:rPr>
                <w:noProof/>
                <w:sz w:val="22"/>
              </w:rPr>
              <w:t xml:space="preserve">Määrärahat </w:t>
            </w:r>
          </w:p>
        </w:tc>
        <w:tc>
          <w:tcPr>
            <w:tcW w:w="993" w:type="dxa"/>
            <w:gridSpan w:val="2"/>
            <w:vAlign w:val="center"/>
          </w:tcPr>
          <w:p w:rsidR="00D71B15" w:rsidRDefault="005012C0">
            <w:pPr>
              <w:pStyle w:val="Pagedecouverture"/>
              <w:jc w:val="center"/>
              <w:rPr>
                <w:noProof/>
                <w:sz w:val="22"/>
              </w:rPr>
            </w:pPr>
            <w:r>
              <w:rPr>
                <w:noProof/>
                <w:sz w:val="22"/>
              </w:rPr>
              <w:t>0,044</w:t>
            </w:r>
          </w:p>
        </w:tc>
        <w:tc>
          <w:tcPr>
            <w:tcW w:w="851" w:type="dxa"/>
            <w:vAlign w:val="center"/>
          </w:tcPr>
          <w:p w:rsidR="00D71B15" w:rsidRDefault="005012C0">
            <w:pPr>
              <w:pStyle w:val="Pagedecouverture"/>
              <w:jc w:val="center"/>
              <w:rPr>
                <w:noProof/>
                <w:sz w:val="22"/>
              </w:rPr>
            </w:pPr>
            <w:r>
              <w:rPr>
                <w:noProof/>
                <w:sz w:val="22"/>
              </w:rPr>
              <w:t>0,064</w:t>
            </w:r>
          </w:p>
        </w:tc>
        <w:tc>
          <w:tcPr>
            <w:tcW w:w="851" w:type="dxa"/>
            <w:vAlign w:val="center"/>
          </w:tcPr>
          <w:p w:rsidR="00D71B15" w:rsidRDefault="005012C0">
            <w:pPr>
              <w:pStyle w:val="Pagedecouverture"/>
              <w:jc w:val="center"/>
              <w:rPr>
                <w:noProof/>
                <w:sz w:val="22"/>
              </w:rPr>
            </w:pPr>
            <w:r>
              <w:rPr>
                <w:noProof/>
                <w:sz w:val="22"/>
              </w:rPr>
              <w:t>0,032</w:t>
            </w:r>
          </w:p>
        </w:tc>
        <w:tc>
          <w:tcPr>
            <w:tcW w:w="850" w:type="dxa"/>
            <w:vAlign w:val="center"/>
          </w:tcPr>
          <w:p w:rsidR="00D71B15" w:rsidRDefault="005012C0">
            <w:pPr>
              <w:pStyle w:val="Pagedecouverture"/>
              <w:jc w:val="center"/>
              <w:rPr>
                <w:noProof/>
                <w:sz w:val="22"/>
              </w:rPr>
            </w:pPr>
            <w:r>
              <w:rPr>
                <w:noProof/>
                <w:sz w:val="22"/>
              </w:rPr>
              <w:t>0,011</w:t>
            </w:r>
          </w:p>
        </w:tc>
        <w:tc>
          <w:tcPr>
            <w:tcW w:w="851" w:type="dxa"/>
            <w:vAlign w:val="center"/>
          </w:tcPr>
          <w:p w:rsidR="00D71B15" w:rsidRDefault="005012C0">
            <w:pPr>
              <w:pStyle w:val="Pagedecouverture"/>
              <w:jc w:val="center"/>
              <w:rPr>
                <w:noProof/>
                <w:sz w:val="22"/>
              </w:rPr>
            </w:pPr>
            <w:r>
              <w:rPr>
                <w:noProof/>
                <w:sz w:val="22"/>
              </w:rPr>
              <w:t>0,011</w:t>
            </w:r>
          </w:p>
        </w:tc>
        <w:tc>
          <w:tcPr>
            <w:tcW w:w="992" w:type="dxa"/>
            <w:vAlign w:val="center"/>
          </w:tcPr>
          <w:p w:rsidR="00D71B15" w:rsidRDefault="005012C0">
            <w:pPr>
              <w:pStyle w:val="Pagedecouverture"/>
              <w:jc w:val="center"/>
              <w:rPr>
                <w:b/>
                <w:noProof/>
                <w:sz w:val="22"/>
              </w:rPr>
            </w:pPr>
            <w:r>
              <w:rPr>
                <w:b/>
                <w:noProof/>
                <w:sz w:val="22"/>
              </w:rPr>
              <w:t>0,162</w:t>
            </w:r>
          </w:p>
        </w:tc>
      </w:tr>
      <w:tr w:rsidR="00D71B15">
        <w:trPr>
          <w:trHeight w:val="1111"/>
        </w:trPr>
        <w:tc>
          <w:tcPr>
            <w:tcW w:w="3054" w:type="dxa"/>
            <w:shd w:val="clear" w:color="C0C0C0" w:fill="auto"/>
            <w:vAlign w:val="center"/>
          </w:tcPr>
          <w:p w:rsidR="00D71B15" w:rsidRDefault="005012C0">
            <w:pPr>
              <w:pStyle w:val="Pagedecouverture"/>
              <w:jc w:val="center"/>
              <w:rPr>
                <w:noProof/>
                <w:sz w:val="22"/>
              </w:rPr>
            </w:pPr>
            <w:r>
              <w:rPr>
                <w:noProof/>
                <w:sz w:val="22"/>
              </w:rPr>
              <w:t>Monivuotisen rahoituskehyksen</w:t>
            </w:r>
            <w:r>
              <w:rPr>
                <w:noProof/>
              </w:rPr>
              <w:t xml:space="preserve"> </w:t>
            </w:r>
            <w:r>
              <w:rPr>
                <w:b/>
                <w:noProof/>
                <w:sz w:val="22"/>
              </w:rPr>
              <w:t>OTSAKKEESEEN 5 kuuluvat määrärahat YHTEENSÄ</w:t>
            </w:r>
            <w:r>
              <w:rPr>
                <w:noProof/>
              </w:rPr>
              <w:t xml:space="preserve"> </w:t>
            </w:r>
          </w:p>
        </w:tc>
        <w:tc>
          <w:tcPr>
            <w:tcW w:w="1842" w:type="dxa"/>
            <w:vAlign w:val="center"/>
          </w:tcPr>
          <w:p w:rsidR="00D71B15" w:rsidRDefault="005012C0">
            <w:pPr>
              <w:pStyle w:val="Pagedecouverture"/>
              <w:rPr>
                <w:noProof/>
                <w:sz w:val="22"/>
              </w:rPr>
            </w:pPr>
            <w:r>
              <w:rPr>
                <w:noProof/>
                <w:sz w:val="22"/>
              </w:rPr>
              <w:t>(Sitoumukset yhteensä = maksut yhteensä)</w:t>
            </w:r>
          </w:p>
        </w:tc>
        <w:tc>
          <w:tcPr>
            <w:tcW w:w="993" w:type="dxa"/>
            <w:gridSpan w:val="2"/>
            <w:vAlign w:val="center"/>
          </w:tcPr>
          <w:p w:rsidR="00D71B15" w:rsidRDefault="005012C0">
            <w:pPr>
              <w:pStyle w:val="Pagedecouverture"/>
              <w:jc w:val="center"/>
              <w:rPr>
                <w:noProof/>
                <w:sz w:val="22"/>
              </w:rPr>
            </w:pPr>
            <w:r>
              <w:rPr>
                <w:noProof/>
                <w:sz w:val="22"/>
              </w:rPr>
              <w:t>0,044</w:t>
            </w:r>
          </w:p>
        </w:tc>
        <w:tc>
          <w:tcPr>
            <w:tcW w:w="851" w:type="dxa"/>
            <w:vAlign w:val="center"/>
          </w:tcPr>
          <w:p w:rsidR="00D71B15" w:rsidRDefault="005012C0">
            <w:pPr>
              <w:pStyle w:val="Pagedecouverture"/>
              <w:jc w:val="center"/>
              <w:rPr>
                <w:noProof/>
                <w:sz w:val="22"/>
              </w:rPr>
            </w:pPr>
            <w:r>
              <w:rPr>
                <w:noProof/>
                <w:sz w:val="22"/>
              </w:rPr>
              <w:t>0,064</w:t>
            </w:r>
          </w:p>
        </w:tc>
        <w:tc>
          <w:tcPr>
            <w:tcW w:w="851" w:type="dxa"/>
            <w:vAlign w:val="center"/>
          </w:tcPr>
          <w:p w:rsidR="00D71B15" w:rsidRDefault="005012C0">
            <w:pPr>
              <w:pStyle w:val="Pagedecouverture"/>
              <w:jc w:val="center"/>
              <w:rPr>
                <w:noProof/>
                <w:sz w:val="22"/>
              </w:rPr>
            </w:pPr>
            <w:r>
              <w:rPr>
                <w:noProof/>
                <w:sz w:val="22"/>
              </w:rPr>
              <w:t>0,032</w:t>
            </w:r>
          </w:p>
        </w:tc>
        <w:tc>
          <w:tcPr>
            <w:tcW w:w="850" w:type="dxa"/>
            <w:vAlign w:val="center"/>
          </w:tcPr>
          <w:p w:rsidR="00D71B15" w:rsidRDefault="005012C0">
            <w:pPr>
              <w:pStyle w:val="Pagedecouverture"/>
              <w:jc w:val="center"/>
              <w:rPr>
                <w:noProof/>
                <w:sz w:val="22"/>
              </w:rPr>
            </w:pPr>
            <w:r>
              <w:rPr>
                <w:noProof/>
                <w:sz w:val="22"/>
              </w:rPr>
              <w:t>0,011</w:t>
            </w:r>
          </w:p>
        </w:tc>
        <w:tc>
          <w:tcPr>
            <w:tcW w:w="851" w:type="dxa"/>
            <w:vAlign w:val="center"/>
          </w:tcPr>
          <w:p w:rsidR="00D71B15" w:rsidRDefault="005012C0">
            <w:pPr>
              <w:pStyle w:val="Pagedecouverture"/>
              <w:jc w:val="center"/>
              <w:rPr>
                <w:noProof/>
                <w:sz w:val="22"/>
              </w:rPr>
            </w:pPr>
            <w:r>
              <w:rPr>
                <w:noProof/>
                <w:sz w:val="22"/>
              </w:rPr>
              <w:t>0,011</w:t>
            </w:r>
          </w:p>
        </w:tc>
        <w:tc>
          <w:tcPr>
            <w:tcW w:w="992" w:type="dxa"/>
            <w:vAlign w:val="center"/>
          </w:tcPr>
          <w:p w:rsidR="00D71B15" w:rsidRDefault="005012C0">
            <w:pPr>
              <w:pStyle w:val="Pagedecouverture"/>
              <w:jc w:val="center"/>
              <w:rPr>
                <w:b/>
                <w:noProof/>
                <w:sz w:val="22"/>
              </w:rPr>
            </w:pPr>
            <w:r>
              <w:rPr>
                <w:b/>
                <w:noProof/>
                <w:sz w:val="22"/>
              </w:rPr>
              <w:t>0,162</w:t>
            </w:r>
          </w:p>
        </w:tc>
      </w:tr>
    </w:tbl>
    <w:p w:rsidR="00D71B15" w:rsidRDefault="005012C0">
      <w:pPr>
        <w:pStyle w:val="Text1"/>
        <w:spacing w:before="360"/>
        <w:jc w:val="right"/>
        <w:rPr>
          <w:noProof/>
          <w:sz w:val="22"/>
        </w:rPr>
      </w:pPr>
      <w:r>
        <w:rPr>
          <w:noProof/>
          <w:sz w:val="22"/>
        </w:rPr>
        <w:t>milj. euroa (kolmen desimaalin tarkkuudella)</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1842"/>
        <w:gridCol w:w="993"/>
        <w:gridCol w:w="851"/>
        <w:gridCol w:w="851"/>
        <w:gridCol w:w="850"/>
        <w:gridCol w:w="851"/>
        <w:gridCol w:w="1133"/>
      </w:tblGrid>
      <w:tr w:rsidR="00D71B15">
        <w:tc>
          <w:tcPr>
            <w:tcW w:w="3054" w:type="dxa"/>
            <w:tcBorders>
              <w:top w:val="nil"/>
              <w:left w:val="nil"/>
              <w:right w:val="nil"/>
            </w:tcBorders>
            <w:vAlign w:val="center"/>
          </w:tcPr>
          <w:p w:rsidR="00D71B15" w:rsidRDefault="00D71B15">
            <w:pPr>
              <w:pStyle w:val="Pagedecouverture"/>
              <w:rPr>
                <w:noProof/>
                <w:sz w:val="22"/>
              </w:rPr>
            </w:pPr>
          </w:p>
        </w:tc>
        <w:tc>
          <w:tcPr>
            <w:tcW w:w="1842" w:type="dxa"/>
            <w:tcBorders>
              <w:top w:val="nil"/>
              <w:left w:val="nil"/>
            </w:tcBorders>
          </w:tcPr>
          <w:p w:rsidR="00D71B15" w:rsidRDefault="00D71B15">
            <w:pPr>
              <w:pStyle w:val="Pagedecouverture"/>
              <w:rPr>
                <w:noProof/>
                <w:sz w:val="22"/>
              </w:rPr>
            </w:pPr>
          </w:p>
        </w:tc>
        <w:tc>
          <w:tcPr>
            <w:tcW w:w="993" w:type="dxa"/>
            <w:vAlign w:val="center"/>
          </w:tcPr>
          <w:p w:rsidR="00D71B15" w:rsidRDefault="005012C0">
            <w:pPr>
              <w:pStyle w:val="Pagedecouverture"/>
              <w:jc w:val="center"/>
              <w:rPr>
                <w:noProof/>
                <w:sz w:val="22"/>
              </w:rPr>
            </w:pPr>
            <w:r>
              <w:rPr>
                <w:noProof/>
                <w:sz w:val="22"/>
              </w:rPr>
              <w:t>Vuosi</w:t>
            </w:r>
            <w:r>
              <w:rPr>
                <w:noProof/>
                <w:sz w:val="22"/>
              </w:rPr>
              <w:br/>
            </w:r>
            <w:r>
              <w:rPr>
                <w:b/>
                <w:noProof/>
                <w:sz w:val="22"/>
              </w:rPr>
              <w:t>2016</w:t>
            </w:r>
          </w:p>
        </w:tc>
        <w:tc>
          <w:tcPr>
            <w:tcW w:w="851" w:type="dxa"/>
          </w:tcPr>
          <w:p w:rsidR="00D71B15" w:rsidRDefault="005012C0">
            <w:pPr>
              <w:pStyle w:val="Pagedecouverture"/>
              <w:jc w:val="center"/>
              <w:rPr>
                <w:noProof/>
                <w:sz w:val="22"/>
              </w:rPr>
            </w:pPr>
            <w:r>
              <w:rPr>
                <w:noProof/>
                <w:sz w:val="22"/>
              </w:rPr>
              <w:t>Vuosi</w:t>
            </w:r>
            <w:r>
              <w:rPr>
                <w:noProof/>
                <w:sz w:val="22"/>
              </w:rPr>
              <w:br/>
            </w:r>
            <w:r>
              <w:rPr>
                <w:b/>
                <w:noProof/>
                <w:sz w:val="22"/>
              </w:rPr>
              <w:t>2017</w:t>
            </w:r>
            <w:r>
              <w:rPr>
                <w:rStyle w:val="FootnoteReference"/>
                <w:b/>
                <w:noProof/>
                <w:sz w:val="22"/>
              </w:rPr>
              <w:footnoteReference w:id="24"/>
            </w:r>
          </w:p>
        </w:tc>
        <w:tc>
          <w:tcPr>
            <w:tcW w:w="851" w:type="dxa"/>
            <w:vAlign w:val="center"/>
          </w:tcPr>
          <w:p w:rsidR="00D71B15" w:rsidRDefault="005012C0">
            <w:pPr>
              <w:pStyle w:val="Pagedecouverture"/>
              <w:jc w:val="center"/>
              <w:rPr>
                <w:noProof/>
                <w:sz w:val="22"/>
              </w:rPr>
            </w:pPr>
            <w:r>
              <w:rPr>
                <w:noProof/>
                <w:sz w:val="22"/>
              </w:rPr>
              <w:t>Vuosi</w:t>
            </w:r>
            <w:r>
              <w:rPr>
                <w:noProof/>
                <w:sz w:val="22"/>
              </w:rPr>
              <w:br/>
            </w:r>
            <w:r>
              <w:rPr>
                <w:b/>
                <w:noProof/>
                <w:sz w:val="22"/>
              </w:rPr>
              <w:t>2018</w:t>
            </w:r>
          </w:p>
        </w:tc>
        <w:tc>
          <w:tcPr>
            <w:tcW w:w="850" w:type="dxa"/>
            <w:vAlign w:val="center"/>
          </w:tcPr>
          <w:p w:rsidR="00D71B15" w:rsidRDefault="005012C0">
            <w:pPr>
              <w:pStyle w:val="Pagedecouverture"/>
              <w:jc w:val="center"/>
              <w:rPr>
                <w:noProof/>
                <w:sz w:val="22"/>
              </w:rPr>
            </w:pPr>
            <w:r>
              <w:rPr>
                <w:noProof/>
                <w:sz w:val="22"/>
              </w:rPr>
              <w:t>Vuosi</w:t>
            </w:r>
            <w:r>
              <w:rPr>
                <w:noProof/>
                <w:sz w:val="22"/>
              </w:rPr>
              <w:br/>
            </w:r>
            <w:r>
              <w:rPr>
                <w:b/>
                <w:noProof/>
                <w:sz w:val="22"/>
              </w:rPr>
              <w:t>2019</w:t>
            </w:r>
          </w:p>
        </w:tc>
        <w:tc>
          <w:tcPr>
            <w:tcW w:w="851" w:type="dxa"/>
            <w:vAlign w:val="center"/>
          </w:tcPr>
          <w:p w:rsidR="00D71B15" w:rsidRDefault="005012C0">
            <w:pPr>
              <w:pStyle w:val="Pagedecouverture"/>
              <w:jc w:val="center"/>
              <w:rPr>
                <w:noProof/>
                <w:sz w:val="22"/>
              </w:rPr>
            </w:pPr>
            <w:r>
              <w:rPr>
                <w:noProof/>
                <w:sz w:val="22"/>
              </w:rPr>
              <w:t>Vuosi</w:t>
            </w:r>
            <w:r>
              <w:rPr>
                <w:noProof/>
                <w:sz w:val="22"/>
              </w:rPr>
              <w:br/>
            </w:r>
            <w:r>
              <w:rPr>
                <w:b/>
                <w:noProof/>
                <w:sz w:val="22"/>
              </w:rPr>
              <w:t>2020</w:t>
            </w:r>
          </w:p>
        </w:tc>
        <w:tc>
          <w:tcPr>
            <w:tcW w:w="1133" w:type="dxa"/>
            <w:vAlign w:val="center"/>
          </w:tcPr>
          <w:p w:rsidR="00D71B15" w:rsidRDefault="005012C0">
            <w:pPr>
              <w:pStyle w:val="Pagedecouverture"/>
              <w:jc w:val="center"/>
              <w:rPr>
                <w:b/>
                <w:noProof/>
                <w:sz w:val="22"/>
              </w:rPr>
            </w:pPr>
            <w:r>
              <w:rPr>
                <w:b/>
                <w:noProof/>
                <w:sz w:val="22"/>
              </w:rPr>
              <w:t>YH</w:t>
            </w:r>
            <w:r>
              <w:rPr>
                <w:b/>
                <w:noProof/>
                <w:sz w:val="22"/>
              </w:rPr>
              <w:softHyphen/>
              <w:t>TEENSÄ</w:t>
            </w:r>
          </w:p>
        </w:tc>
      </w:tr>
      <w:tr w:rsidR="00D71B15">
        <w:trPr>
          <w:trHeight w:val="578"/>
        </w:trPr>
        <w:tc>
          <w:tcPr>
            <w:tcW w:w="3054" w:type="dxa"/>
            <w:vMerge w:val="restart"/>
            <w:shd w:val="clear" w:color="auto" w:fill="C0C0C0"/>
            <w:vAlign w:val="center"/>
          </w:tcPr>
          <w:p w:rsidR="00D71B15" w:rsidRDefault="005012C0">
            <w:pPr>
              <w:pStyle w:val="Pagedecouverture"/>
              <w:jc w:val="center"/>
              <w:rPr>
                <w:noProof/>
                <w:sz w:val="22"/>
              </w:rPr>
            </w:pPr>
            <w:r>
              <w:rPr>
                <w:noProof/>
                <w:sz w:val="22"/>
              </w:rPr>
              <w:t>Monivuotisen rahoituskehyksen</w:t>
            </w:r>
            <w:r>
              <w:rPr>
                <w:noProof/>
              </w:rPr>
              <w:t xml:space="preserve"> </w:t>
            </w:r>
            <w:r>
              <w:rPr>
                <w:b/>
                <w:noProof/>
                <w:sz w:val="22"/>
              </w:rPr>
              <w:t>OTSAKKEISIIN 1–5 kuuluvat määrärahat YHTEENSÄ</w:t>
            </w:r>
          </w:p>
        </w:tc>
        <w:tc>
          <w:tcPr>
            <w:tcW w:w="1842" w:type="dxa"/>
            <w:vAlign w:val="center"/>
          </w:tcPr>
          <w:p w:rsidR="00D71B15" w:rsidRDefault="005012C0">
            <w:pPr>
              <w:pStyle w:val="Pagedecouverture"/>
              <w:rPr>
                <w:noProof/>
                <w:sz w:val="22"/>
              </w:rPr>
            </w:pPr>
            <w:r>
              <w:rPr>
                <w:noProof/>
                <w:sz w:val="22"/>
              </w:rPr>
              <w:t>Sitoumukset</w:t>
            </w:r>
          </w:p>
        </w:tc>
        <w:tc>
          <w:tcPr>
            <w:tcW w:w="993" w:type="dxa"/>
            <w:vAlign w:val="center"/>
          </w:tcPr>
          <w:p w:rsidR="00D71B15" w:rsidRDefault="005012C0">
            <w:pPr>
              <w:pStyle w:val="Pagedecouverture"/>
              <w:jc w:val="center"/>
              <w:rPr>
                <w:noProof/>
                <w:sz w:val="22"/>
              </w:rPr>
            </w:pPr>
            <w:r>
              <w:rPr>
                <w:noProof/>
                <w:sz w:val="22"/>
              </w:rPr>
              <w:t>0,044</w:t>
            </w:r>
          </w:p>
        </w:tc>
        <w:tc>
          <w:tcPr>
            <w:tcW w:w="851" w:type="dxa"/>
            <w:vAlign w:val="center"/>
          </w:tcPr>
          <w:p w:rsidR="00D71B15" w:rsidRDefault="005012C0">
            <w:pPr>
              <w:pStyle w:val="Pagedecouverture"/>
              <w:jc w:val="center"/>
              <w:rPr>
                <w:noProof/>
                <w:sz w:val="22"/>
              </w:rPr>
            </w:pPr>
            <w:r>
              <w:rPr>
                <w:noProof/>
                <w:sz w:val="22"/>
              </w:rPr>
              <w:t>40,064</w:t>
            </w:r>
          </w:p>
        </w:tc>
        <w:tc>
          <w:tcPr>
            <w:tcW w:w="851" w:type="dxa"/>
            <w:vAlign w:val="center"/>
          </w:tcPr>
          <w:p w:rsidR="00D71B15" w:rsidRDefault="005012C0">
            <w:pPr>
              <w:pStyle w:val="Pagedecouverture"/>
              <w:jc w:val="center"/>
              <w:rPr>
                <w:noProof/>
                <w:sz w:val="22"/>
              </w:rPr>
            </w:pPr>
            <w:r>
              <w:rPr>
                <w:noProof/>
                <w:sz w:val="22"/>
              </w:rPr>
              <w:t>0,032</w:t>
            </w:r>
          </w:p>
        </w:tc>
        <w:tc>
          <w:tcPr>
            <w:tcW w:w="850" w:type="dxa"/>
            <w:vAlign w:val="center"/>
          </w:tcPr>
          <w:p w:rsidR="00D71B15" w:rsidRDefault="005012C0">
            <w:pPr>
              <w:pStyle w:val="Pagedecouverture"/>
              <w:jc w:val="center"/>
              <w:rPr>
                <w:noProof/>
                <w:sz w:val="22"/>
              </w:rPr>
            </w:pPr>
            <w:r>
              <w:rPr>
                <w:noProof/>
                <w:sz w:val="22"/>
              </w:rPr>
              <w:t>3,611</w:t>
            </w:r>
          </w:p>
        </w:tc>
        <w:tc>
          <w:tcPr>
            <w:tcW w:w="851" w:type="dxa"/>
            <w:vAlign w:val="center"/>
          </w:tcPr>
          <w:p w:rsidR="00D71B15" w:rsidRDefault="005012C0">
            <w:pPr>
              <w:pStyle w:val="Pagedecouverture"/>
              <w:jc w:val="center"/>
              <w:rPr>
                <w:noProof/>
                <w:sz w:val="22"/>
              </w:rPr>
            </w:pPr>
            <w:r>
              <w:rPr>
                <w:noProof/>
                <w:sz w:val="22"/>
              </w:rPr>
              <w:t>1,961</w:t>
            </w:r>
          </w:p>
        </w:tc>
        <w:tc>
          <w:tcPr>
            <w:tcW w:w="1133" w:type="dxa"/>
            <w:vAlign w:val="center"/>
          </w:tcPr>
          <w:p w:rsidR="00D71B15" w:rsidRDefault="005012C0">
            <w:pPr>
              <w:pStyle w:val="Pagedecouverture"/>
              <w:jc w:val="center"/>
              <w:rPr>
                <w:b/>
                <w:noProof/>
                <w:sz w:val="22"/>
              </w:rPr>
            </w:pPr>
            <w:r>
              <w:rPr>
                <w:b/>
                <w:noProof/>
                <w:sz w:val="22"/>
              </w:rPr>
              <w:t>45,712</w:t>
            </w:r>
          </w:p>
        </w:tc>
      </w:tr>
      <w:tr w:rsidR="00D71B15">
        <w:trPr>
          <w:trHeight w:val="558"/>
        </w:trPr>
        <w:tc>
          <w:tcPr>
            <w:tcW w:w="3054" w:type="dxa"/>
            <w:vMerge/>
            <w:shd w:val="clear" w:color="auto" w:fill="C0C0C0"/>
          </w:tcPr>
          <w:p w:rsidR="00D71B15" w:rsidRDefault="00D71B15">
            <w:pPr>
              <w:pStyle w:val="Pagedecouverture"/>
              <w:rPr>
                <w:noProof/>
                <w:sz w:val="22"/>
              </w:rPr>
            </w:pPr>
          </w:p>
        </w:tc>
        <w:tc>
          <w:tcPr>
            <w:tcW w:w="1842" w:type="dxa"/>
            <w:vAlign w:val="center"/>
          </w:tcPr>
          <w:p w:rsidR="00D71B15" w:rsidRDefault="005012C0">
            <w:pPr>
              <w:pStyle w:val="Pagedecouverture"/>
              <w:rPr>
                <w:noProof/>
                <w:sz w:val="22"/>
              </w:rPr>
            </w:pPr>
            <w:r>
              <w:rPr>
                <w:noProof/>
                <w:sz w:val="22"/>
              </w:rPr>
              <w:t>Maksut</w:t>
            </w:r>
          </w:p>
        </w:tc>
        <w:tc>
          <w:tcPr>
            <w:tcW w:w="993" w:type="dxa"/>
            <w:vAlign w:val="center"/>
          </w:tcPr>
          <w:p w:rsidR="00D71B15" w:rsidRDefault="005012C0">
            <w:pPr>
              <w:pStyle w:val="Pagedecouverture"/>
              <w:jc w:val="center"/>
              <w:rPr>
                <w:noProof/>
                <w:sz w:val="22"/>
              </w:rPr>
            </w:pPr>
            <w:r>
              <w:rPr>
                <w:noProof/>
                <w:sz w:val="22"/>
              </w:rPr>
              <w:t>0,104</w:t>
            </w:r>
          </w:p>
        </w:tc>
        <w:tc>
          <w:tcPr>
            <w:tcW w:w="851" w:type="dxa"/>
            <w:vAlign w:val="center"/>
          </w:tcPr>
          <w:p w:rsidR="00D71B15" w:rsidRDefault="005012C0">
            <w:pPr>
              <w:pStyle w:val="Pagedecouverture"/>
              <w:jc w:val="center"/>
              <w:rPr>
                <w:noProof/>
                <w:sz w:val="22"/>
              </w:rPr>
            </w:pPr>
            <w:r>
              <w:rPr>
                <w:noProof/>
                <w:sz w:val="22"/>
              </w:rPr>
              <w:t>20,064</w:t>
            </w:r>
          </w:p>
        </w:tc>
        <w:tc>
          <w:tcPr>
            <w:tcW w:w="851" w:type="dxa"/>
            <w:vAlign w:val="center"/>
          </w:tcPr>
          <w:p w:rsidR="00D71B15" w:rsidRDefault="005012C0">
            <w:pPr>
              <w:pStyle w:val="Pagedecouverture"/>
              <w:jc w:val="center"/>
              <w:rPr>
                <w:noProof/>
                <w:sz w:val="22"/>
              </w:rPr>
            </w:pPr>
            <w:r>
              <w:rPr>
                <w:noProof/>
                <w:sz w:val="22"/>
              </w:rPr>
              <w:t>20,032</w:t>
            </w:r>
          </w:p>
        </w:tc>
        <w:tc>
          <w:tcPr>
            <w:tcW w:w="850" w:type="dxa"/>
            <w:vAlign w:val="center"/>
          </w:tcPr>
          <w:p w:rsidR="00D71B15" w:rsidRDefault="005012C0">
            <w:pPr>
              <w:pStyle w:val="Pagedecouverture"/>
              <w:jc w:val="center"/>
              <w:rPr>
                <w:noProof/>
                <w:sz w:val="22"/>
              </w:rPr>
            </w:pPr>
            <w:r>
              <w:rPr>
                <w:noProof/>
                <w:sz w:val="22"/>
              </w:rPr>
              <w:t>3,611</w:t>
            </w:r>
          </w:p>
        </w:tc>
        <w:tc>
          <w:tcPr>
            <w:tcW w:w="851" w:type="dxa"/>
            <w:vAlign w:val="center"/>
          </w:tcPr>
          <w:p w:rsidR="00D71B15" w:rsidRDefault="005012C0">
            <w:pPr>
              <w:pStyle w:val="Pagedecouverture"/>
              <w:jc w:val="center"/>
              <w:rPr>
                <w:noProof/>
                <w:sz w:val="22"/>
              </w:rPr>
            </w:pPr>
            <w:r>
              <w:rPr>
                <w:noProof/>
                <w:sz w:val="22"/>
              </w:rPr>
              <w:t>1,961</w:t>
            </w:r>
          </w:p>
        </w:tc>
        <w:tc>
          <w:tcPr>
            <w:tcW w:w="1133" w:type="dxa"/>
            <w:vAlign w:val="center"/>
          </w:tcPr>
          <w:p w:rsidR="00D71B15" w:rsidRDefault="005012C0">
            <w:pPr>
              <w:pStyle w:val="Pagedecouverture"/>
              <w:jc w:val="center"/>
              <w:rPr>
                <w:b/>
                <w:noProof/>
                <w:sz w:val="22"/>
              </w:rPr>
            </w:pPr>
            <w:r>
              <w:rPr>
                <w:b/>
                <w:noProof/>
                <w:sz w:val="22"/>
              </w:rPr>
              <w:t>45,772</w:t>
            </w:r>
          </w:p>
        </w:tc>
      </w:tr>
    </w:tbl>
    <w:p w:rsidR="00D71B15" w:rsidRDefault="00D71B15">
      <w:pPr>
        <w:pStyle w:val="Sectionbreak"/>
        <w:rPr>
          <w:sz w:val="22"/>
        </w:rPr>
        <w:sectPr w:rsidR="00D71B15">
          <w:pgSz w:w="11907" w:h="16840" w:code="9"/>
          <w:pgMar w:top="1418" w:right="1134" w:bottom="1418" w:left="1134" w:header="709" w:footer="709" w:gutter="0"/>
          <w:cols w:space="708"/>
          <w:docGrid w:linePitch="360"/>
        </w:sectPr>
      </w:pPr>
    </w:p>
    <w:p w:rsidR="00D71B15" w:rsidRDefault="005012C0">
      <w:pPr>
        <w:pStyle w:val="Heading40"/>
      </w:pPr>
      <w:r>
        <w:t>3.2.2.</w:t>
      </w:r>
      <w:r>
        <w:tab/>
      </w:r>
      <w:r>
        <w:t xml:space="preserve">Arvioidut vaikutukset toimintamäärärahoihin </w:t>
      </w:r>
    </w:p>
    <w:p w:rsidR="00D71B15" w:rsidRDefault="005012C0">
      <w:pPr>
        <w:pStyle w:val="Text1"/>
        <w:rPr>
          <w:noProof/>
        </w:rPr>
      </w:pPr>
      <w:r>
        <w:rPr>
          <w:noProof/>
        </w:rPr>
        <w:sym w:font="Wingdings" w:char="F0A8"/>
      </w:r>
      <w:r>
        <w:rPr>
          <w:noProof/>
        </w:rPr>
        <w:t xml:space="preserve"> Ehdotus/aloite ei edellytä toimintamäärärahoja. </w:t>
      </w:r>
    </w:p>
    <w:p w:rsidR="00D71B15" w:rsidRDefault="005012C0">
      <w:pPr>
        <w:pStyle w:val="Text1"/>
        <w:rPr>
          <w:noProof/>
        </w:rPr>
      </w:pPr>
      <w:r>
        <w:rPr>
          <w:noProof/>
        </w:rPr>
        <w:t>X Ehdotus/aloite edellyttää toimintamäärärahoja seuraavasti:</w:t>
      </w:r>
    </w:p>
    <w:p w:rsidR="00D71B15" w:rsidRDefault="005012C0">
      <w:pPr>
        <w:pStyle w:val="Text1"/>
        <w:jc w:val="right"/>
        <w:rPr>
          <w:noProof/>
          <w:sz w:val="4"/>
          <w:szCs w:val="4"/>
        </w:rPr>
      </w:pPr>
      <w:r>
        <w:rPr>
          <w:noProof/>
        </w:rPr>
        <w:t>Maksusitoumusmäärärahat, milj. euroa (kolmen desimaalin tarkkuudella)</w:t>
      </w:r>
    </w:p>
    <w:tbl>
      <w:tblPr>
        <w:tblW w:w="0" w:type="auto"/>
        <w:tblInd w:w="534" w:type="dxa"/>
        <w:tblLook w:val="01E0" w:firstRow="1" w:lastRow="1" w:firstColumn="1" w:lastColumn="1" w:noHBand="0" w:noVBand="0"/>
      </w:tblPr>
      <w:tblGrid>
        <w:gridCol w:w="1358"/>
        <w:gridCol w:w="1571"/>
        <w:gridCol w:w="784"/>
        <w:gridCol w:w="1118"/>
        <w:gridCol w:w="2332"/>
        <w:gridCol w:w="1020"/>
        <w:gridCol w:w="1500"/>
        <w:gridCol w:w="2104"/>
        <w:gridCol w:w="1899"/>
      </w:tblGrid>
      <w:tr w:rsidR="00D71B15">
        <w:trPr>
          <w:gridAfter w:val="1"/>
          <w:wAfter w:w="1899" w:type="dxa"/>
        </w:trPr>
        <w:tc>
          <w:tcPr>
            <w:tcW w:w="1358" w:type="dxa"/>
          </w:tcPr>
          <w:p w:rsidR="00D71B15" w:rsidRDefault="00D71B15">
            <w:pPr>
              <w:pStyle w:val="Pagedecouverture"/>
              <w:rPr>
                <w:noProof/>
                <w:sz w:val="20"/>
                <w:szCs w:val="20"/>
              </w:rPr>
            </w:pPr>
          </w:p>
        </w:tc>
        <w:tc>
          <w:tcPr>
            <w:tcW w:w="1571" w:type="dxa"/>
          </w:tcPr>
          <w:p w:rsidR="00D71B15" w:rsidRDefault="00D71B15">
            <w:pPr>
              <w:pStyle w:val="Pagedecouverture"/>
              <w:rPr>
                <w:noProof/>
              </w:rPr>
            </w:pPr>
          </w:p>
        </w:tc>
        <w:tc>
          <w:tcPr>
            <w:tcW w:w="784" w:type="dxa"/>
          </w:tcPr>
          <w:p w:rsidR="00D71B15" w:rsidRDefault="00D71B15">
            <w:pPr>
              <w:pStyle w:val="Pagedecouverture"/>
              <w:rPr>
                <w:noProof/>
              </w:rPr>
            </w:pPr>
          </w:p>
        </w:tc>
        <w:tc>
          <w:tcPr>
            <w:tcW w:w="1118" w:type="dxa"/>
          </w:tcPr>
          <w:p w:rsidR="00D71B15" w:rsidRDefault="00D71B15">
            <w:pPr>
              <w:pStyle w:val="Pagedecouverture"/>
              <w:rPr>
                <w:noProof/>
              </w:rPr>
            </w:pPr>
          </w:p>
        </w:tc>
        <w:tc>
          <w:tcPr>
            <w:tcW w:w="2332" w:type="dxa"/>
          </w:tcPr>
          <w:p w:rsidR="00D71B15" w:rsidRDefault="00D71B15">
            <w:pPr>
              <w:pStyle w:val="Pagedecouverture"/>
              <w:rPr>
                <w:noProof/>
              </w:rPr>
            </w:pPr>
          </w:p>
        </w:tc>
        <w:tc>
          <w:tcPr>
            <w:tcW w:w="1020" w:type="dxa"/>
          </w:tcPr>
          <w:p w:rsidR="00D71B15" w:rsidRDefault="00D71B15">
            <w:pPr>
              <w:pStyle w:val="Pagedecouverture"/>
              <w:rPr>
                <w:noProof/>
              </w:rPr>
            </w:pPr>
          </w:p>
        </w:tc>
        <w:tc>
          <w:tcPr>
            <w:tcW w:w="1500" w:type="dxa"/>
          </w:tcPr>
          <w:p w:rsidR="00D71B15" w:rsidRDefault="00D71B15">
            <w:pPr>
              <w:pStyle w:val="Pagedecouverture"/>
              <w:rPr>
                <w:noProof/>
              </w:rPr>
            </w:pPr>
          </w:p>
        </w:tc>
        <w:tc>
          <w:tcPr>
            <w:tcW w:w="2104" w:type="dxa"/>
          </w:tcPr>
          <w:p w:rsidR="00D71B15" w:rsidRDefault="00D71B15">
            <w:pPr>
              <w:pStyle w:val="Pagedecouverture"/>
              <w:rPr>
                <w:noProof/>
              </w:rPr>
            </w:pPr>
          </w:p>
        </w:tc>
      </w:tr>
      <w:tr w:rsidR="00D71B15">
        <w:tc>
          <w:tcPr>
            <w:tcW w:w="13686" w:type="dxa"/>
            <w:gridSpan w:val="9"/>
          </w:tcPr>
          <w:tbl>
            <w:tblPr>
              <w:tblStyle w:val="TableGrid"/>
              <w:tblW w:w="13460" w:type="dxa"/>
              <w:tblLook w:val="04A0" w:firstRow="1" w:lastRow="0" w:firstColumn="1" w:lastColumn="0" w:noHBand="0" w:noVBand="1"/>
            </w:tblPr>
            <w:tblGrid>
              <w:gridCol w:w="718"/>
              <w:gridCol w:w="188"/>
              <w:gridCol w:w="1049"/>
              <w:gridCol w:w="178"/>
              <w:gridCol w:w="483"/>
              <w:gridCol w:w="150"/>
              <w:gridCol w:w="912"/>
              <w:gridCol w:w="909"/>
              <w:gridCol w:w="103"/>
              <w:gridCol w:w="831"/>
              <w:gridCol w:w="796"/>
              <w:gridCol w:w="135"/>
              <w:gridCol w:w="912"/>
              <w:gridCol w:w="909"/>
              <w:gridCol w:w="95"/>
              <w:gridCol w:w="839"/>
              <w:gridCol w:w="909"/>
              <w:gridCol w:w="912"/>
              <w:gridCol w:w="1127"/>
              <w:gridCol w:w="1305"/>
            </w:tblGrid>
            <w:tr w:rsidR="00D71B15">
              <w:tc>
                <w:tcPr>
                  <w:tcW w:w="826" w:type="dxa"/>
                  <w:gridSpan w:val="2"/>
                  <w:vMerge w:val="restart"/>
                </w:tcPr>
                <w:p w:rsidR="00D71B15" w:rsidRDefault="005012C0">
                  <w:pPr>
                    <w:pStyle w:val="Pagedecouverture"/>
                    <w:rPr>
                      <w:b/>
                      <w:noProof/>
                      <w:sz w:val="20"/>
                      <w:szCs w:val="20"/>
                    </w:rPr>
                  </w:pPr>
                  <w:r>
                    <w:rPr>
                      <w:b/>
                      <w:noProof/>
                      <w:sz w:val="20"/>
                    </w:rPr>
                    <w:t xml:space="preserve">   Tavoit</w:t>
                  </w:r>
                  <w:r>
                    <w:rPr>
                      <w:b/>
                      <w:noProof/>
                      <w:sz w:val="20"/>
                    </w:rPr>
                    <w:softHyphen/>
                  </w:r>
                  <w:r>
                    <w:rPr>
                      <w:b/>
                      <w:noProof/>
                      <w:sz w:val="20"/>
                    </w:rPr>
                    <w:softHyphen/>
                    <w:t xml:space="preserve">teet ja </w:t>
                  </w:r>
                  <w:r>
                    <w:rPr>
                      <w:b/>
                      <w:noProof/>
                      <w:sz w:val="20"/>
                    </w:rPr>
                    <w:t>tuotok</w:t>
                  </w:r>
                  <w:r>
                    <w:rPr>
                      <w:b/>
                      <w:noProof/>
                      <w:sz w:val="20"/>
                    </w:rPr>
                    <w:softHyphen/>
                    <w:t xml:space="preserve">set </w:t>
                  </w:r>
                </w:p>
                <w:p w:rsidR="00D71B15" w:rsidRDefault="00D71B15">
                  <w:pPr>
                    <w:pStyle w:val="Pagedecouverture"/>
                    <w:rPr>
                      <w:noProof/>
                      <w:sz w:val="14"/>
                      <w:szCs w:val="20"/>
                    </w:rPr>
                  </w:pPr>
                </w:p>
                <w:p w:rsidR="00D71B15" w:rsidRDefault="005012C0">
                  <w:pPr>
                    <w:pStyle w:val="Pagedecouverture"/>
                    <w:spacing w:after="120"/>
                    <w:jc w:val="center"/>
                    <w:rPr>
                      <w:noProof/>
                      <w:sz w:val="20"/>
                      <w:szCs w:val="20"/>
                    </w:rPr>
                  </w:pPr>
                  <w:r>
                    <w:rPr>
                      <w:noProof/>
                      <w:sz w:val="20"/>
                      <w:szCs w:val="20"/>
                    </w:rPr>
                    <w:sym w:font="Wingdings" w:char="F0F2"/>
                  </w:r>
                </w:p>
              </w:tc>
              <w:tc>
                <w:tcPr>
                  <w:tcW w:w="1069" w:type="dxa"/>
                  <w:gridSpan w:val="2"/>
                </w:tcPr>
                <w:p w:rsidR="00D71B15" w:rsidRDefault="00D71B15">
                  <w:pPr>
                    <w:pStyle w:val="Pagedecouverture"/>
                    <w:jc w:val="center"/>
                    <w:rPr>
                      <w:noProof/>
                      <w:sz w:val="20"/>
                      <w:szCs w:val="20"/>
                    </w:rPr>
                  </w:pPr>
                </w:p>
              </w:tc>
              <w:tc>
                <w:tcPr>
                  <w:tcW w:w="1603" w:type="dxa"/>
                  <w:gridSpan w:val="3"/>
                </w:tcPr>
                <w:p w:rsidR="00D71B15" w:rsidRDefault="005012C0">
                  <w:pPr>
                    <w:pStyle w:val="Pagedecouverture"/>
                    <w:jc w:val="center"/>
                    <w:rPr>
                      <w:noProof/>
                      <w:sz w:val="20"/>
                      <w:szCs w:val="20"/>
                    </w:rPr>
                  </w:pPr>
                  <w:r>
                    <w:rPr>
                      <w:noProof/>
                      <w:sz w:val="20"/>
                    </w:rPr>
                    <w:t xml:space="preserve">Vuosi </w:t>
                  </w:r>
                  <w:r>
                    <w:rPr>
                      <w:b/>
                      <w:noProof/>
                      <w:sz w:val="20"/>
                    </w:rPr>
                    <w:t>2016</w:t>
                  </w:r>
                </w:p>
              </w:tc>
              <w:tc>
                <w:tcPr>
                  <w:tcW w:w="1963" w:type="dxa"/>
                  <w:gridSpan w:val="3"/>
                </w:tcPr>
                <w:p w:rsidR="00D71B15" w:rsidRDefault="005012C0">
                  <w:pPr>
                    <w:pStyle w:val="Pagedecouverture"/>
                    <w:jc w:val="center"/>
                    <w:rPr>
                      <w:noProof/>
                      <w:sz w:val="20"/>
                      <w:szCs w:val="20"/>
                    </w:rPr>
                  </w:pPr>
                  <w:r>
                    <w:rPr>
                      <w:noProof/>
                      <w:sz w:val="20"/>
                    </w:rPr>
                    <w:t xml:space="preserve">Vuosi </w:t>
                  </w:r>
                  <w:r>
                    <w:rPr>
                      <w:b/>
                      <w:noProof/>
                      <w:sz w:val="20"/>
                    </w:rPr>
                    <w:t>2017</w:t>
                  </w:r>
                </w:p>
              </w:tc>
              <w:tc>
                <w:tcPr>
                  <w:tcW w:w="1963" w:type="dxa"/>
                  <w:gridSpan w:val="3"/>
                </w:tcPr>
                <w:p w:rsidR="00D71B15" w:rsidRDefault="005012C0">
                  <w:pPr>
                    <w:pStyle w:val="Pagedecouverture"/>
                    <w:jc w:val="center"/>
                    <w:rPr>
                      <w:noProof/>
                      <w:sz w:val="20"/>
                      <w:szCs w:val="20"/>
                    </w:rPr>
                  </w:pPr>
                  <w:r>
                    <w:rPr>
                      <w:noProof/>
                      <w:sz w:val="20"/>
                    </w:rPr>
                    <w:t xml:space="preserve">Vuosi </w:t>
                  </w:r>
                  <w:r>
                    <w:rPr>
                      <w:b/>
                      <w:noProof/>
                      <w:sz w:val="20"/>
                    </w:rPr>
                    <w:t>2018</w:t>
                  </w:r>
                </w:p>
              </w:tc>
              <w:tc>
                <w:tcPr>
                  <w:tcW w:w="1964" w:type="dxa"/>
                  <w:gridSpan w:val="3"/>
                </w:tcPr>
                <w:p w:rsidR="00D71B15" w:rsidRDefault="005012C0">
                  <w:pPr>
                    <w:pStyle w:val="Pagedecouverture"/>
                    <w:jc w:val="center"/>
                    <w:rPr>
                      <w:noProof/>
                      <w:sz w:val="20"/>
                      <w:szCs w:val="20"/>
                    </w:rPr>
                  </w:pPr>
                  <w:r>
                    <w:rPr>
                      <w:noProof/>
                      <w:sz w:val="20"/>
                    </w:rPr>
                    <w:t xml:space="preserve">Vuosi </w:t>
                  </w:r>
                  <w:r>
                    <w:rPr>
                      <w:b/>
                      <w:noProof/>
                      <w:sz w:val="20"/>
                    </w:rPr>
                    <w:t>2019</w:t>
                  </w:r>
                </w:p>
              </w:tc>
              <w:tc>
                <w:tcPr>
                  <w:tcW w:w="1932" w:type="dxa"/>
                  <w:gridSpan w:val="2"/>
                </w:tcPr>
                <w:p w:rsidR="00D71B15" w:rsidRDefault="005012C0">
                  <w:pPr>
                    <w:pStyle w:val="Pagedecouverture"/>
                    <w:jc w:val="center"/>
                    <w:rPr>
                      <w:noProof/>
                      <w:sz w:val="20"/>
                      <w:szCs w:val="20"/>
                    </w:rPr>
                  </w:pPr>
                  <w:r>
                    <w:rPr>
                      <w:noProof/>
                      <w:sz w:val="20"/>
                    </w:rPr>
                    <w:t xml:space="preserve">Vuosi </w:t>
                  </w:r>
                  <w:r>
                    <w:rPr>
                      <w:b/>
                      <w:noProof/>
                      <w:sz w:val="20"/>
                    </w:rPr>
                    <w:t>2020</w:t>
                  </w:r>
                </w:p>
              </w:tc>
              <w:tc>
                <w:tcPr>
                  <w:tcW w:w="2140" w:type="dxa"/>
                  <w:gridSpan w:val="2"/>
                </w:tcPr>
                <w:p w:rsidR="00D71B15" w:rsidRDefault="005012C0">
                  <w:pPr>
                    <w:pStyle w:val="Pagedecouverture"/>
                    <w:jc w:val="center"/>
                    <w:rPr>
                      <w:b/>
                      <w:noProof/>
                      <w:sz w:val="20"/>
                      <w:szCs w:val="20"/>
                    </w:rPr>
                  </w:pPr>
                  <w:r>
                    <w:rPr>
                      <w:b/>
                      <w:noProof/>
                      <w:sz w:val="20"/>
                    </w:rPr>
                    <w:t>YHTEENSÄ</w:t>
                  </w:r>
                </w:p>
              </w:tc>
            </w:tr>
            <w:tr w:rsidR="00D71B15">
              <w:tc>
                <w:tcPr>
                  <w:tcW w:w="826" w:type="dxa"/>
                  <w:gridSpan w:val="2"/>
                  <w:vMerge/>
                </w:tcPr>
                <w:p w:rsidR="00D71B15" w:rsidRDefault="00D71B15">
                  <w:pPr>
                    <w:pStyle w:val="Pagedecouverture"/>
                    <w:rPr>
                      <w:noProof/>
                      <w:sz w:val="20"/>
                      <w:szCs w:val="20"/>
                    </w:rPr>
                  </w:pPr>
                </w:p>
              </w:tc>
              <w:tc>
                <w:tcPr>
                  <w:tcW w:w="12634" w:type="dxa"/>
                  <w:gridSpan w:val="18"/>
                </w:tcPr>
                <w:p w:rsidR="00D71B15" w:rsidRDefault="00D71B15">
                  <w:pPr>
                    <w:pStyle w:val="Pagedecouverture"/>
                    <w:jc w:val="center"/>
                    <w:rPr>
                      <w:noProof/>
                      <w:sz w:val="20"/>
                      <w:szCs w:val="20"/>
                    </w:rPr>
                  </w:pPr>
                </w:p>
              </w:tc>
            </w:tr>
            <w:tr w:rsidR="00D71B15">
              <w:tc>
                <w:tcPr>
                  <w:tcW w:w="826" w:type="dxa"/>
                  <w:gridSpan w:val="2"/>
                  <w:vMerge/>
                </w:tcPr>
                <w:p w:rsidR="00D71B15" w:rsidRDefault="00D71B15">
                  <w:pPr>
                    <w:pStyle w:val="Pagedecouverture"/>
                    <w:rPr>
                      <w:noProof/>
                      <w:sz w:val="20"/>
                      <w:szCs w:val="20"/>
                    </w:rPr>
                  </w:pPr>
                </w:p>
              </w:tc>
              <w:tc>
                <w:tcPr>
                  <w:tcW w:w="903" w:type="dxa"/>
                  <w:vAlign w:val="center"/>
                </w:tcPr>
                <w:p w:rsidR="00D71B15" w:rsidRDefault="005012C0">
                  <w:pPr>
                    <w:pStyle w:val="Pagedecouverture"/>
                    <w:jc w:val="center"/>
                    <w:rPr>
                      <w:noProof/>
                      <w:sz w:val="20"/>
                      <w:szCs w:val="20"/>
                    </w:rPr>
                  </w:pPr>
                  <w:r>
                    <w:rPr>
                      <w:noProof/>
                      <w:sz w:val="20"/>
                    </w:rPr>
                    <w:t>Tyyppi</w:t>
                  </w:r>
                  <w:r>
                    <w:rPr>
                      <w:rStyle w:val="FootnoteReference"/>
                      <w:noProof/>
                      <w:sz w:val="20"/>
                    </w:rPr>
                    <w:footnoteReference w:id="25"/>
                  </w:r>
                </w:p>
              </w:tc>
              <w:tc>
                <w:tcPr>
                  <w:tcW w:w="831" w:type="dxa"/>
                  <w:gridSpan w:val="3"/>
                  <w:shd w:val="clear" w:color="auto" w:fill="C7C7C7" w:themeFill="background1" w:themeFillShade="D9"/>
                  <w:vAlign w:val="center"/>
                </w:tcPr>
                <w:p w:rsidR="00D71B15" w:rsidRDefault="005012C0">
                  <w:pPr>
                    <w:pStyle w:val="Pagedecouverture"/>
                    <w:jc w:val="center"/>
                    <w:rPr>
                      <w:noProof/>
                      <w:sz w:val="20"/>
                      <w:szCs w:val="20"/>
                    </w:rPr>
                  </w:pPr>
                  <w:r>
                    <w:rPr>
                      <w:noProof/>
                      <w:sz w:val="20"/>
                    </w:rPr>
                    <w:t>Luku</w:t>
                  </w:r>
                  <w:r>
                    <w:rPr>
                      <w:noProof/>
                      <w:sz w:val="20"/>
                    </w:rPr>
                    <w:softHyphen/>
                    <w:t>määrä</w:t>
                  </w:r>
                </w:p>
              </w:tc>
              <w:tc>
                <w:tcPr>
                  <w:tcW w:w="938" w:type="dxa"/>
                  <w:shd w:val="clear" w:color="auto" w:fill="C7C7C7" w:themeFill="background1" w:themeFillShade="D9"/>
                  <w:vAlign w:val="center"/>
                </w:tcPr>
                <w:p w:rsidR="00D71B15" w:rsidRDefault="005012C0">
                  <w:pPr>
                    <w:pStyle w:val="Pagedecouverture"/>
                    <w:jc w:val="center"/>
                    <w:rPr>
                      <w:noProof/>
                      <w:sz w:val="20"/>
                      <w:szCs w:val="20"/>
                    </w:rPr>
                  </w:pPr>
                  <w:r>
                    <w:rPr>
                      <w:noProof/>
                      <w:sz w:val="20"/>
                    </w:rPr>
                    <w:t>Kustan</w:t>
                  </w:r>
                  <w:r>
                    <w:rPr>
                      <w:noProof/>
                      <w:sz w:val="20"/>
                    </w:rPr>
                    <w:softHyphen/>
                    <w:t>nus</w:t>
                  </w:r>
                </w:p>
              </w:tc>
              <w:tc>
                <w:tcPr>
                  <w:tcW w:w="994" w:type="dxa"/>
                  <w:shd w:val="clear" w:color="auto" w:fill="C7C7C7" w:themeFill="background1" w:themeFillShade="D9"/>
                  <w:vAlign w:val="center"/>
                </w:tcPr>
                <w:p w:rsidR="00D71B15" w:rsidRDefault="005012C0">
                  <w:pPr>
                    <w:pStyle w:val="Pagedecouverture"/>
                    <w:jc w:val="center"/>
                    <w:rPr>
                      <w:noProof/>
                      <w:sz w:val="20"/>
                      <w:szCs w:val="20"/>
                    </w:rPr>
                  </w:pPr>
                  <w:r>
                    <w:rPr>
                      <w:noProof/>
                      <w:sz w:val="20"/>
                    </w:rPr>
                    <w:t>Luku</w:t>
                  </w:r>
                  <w:r>
                    <w:rPr>
                      <w:noProof/>
                      <w:sz w:val="20"/>
                    </w:rPr>
                    <w:softHyphen/>
                    <w:t>määrä</w:t>
                  </w:r>
                </w:p>
              </w:tc>
              <w:tc>
                <w:tcPr>
                  <w:tcW w:w="969" w:type="dxa"/>
                  <w:gridSpan w:val="2"/>
                  <w:shd w:val="clear" w:color="auto" w:fill="C7C7C7" w:themeFill="background1" w:themeFillShade="D9"/>
                  <w:vAlign w:val="center"/>
                </w:tcPr>
                <w:p w:rsidR="00D71B15" w:rsidRDefault="005012C0">
                  <w:pPr>
                    <w:pStyle w:val="Pagedecouverture"/>
                    <w:jc w:val="center"/>
                    <w:rPr>
                      <w:noProof/>
                      <w:sz w:val="20"/>
                      <w:szCs w:val="20"/>
                    </w:rPr>
                  </w:pPr>
                  <w:r>
                    <w:rPr>
                      <w:noProof/>
                      <w:sz w:val="20"/>
                    </w:rPr>
                    <w:t>Kustan</w:t>
                  </w:r>
                  <w:r>
                    <w:rPr>
                      <w:noProof/>
                      <w:sz w:val="20"/>
                    </w:rPr>
                    <w:softHyphen/>
                    <w:t>nus</w:t>
                  </w:r>
                </w:p>
              </w:tc>
              <w:tc>
                <w:tcPr>
                  <w:tcW w:w="1025" w:type="dxa"/>
                  <w:gridSpan w:val="2"/>
                  <w:shd w:val="clear" w:color="auto" w:fill="C7C7C7" w:themeFill="background1" w:themeFillShade="D9"/>
                  <w:vAlign w:val="center"/>
                </w:tcPr>
                <w:p w:rsidR="00D71B15" w:rsidRDefault="005012C0">
                  <w:pPr>
                    <w:pStyle w:val="Pagedecouverture"/>
                    <w:jc w:val="center"/>
                    <w:rPr>
                      <w:noProof/>
                      <w:sz w:val="20"/>
                      <w:szCs w:val="20"/>
                    </w:rPr>
                  </w:pPr>
                  <w:r>
                    <w:rPr>
                      <w:noProof/>
                      <w:sz w:val="20"/>
                    </w:rPr>
                    <w:t>Luku</w:t>
                  </w:r>
                  <w:r>
                    <w:rPr>
                      <w:noProof/>
                      <w:sz w:val="20"/>
                    </w:rPr>
                    <w:softHyphen/>
                    <w:t>määrä</w:t>
                  </w:r>
                </w:p>
              </w:tc>
              <w:tc>
                <w:tcPr>
                  <w:tcW w:w="938" w:type="dxa"/>
                  <w:shd w:val="clear" w:color="auto" w:fill="C7C7C7" w:themeFill="background1" w:themeFillShade="D9"/>
                  <w:vAlign w:val="center"/>
                </w:tcPr>
                <w:p w:rsidR="00D71B15" w:rsidRDefault="005012C0">
                  <w:pPr>
                    <w:pStyle w:val="Pagedecouverture"/>
                    <w:jc w:val="center"/>
                    <w:rPr>
                      <w:noProof/>
                      <w:sz w:val="20"/>
                      <w:szCs w:val="20"/>
                    </w:rPr>
                  </w:pPr>
                  <w:r>
                    <w:rPr>
                      <w:noProof/>
                      <w:sz w:val="20"/>
                    </w:rPr>
                    <w:t>Kustan</w:t>
                  </w:r>
                  <w:r>
                    <w:rPr>
                      <w:noProof/>
                      <w:sz w:val="20"/>
                    </w:rPr>
                    <w:softHyphen/>
                    <w:t>nus</w:t>
                  </w:r>
                </w:p>
              </w:tc>
              <w:tc>
                <w:tcPr>
                  <w:tcW w:w="994" w:type="dxa"/>
                  <w:shd w:val="clear" w:color="auto" w:fill="C7C7C7" w:themeFill="background1" w:themeFillShade="D9"/>
                  <w:vAlign w:val="center"/>
                </w:tcPr>
                <w:p w:rsidR="00D71B15" w:rsidRDefault="005012C0">
                  <w:pPr>
                    <w:pStyle w:val="Pagedecouverture"/>
                    <w:jc w:val="center"/>
                    <w:rPr>
                      <w:noProof/>
                      <w:sz w:val="20"/>
                      <w:szCs w:val="20"/>
                    </w:rPr>
                  </w:pPr>
                  <w:r>
                    <w:rPr>
                      <w:noProof/>
                      <w:sz w:val="20"/>
                    </w:rPr>
                    <w:t>Luku</w:t>
                  </w:r>
                  <w:r>
                    <w:rPr>
                      <w:noProof/>
                      <w:sz w:val="20"/>
                    </w:rPr>
                    <w:softHyphen/>
                    <w:t>määrä</w:t>
                  </w:r>
                </w:p>
              </w:tc>
              <w:tc>
                <w:tcPr>
                  <w:tcW w:w="970" w:type="dxa"/>
                  <w:gridSpan w:val="2"/>
                  <w:shd w:val="clear" w:color="auto" w:fill="C7C7C7" w:themeFill="background1" w:themeFillShade="D9"/>
                  <w:vAlign w:val="center"/>
                </w:tcPr>
                <w:p w:rsidR="00D71B15" w:rsidRDefault="005012C0">
                  <w:pPr>
                    <w:pStyle w:val="Pagedecouverture"/>
                    <w:jc w:val="center"/>
                    <w:rPr>
                      <w:noProof/>
                      <w:sz w:val="20"/>
                      <w:szCs w:val="20"/>
                    </w:rPr>
                  </w:pPr>
                  <w:r>
                    <w:rPr>
                      <w:noProof/>
                      <w:sz w:val="20"/>
                    </w:rPr>
                    <w:t>Kustan</w:t>
                  </w:r>
                  <w:r>
                    <w:rPr>
                      <w:noProof/>
                      <w:sz w:val="20"/>
                    </w:rPr>
                    <w:softHyphen/>
                    <w:t>nus</w:t>
                  </w:r>
                </w:p>
              </w:tc>
              <w:tc>
                <w:tcPr>
                  <w:tcW w:w="994" w:type="dxa"/>
                  <w:shd w:val="clear" w:color="auto" w:fill="C7C7C7" w:themeFill="background1" w:themeFillShade="D9"/>
                  <w:vAlign w:val="center"/>
                </w:tcPr>
                <w:p w:rsidR="00D71B15" w:rsidRDefault="005012C0">
                  <w:pPr>
                    <w:pStyle w:val="Pagedecouverture"/>
                    <w:jc w:val="center"/>
                    <w:rPr>
                      <w:noProof/>
                      <w:sz w:val="20"/>
                      <w:szCs w:val="20"/>
                    </w:rPr>
                  </w:pPr>
                  <w:r>
                    <w:rPr>
                      <w:noProof/>
                      <w:sz w:val="20"/>
                    </w:rPr>
                    <w:t>Luku</w:t>
                  </w:r>
                  <w:r>
                    <w:rPr>
                      <w:noProof/>
                      <w:sz w:val="20"/>
                    </w:rPr>
                    <w:softHyphen/>
                    <w:t>määrä</w:t>
                  </w:r>
                </w:p>
              </w:tc>
              <w:tc>
                <w:tcPr>
                  <w:tcW w:w="938" w:type="dxa"/>
                  <w:shd w:val="clear" w:color="auto" w:fill="C7C7C7" w:themeFill="background1" w:themeFillShade="D9"/>
                  <w:vAlign w:val="center"/>
                </w:tcPr>
                <w:p w:rsidR="00D71B15" w:rsidRDefault="005012C0">
                  <w:pPr>
                    <w:pStyle w:val="Pagedecouverture"/>
                    <w:jc w:val="center"/>
                    <w:rPr>
                      <w:noProof/>
                      <w:sz w:val="20"/>
                      <w:szCs w:val="20"/>
                    </w:rPr>
                  </w:pPr>
                  <w:r>
                    <w:rPr>
                      <w:noProof/>
                      <w:sz w:val="20"/>
                    </w:rPr>
                    <w:t>Kustan</w:t>
                  </w:r>
                  <w:r>
                    <w:rPr>
                      <w:noProof/>
                      <w:sz w:val="20"/>
                    </w:rPr>
                    <w:softHyphen/>
                    <w:t>nus</w:t>
                  </w:r>
                </w:p>
              </w:tc>
              <w:tc>
                <w:tcPr>
                  <w:tcW w:w="994" w:type="dxa"/>
                  <w:shd w:val="clear" w:color="auto" w:fill="C7C7C7" w:themeFill="background1" w:themeFillShade="D9"/>
                  <w:vAlign w:val="center"/>
                </w:tcPr>
                <w:p w:rsidR="00D71B15" w:rsidRDefault="005012C0">
                  <w:pPr>
                    <w:pStyle w:val="Pagedecouverture"/>
                    <w:jc w:val="center"/>
                    <w:rPr>
                      <w:noProof/>
                      <w:sz w:val="20"/>
                      <w:szCs w:val="20"/>
                    </w:rPr>
                  </w:pPr>
                  <w:r>
                    <w:rPr>
                      <w:noProof/>
                      <w:sz w:val="20"/>
                    </w:rPr>
                    <w:t>Lukumäärä yhteensä</w:t>
                  </w:r>
                </w:p>
              </w:tc>
              <w:tc>
                <w:tcPr>
                  <w:tcW w:w="1146" w:type="dxa"/>
                  <w:shd w:val="clear" w:color="auto" w:fill="C7C7C7" w:themeFill="background1" w:themeFillShade="D9"/>
                  <w:vAlign w:val="center"/>
                </w:tcPr>
                <w:p w:rsidR="00D71B15" w:rsidRDefault="005012C0">
                  <w:pPr>
                    <w:pStyle w:val="Pagedecouverture"/>
                    <w:jc w:val="center"/>
                    <w:rPr>
                      <w:noProof/>
                      <w:sz w:val="20"/>
                      <w:szCs w:val="20"/>
                    </w:rPr>
                  </w:pPr>
                  <w:r>
                    <w:rPr>
                      <w:noProof/>
                      <w:sz w:val="20"/>
                    </w:rPr>
                    <w:t>Kustannukset yhteensä</w:t>
                  </w:r>
                </w:p>
              </w:tc>
            </w:tr>
            <w:tr w:rsidR="00D71B15">
              <w:trPr>
                <w:trHeight w:val="386"/>
              </w:trPr>
              <w:tc>
                <w:tcPr>
                  <w:tcW w:w="13460" w:type="dxa"/>
                  <w:gridSpan w:val="20"/>
                  <w:vAlign w:val="center"/>
                </w:tcPr>
                <w:p w:rsidR="00D71B15" w:rsidRDefault="005012C0">
                  <w:pPr>
                    <w:pStyle w:val="Pagedecouverture"/>
                    <w:jc w:val="center"/>
                    <w:rPr>
                      <w:noProof/>
                      <w:sz w:val="20"/>
                      <w:szCs w:val="20"/>
                    </w:rPr>
                  </w:pPr>
                  <w:r>
                    <w:rPr>
                      <w:noProof/>
                      <w:sz w:val="20"/>
                    </w:rPr>
                    <w:t>ERITYISTAVOITE 1</w:t>
                  </w:r>
                  <w:r>
                    <w:rPr>
                      <w:rStyle w:val="FootnoteReference"/>
                      <w:noProof/>
                      <w:sz w:val="20"/>
                    </w:rPr>
                    <w:footnoteReference w:id="26"/>
                  </w:r>
                </w:p>
              </w:tc>
            </w:tr>
            <w:tr w:rsidR="00D71B15">
              <w:trPr>
                <w:trHeight w:val="560"/>
              </w:trPr>
              <w:tc>
                <w:tcPr>
                  <w:tcW w:w="633" w:type="dxa"/>
                  <w:vAlign w:val="center"/>
                </w:tcPr>
                <w:p w:rsidR="00D71B15" w:rsidRDefault="005012C0">
                  <w:pPr>
                    <w:pStyle w:val="Pagedecouverture"/>
                    <w:rPr>
                      <w:noProof/>
                      <w:sz w:val="20"/>
                      <w:szCs w:val="20"/>
                    </w:rPr>
                  </w:pPr>
                  <w:r>
                    <w:rPr>
                      <w:noProof/>
                      <w:sz w:val="20"/>
                    </w:rPr>
                    <w:t>- tuo</w:t>
                  </w:r>
                  <w:r>
                    <w:rPr>
                      <w:noProof/>
                      <w:sz w:val="20"/>
                    </w:rPr>
                    <w:softHyphen/>
                    <w:t>tos 1</w:t>
                  </w:r>
                </w:p>
              </w:tc>
              <w:tc>
                <w:tcPr>
                  <w:tcW w:w="1262" w:type="dxa"/>
                  <w:gridSpan w:val="3"/>
                  <w:vAlign w:val="center"/>
                </w:tcPr>
                <w:p w:rsidR="00D71B15" w:rsidRDefault="005012C0">
                  <w:pPr>
                    <w:pStyle w:val="Pagedecouverture"/>
                    <w:jc w:val="left"/>
                    <w:rPr>
                      <w:noProof/>
                      <w:sz w:val="20"/>
                      <w:szCs w:val="20"/>
                    </w:rPr>
                  </w:pPr>
                  <w:r>
                    <w:rPr>
                      <w:noProof/>
                      <w:sz w:val="20"/>
                    </w:rPr>
                    <w:t>Maksetut avustukset</w:t>
                  </w:r>
                </w:p>
              </w:tc>
              <w:tc>
                <w:tcPr>
                  <w:tcW w:w="488" w:type="dxa"/>
                  <w:vAlign w:val="center"/>
                </w:tcPr>
                <w:p w:rsidR="00D71B15" w:rsidRDefault="00D71B15">
                  <w:pPr>
                    <w:pStyle w:val="Pagedecouverture"/>
                    <w:jc w:val="center"/>
                    <w:rPr>
                      <w:noProof/>
                      <w:sz w:val="20"/>
                      <w:szCs w:val="20"/>
                    </w:rPr>
                  </w:pPr>
                </w:p>
              </w:tc>
              <w:tc>
                <w:tcPr>
                  <w:tcW w:w="1115" w:type="dxa"/>
                  <w:gridSpan w:val="2"/>
                  <w:vAlign w:val="center"/>
                </w:tcPr>
                <w:p w:rsidR="00D71B15" w:rsidRDefault="00D71B15">
                  <w:pPr>
                    <w:pStyle w:val="Pagedecouverture"/>
                    <w:jc w:val="center"/>
                    <w:rPr>
                      <w:noProof/>
                      <w:sz w:val="20"/>
                      <w:szCs w:val="20"/>
                    </w:rPr>
                  </w:pPr>
                </w:p>
              </w:tc>
              <w:tc>
                <w:tcPr>
                  <w:tcW w:w="1115" w:type="dxa"/>
                  <w:gridSpan w:val="2"/>
                  <w:vAlign w:val="center"/>
                </w:tcPr>
                <w:p w:rsidR="00D71B15" w:rsidRDefault="005012C0">
                  <w:pPr>
                    <w:pStyle w:val="Pagedecouverture"/>
                    <w:jc w:val="center"/>
                    <w:rPr>
                      <w:noProof/>
                      <w:sz w:val="20"/>
                      <w:szCs w:val="20"/>
                    </w:rPr>
                  </w:pPr>
                  <w:r>
                    <w:rPr>
                      <w:noProof/>
                      <w:sz w:val="20"/>
                    </w:rPr>
                    <w:t>3</w:t>
                  </w:r>
                </w:p>
              </w:tc>
              <w:tc>
                <w:tcPr>
                  <w:tcW w:w="848" w:type="dxa"/>
                  <w:vAlign w:val="center"/>
                </w:tcPr>
                <w:p w:rsidR="00D71B15" w:rsidRDefault="005012C0">
                  <w:pPr>
                    <w:pStyle w:val="Pagedecouverture"/>
                    <w:jc w:val="center"/>
                    <w:rPr>
                      <w:noProof/>
                      <w:sz w:val="20"/>
                      <w:szCs w:val="20"/>
                    </w:rPr>
                  </w:pPr>
                  <w:r>
                    <w:rPr>
                      <w:noProof/>
                      <w:sz w:val="20"/>
                    </w:rPr>
                    <w:t>40</w:t>
                  </w:r>
                </w:p>
              </w:tc>
              <w:tc>
                <w:tcPr>
                  <w:tcW w:w="852" w:type="dxa"/>
                  <w:vAlign w:val="center"/>
                </w:tcPr>
                <w:p w:rsidR="00D71B15" w:rsidRDefault="00D71B15">
                  <w:pPr>
                    <w:pStyle w:val="Pagedecouverture"/>
                    <w:jc w:val="center"/>
                    <w:rPr>
                      <w:noProof/>
                      <w:sz w:val="20"/>
                      <w:szCs w:val="20"/>
                    </w:rPr>
                  </w:pPr>
                </w:p>
              </w:tc>
              <w:tc>
                <w:tcPr>
                  <w:tcW w:w="1111" w:type="dxa"/>
                  <w:gridSpan w:val="2"/>
                  <w:vAlign w:val="center"/>
                </w:tcPr>
                <w:p w:rsidR="00D71B15" w:rsidRDefault="00D71B15">
                  <w:pPr>
                    <w:pStyle w:val="Pagedecouverture"/>
                    <w:jc w:val="center"/>
                    <w:rPr>
                      <w:noProof/>
                      <w:sz w:val="20"/>
                      <w:szCs w:val="20"/>
                    </w:rPr>
                  </w:pPr>
                </w:p>
              </w:tc>
              <w:tc>
                <w:tcPr>
                  <w:tcW w:w="1108" w:type="dxa"/>
                  <w:gridSpan w:val="2"/>
                  <w:vAlign w:val="center"/>
                </w:tcPr>
                <w:p w:rsidR="00D71B15" w:rsidRDefault="00D71B15">
                  <w:pPr>
                    <w:pStyle w:val="Pagedecouverture"/>
                    <w:jc w:val="center"/>
                    <w:rPr>
                      <w:noProof/>
                      <w:sz w:val="20"/>
                      <w:szCs w:val="20"/>
                    </w:rPr>
                  </w:pPr>
                </w:p>
              </w:tc>
              <w:tc>
                <w:tcPr>
                  <w:tcW w:w="856" w:type="dxa"/>
                  <w:vAlign w:val="center"/>
                </w:tcPr>
                <w:p w:rsidR="00D71B15" w:rsidRDefault="00D71B15">
                  <w:pPr>
                    <w:pStyle w:val="Pagedecouverture"/>
                    <w:jc w:val="center"/>
                    <w:rPr>
                      <w:noProof/>
                      <w:sz w:val="20"/>
                      <w:szCs w:val="20"/>
                    </w:rPr>
                  </w:pPr>
                </w:p>
              </w:tc>
              <w:tc>
                <w:tcPr>
                  <w:tcW w:w="994" w:type="dxa"/>
                  <w:vAlign w:val="center"/>
                </w:tcPr>
                <w:p w:rsidR="00D71B15" w:rsidRDefault="00D71B15">
                  <w:pPr>
                    <w:pStyle w:val="Pagedecouverture"/>
                    <w:jc w:val="center"/>
                    <w:rPr>
                      <w:noProof/>
                      <w:sz w:val="20"/>
                      <w:szCs w:val="20"/>
                    </w:rPr>
                  </w:pPr>
                </w:p>
              </w:tc>
              <w:tc>
                <w:tcPr>
                  <w:tcW w:w="938" w:type="dxa"/>
                  <w:vAlign w:val="center"/>
                </w:tcPr>
                <w:p w:rsidR="00D71B15" w:rsidRDefault="00D71B15">
                  <w:pPr>
                    <w:pStyle w:val="Pagedecouverture"/>
                    <w:jc w:val="center"/>
                    <w:rPr>
                      <w:noProof/>
                      <w:sz w:val="20"/>
                      <w:szCs w:val="20"/>
                    </w:rPr>
                  </w:pPr>
                </w:p>
              </w:tc>
              <w:tc>
                <w:tcPr>
                  <w:tcW w:w="994" w:type="dxa"/>
                  <w:vAlign w:val="center"/>
                </w:tcPr>
                <w:p w:rsidR="00D71B15" w:rsidRDefault="005012C0">
                  <w:pPr>
                    <w:pStyle w:val="Pagedecouverture"/>
                    <w:jc w:val="center"/>
                    <w:rPr>
                      <w:noProof/>
                      <w:sz w:val="20"/>
                      <w:szCs w:val="20"/>
                    </w:rPr>
                  </w:pPr>
                  <w:r>
                    <w:rPr>
                      <w:noProof/>
                      <w:sz w:val="20"/>
                    </w:rPr>
                    <w:t>3</w:t>
                  </w:r>
                </w:p>
              </w:tc>
              <w:tc>
                <w:tcPr>
                  <w:tcW w:w="1146" w:type="dxa"/>
                  <w:vAlign w:val="center"/>
                </w:tcPr>
                <w:p w:rsidR="00D71B15" w:rsidRDefault="005012C0">
                  <w:pPr>
                    <w:pStyle w:val="Pagedecouverture"/>
                    <w:jc w:val="center"/>
                    <w:rPr>
                      <w:noProof/>
                      <w:sz w:val="20"/>
                      <w:szCs w:val="20"/>
                    </w:rPr>
                  </w:pPr>
                  <w:r>
                    <w:rPr>
                      <w:noProof/>
                      <w:sz w:val="20"/>
                    </w:rPr>
                    <w:t>40</w:t>
                  </w:r>
                </w:p>
              </w:tc>
            </w:tr>
            <w:tr w:rsidR="00D71B15">
              <w:trPr>
                <w:trHeight w:val="537"/>
              </w:trPr>
              <w:tc>
                <w:tcPr>
                  <w:tcW w:w="633" w:type="dxa"/>
                  <w:vAlign w:val="center"/>
                </w:tcPr>
                <w:p w:rsidR="00D71B15" w:rsidRDefault="005012C0">
                  <w:pPr>
                    <w:pStyle w:val="Pagedecouverture"/>
                    <w:rPr>
                      <w:noProof/>
                      <w:sz w:val="20"/>
                      <w:szCs w:val="20"/>
                    </w:rPr>
                  </w:pPr>
                  <w:r>
                    <w:rPr>
                      <w:noProof/>
                      <w:sz w:val="20"/>
                    </w:rPr>
                    <w:t>- tuo</w:t>
                  </w:r>
                  <w:r>
                    <w:rPr>
                      <w:noProof/>
                      <w:sz w:val="20"/>
                    </w:rPr>
                    <w:softHyphen/>
                    <w:t>tos 2</w:t>
                  </w:r>
                </w:p>
              </w:tc>
              <w:tc>
                <w:tcPr>
                  <w:tcW w:w="1262" w:type="dxa"/>
                  <w:gridSpan w:val="3"/>
                  <w:vAlign w:val="center"/>
                </w:tcPr>
                <w:p w:rsidR="00D71B15" w:rsidRDefault="005012C0">
                  <w:pPr>
                    <w:pStyle w:val="Pagedecouverture"/>
                    <w:jc w:val="left"/>
                    <w:rPr>
                      <w:noProof/>
                      <w:sz w:val="20"/>
                      <w:szCs w:val="20"/>
                    </w:rPr>
                  </w:pPr>
                  <w:r>
                    <w:rPr>
                      <w:noProof/>
                      <w:sz w:val="20"/>
                    </w:rPr>
                    <w:t>Takuurahaston rahoittaminen</w:t>
                  </w:r>
                </w:p>
              </w:tc>
              <w:tc>
                <w:tcPr>
                  <w:tcW w:w="488" w:type="dxa"/>
                  <w:vAlign w:val="center"/>
                </w:tcPr>
                <w:p w:rsidR="00D71B15" w:rsidRDefault="00D71B15">
                  <w:pPr>
                    <w:pStyle w:val="Pagedecouverture"/>
                    <w:jc w:val="center"/>
                    <w:rPr>
                      <w:noProof/>
                      <w:sz w:val="20"/>
                      <w:szCs w:val="20"/>
                    </w:rPr>
                  </w:pPr>
                </w:p>
              </w:tc>
              <w:tc>
                <w:tcPr>
                  <w:tcW w:w="1115" w:type="dxa"/>
                  <w:gridSpan w:val="2"/>
                  <w:vAlign w:val="center"/>
                </w:tcPr>
                <w:p w:rsidR="00D71B15" w:rsidRDefault="00D71B15">
                  <w:pPr>
                    <w:pStyle w:val="Pagedecouverture"/>
                    <w:jc w:val="center"/>
                    <w:rPr>
                      <w:noProof/>
                      <w:sz w:val="20"/>
                      <w:szCs w:val="20"/>
                    </w:rPr>
                  </w:pPr>
                </w:p>
              </w:tc>
              <w:tc>
                <w:tcPr>
                  <w:tcW w:w="1115" w:type="dxa"/>
                  <w:gridSpan w:val="2"/>
                  <w:vAlign w:val="center"/>
                </w:tcPr>
                <w:p w:rsidR="00D71B15" w:rsidRDefault="00D71B15">
                  <w:pPr>
                    <w:pStyle w:val="Pagedecouverture"/>
                    <w:jc w:val="center"/>
                    <w:rPr>
                      <w:noProof/>
                      <w:sz w:val="20"/>
                      <w:szCs w:val="20"/>
                    </w:rPr>
                  </w:pPr>
                </w:p>
              </w:tc>
              <w:tc>
                <w:tcPr>
                  <w:tcW w:w="848" w:type="dxa"/>
                  <w:vAlign w:val="center"/>
                </w:tcPr>
                <w:p w:rsidR="00D71B15" w:rsidRDefault="00D71B15">
                  <w:pPr>
                    <w:pStyle w:val="Pagedecouverture"/>
                    <w:jc w:val="center"/>
                    <w:rPr>
                      <w:noProof/>
                      <w:sz w:val="20"/>
                      <w:szCs w:val="20"/>
                    </w:rPr>
                  </w:pPr>
                </w:p>
              </w:tc>
              <w:tc>
                <w:tcPr>
                  <w:tcW w:w="852" w:type="dxa"/>
                  <w:vAlign w:val="center"/>
                </w:tcPr>
                <w:p w:rsidR="00D71B15" w:rsidRDefault="00D71B15">
                  <w:pPr>
                    <w:pStyle w:val="Pagedecouverture"/>
                    <w:jc w:val="center"/>
                    <w:rPr>
                      <w:noProof/>
                      <w:sz w:val="20"/>
                      <w:szCs w:val="20"/>
                    </w:rPr>
                  </w:pPr>
                </w:p>
              </w:tc>
              <w:tc>
                <w:tcPr>
                  <w:tcW w:w="1111" w:type="dxa"/>
                  <w:gridSpan w:val="2"/>
                  <w:vAlign w:val="center"/>
                </w:tcPr>
                <w:p w:rsidR="00D71B15" w:rsidRDefault="00D71B15">
                  <w:pPr>
                    <w:pStyle w:val="Pagedecouverture"/>
                    <w:jc w:val="center"/>
                    <w:rPr>
                      <w:noProof/>
                      <w:sz w:val="20"/>
                      <w:szCs w:val="20"/>
                    </w:rPr>
                  </w:pPr>
                </w:p>
              </w:tc>
              <w:tc>
                <w:tcPr>
                  <w:tcW w:w="1108" w:type="dxa"/>
                  <w:gridSpan w:val="2"/>
                  <w:vAlign w:val="center"/>
                </w:tcPr>
                <w:p w:rsidR="00D71B15" w:rsidRDefault="005012C0">
                  <w:pPr>
                    <w:pStyle w:val="Pagedecouverture"/>
                    <w:jc w:val="center"/>
                    <w:rPr>
                      <w:noProof/>
                      <w:sz w:val="20"/>
                      <w:szCs w:val="20"/>
                    </w:rPr>
                  </w:pPr>
                  <w:r>
                    <w:rPr>
                      <w:noProof/>
                      <w:sz w:val="20"/>
                    </w:rPr>
                    <w:t>1</w:t>
                  </w:r>
                </w:p>
              </w:tc>
              <w:tc>
                <w:tcPr>
                  <w:tcW w:w="856" w:type="dxa"/>
                  <w:vAlign w:val="center"/>
                </w:tcPr>
                <w:p w:rsidR="00D71B15" w:rsidRDefault="005012C0">
                  <w:pPr>
                    <w:pStyle w:val="Pagedecouverture"/>
                    <w:jc w:val="center"/>
                    <w:rPr>
                      <w:noProof/>
                      <w:sz w:val="20"/>
                      <w:szCs w:val="20"/>
                    </w:rPr>
                  </w:pPr>
                  <w:r>
                    <w:rPr>
                      <w:noProof/>
                      <w:sz w:val="20"/>
                    </w:rPr>
                    <w:t>3,6</w:t>
                  </w:r>
                </w:p>
              </w:tc>
              <w:tc>
                <w:tcPr>
                  <w:tcW w:w="994" w:type="dxa"/>
                  <w:vAlign w:val="center"/>
                </w:tcPr>
                <w:p w:rsidR="00D71B15" w:rsidRDefault="005012C0">
                  <w:pPr>
                    <w:pStyle w:val="Pagedecouverture"/>
                    <w:jc w:val="center"/>
                    <w:rPr>
                      <w:noProof/>
                      <w:sz w:val="20"/>
                      <w:szCs w:val="20"/>
                    </w:rPr>
                  </w:pPr>
                  <w:r>
                    <w:rPr>
                      <w:noProof/>
                      <w:sz w:val="20"/>
                    </w:rPr>
                    <w:t>1</w:t>
                  </w:r>
                </w:p>
              </w:tc>
              <w:tc>
                <w:tcPr>
                  <w:tcW w:w="938" w:type="dxa"/>
                  <w:vAlign w:val="center"/>
                </w:tcPr>
                <w:p w:rsidR="00D71B15" w:rsidRDefault="005012C0">
                  <w:pPr>
                    <w:pStyle w:val="Pagedecouverture"/>
                    <w:jc w:val="center"/>
                    <w:rPr>
                      <w:noProof/>
                      <w:sz w:val="20"/>
                      <w:szCs w:val="20"/>
                    </w:rPr>
                  </w:pPr>
                  <w:r>
                    <w:rPr>
                      <w:noProof/>
                      <w:sz w:val="20"/>
                    </w:rPr>
                    <w:t>1,8</w:t>
                  </w:r>
                </w:p>
              </w:tc>
              <w:tc>
                <w:tcPr>
                  <w:tcW w:w="994" w:type="dxa"/>
                  <w:vAlign w:val="center"/>
                </w:tcPr>
                <w:p w:rsidR="00D71B15" w:rsidRDefault="005012C0">
                  <w:pPr>
                    <w:pStyle w:val="Pagedecouverture"/>
                    <w:jc w:val="center"/>
                    <w:rPr>
                      <w:noProof/>
                      <w:sz w:val="20"/>
                      <w:szCs w:val="20"/>
                    </w:rPr>
                  </w:pPr>
                  <w:r>
                    <w:rPr>
                      <w:noProof/>
                      <w:sz w:val="20"/>
                    </w:rPr>
                    <w:t>2</w:t>
                  </w:r>
                </w:p>
              </w:tc>
              <w:tc>
                <w:tcPr>
                  <w:tcW w:w="1146" w:type="dxa"/>
                  <w:vAlign w:val="center"/>
                </w:tcPr>
                <w:p w:rsidR="00D71B15" w:rsidRDefault="005012C0">
                  <w:pPr>
                    <w:pStyle w:val="Pagedecouverture"/>
                    <w:jc w:val="center"/>
                    <w:rPr>
                      <w:noProof/>
                      <w:sz w:val="20"/>
                      <w:szCs w:val="20"/>
                    </w:rPr>
                  </w:pPr>
                  <w:r>
                    <w:rPr>
                      <w:noProof/>
                      <w:sz w:val="20"/>
                    </w:rPr>
                    <w:t>5,4</w:t>
                  </w:r>
                </w:p>
              </w:tc>
            </w:tr>
            <w:tr w:rsidR="00D71B15">
              <w:trPr>
                <w:trHeight w:val="533"/>
              </w:trPr>
              <w:tc>
                <w:tcPr>
                  <w:tcW w:w="633" w:type="dxa"/>
                  <w:vAlign w:val="center"/>
                </w:tcPr>
                <w:p w:rsidR="00D71B15" w:rsidRDefault="005012C0">
                  <w:pPr>
                    <w:pStyle w:val="Pagedecouverture"/>
                    <w:rPr>
                      <w:noProof/>
                      <w:sz w:val="20"/>
                      <w:szCs w:val="20"/>
                    </w:rPr>
                  </w:pPr>
                  <w:r>
                    <w:rPr>
                      <w:noProof/>
                      <w:sz w:val="20"/>
                    </w:rPr>
                    <w:t>- tuo</w:t>
                  </w:r>
                  <w:r>
                    <w:rPr>
                      <w:noProof/>
                      <w:sz w:val="20"/>
                    </w:rPr>
                    <w:softHyphen/>
                    <w:t>tos 3</w:t>
                  </w:r>
                </w:p>
              </w:tc>
              <w:tc>
                <w:tcPr>
                  <w:tcW w:w="1262" w:type="dxa"/>
                  <w:gridSpan w:val="3"/>
                  <w:vAlign w:val="center"/>
                </w:tcPr>
                <w:p w:rsidR="00D71B15" w:rsidRDefault="005012C0">
                  <w:pPr>
                    <w:pStyle w:val="Pagedecouverture"/>
                    <w:jc w:val="left"/>
                    <w:rPr>
                      <w:noProof/>
                      <w:sz w:val="20"/>
                      <w:szCs w:val="20"/>
                    </w:rPr>
                  </w:pPr>
                  <w:r>
                    <w:rPr>
                      <w:noProof/>
                      <w:sz w:val="20"/>
                    </w:rPr>
                    <w:t>Jälkiarviointi</w:t>
                  </w:r>
                </w:p>
              </w:tc>
              <w:tc>
                <w:tcPr>
                  <w:tcW w:w="488" w:type="dxa"/>
                  <w:vAlign w:val="center"/>
                </w:tcPr>
                <w:p w:rsidR="00D71B15" w:rsidRDefault="00D71B15">
                  <w:pPr>
                    <w:pStyle w:val="Pagedecouverture"/>
                    <w:jc w:val="center"/>
                    <w:rPr>
                      <w:noProof/>
                      <w:sz w:val="20"/>
                      <w:szCs w:val="20"/>
                    </w:rPr>
                  </w:pPr>
                </w:p>
              </w:tc>
              <w:tc>
                <w:tcPr>
                  <w:tcW w:w="1115" w:type="dxa"/>
                  <w:gridSpan w:val="2"/>
                  <w:vAlign w:val="center"/>
                </w:tcPr>
                <w:p w:rsidR="00D71B15" w:rsidRDefault="00D71B15">
                  <w:pPr>
                    <w:pStyle w:val="Pagedecouverture"/>
                    <w:jc w:val="center"/>
                    <w:rPr>
                      <w:noProof/>
                      <w:sz w:val="20"/>
                      <w:szCs w:val="20"/>
                    </w:rPr>
                  </w:pPr>
                </w:p>
              </w:tc>
              <w:tc>
                <w:tcPr>
                  <w:tcW w:w="1115" w:type="dxa"/>
                  <w:gridSpan w:val="2"/>
                  <w:vAlign w:val="center"/>
                </w:tcPr>
                <w:p w:rsidR="00D71B15" w:rsidRDefault="00D71B15">
                  <w:pPr>
                    <w:pStyle w:val="Pagedecouverture"/>
                    <w:jc w:val="center"/>
                    <w:rPr>
                      <w:noProof/>
                      <w:sz w:val="20"/>
                      <w:szCs w:val="20"/>
                    </w:rPr>
                  </w:pPr>
                </w:p>
              </w:tc>
              <w:tc>
                <w:tcPr>
                  <w:tcW w:w="848" w:type="dxa"/>
                  <w:vAlign w:val="center"/>
                </w:tcPr>
                <w:p w:rsidR="00D71B15" w:rsidRDefault="00D71B15">
                  <w:pPr>
                    <w:pStyle w:val="Pagedecouverture"/>
                    <w:jc w:val="center"/>
                    <w:rPr>
                      <w:noProof/>
                      <w:sz w:val="20"/>
                      <w:szCs w:val="20"/>
                    </w:rPr>
                  </w:pPr>
                </w:p>
              </w:tc>
              <w:tc>
                <w:tcPr>
                  <w:tcW w:w="852" w:type="dxa"/>
                  <w:vAlign w:val="center"/>
                </w:tcPr>
                <w:p w:rsidR="00D71B15" w:rsidRDefault="00D71B15">
                  <w:pPr>
                    <w:pStyle w:val="Pagedecouverture"/>
                    <w:jc w:val="center"/>
                    <w:rPr>
                      <w:noProof/>
                      <w:sz w:val="20"/>
                      <w:szCs w:val="20"/>
                    </w:rPr>
                  </w:pPr>
                </w:p>
              </w:tc>
              <w:tc>
                <w:tcPr>
                  <w:tcW w:w="1111" w:type="dxa"/>
                  <w:gridSpan w:val="2"/>
                  <w:vAlign w:val="center"/>
                </w:tcPr>
                <w:p w:rsidR="00D71B15" w:rsidRDefault="00D71B15">
                  <w:pPr>
                    <w:pStyle w:val="Pagedecouverture"/>
                    <w:jc w:val="center"/>
                    <w:rPr>
                      <w:noProof/>
                      <w:sz w:val="20"/>
                      <w:szCs w:val="20"/>
                    </w:rPr>
                  </w:pPr>
                </w:p>
              </w:tc>
              <w:tc>
                <w:tcPr>
                  <w:tcW w:w="1108" w:type="dxa"/>
                  <w:gridSpan w:val="2"/>
                  <w:vAlign w:val="center"/>
                </w:tcPr>
                <w:p w:rsidR="00D71B15" w:rsidRDefault="00D71B15">
                  <w:pPr>
                    <w:pStyle w:val="Pagedecouverture"/>
                    <w:jc w:val="center"/>
                    <w:rPr>
                      <w:noProof/>
                      <w:sz w:val="20"/>
                      <w:szCs w:val="20"/>
                    </w:rPr>
                  </w:pPr>
                </w:p>
              </w:tc>
              <w:tc>
                <w:tcPr>
                  <w:tcW w:w="856" w:type="dxa"/>
                  <w:vAlign w:val="center"/>
                </w:tcPr>
                <w:p w:rsidR="00D71B15" w:rsidRDefault="00D71B15">
                  <w:pPr>
                    <w:pStyle w:val="Pagedecouverture"/>
                    <w:jc w:val="center"/>
                    <w:rPr>
                      <w:noProof/>
                      <w:sz w:val="20"/>
                      <w:szCs w:val="20"/>
                    </w:rPr>
                  </w:pPr>
                </w:p>
              </w:tc>
              <w:tc>
                <w:tcPr>
                  <w:tcW w:w="994" w:type="dxa"/>
                  <w:vAlign w:val="center"/>
                </w:tcPr>
                <w:p w:rsidR="00D71B15" w:rsidRDefault="005012C0">
                  <w:pPr>
                    <w:pStyle w:val="Pagedecouverture"/>
                    <w:jc w:val="center"/>
                    <w:rPr>
                      <w:noProof/>
                      <w:sz w:val="20"/>
                      <w:szCs w:val="20"/>
                    </w:rPr>
                  </w:pPr>
                  <w:r>
                    <w:rPr>
                      <w:noProof/>
                      <w:sz w:val="20"/>
                    </w:rPr>
                    <w:t>1</w:t>
                  </w:r>
                </w:p>
              </w:tc>
              <w:tc>
                <w:tcPr>
                  <w:tcW w:w="938" w:type="dxa"/>
                  <w:vAlign w:val="center"/>
                </w:tcPr>
                <w:p w:rsidR="00D71B15" w:rsidRDefault="005012C0">
                  <w:pPr>
                    <w:pStyle w:val="Pagedecouverture"/>
                    <w:jc w:val="center"/>
                    <w:rPr>
                      <w:noProof/>
                      <w:sz w:val="20"/>
                      <w:szCs w:val="20"/>
                    </w:rPr>
                  </w:pPr>
                  <w:r>
                    <w:rPr>
                      <w:noProof/>
                      <w:sz w:val="20"/>
                    </w:rPr>
                    <w:t>0,15</w:t>
                  </w:r>
                </w:p>
              </w:tc>
              <w:tc>
                <w:tcPr>
                  <w:tcW w:w="994" w:type="dxa"/>
                  <w:vAlign w:val="center"/>
                </w:tcPr>
                <w:p w:rsidR="00D71B15" w:rsidRDefault="005012C0">
                  <w:pPr>
                    <w:pStyle w:val="Pagedecouverture"/>
                    <w:jc w:val="center"/>
                    <w:rPr>
                      <w:noProof/>
                      <w:sz w:val="20"/>
                      <w:szCs w:val="20"/>
                    </w:rPr>
                  </w:pPr>
                  <w:r>
                    <w:rPr>
                      <w:noProof/>
                      <w:sz w:val="20"/>
                    </w:rPr>
                    <w:t>1</w:t>
                  </w:r>
                </w:p>
              </w:tc>
              <w:tc>
                <w:tcPr>
                  <w:tcW w:w="1146" w:type="dxa"/>
                  <w:vAlign w:val="center"/>
                </w:tcPr>
                <w:p w:rsidR="00D71B15" w:rsidRDefault="005012C0">
                  <w:pPr>
                    <w:pStyle w:val="Pagedecouverture"/>
                    <w:jc w:val="center"/>
                    <w:rPr>
                      <w:noProof/>
                      <w:sz w:val="20"/>
                      <w:szCs w:val="20"/>
                    </w:rPr>
                  </w:pPr>
                  <w:r>
                    <w:rPr>
                      <w:noProof/>
                      <w:sz w:val="20"/>
                    </w:rPr>
                    <w:t>0,15</w:t>
                  </w:r>
                </w:p>
              </w:tc>
            </w:tr>
            <w:tr w:rsidR="00D71B15">
              <w:trPr>
                <w:trHeight w:val="424"/>
              </w:trPr>
              <w:tc>
                <w:tcPr>
                  <w:tcW w:w="1895" w:type="dxa"/>
                  <w:gridSpan w:val="4"/>
                  <w:vAlign w:val="center"/>
                </w:tcPr>
                <w:p w:rsidR="00D71B15" w:rsidRDefault="005012C0">
                  <w:pPr>
                    <w:pStyle w:val="Pagedecouverture"/>
                    <w:jc w:val="left"/>
                    <w:rPr>
                      <w:noProof/>
                      <w:sz w:val="20"/>
                      <w:szCs w:val="20"/>
                    </w:rPr>
                  </w:pPr>
                  <w:r>
                    <w:rPr>
                      <w:noProof/>
                      <w:sz w:val="20"/>
                    </w:rPr>
                    <w:t>Välisumma erityistavoite 1</w:t>
                  </w:r>
                </w:p>
              </w:tc>
              <w:tc>
                <w:tcPr>
                  <w:tcW w:w="488" w:type="dxa"/>
                  <w:vAlign w:val="center"/>
                </w:tcPr>
                <w:p w:rsidR="00D71B15" w:rsidRDefault="00D71B15">
                  <w:pPr>
                    <w:pStyle w:val="Pagedecouverture"/>
                    <w:jc w:val="center"/>
                    <w:rPr>
                      <w:noProof/>
                      <w:sz w:val="20"/>
                      <w:szCs w:val="20"/>
                    </w:rPr>
                  </w:pPr>
                </w:p>
              </w:tc>
              <w:tc>
                <w:tcPr>
                  <w:tcW w:w="1115" w:type="dxa"/>
                  <w:gridSpan w:val="2"/>
                  <w:vAlign w:val="center"/>
                </w:tcPr>
                <w:p w:rsidR="00D71B15" w:rsidRDefault="00D71B15">
                  <w:pPr>
                    <w:pStyle w:val="Pagedecouverture"/>
                    <w:jc w:val="center"/>
                    <w:rPr>
                      <w:noProof/>
                      <w:sz w:val="20"/>
                      <w:szCs w:val="20"/>
                    </w:rPr>
                  </w:pPr>
                </w:p>
              </w:tc>
              <w:tc>
                <w:tcPr>
                  <w:tcW w:w="1115" w:type="dxa"/>
                  <w:gridSpan w:val="2"/>
                  <w:vAlign w:val="center"/>
                </w:tcPr>
                <w:p w:rsidR="00D71B15" w:rsidRDefault="005012C0">
                  <w:pPr>
                    <w:pStyle w:val="Pagedecouverture"/>
                    <w:jc w:val="center"/>
                    <w:rPr>
                      <w:noProof/>
                      <w:sz w:val="20"/>
                      <w:szCs w:val="20"/>
                    </w:rPr>
                  </w:pPr>
                  <w:r>
                    <w:rPr>
                      <w:noProof/>
                      <w:sz w:val="20"/>
                    </w:rPr>
                    <w:t>3</w:t>
                  </w:r>
                </w:p>
              </w:tc>
              <w:tc>
                <w:tcPr>
                  <w:tcW w:w="848" w:type="dxa"/>
                  <w:vAlign w:val="center"/>
                </w:tcPr>
                <w:p w:rsidR="00D71B15" w:rsidRDefault="005012C0">
                  <w:pPr>
                    <w:pStyle w:val="Pagedecouverture"/>
                    <w:jc w:val="center"/>
                    <w:rPr>
                      <w:noProof/>
                      <w:sz w:val="20"/>
                      <w:szCs w:val="20"/>
                    </w:rPr>
                  </w:pPr>
                  <w:r>
                    <w:rPr>
                      <w:noProof/>
                      <w:sz w:val="20"/>
                    </w:rPr>
                    <w:t>40</w:t>
                  </w:r>
                </w:p>
              </w:tc>
              <w:tc>
                <w:tcPr>
                  <w:tcW w:w="852" w:type="dxa"/>
                  <w:vAlign w:val="center"/>
                </w:tcPr>
                <w:p w:rsidR="00D71B15" w:rsidRDefault="00D71B15">
                  <w:pPr>
                    <w:pStyle w:val="Pagedecouverture"/>
                    <w:jc w:val="center"/>
                    <w:rPr>
                      <w:noProof/>
                      <w:sz w:val="20"/>
                      <w:szCs w:val="20"/>
                    </w:rPr>
                  </w:pPr>
                </w:p>
              </w:tc>
              <w:tc>
                <w:tcPr>
                  <w:tcW w:w="1111" w:type="dxa"/>
                  <w:gridSpan w:val="2"/>
                  <w:vAlign w:val="center"/>
                </w:tcPr>
                <w:p w:rsidR="00D71B15" w:rsidRDefault="00D71B15">
                  <w:pPr>
                    <w:pStyle w:val="Pagedecouverture"/>
                    <w:jc w:val="center"/>
                    <w:rPr>
                      <w:noProof/>
                      <w:sz w:val="20"/>
                      <w:szCs w:val="20"/>
                    </w:rPr>
                  </w:pPr>
                </w:p>
              </w:tc>
              <w:tc>
                <w:tcPr>
                  <w:tcW w:w="1108" w:type="dxa"/>
                  <w:gridSpan w:val="2"/>
                  <w:vAlign w:val="center"/>
                </w:tcPr>
                <w:p w:rsidR="00D71B15" w:rsidRDefault="005012C0">
                  <w:pPr>
                    <w:pStyle w:val="Pagedecouverture"/>
                    <w:jc w:val="center"/>
                    <w:rPr>
                      <w:noProof/>
                      <w:sz w:val="20"/>
                      <w:szCs w:val="20"/>
                    </w:rPr>
                  </w:pPr>
                  <w:r>
                    <w:rPr>
                      <w:noProof/>
                      <w:sz w:val="20"/>
                    </w:rPr>
                    <w:t>1</w:t>
                  </w:r>
                </w:p>
              </w:tc>
              <w:tc>
                <w:tcPr>
                  <w:tcW w:w="856" w:type="dxa"/>
                  <w:vAlign w:val="center"/>
                </w:tcPr>
                <w:p w:rsidR="00D71B15" w:rsidRDefault="005012C0">
                  <w:pPr>
                    <w:pStyle w:val="Pagedecouverture"/>
                    <w:jc w:val="center"/>
                    <w:rPr>
                      <w:noProof/>
                      <w:sz w:val="20"/>
                      <w:szCs w:val="20"/>
                    </w:rPr>
                  </w:pPr>
                  <w:r>
                    <w:rPr>
                      <w:noProof/>
                      <w:sz w:val="20"/>
                    </w:rPr>
                    <w:t>3,6</w:t>
                  </w:r>
                </w:p>
              </w:tc>
              <w:tc>
                <w:tcPr>
                  <w:tcW w:w="994" w:type="dxa"/>
                  <w:vAlign w:val="center"/>
                </w:tcPr>
                <w:p w:rsidR="00D71B15" w:rsidRDefault="005012C0">
                  <w:pPr>
                    <w:pStyle w:val="Pagedecouverture"/>
                    <w:jc w:val="center"/>
                    <w:rPr>
                      <w:noProof/>
                      <w:sz w:val="20"/>
                      <w:szCs w:val="20"/>
                    </w:rPr>
                  </w:pPr>
                  <w:r>
                    <w:rPr>
                      <w:noProof/>
                      <w:sz w:val="20"/>
                    </w:rPr>
                    <w:t>2</w:t>
                  </w:r>
                </w:p>
              </w:tc>
              <w:tc>
                <w:tcPr>
                  <w:tcW w:w="938" w:type="dxa"/>
                  <w:vAlign w:val="center"/>
                </w:tcPr>
                <w:p w:rsidR="00D71B15" w:rsidRDefault="005012C0">
                  <w:pPr>
                    <w:pStyle w:val="Pagedecouverture"/>
                    <w:jc w:val="center"/>
                    <w:rPr>
                      <w:noProof/>
                      <w:sz w:val="20"/>
                      <w:szCs w:val="20"/>
                    </w:rPr>
                  </w:pPr>
                  <w:r>
                    <w:rPr>
                      <w:noProof/>
                      <w:sz w:val="20"/>
                    </w:rPr>
                    <w:t>1,95</w:t>
                  </w:r>
                </w:p>
              </w:tc>
              <w:tc>
                <w:tcPr>
                  <w:tcW w:w="994" w:type="dxa"/>
                  <w:vAlign w:val="center"/>
                </w:tcPr>
                <w:p w:rsidR="00D71B15" w:rsidRDefault="005012C0">
                  <w:pPr>
                    <w:pStyle w:val="Pagedecouverture"/>
                    <w:jc w:val="center"/>
                    <w:rPr>
                      <w:noProof/>
                      <w:sz w:val="20"/>
                      <w:szCs w:val="20"/>
                    </w:rPr>
                  </w:pPr>
                  <w:r>
                    <w:rPr>
                      <w:noProof/>
                      <w:sz w:val="20"/>
                    </w:rPr>
                    <w:t>6</w:t>
                  </w:r>
                </w:p>
              </w:tc>
              <w:tc>
                <w:tcPr>
                  <w:tcW w:w="1146" w:type="dxa"/>
                  <w:vAlign w:val="center"/>
                </w:tcPr>
                <w:p w:rsidR="00D71B15" w:rsidRDefault="005012C0">
                  <w:pPr>
                    <w:pStyle w:val="Pagedecouverture"/>
                    <w:jc w:val="center"/>
                    <w:rPr>
                      <w:noProof/>
                      <w:sz w:val="20"/>
                      <w:szCs w:val="20"/>
                    </w:rPr>
                  </w:pPr>
                  <w:r>
                    <w:rPr>
                      <w:noProof/>
                      <w:sz w:val="20"/>
                    </w:rPr>
                    <w:t>45,55</w:t>
                  </w:r>
                </w:p>
              </w:tc>
            </w:tr>
            <w:tr w:rsidR="00D71B15">
              <w:trPr>
                <w:trHeight w:val="589"/>
              </w:trPr>
              <w:tc>
                <w:tcPr>
                  <w:tcW w:w="1895" w:type="dxa"/>
                  <w:gridSpan w:val="4"/>
                  <w:vAlign w:val="center"/>
                </w:tcPr>
                <w:p w:rsidR="00D71B15" w:rsidRDefault="005012C0">
                  <w:pPr>
                    <w:pStyle w:val="Pagedecouverture"/>
                    <w:rPr>
                      <w:b/>
                      <w:noProof/>
                      <w:sz w:val="20"/>
                      <w:szCs w:val="20"/>
                    </w:rPr>
                  </w:pPr>
                  <w:r>
                    <w:rPr>
                      <w:b/>
                      <w:noProof/>
                      <w:sz w:val="20"/>
                    </w:rPr>
                    <w:t xml:space="preserve">KUSTANNUKSET </w:t>
                  </w:r>
                  <w:r>
                    <w:rPr>
                      <w:b/>
                      <w:noProof/>
                      <w:sz w:val="20"/>
                    </w:rPr>
                    <w:t>YHTEENSÄ</w:t>
                  </w:r>
                </w:p>
              </w:tc>
              <w:tc>
                <w:tcPr>
                  <w:tcW w:w="488" w:type="dxa"/>
                  <w:vAlign w:val="center"/>
                </w:tcPr>
                <w:p w:rsidR="00D71B15" w:rsidRDefault="00D71B15">
                  <w:pPr>
                    <w:pStyle w:val="Pagedecouverture"/>
                    <w:jc w:val="center"/>
                    <w:rPr>
                      <w:noProof/>
                      <w:sz w:val="20"/>
                      <w:szCs w:val="20"/>
                    </w:rPr>
                  </w:pPr>
                </w:p>
              </w:tc>
              <w:tc>
                <w:tcPr>
                  <w:tcW w:w="1115" w:type="dxa"/>
                  <w:gridSpan w:val="2"/>
                  <w:vAlign w:val="center"/>
                </w:tcPr>
                <w:p w:rsidR="00D71B15" w:rsidRDefault="00D71B15">
                  <w:pPr>
                    <w:pStyle w:val="Pagedecouverture"/>
                    <w:jc w:val="center"/>
                    <w:rPr>
                      <w:noProof/>
                      <w:sz w:val="20"/>
                      <w:szCs w:val="20"/>
                    </w:rPr>
                  </w:pPr>
                </w:p>
              </w:tc>
              <w:tc>
                <w:tcPr>
                  <w:tcW w:w="1115" w:type="dxa"/>
                  <w:gridSpan w:val="2"/>
                  <w:vAlign w:val="center"/>
                </w:tcPr>
                <w:p w:rsidR="00D71B15" w:rsidRDefault="005012C0">
                  <w:pPr>
                    <w:pStyle w:val="Pagedecouverture"/>
                    <w:jc w:val="center"/>
                    <w:rPr>
                      <w:noProof/>
                      <w:sz w:val="20"/>
                      <w:szCs w:val="20"/>
                    </w:rPr>
                  </w:pPr>
                  <w:r>
                    <w:rPr>
                      <w:noProof/>
                      <w:sz w:val="20"/>
                    </w:rPr>
                    <w:t>3</w:t>
                  </w:r>
                </w:p>
              </w:tc>
              <w:tc>
                <w:tcPr>
                  <w:tcW w:w="848" w:type="dxa"/>
                  <w:vAlign w:val="center"/>
                </w:tcPr>
                <w:p w:rsidR="00D71B15" w:rsidRDefault="005012C0">
                  <w:pPr>
                    <w:pStyle w:val="Pagedecouverture"/>
                    <w:jc w:val="center"/>
                    <w:rPr>
                      <w:noProof/>
                      <w:sz w:val="20"/>
                      <w:szCs w:val="20"/>
                    </w:rPr>
                  </w:pPr>
                  <w:r>
                    <w:rPr>
                      <w:noProof/>
                      <w:sz w:val="20"/>
                    </w:rPr>
                    <w:t>40</w:t>
                  </w:r>
                </w:p>
              </w:tc>
              <w:tc>
                <w:tcPr>
                  <w:tcW w:w="852" w:type="dxa"/>
                  <w:vAlign w:val="center"/>
                </w:tcPr>
                <w:p w:rsidR="00D71B15" w:rsidRDefault="00D71B15">
                  <w:pPr>
                    <w:pStyle w:val="Pagedecouverture"/>
                    <w:jc w:val="center"/>
                    <w:rPr>
                      <w:noProof/>
                      <w:sz w:val="20"/>
                      <w:szCs w:val="20"/>
                    </w:rPr>
                  </w:pPr>
                </w:p>
              </w:tc>
              <w:tc>
                <w:tcPr>
                  <w:tcW w:w="1111" w:type="dxa"/>
                  <w:gridSpan w:val="2"/>
                  <w:vAlign w:val="center"/>
                </w:tcPr>
                <w:p w:rsidR="00D71B15" w:rsidRDefault="00D71B15">
                  <w:pPr>
                    <w:pStyle w:val="Pagedecouverture"/>
                    <w:jc w:val="center"/>
                    <w:rPr>
                      <w:noProof/>
                      <w:sz w:val="20"/>
                      <w:szCs w:val="20"/>
                    </w:rPr>
                  </w:pPr>
                </w:p>
              </w:tc>
              <w:tc>
                <w:tcPr>
                  <w:tcW w:w="1108" w:type="dxa"/>
                  <w:gridSpan w:val="2"/>
                  <w:vAlign w:val="center"/>
                </w:tcPr>
                <w:p w:rsidR="00D71B15" w:rsidRDefault="005012C0">
                  <w:pPr>
                    <w:pStyle w:val="Pagedecouverture"/>
                    <w:jc w:val="center"/>
                    <w:rPr>
                      <w:noProof/>
                      <w:sz w:val="20"/>
                      <w:szCs w:val="20"/>
                    </w:rPr>
                  </w:pPr>
                  <w:r>
                    <w:rPr>
                      <w:noProof/>
                      <w:sz w:val="20"/>
                    </w:rPr>
                    <w:t>1</w:t>
                  </w:r>
                </w:p>
              </w:tc>
              <w:tc>
                <w:tcPr>
                  <w:tcW w:w="856" w:type="dxa"/>
                  <w:vAlign w:val="center"/>
                </w:tcPr>
                <w:p w:rsidR="00D71B15" w:rsidRDefault="005012C0">
                  <w:pPr>
                    <w:pStyle w:val="Pagedecouverture"/>
                    <w:jc w:val="center"/>
                    <w:rPr>
                      <w:noProof/>
                      <w:sz w:val="20"/>
                      <w:szCs w:val="20"/>
                    </w:rPr>
                  </w:pPr>
                  <w:r>
                    <w:rPr>
                      <w:noProof/>
                      <w:sz w:val="20"/>
                    </w:rPr>
                    <w:t>3,6</w:t>
                  </w:r>
                </w:p>
              </w:tc>
              <w:tc>
                <w:tcPr>
                  <w:tcW w:w="994" w:type="dxa"/>
                  <w:vAlign w:val="center"/>
                </w:tcPr>
                <w:p w:rsidR="00D71B15" w:rsidRDefault="005012C0">
                  <w:pPr>
                    <w:pStyle w:val="Pagedecouverture"/>
                    <w:jc w:val="center"/>
                    <w:rPr>
                      <w:noProof/>
                      <w:sz w:val="20"/>
                      <w:szCs w:val="20"/>
                    </w:rPr>
                  </w:pPr>
                  <w:r>
                    <w:rPr>
                      <w:noProof/>
                      <w:sz w:val="20"/>
                    </w:rPr>
                    <w:t>2</w:t>
                  </w:r>
                </w:p>
              </w:tc>
              <w:tc>
                <w:tcPr>
                  <w:tcW w:w="938" w:type="dxa"/>
                  <w:vAlign w:val="center"/>
                </w:tcPr>
                <w:p w:rsidR="00D71B15" w:rsidRDefault="005012C0">
                  <w:pPr>
                    <w:pStyle w:val="Pagedecouverture"/>
                    <w:jc w:val="center"/>
                    <w:rPr>
                      <w:noProof/>
                      <w:sz w:val="20"/>
                      <w:szCs w:val="20"/>
                    </w:rPr>
                  </w:pPr>
                  <w:r>
                    <w:rPr>
                      <w:noProof/>
                      <w:sz w:val="20"/>
                    </w:rPr>
                    <w:t>1,95</w:t>
                  </w:r>
                </w:p>
              </w:tc>
              <w:tc>
                <w:tcPr>
                  <w:tcW w:w="994" w:type="dxa"/>
                  <w:vAlign w:val="center"/>
                </w:tcPr>
                <w:p w:rsidR="00D71B15" w:rsidRDefault="005012C0">
                  <w:pPr>
                    <w:pStyle w:val="Pagedecouverture"/>
                    <w:jc w:val="center"/>
                    <w:rPr>
                      <w:noProof/>
                      <w:sz w:val="20"/>
                      <w:szCs w:val="20"/>
                    </w:rPr>
                  </w:pPr>
                  <w:r>
                    <w:rPr>
                      <w:noProof/>
                      <w:sz w:val="20"/>
                    </w:rPr>
                    <w:t>6</w:t>
                  </w:r>
                </w:p>
              </w:tc>
              <w:tc>
                <w:tcPr>
                  <w:tcW w:w="1146" w:type="dxa"/>
                  <w:vAlign w:val="center"/>
                </w:tcPr>
                <w:p w:rsidR="00D71B15" w:rsidRDefault="005012C0">
                  <w:pPr>
                    <w:pStyle w:val="Pagedecouverture"/>
                    <w:jc w:val="center"/>
                    <w:rPr>
                      <w:noProof/>
                      <w:sz w:val="20"/>
                      <w:szCs w:val="20"/>
                    </w:rPr>
                  </w:pPr>
                  <w:r>
                    <w:rPr>
                      <w:noProof/>
                      <w:sz w:val="20"/>
                    </w:rPr>
                    <w:t>45,55</w:t>
                  </w:r>
                </w:p>
              </w:tc>
            </w:tr>
          </w:tbl>
          <w:p w:rsidR="00D71B15" w:rsidRDefault="00D71B15">
            <w:pPr>
              <w:pStyle w:val="Pagedecouverture"/>
              <w:rPr>
                <w:noProof/>
                <w:sz w:val="20"/>
                <w:szCs w:val="20"/>
              </w:rPr>
            </w:pPr>
          </w:p>
        </w:tc>
      </w:tr>
    </w:tbl>
    <w:p w:rsidR="00D71B15" w:rsidRDefault="00D71B15">
      <w:pPr>
        <w:pStyle w:val="Sectionbreak"/>
        <w:sectPr w:rsidR="00D71B15">
          <w:headerReference w:type="default" r:id="rId18"/>
          <w:footerReference w:type="default" r:id="rId19"/>
          <w:headerReference w:type="first" r:id="rId20"/>
          <w:footerReference w:type="first" r:id="rId21"/>
          <w:pgSz w:w="16840" w:h="11907" w:orient="landscape" w:code="9"/>
          <w:pgMar w:top="1134" w:right="1418" w:bottom="567" w:left="1418" w:header="709" w:footer="709" w:gutter="0"/>
          <w:cols w:space="708"/>
          <w:docGrid w:linePitch="360"/>
        </w:sectPr>
      </w:pPr>
    </w:p>
    <w:p w:rsidR="00D71B15" w:rsidRDefault="005012C0">
      <w:pPr>
        <w:pStyle w:val="Heading40"/>
        <w:rPr>
          <w:szCs w:val="24"/>
        </w:rPr>
      </w:pPr>
      <w:r>
        <w:t>3.2.3.</w:t>
      </w:r>
      <w:r>
        <w:tab/>
        <w:t>Arvioidut vaikutukset hallintomäärärahoihin</w:t>
      </w:r>
    </w:p>
    <w:p w:rsidR="00D71B15" w:rsidRDefault="005012C0">
      <w:pPr>
        <w:pStyle w:val="Heading5"/>
        <w:rPr>
          <w:szCs w:val="24"/>
        </w:rPr>
      </w:pPr>
      <w:r>
        <w:t>3.2.3.1.</w:t>
      </w:r>
      <w:r>
        <w:tab/>
        <w:t xml:space="preserve">Yhteenveto </w:t>
      </w:r>
    </w:p>
    <w:p w:rsidR="00D71B15" w:rsidRDefault="005012C0">
      <w:pPr>
        <w:pStyle w:val="Text1"/>
        <w:rPr>
          <w:noProof/>
          <w:szCs w:val="24"/>
        </w:rPr>
      </w:pPr>
      <w:r>
        <w:rPr>
          <w:noProof/>
          <w:szCs w:val="24"/>
        </w:rPr>
        <w:sym w:font="Wingdings" w:char="F0A8"/>
      </w:r>
      <w:r>
        <w:rPr>
          <w:noProof/>
        </w:rPr>
        <w:t xml:space="preserve"> Ehdotus/aloite ei edellytä hallintomäärärahoja. </w:t>
      </w:r>
    </w:p>
    <w:p w:rsidR="00D71B15" w:rsidRDefault="005012C0">
      <w:pPr>
        <w:pStyle w:val="Text1"/>
        <w:rPr>
          <w:noProof/>
          <w:szCs w:val="24"/>
        </w:rPr>
      </w:pPr>
      <w:r>
        <w:rPr>
          <w:noProof/>
        </w:rPr>
        <w:t>X Ehdotus/aloite edellyttää hallintomäärärahoja seuraavasti:</w:t>
      </w:r>
    </w:p>
    <w:p w:rsidR="00D71B15" w:rsidRDefault="005012C0">
      <w:pPr>
        <w:pStyle w:val="Text1"/>
        <w:rPr>
          <w:noProof/>
          <w:sz w:val="20"/>
          <w:szCs w:val="20"/>
        </w:rPr>
      </w:pPr>
      <w:r>
        <w:rPr>
          <w:noProof/>
          <w:sz w:val="20"/>
        </w:rPr>
        <w:t>milj. euroa (kolmen desimaalin tarkkuudella)</w:t>
      </w:r>
    </w:p>
    <w:tbl>
      <w:tblPr>
        <w:tblW w:w="0" w:type="auto"/>
        <w:tblInd w:w="534" w:type="dxa"/>
        <w:tblLayout w:type="fixed"/>
        <w:tblLook w:val="01E0" w:firstRow="1" w:lastRow="1" w:firstColumn="1" w:lastColumn="1" w:noHBand="0" w:noVBand="0"/>
      </w:tblPr>
      <w:tblGrid>
        <w:gridCol w:w="1984"/>
        <w:gridCol w:w="822"/>
        <w:gridCol w:w="850"/>
        <w:gridCol w:w="851"/>
        <w:gridCol w:w="850"/>
        <w:gridCol w:w="851"/>
        <w:gridCol w:w="850"/>
        <w:gridCol w:w="1037"/>
      </w:tblGrid>
      <w:tr w:rsidR="00D71B15">
        <w:trPr>
          <w:trHeight w:val="585"/>
        </w:trPr>
        <w:tc>
          <w:tcPr>
            <w:tcW w:w="1984" w:type="dxa"/>
          </w:tcPr>
          <w:p w:rsidR="00D71B15" w:rsidRDefault="00D71B15">
            <w:pPr>
              <w:pStyle w:val="Pagedecouverture"/>
              <w:rPr>
                <w:noProof/>
                <w:sz w:val="21"/>
                <w:szCs w:val="21"/>
              </w:rPr>
            </w:pPr>
          </w:p>
        </w:tc>
        <w:tc>
          <w:tcPr>
            <w:tcW w:w="822" w:type="dxa"/>
          </w:tcPr>
          <w:p w:rsidR="00D71B15" w:rsidRDefault="005012C0">
            <w:pPr>
              <w:pStyle w:val="Pagedecouverture"/>
              <w:jc w:val="center"/>
              <w:rPr>
                <w:noProof/>
                <w:sz w:val="21"/>
                <w:szCs w:val="21"/>
              </w:rPr>
            </w:pPr>
            <w:r>
              <w:rPr>
                <w:noProof/>
                <w:sz w:val="21"/>
              </w:rPr>
              <w:t>Vuosi</w:t>
            </w:r>
            <w:r>
              <w:rPr>
                <w:noProof/>
                <w:sz w:val="21"/>
                <w:szCs w:val="21"/>
              </w:rPr>
              <w:br/>
            </w:r>
            <w:r>
              <w:rPr>
                <w:b/>
                <w:noProof/>
                <w:sz w:val="21"/>
              </w:rPr>
              <w:t>2016</w:t>
            </w:r>
          </w:p>
          <w:p w:rsidR="00D71B15" w:rsidRDefault="00D71B15">
            <w:pPr>
              <w:pStyle w:val="Pagedecouverture"/>
              <w:jc w:val="center"/>
              <w:rPr>
                <w:noProof/>
                <w:sz w:val="21"/>
                <w:szCs w:val="21"/>
              </w:rPr>
            </w:pPr>
          </w:p>
        </w:tc>
        <w:tc>
          <w:tcPr>
            <w:tcW w:w="850" w:type="dxa"/>
          </w:tcPr>
          <w:p w:rsidR="00D71B15" w:rsidRDefault="005012C0">
            <w:pPr>
              <w:pStyle w:val="Pagedecouverture"/>
              <w:jc w:val="center"/>
              <w:rPr>
                <w:noProof/>
                <w:sz w:val="21"/>
                <w:szCs w:val="21"/>
              </w:rPr>
            </w:pPr>
            <w:r>
              <w:rPr>
                <w:noProof/>
                <w:sz w:val="21"/>
              </w:rPr>
              <w:t>Vuosi</w:t>
            </w:r>
            <w:r>
              <w:rPr>
                <w:noProof/>
                <w:sz w:val="21"/>
                <w:szCs w:val="21"/>
              </w:rPr>
              <w:br/>
            </w:r>
            <w:r>
              <w:rPr>
                <w:b/>
                <w:noProof/>
                <w:sz w:val="21"/>
              </w:rPr>
              <w:t>2017</w:t>
            </w:r>
            <w:r>
              <w:rPr>
                <w:rStyle w:val="FootnoteReference"/>
                <w:b/>
                <w:noProof/>
                <w:sz w:val="21"/>
              </w:rPr>
              <w:footnoteReference w:id="27"/>
            </w:r>
          </w:p>
        </w:tc>
        <w:tc>
          <w:tcPr>
            <w:tcW w:w="851" w:type="dxa"/>
          </w:tcPr>
          <w:p w:rsidR="00D71B15" w:rsidRDefault="005012C0">
            <w:pPr>
              <w:pStyle w:val="Pagedecouverture"/>
              <w:jc w:val="center"/>
              <w:rPr>
                <w:noProof/>
                <w:sz w:val="21"/>
                <w:szCs w:val="21"/>
              </w:rPr>
            </w:pPr>
            <w:r>
              <w:rPr>
                <w:noProof/>
                <w:sz w:val="21"/>
              </w:rPr>
              <w:t>Vuosi</w:t>
            </w:r>
            <w:r>
              <w:rPr>
                <w:noProof/>
                <w:sz w:val="21"/>
                <w:szCs w:val="21"/>
              </w:rPr>
              <w:br/>
            </w:r>
            <w:r>
              <w:rPr>
                <w:b/>
                <w:noProof/>
                <w:sz w:val="21"/>
              </w:rPr>
              <w:t>2018</w:t>
            </w:r>
          </w:p>
        </w:tc>
        <w:tc>
          <w:tcPr>
            <w:tcW w:w="850" w:type="dxa"/>
          </w:tcPr>
          <w:p w:rsidR="00D71B15" w:rsidRDefault="005012C0">
            <w:pPr>
              <w:pStyle w:val="Pagedecouverture"/>
              <w:jc w:val="center"/>
              <w:rPr>
                <w:noProof/>
                <w:sz w:val="21"/>
                <w:szCs w:val="21"/>
              </w:rPr>
            </w:pPr>
            <w:r>
              <w:rPr>
                <w:noProof/>
                <w:sz w:val="21"/>
              </w:rPr>
              <w:t>Vuosi</w:t>
            </w:r>
            <w:r>
              <w:rPr>
                <w:noProof/>
                <w:sz w:val="21"/>
                <w:szCs w:val="21"/>
              </w:rPr>
              <w:br/>
            </w:r>
            <w:r>
              <w:rPr>
                <w:b/>
                <w:noProof/>
                <w:sz w:val="21"/>
              </w:rPr>
              <w:t>2019</w:t>
            </w:r>
          </w:p>
        </w:tc>
        <w:tc>
          <w:tcPr>
            <w:tcW w:w="851" w:type="dxa"/>
          </w:tcPr>
          <w:p w:rsidR="00D71B15" w:rsidRDefault="005012C0">
            <w:pPr>
              <w:pStyle w:val="Pagedecouverture"/>
              <w:jc w:val="center"/>
              <w:rPr>
                <w:noProof/>
                <w:sz w:val="21"/>
                <w:szCs w:val="21"/>
              </w:rPr>
            </w:pPr>
            <w:r>
              <w:rPr>
                <w:noProof/>
                <w:sz w:val="21"/>
              </w:rPr>
              <w:t>Vuosi</w:t>
            </w:r>
            <w:r>
              <w:rPr>
                <w:noProof/>
                <w:sz w:val="21"/>
                <w:szCs w:val="21"/>
              </w:rPr>
              <w:br/>
            </w:r>
            <w:r>
              <w:rPr>
                <w:b/>
                <w:noProof/>
                <w:sz w:val="21"/>
              </w:rPr>
              <w:t>2020</w:t>
            </w:r>
          </w:p>
        </w:tc>
        <w:tc>
          <w:tcPr>
            <w:tcW w:w="850" w:type="dxa"/>
          </w:tcPr>
          <w:p w:rsidR="00D71B15" w:rsidRDefault="00D71B15">
            <w:pPr>
              <w:pStyle w:val="Pagedecouverture"/>
              <w:jc w:val="center"/>
              <w:rPr>
                <w:noProof/>
                <w:sz w:val="21"/>
                <w:szCs w:val="21"/>
              </w:rPr>
            </w:pPr>
          </w:p>
        </w:tc>
        <w:tc>
          <w:tcPr>
            <w:tcW w:w="1037" w:type="dxa"/>
          </w:tcPr>
          <w:p w:rsidR="00D71B15" w:rsidRDefault="005012C0">
            <w:pPr>
              <w:pStyle w:val="Pagedecouverture"/>
              <w:jc w:val="center"/>
              <w:rPr>
                <w:b/>
                <w:noProof/>
                <w:sz w:val="21"/>
                <w:szCs w:val="21"/>
              </w:rPr>
            </w:pPr>
            <w:r>
              <w:rPr>
                <w:b/>
                <w:noProof/>
                <w:sz w:val="21"/>
              </w:rPr>
              <w:t>YH</w:t>
            </w:r>
            <w:r>
              <w:rPr>
                <w:b/>
                <w:noProof/>
                <w:sz w:val="21"/>
              </w:rPr>
              <w:softHyphen/>
              <w:t>TEEN</w:t>
            </w:r>
            <w:r>
              <w:rPr>
                <w:b/>
                <w:noProof/>
                <w:sz w:val="21"/>
              </w:rPr>
              <w:softHyphen/>
              <w:t>SÄ</w:t>
            </w:r>
          </w:p>
        </w:tc>
      </w:tr>
      <w:tr w:rsidR="00D71B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74"/>
        </w:trPr>
        <w:tc>
          <w:tcPr>
            <w:tcW w:w="1984" w:type="dxa"/>
            <w:shd w:val="clear" w:color="auto" w:fill="CCCCCC"/>
            <w:vAlign w:val="center"/>
          </w:tcPr>
          <w:p w:rsidR="00D71B15" w:rsidRDefault="005012C0">
            <w:pPr>
              <w:pStyle w:val="Pagedecouverture"/>
              <w:jc w:val="center"/>
              <w:rPr>
                <w:b/>
                <w:noProof/>
                <w:sz w:val="20"/>
                <w:szCs w:val="20"/>
              </w:rPr>
            </w:pPr>
            <w:r>
              <w:rPr>
                <w:b/>
                <w:noProof/>
                <w:sz w:val="20"/>
              </w:rPr>
              <w:t>Monivuotisen rahoituskehyksen</w:t>
            </w:r>
            <w:r>
              <w:rPr>
                <w:b/>
                <w:noProof/>
                <w:sz w:val="20"/>
              </w:rPr>
              <w:t xml:space="preserve"> OTSAKE 5</w:t>
            </w:r>
          </w:p>
        </w:tc>
        <w:tc>
          <w:tcPr>
            <w:tcW w:w="822" w:type="dxa"/>
            <w:vAlign w:val="center"/>
          </w:tcPr>
          <w:p w:rsidR="00D71B15" w:rsidRDefault="00D71B15">
            <w:pPr>
              <w:pStyle w:val="Pagedecouverture"/>
              <w:rPr>
                <w:noProof/>
                <w:sz w:val="21"/>
                <w:szCs w:val="21"/>
              </w:rPr>
            </w:pPr>
          </w:p>
        </w:tc>
        <w:tc>
          <w:tcPr>
            <w:tcW w:w="850" w:type="dxa"/>
            <w:vAlign w:val="center"/>
          </w:tcPr>
          <w:p w:rsidR="00D71B15" w:rsidRDefault="00D71B15">
            <w:pPr>
              <w:pStyle w:val="Pagedecouverture"/>
              <w:rPr>
                <w:noProof/>
                <w:sz w:val="21"/>
                <w:szCs w:val="21"/>
              </w:rPr>
            </w:pPr>
          </w:p>
        </w:tc>
        <w:tc>
          <w:tcPr>
            <w:tcW w:w="851" w:type="dxa"/>
            <w:vAlign w:val="center"/>
          </w:tcPr>
          <w:p w:rsidR="00D71B15" w:rsidRDefault="00D71B15">
            <w:pPr>
              <w:pStyle w:val="Pagedecouverture"/>
              <w:rPr>
                <w:noProof/>
                <w:sz w:val="21"/>
                <w:szCs w:val="21"/>
              </w:rPr>
            </w:pPr>
          </w:p>
        </w:tc>
        <w:tc>
          <w:tcPr>
            <w:tcW w:w="850" w:type="dxa"/>
          </w:tcPr>
          <w:p w:rsidR="00D71B15" w:rsidRDefault="00D71B15">
            <w:pPr>
              <w:pStyle w:val="Pagedecouverture"/>
              <w:rPr>
                <w:noProof/>
                <w:sz w:val="21"/>
                <w:szCs w:val="21"/>
              </w:rPr>
            </w:pPr>
          </w:p>
        </w:tc>
        <w:tc>
          <w:tcPr>
            <w:tcW w:w="851" w:type="dxa"/>
            <w:vAlign w:val="center"/>
          </w:tcPr>
          <w:p w:rsidR="00D71B15" w:rsidRDefault="00D71B15">
            <w:pPr>
              <w:pStyle w:val="Pagedecouverture"/>
              <w:rPr>
                <w:noProof/>
                <w:sz w:val="21"/>
                <w:szCs w:val="21"/>
              </w:rPr>
            </w:pPr>
          </w:p>
        </w:tc>
        <w:tc>
          <w:tcPr>
            <w:tcW w:w="850" w:type="dxa"/>
            <w:tcBorders>
              <w:bottom w:val="single" w:sz="4" w:space="0" w:color="auto"/>
            </w:tcBorders>
            <w:vAlign w:val="center"/>
          </w:tcPr>
          <w:p w:rsidR="00D71B15" w:rsidRDefault="00D71B15">
            <w:pPr>
              <w:pStyle w:val="Pagedecouverture"/>
              <w:rPr>
                <w:noProof/>
                <w:sz w:val="21"/>
                <w:szCs w:val="21"/>
              </w:rPr>
            </w:pPr>
          </w:p>
        </w:tc>
        <w:tc>
          <w:tcPr>
            <w:tcW w:w="1037" w:type="dxa"/>
            <w:vAlign w:val="center"/>
          </w:tcPr>
          <w:p w:rsidR="00D71B15" w:rsidRDefault="00D71B15">
            <w:pPr>
              <w:pStyle w:val="Pagedecouverture"/>
              <w:rPr>
                <w:noProof/>
                <w:sz w:val="21"/>
                <w:szCs w:val="21"/>
              </w:rPr>
            </w:pPr>
          </w:p>
        </w:tc>
      </w:tr>
      <w:tr w:rsidR="00D71B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4" w:type="dxa"/>
            <w:vAlign w:val="center"/>
          </w:tcPr>
          <w:p w:rsidR="00D71B15" w:rsidRDefault="005012C0">
            <w:pPr>
              <w:pStyle w:val="Pagedecouverture"/>
              <w:rPr>
                <w:noProof/>
                <w:sz w:val="20"/>
                <w:szCs w:val="20"/>
              </w:rPr>
            </w:pPr>
            <w:r>
              <w:rPr>
                <w:noProof/>
                <w:sz w:val="20"/>
              </w:rPr>
              <w:t xml:space="preserve">Henkilöresurssit </w:t>
            </w:r>
          </w:p>
        </w:tc>
        <w:tc>
          <w:tcPr>
            <w:tcW w:w="822" w:type="dxa"/>
            <w:vAlign w:val="center"/>
          </w:tcPr>
          <w:p w:rsidR="00D71B15" w:rsidRDefault="005012C0">
            <w:pPr>
              <w:pStyle w:val="Pagedecouverture"/>
              <w:jc w:val="center"/>
              <w:rPr>
                <w:noProof/>
                <w:sz w:val="21"/>
                <w:szCs w:val="21"/>
              </w:rPr>
            </w:pPr>
            <w:r>
              <w:rPr>
                <w:noProof/>
                <w:sz w:val="22"/>
              </w:rPr>
              <w:t>0,034</w:t>
            </w:r>
          </w:p>
        </w:tc>
        <w:tc>
          <w:tcPr>
            <w:tcW w:w="850" w:type="dxa"/>
            <w:vAlign w:val="center"/>
          </w:tcPr>
          <w:p w:rsidR="00D71B15" w:rsidRDefault="005012C0">
            <w:pPr>
              <w:pStyle w:val="Pagedecouverture"/>
              <w:jc w:val="center"/>
              <w:rPr>
                <w:noProof/>
                <w:sz w:val="21"/>
                <w:szCs w:val="21"/>
              </w:rPr>
            </w:pPr>
            <w:r>
              <w:rPr>
                <w:noProof/>
                <w:sz w:val="22"/>
              </w:rPr>
              <w:t>0,044</w:t>
            </w:r>
          </w:p>
        </w:tc>
        <w:tc>
          <w:tcPr>
            <w:tcW w:w="851" w:type="dxa"/>
            <w:vAlign w:val="center"/>
          </w:tcPr>
          <w:p w:rsidR="00D71B15" w:rsidRDefault="005012C0">
            <w:pPr>
              <w:pStyle w:val="Pagedecouverture"/>
              <w:jc w:val="center"/>
              <w:rPr>
                <w:noProof/>
                <w:sz w:val="21"/>
                <w:szCs w:val="21"/>
              </w:rPr>
            </w:pPr>
            <w:r>
              <w:rPr>
                <w:noProof/>
                <w:sz w:val="22"/>
              </w:rPr>
              <w:t>0,022</w:t>
            </w:r>
          </w:p>
        </w:tc>
        <w:tc>
          <w:tcPr>
            <w:tcW w:w="850" w:type="dxa"/>
            <w:vAlign w:val="center"/>
          </w:tcPr>
          <w:p w:rsidR="00D71B15" w:rsidRDefault="005012C0">
            <w:pPr>
              <w:pStyle w:val="Pagedecouverture"/>
              <w:jc w:val="center"/>
              <w:rPr>
                <w:noProof/>
                <w:sz w:val="21"/>
                <w:szCs w:val="21"/>
              </w:rPr>
            </w:pPr>
            <w:r>
              <w:rPr>
                <w:noProof/>
                <w:sz w:val="22"/>
              </w:rPr>
              <w:t>0,011</w:t>
            </w:r>
          </w:p>
        </w:tc>
        <w:tc>
          <w:tcPr>
            <w:tcW w:w="851" w:type="dxa"/>
            <w:vAlign w:val="center"/>
          </w:tcPr>
          <w:p w:rsidR="00D71B15" w:rsidRDefault="005012C0">
            <w:pPr>
              <w:pStyle w:val="Pagedecouverture"/>
              <w:jc w:val="center"/>
              <w:rPr>
                <w:noProof/>
                <w:sz w:val="21"/>
                <w:szCs w:val="21"/>
              </w:rPr>
            </w:pPr>
            <w:r>
              <w:rPr>
                <w:noProof/>
                <w:sz w:val="22"/>
              </w:rPr>
              <w:t>0,011</w:t>
            </w:r>
          </w:p>
        </w:tc>
        <w:tc>
          <w:tcPr>
            <w:tcW w:w="850" w:type="dxa"/>
            <w:tcBorders>
              <w:top w:val="single" w:sz="4" w:space="0" w:color="auto"/>
              <w:bottom w:val="single" w:sz="4" w:space="0" w:color="auto"/>
            </w:tcBorders>
            <w:vAlign w:val="center"/>
          </w:tcPr>
          <w:p w:rsidR="00D71B15" w:rsidRDefault="00D71B15">
            <w:pPr>
              <w:pStyle w:val="Pagedecouverture"/>
              <w:jc w:val="center"/>
              <w:rPr>
                <w:noProof/>
                <w:sz w:val="21"/>
                <w:szCs w:val="21"/>
              </w:rPr>
            </w:pPr>
          </w:p>
        </w:tc>
        <w:tc>
          <w:tcPr>
            <w:tcW w:w="1037" w:type="dxa"/>
            <w:tcBorders>
              <w:bottom w:val="single" w:sz="4" w:space="0" w:color="auto"/>
            </w:tcBorders>
            <w:vAlign w:val="center"/>
          </w:tcPr>
          <w:p w:rsidR="00D71B15" w:rsidRDefault="005012C0">
            <w:pPr>
              <w:pStyle w:val="Pagedecouverture"/>
              <w:jc w:val="center"/>
              <w:rPr>
                <w:b/>
                <w:noProof/>
                <w:sz w:val="21"/>
                <w:szCs w:val="21"/>
              </w:rPr>
            </w:pPr>
            <w:r>
              <w:rPr>
                <w:b/>
                <w:noProof/>
                <w:sz w:val="22"/>
              </w:rPr>
              <w:t>0,122</w:t>
            </w:r>
          </w:p>
        </w:tc>
      </w:tr>
      <w:tr w:rsidR="00D71B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4" w:type="dxa"/>
            <w:vAlign w:val="center"/>
          </w:tcPr>
          <w:p w:rsidR="00D71B15" w:rsidRDefault="005012C0">
            <w:pPr>
              <w:pStyle w:val="Pagedecouverture"/>
              <w:rPr>
                <w:noProof/>
                <w:sz w:val="20"/>
                <w:szCs w:val="20"/>
              </w:rPr>
            </w:pPr>
            <w:r>
              <w:rPr>
                <w:noProof/>
                <w:sz w:val="20"/>
              </w:rPr>
              <w:t xml:space="preserve">Muut hallintomenot </w:t>
            </w:r>
          </w:p>
        </w:tc>
        <w:tc>
          <w:tcPr>
            <w:tcW w:w="822" w:type="dxa"/>
            <w:vAlign w:val="center"/>
          </w:tcPr>
          <w:p w:rsidR="00D71B15" w:rsidRDefault="005012C0">
            <w:pPr>
              <w:pStyle w:val="Pagedecouverture"/>
              <w:jc w:val="center"/>
              <w:rPr>
                <w:noProof/>
                <w:sz w:val="21"/>
                <w:szCs w:val="21"/>
              </w:rPr>
            </w:pPr>
            <w:r>
              <w:rPr>
                <w:noProof/>
                <w:sz w:val="21"/>
              </w:rPr>
              <w:t>0,010</w:t>
            </w:r>
          </w:p>
        </w:tc>
        <w:tc>
          <w:tcPr>
            <w:tcW w:w="850" w:type="dxa"/>
            <w:vAlign w:val="center"/>
          </w:tcPr>
          <w:p w:rsidR="00D71B15" w:rsidRDefault="005012C0">
            <w:pPr>
              <w:pStyle w:val="Pagedecouverture"/>
              <w:jc w:val="center"/>
              <w:rPr>
                <w:noProof/>
                <w:sz w:val="21"/>
                <w:szCs w:val="21"/>
              </w:rPr>
            </w:pPr>
            <w:r>
              <w:rPr>
                <w:noProof/>
                <w:sz w:val="21"/>
              </w:rPr>
              <w:t>0,020</w:t>
            </w:r>
          </w:p>
        </w:tc>
        <w:tc>
          <w:tcPr>
            <w:tcW w:w="851" w:type="dxa"/>
            <w:vAlign w:val="center"/>
          </w:tcPr>
          <w:p w:rsidR="00D71B15" w:rsidRDefault="005012C0">
            <w:pPr>
              <w:pStyle w:val="Pagedecouverture"/>
              <w:jc w:val="center"/>
              <w:rPr>
                <w:noProof/>
                <w:sz w:val="21"/>
                <w:szCs w:val="21"/>
              </w:rPr>
            </w:pPr>
            <w:r>
              <w:rPr>
                <w:noProof/>
                <w:sz w:val="21"/>
              </w:rPr>
              <w:t>0,010</w:t>
            </w:r>
          </w:p>
        </w:tc>
        <w:tc>
          <w:tcPr>
            <w:tcW w:w="850" w:type="dxa"/>
            <w:vAlign w:val="center"/>
          </w:tcPr>
          <w:p w:rsidR="00D71B15" w:rsidRDefault="00D71B15">
            <w:pPr>
              <w:pStyle w:val="Pagedecouverture"/>
              <w:jc w:val="center"/>
              <w:rPr>
                <w:noProof/>
                <w:sz w:val="21"/>
                <w:szCs w:val="21"/>
              </w:rPr>
            </w:pPr>
          </w:p>
        </w:tc>
        <w:tc>
          <w:tcPr>
            <w:tcW w:w="851" w:type="dxa"/>
            <w:tcBorders>
              <w:bottom w:val="single" w:sz="4" w:space="0" w:color="auto"/>
            </w:tcBorders>
            <w:vAlign w:val="center"/>
          </w:tcPr>
          <w:p w:rsidR="00D71B15" w:rsidRDefault="00D71B15">
            <w:pPr>
              <w:pStyle w:val="Pagedecouverture"/>
              <w:jc w:val="center"/>
              <w:rPr>
                <w:noProof/>
                <w:sz w:val="21"/>
                <w:szCs w:val="21"/>
              </w:rPr>
            </w:pPr>
          </w:p>
        </w:tc>
        <w:tc>
          <w:tcPr>
            <w:tcW w:w="850" w:type="dxa"/>
            <w:tcBorders>
              <w:top w:val="single" w:sz="4" w:space="0" w:color="auto"/>
              <w:bottom w:val="single" w:sz="4" w:space="0" w:color="auto"/>
            </w:tcBorders>
            <w:vAlign w:val="center"/>
          </w:tcPr>
          <w:p w:rsidR="00D71B15" w:rsidRDefault="00D71B15">
            <w:pPr>
              <w:pStyle w:val="Pagedecouverture"/>
              <w:jc w:val="center"/>
              <w:rPr>
                <w:noProof/>
                <w:sz w:val="21"/>
                <w:szCs w:val="21"/>
              </w:rPr>
            </w:pPr>
          </w:p>
        </w:tc>
        <w:tc>
          <w:tcPr>
            <w:tcW w:w="1037" w:type="dxa"/>
            <w:tcBorders>
              <w:top w:val="single" w:sz="4" w:space="0" w:color="auto"/>
            </w:tcBorders>
            <w:vAlign w:val="center"/>
          </w:tcPr>
          <w:p w:rsidR="00D71B15" w:rsidRDefault="005012C0">
            <w:pPr>
              <w:pStyle w:val="Pagedecouverture"/>
              <w:jc w:val="center"/>
              <w:rPr>
                <w:b/>
                <w:noProof/>
                <w:sz w:val="21"/>
                <w:szCs w:val="21"/>
              </w:rPr>
            </w:pPr>
            <w:r>
              <w:rPr>
                <w:b/>
                <w:noProof/>
                <w:sz w:val="21"/>
              </w:rPr>
              <w:t>0,040</w:t>
            </w:r>
          </w:p>
        </w:tc>
      </w:tr>
      <w:tr w:rsidR="00D71B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85"/>
        </w:trPr>
        <w:tc>
          <w:tcPr>
            <w:tcW w:w="1984" w:type="dxa"/>
            <w:shd w:val="clear" w:color="auto" w:fill="CCCCCC"/>
            <w:vAlign w:val="center"/>
          </w:tcPr>
          <w:p w:rsidR="00D71B15" w:rsidRDefault="005012C0">
            <w:pPr>
              <w:pStyle w:val="Pagedecouverture"/>
              <w:jc w:val="center"/>
              <w:rPr>
                <w:b/>
                <w:noProof/>
                <w:sz w:val="20"/>
                <w:szCs w:val="20"/>
              </w:rPr>
            </w:pPr>
            <w:r>
              <w:rPr>
                <w:b/>
                <w:noProof/>
                <w:sz w:val="20"/>
              </w:rPr>
              <w:t>Monivuotisen rahoituskehyksen</w:t>
            </w:r>
            <w:r>
              <w:rPr>
                <w:b/>
                <w:noProof/>
                <w:sz w:val="20"/>
                <w:szCs w:val="20"/>
              </w:rPr>
              <w:br/>
            </w:r>
            <w:r>
              <w:rPr>
                <w:b/>
                <w:noProof/>
                <w:sz w:val="20"/>
              </w:rPr>
              <w:t xml:space="preserve"> OTSAKE 5, välisumma</w:t>
            </w:r>
          </w:p>
        </w:tc>
        <w:tc>
          <w:tcPr>
            <w:tcW w:w="822" w:type="dxa"/>
            <w:vAlign w:val="center"/>
          </w:tcPr>
          <w:p w:rsidR="00D71B15" w:rsidRDefault="005012C0">
            <w:pPr>
              <w:pStyle w:val="Pagedecouverture"/>
              <w:jc w:val="center"/>
              <w:rPr>
                <w:noProof/>
                <w:sz w:val="21"/>
                <w:szCs w:val="21"/>
              </w:rPr>
            </w:pPr>
            <w:r>
              <w:rPr>
                <w:noProof/>
                <w:sz w:val="22"/>
              </w:rPr>
              <w:t>0,044</w:t>
            </w:r>
          </w:p>
        </w:tc>
        <w:tc>
          <w:tcPr>
            <w:tcW w:w="850" w:type="dxa"/>
            <w:vAlign w:val="center"/>
          </w:tcPr>
          <w:p w:rsidR="00D71B15" w:rsidRDefault="005012C0">
            <w:pPr>
              <w:pStyle w:val="Pagedecouverture"/>
              <w:jc w:val="center"/>
              <w:rPr>
                <w:noProof/>
                <w:sz w:val="21"/>
                <w:szCs w:val="21"/>
              </w:rPr>
            </w:pPr>
            <w:r>
              <w:rPr>
                <w:noProof/>
                <w:sz w:val="22"/>
              </w:rPr>
              <w:t>0,064</w:t>
            </w:r>
          </w:p>
        </w:tc>
        <w:tc>
          <w:tcPr>
            <w:tcW w:w="851" w:type="dxa"/>
            <w:vAlign w:val="center"/>
          </w:tcPr>
          <w:p w:rsidR="00D71B15" w:rsidRDefault="005012C0">
            <w:pPr>
              <w:pStyle w:val="Pagedecouverture"/>
              <w:jc w:val="center"/>
              <w:rPr>
                <w:noProof/>
                <w:sz w:val="21"/>
                <w:szCs w:val="21"/>
              </w:rPr>
            </w:pPr>
            <w:r>
              <w:rPr>
                <w:noProof/>
                <w:sz w:val="22"/>
              </w:rPr>
              <w:t>0,032</w:t>
            </w:r>
          </w:p>
        </w:tc>
        <w:tc>
          <w:tcPr>
            <w:tcW w:w="850" w:type="dxa"/>
            <w:vAlign w:val="center"/>
          </w:tcPr>
          <w:p w:rsidR="00D71B15" w:rsidRDefault="005012C0">
            <w:pPr>
              <w:pStyle w:val="Pagedecouverture"/>
              <w:jc w:val="center"/>
              <w:rPr>
                <w:noProof/>
                <w:sz w:val="21"/>
                <w:szCs w:val="21"/>
              </w:rPr>
            </w:pPr>
            <w:r>
              <w:rPr>
                <w:noProof/>
                <w:sz w:val="22"/>
              </w:rPr>
              <w:t>0,011</w:t>
            </w:r>
          </w:p>
        </w:tc>
        <w:tc>
          <w:tcPr>
            <w:tcW w:w="851" w:type="dxa"/>
            <w:vAlign w:val="center"/>
          </w:tcPr>
          <w:p w:rsidR="00D71B15" w:rsidRDefault="005012C0">
            <w:pPr>
              <w:pStyle w:val="Pagedecouverture"/>
              <w:jc w:val="center"/>
              <w:rPr>
                <w:noProof/>
                <w:sz w:val="21"/>
                <w:szCs w:val="21"/>
              </w:rPr>
            </w:pPr>
            <w:r>
              <w:rPr>
                <w:noProof/>
                <w:sz w:val="22"/>
              </w:rPr>
              <w:t>0,011</w:t>
            </w:r>
          </w:p>
        </w:tc>
        <w:tc>
          <w:tcPr>
            <w:tcW w:w="850" w:type="dxa"/>
            <w:tcBorders>
              <w:top w:val="single" w:sz="4" w:space="0" w:color="auto"/>
              <w:bottom w:val="single" w:sz="4" w:space="0" w:color="auto"/>
            </w:tcBorders>
            <w:vAlign w:val="center"/>
          </w:tcPr>
          <w:p w:rsidR="00D71B15" w:rsidRDefault="00D71B15">
            <w:pPr>
              <w:pStyle w:val="Pagedecouverture"/>
              <w:jc w:val="center"/>
              <w:rPr>
                <w:noProof/>
                <w:sz w:val="21"/>
                <w:szCs w:val="21"/>
              </w:rPr>
            </w:pPr>
          </w:p>
        </w:tc>
        <w:tc>
          <w:tcPr>
            <w:tcW w:w="1037" w:type="dxa"/>
            <w:vAlign w:val="center"/>
          </w:tcPr>
          <w:p w:rsidR="00D71B15" w:rsidRDefault="005012C0">
            <w:pPr>
              <w:pStyle w:val="Pagedecouverture"/>
              <w:jc w:val="center"/>
              <w:rPr>
                <w:b/>
                <w:noProof/>
                <w:sz w:val="21"/>
                <w:szCs w:val="21"/>
              </w:rPr>
            </w:pPr>
            <w:r>
              <w:rPr>
                <w:b/>
                <w:noProof/>
                <w:sz w:val="22"/>
              </w:rPr>
              <w:t>0,162</w:t>
            </w:r>
          </w:p>
        </w:tc>
      </w:tr>
      <w:tr w:rsidR="00D71B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22"/>
        </w:trPr>
        <w:tc>
          <w:tcPr>
            <w:tcW w:w="1984" w:type="dxa"/>
            <w:shd w:val="clear" w:color="auto" w:fill="CCCCCC"/>
            <w:vAlign w:val="center"/>
          </w:tcPr>
          <w:p w:rsidR="00D71B15" w:rsidRDefault="005012C0">
            <w:pPr>
              <w:pStyle w:val="Pagedecouverture"/>
              <w:jc w:val="center"/>
              <w:rPr>
                <w:b/>
                <w:noProof/>
                <w:sz w:val="20"/>
                <w:szCs w:val="20"/>
              </w:rPr>
            </w:pPr>
            <w:r>
              <w:rPr>
                <w:b/>
                <w:noProof/>
                <w:sz w:val="20"/>
              </w:rPr>
              <w:t xml:space="preserve">Monivuotisen rahoituskehyksen OTSAKKEESEEN 5 </w:t>
            </w:r>
            <w:r>
              <w:rPr>
                <w:b/>
                <w:noProof/>
                <w:sz w:val="20"/>
              </w:rPr>
              <w:t>sisältymättömät</w:t>
            </w:r>
            <w:r>
              <w:rPr>
                <w:rStyle w:val="FootnoteReference"/>
                <w:b/>
                <w:noProof/>
                <w:sz w:val="20"/>
              </w:rPr>
              <w:footnoteReference w:id="28"/>
            </w:r>
          </w:p>
        </w:tc>
        <w:tc>
          <w:tcPr>
            <w:tcW w:w="822" w:type="dxa"/>
            <w:vAlign w:val="center"/>
          </w:tcPr>
          <w:p w:rsidR="00D71B15" w:rsidRDefault="00D71B15">
            <w:pPr>
              <w:pStyle w:val="Pagedecouverture"/>
              <w:rPr>
                <w:noProof/>
                <w:sz w:val="21"/>
                <w:szCs w:val="21"/>
              </w:rPr>
            </w:pPr>
          </w:p>
        </w:tc>
        <w:tc>
          <w:tcPr>
            <w:tcW w:w="850" w:type="dxa"/>
            <w:vAlign w:val="center"/>
          </w:tcPr>
          <w:p w:rsidR="00D71B15" w:rsidRDefault="00D71B15">
            <w:pPr>
              <w:pStyle w:val="Pagedecouverture"/>
              <w:rPr>
                <w:noProof/>
                <w:sz w:val="21"/>
                <w:szCs w:val="21"/>
              </w:rPr>
            </w:pPr>
          </w:p>
        </w:tc>
        <w:tc>
          <w:tcPr>
            <w:tcW w:w="851" w:type="dxa"/>
            <w:vAlign w:val="center"/>
          </w:tcPr>
          <w:p w:rsidR="00D71B15" w:rsidRDefault="00D71B15">
            <w:pPr>
              <w:pStyle w:val="Pagedecouverture"/>
              <w:rPr>
                <w:noProof/>
                <w:sz w:val="21"/>
                <w:szCs w:val="21"/>
              </w:rPr>
            </w:pPr>
          </w:p>
        </w:tc>
        <w:tc>
          <w:tcPr>
            <w:tcW w:w="850" w:type="dxa"/>
            <w:vAlign w:val="center"/>
          </w:tcPr>
          <w:p w:rsidR="00D71B15" w:rsidRDefault="00D71B15">
            <w:pPr>
              <w:pStyle w:val="Pagedecouverture"/>
              <w:rPr>
                <w:noProof/>
                <w:sz w:val="21"/>
                <w:szCs w:val="21"/>
              </w:rPr>
            </w:pPr>
          </w:p>
        </w:tc>
        <w:tc>
          <w:tcPr>
            <w:tcW w:w="851" w:type="dxa"/>
            <w:vAlign w:val="center"/>
          </w:tcPr>
          <w:p w:rsidR="00D71B15" w:rsidRDefault="00D71B15">
            <w:pPr>
              <w:pStyle w:val="Pagedecouverture"/>
              <w:rPr>
                <w:noProof/>
                <w:sz w:val="21"/>
                <w:szCs w:val="21"/>
              </w:rPr>
            </w:pPr>
          </w:p>
        </w:tc>
        <w:tc>
          <w:tcPr>
            <w:tcW w:w="850" w:type="dxa"/>
            <w:tcBorders>
              <w:top w:val="single" w:sz="4" w:space="0" w:color="auto"/>
              <w:bottom w:val="single" w:sz="4" w:space="0" w:color="auto"/>
            </w:tcBorders>
            <w:vAlign w:val="center"/>
          </w:tcPr>
          <w:p w:rsidR="00D71B15" w:rsidRDefault="00D71B15">
            <w:pPr>
              <w:pStyle w:val="Pagedecouverture"/>
              <w:rPr>
                <w:noProof/>
                <w:sz w:val="21"/>
                <w:szCs w:val="21"/>
              </w:rPr>
            </w:pPr>
          </w:p>
        </w:tc>
        <w:tc>
          <w:tcPr>
            <w:tcW w:w="1037" w:type="dxa"/>
            <w:vAlign w:val="center"/>
          </w:tcPr>
          <w:p w:rsidR="00D71B15" w:rsidRDefault="00D71B15">
            <w:pPr>
              <w:pStyle w:val="Pagedecouverture"/>
              <w:rPr>
                <w:noProof/>
                <w:sz w:val="21"/>
                <w:szCs w:val="21"/>
              </w:rPr>
            </w:pPr>
          </w:p>
        </w:tc>
      </w:tr>
      <w:tr w:rsidR="00D71B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4" w:type="dxa"/>
            <w:vAlign w:val="center"/>
          </w:tcPr>
          <w:p w:rsidR="00D71B15" w:rsidRDefault="005012C0">
            <w:pPr>
              <w:pStyle w:val="Pagedecouverture"/>
              <w:rPr>
                <w:noProof/>
                <w:sz w:val="20"/>
                <w:szCs w:val="20"/>
              </w:rPr>
            </w:pPr>
            <w:r>
              <w:rPr>
                <w:noProof/>
                <w:sz w:val="20"/>
              </w:rPr>
              <w:t xml:space="preserve">Henkilöresurssit </w:t>
            </w:r>
          </w:p>
        </w:tc>
        <w:tc>
          <w:tcPr>
            <w:tcW w:w="822" w:type="dxa"/>
            <w:vAlign w:val="center"/>
          </w:tcPr>
          <w:p w:rsidR="00D71B15" w:rsidRDefault="00D71B15">
            <w:pPr>
              <w:pStyle w:val="Pagedecouverture"/>
              <w:rPr>
                <w:noProof/>
                <w:sz w:val="21"/>
                <w:szCs w:val="21"/>
              </w:rPr>
            </w:pPr>
          </w:p>
        </w:tc>
        <w:tc>
          <w:tcPr>
            <w:tcW w:w="850" w:type="dxa"/>
            <w:vAlign w:val="center"/>
          </w:tcPr>
          <w:p w:rsidR="00D71B15" w:rsidRDefault="00D71B15">
            <w:pPr>
              <w:pStyle w:val="Pagedecouverture"/>
              <w:rPr>
                <w:noProof/>
                <w:sz w:val="21"/>
                <w:szCs w:val="21"/>
              </w:rPr>
            </w:pPr>
          </w:p>
        </w:tc>
        <w:tc>
          <w:tcPr>
            <w:tcW w:w="851" w:type="dxa"/>
            <w:vAlign w:val="center"/>
          </w:tcPr>
          <w:p w:rsidR="00D71B15" w:rsidRDefault="00D71B15">
            <w:pPr>
              <w:pStyle w:val="Pagedecouverture"/>
              <w:rPr>
                <w:noProof/>
                <w:sz w:val="21"/>
                <w:szCs w:val="21"/>
              </w:rPr>
            </w:pPr>
          </w:p>
        </w:tc>
        <w:tc>
          <w:tcPr>
            <w:tcW w:w="850" w:type="dxa"/>
            <w:vAlign w:val="center"/>
          </w:tcPr>
          <w:p w:rsidR="00D71B15" w:rsidRDefault="00D71B15">
            <w:pPr>
              <w:pStyle w:val="Pagedecouverture"/>
              <w:rPr>
                <w:noProof/>
                <w:sz w:val="21"/>
                <w:szCs w:val="21"/>
              </w:rPr>
            </w:pPr>
          </w:p>
        </w:tc>
        <w:tc>
          <w:tcPr>
            <w:tcW w:w="851" w:type="dxa"/>
            <w:vAlign w:val="center"/>
          </w:tcPr>
          <w:p w:rsidR="00D71B15" w:rsidRDefault="00D71B15">
            <w:pPr>
              <w:pStyle w:val="Pagedecouverture"/>
              <w:rPr>
                <w:noProof/>
                <w:sz w:val="21"/>
                <w:szCs w:val="21"/>
              </w:rPr>
            </w:pPr>
          </w:p>
        </w:tc>
        <w:tc>
          <w:tcPr>
            <w:tcW w:w="850" w:type="dxa"/>
            <w:tcBorders>
              <w:top w:val="single" w:sz="4" w:space="0" w:color="auto"/>
              <w:bottom w:val="single" w:sz="4" w:space="0" w:color="auto"/>
            </w:tcBorders>
            <w:vAlign w:val="center"/>
          </w:tcPr>
          <w:p w:rsidR="00D71B15" w:rsidRDefault="00D71B15">
            <w:pPr>
              <w:pStyle w:val="Pagedecouverture"/>
              <w:rPr>
                <w:noProof/>
                <w:sz w:val="21"/>
                <w:szCs w:val="21"/>
              </w:rPr>
            </w:pPr>
          </w:p>
        </w:tc>
        <w:tc>
          <w:tcPr>
            <w:tcW w:w="1037" w:type="dxa"/>
            <w:vAlign w:val="center"/>
          </w:tcPr>
          <w:p w:rsidR="00D71B15" w:rsidRDefault="00D71B15">
            <w:pPr>
              <w:pStyle w:val="Pagedecouverture"/>
              <w:rPr>
                <w:noProof/>
                <w:sz w:val="21"/>
                <w:szCs w:val="21"/>
              </w:rPr>
            </w:pPr>
          </w:p>
        </w:tc>
      </w:tr>
      <w:tr w:rsidR="00D71B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4" w:type="dxa"/>
            <w:vAlign w:val="center"/>
          </w:tcPr>
          <w:p w:rsidR="00D71B15" w:rsidRDefault="005012C0">
            <w:pPr>
              <w:pStyle w:val="Pagedecouverture"/>
              <w:rPr>
                <w:noProof/>
                <w:sz w:val="20"/>
                <w:szCs w:val="20"/>
              </w:rPr>
            </w:pPr>
            <w:r>
              <w:rPr>
                <w:noProof/>
                <w:sz w:val="20"/>
              </w:rPr>
              <w:t>Muut hallintomenot</w:t>
            </w:r>
          </w:p>
        </w:tc>
        <w:tc>
          <w:tcPr>
            <w:tcW w:w="822" w:type="dxa"/>
            <w:vAlign w:val="center"/>
          </w:tcPr>
          <w:p w:rsidR="00D71B15" w:rsidRDefault="00D71B15">
            <w:pPr>
              <w:pStyle w:val="Pagedecouverture"/>
              <w:rPr>
                <w:noProof/>
                <w:sz w:val="21"/>
                <w:szCs w:val="21"/>
              </w:rPr>
            </w:pPr>
          </w:p>
        </w:tc>
        <w:tc>
          <w:tcPr>
            <w:tcW w:w="850" w:type="dxa"/>
            <w:vAlign w:val="center"/>
          </w:tcPr>
          <w:p w:rsidR="00D71B15" w:rsidRDefault="00D71B15">
            <w:pPr>
              <w:pStyle w:val="Pagedecouverture"/>
              <w:rPr>
                <w:noProof/>
                <w:sz w:val="21"/>
                <w:szCs w:val="21"/>
              </w:rPr>
            </w:pPr>
          </w:p>
        </w:tc>
        <w:tc>
          <w:tcPr>
            <w:tcW w:w="851" w:type="dxa"/>
            <w:vAlign w:val="center"/>
          </w:tcPr>
          <w:p w:rsidR="00D71B15" w:rsidRDefault="00D71B15">
            <w:pPr>
              <w:pStyle w:val="Pagedecouverture"/>
              <w:rPr>
                <w:noProof/>
                <w:sz w:val="21"/>
                <w:szCs w:val="21"/>
              </w:rPr>
            </w:pPr>
          </w:p>
        </w:tc>
        <w:tc>
          <w:tcPr>
            <w:tcW w:w="850" w:type="dxa"/>
            <w:vAlign w:val="center"/>
          </w:tcPr>
          <w:p w:rsidR="00D71B15" w:rsidRDefault="00D71B15">
            <w:pPr>
              <w:pStyle w:val="Pagedecouverture"/>
              <w:rPr>
                <w:noProof/>
                <w:sz w:val="21"/>
                <w:szCs w:val="21"/>
              </w:rPr>
            </w:pPr>
          </w:p>
        </w:tc>
        <w:tc>
          <w:tcPr>
            <w:tcW w:w="851" w:type="dxa"/>
            <w:vAlign w:val="center"/>
          </w:tcPr>
          <w:p w:rsidR="00D71B15" w:rsidRDefault="00D71B15">
            <w:pPr>
              <w:pStyle w:val="Pagedecouverture"/>
              <w:rPr>
                <w:noProof/>
                <w:sz w:val="21"/>
                <w:szCs w:val="21"/>
              </w:rPr>
            </w:pPr>
          </w:p>
        </w:tc>
        <w:tc>
          <w:tcPr>
            <w:tcW w:w="850" w:type="dxa"/>
            <w:tcBorders>
              <w:top w:val="single" w:sz="4" w:space="0" w:color="auto"/>
              <w:bottom w:val="single" w:sz="4" w:space="0" w:color="auto"/>
            </w:tcBorders>
            <w:vAlign w:val="center"/>
          </w:tcPr>
          <w:p w:rsidR="00D71B15" w:rsidRDefault="00D71B15">
            <w:pPr>
              <w:pStyle w:val="Pagedecouverture"/>
              <w:rPr>
                <w:noProof/>
                <w:sz w:val="21"/>
                <w:szCs w:val="21"/>
              </w:rPr>
            </w:pPr>
          </w:p>
        </w:tc>
        <w:tc>
          <w:tcPr>
            <w:tcW w:w="1037" w:type="dxa"/>
            <w:tcBorders>
              <w:bottom w:val="single" w:sz="4" w:space="0" w:color="auto"/>
            </w:tcBorders>
            <w:vAlign w:val="center"/>
          </w:tcPr>
          <w:p w:rsidR="00D71B15" w:rsidRDefault="00D71B15">
            <w:pPr>
              <w:pStyle w:val="Pagedecouverture"/>
              <w:rPr>
                <w:noProof/>
                <w:sz w:val="21"/>
                <w:szCs w:val="21"/>
              </w:rPr>
            </w:pPr>
          </w:p>
        </w:tc>
      </w:tr>
      <w:tr w:rsidR="00D71B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00"/>
        </w:trPr>
        <w:tc>
          <w:tcPr>
            <w:tcW w:w="1984" w:type="dxa"/>
            <w:shd w:val="clear" w:color="auto" w:fill="CCCCCC"/>
            <w:vAlign w:val="center"/>
          </w:tcPr>
          <w:p w:rsidR="00D71B15" w:rsidRDefault="005012C0">
            <w:pPr>
              <w:pStyle w:val="Pagedecouverture"/>
              <w:jc w:val="center"/>
              <w:rPr>
                <w:b/>
                <w:noProof/>
                <w:sz w:val="20"/>
                <w:szCs w:val="20"/>
              </w:rPr>
            </w:pPr>
            <w:r>
              <w:rPr>
                <w:b/>
                <w:noProof/>
                <w:sz w:val="20"/>
              </w:rPr>
              <w:t>Monivuotisen rahoituskehyksen OTSAKKEESEEN 5 sisältymättömät, välisumma</w:t>
            </w:r>
          </w:p>
        </w:tc>
        <w:tc>
          <w:tcPr>
            <w:tcW w:w="822" w:type="dxa"/>
            <w:vAlign w:val="center"/>
          </w:tcPr>
          <w:p w:rsidR="00D71B15" w:rsidRDefault="00D71B15">
            <w:pPr>
              <w:pStyle w:val="Pagedecouverture"/>
              <w:rPr>
                <w:noProof/>
                <w:sz w:val="21"/>
                <w:szCs w:val="21"/>
              </w:rPr>
            </w:pPr>
          </w:p>
        </w:tc>
        <w:tc>
          <w:tcPr>
            <w:tcW w:w="850" w:type="dxa"/>
            <w:vAlign w:val="center"/>
          </w:tcPr>
          <w:p w:rsidR="00D71B15" w:rsidRDefault="00D71B15">
            <w:pPr>
              <w:pStyle w:val="Pagedecouverture"/>
              <w:rPr>
                <w:noProof/>
                <w:sz w:val="21"/>
                <w:szCs w:val="21"/>
              </w:rPr>
            </w:pPr>
          </w:p>
        </w:tc>
        <w:tc>
          <w:tcPr>
            <w:tcW w:w="851" w:type="dxa"/>
            <w:vAlign w:val="center"/>
          </w:tcPr>
          <w:p w:rsidR="00D71B15" w:rsidRDefault="00D71B15">
            <w:pPr>
              <w:pStyle w:val="Pagedecouverture"/>
              <w:rPr>
                <w:noProof/>
                <w:sz w:val="21"/>
                <w:szCs w:val="21"/>
              </w:rPr>
            </w:pPr>
          </w:p>
        </w:tc>
        <w:tc>
          <w:tcPr>
            <w:tcW w:w="850" w:type="dxa"/>
            <w:vAlign w:val="center"/>
          </w:tcPr>
          <w:p w:rsidR="00D71B15" w:rsidRDefault="00D71B15">
            <w:pPr>
              <w:pStyle w:val="Pagedecouverture"/>
              <w:rPr>
                <w:noProof/>
                <w:sz w:val="21"/>
                <w:szCs w:val="21"/>
              </w:rPr>
            </w:pPr>
          </w:p>
        </w:tc>
        <w:tc>
          <w:tcPr>
            <w:tcW w:w="851" w:type="dxa"/>
            <w:vAlign w:val="center"/>
          </w:tcPr>
          <w:p w:rsidR="00D71B15" w:rsidRDefault="00D71B15">
            <w:pPr>
              <w:pStyle w:val="Pagedecouverture"/>
              <w:rPr>
                <w:noProof/>
                <w:sz w:val="21"/>
                <w:szCs w:val="21"/>
              </w:rPr>
            </w:pPr>
          </w:p>
        </w:tc>
        <w:tc>
          <w:tcPr>
            <w:tcW w:w="850" w:type="dxa"/>
            <w:tcBorders>
              <w:top w:val="single" w:sz="4" w:space="0" w:color="auto"/>
            </w:tcBorders>
            <w:vAlign w:val="center"/>
          </w:tcPr>
          <w:p w:rsidR="00D71B15" w:rsidRDefault="00D71B15">
            <w:pPr>
              <w:pStyle w:val="Pagedecouverture"/>
              <w:rPr>
                <w:noProof/>
                <w:sz w:val="21"/>
                <w:szCs w:val="21"/>
              </w:rPr>
            </w:pPr>
          </w:p>
        </w:tc>
        <w:tc>
          <w:tcPr>
            <w:tcW w:w="1037" w:type="dxa"/>
            <w:tcBorders>
              <w:top w:val="single" w:sz="4" w:space="0" w:color="auto"/>
            </w:tcBorders>
            <w:vAlign w:val="center"/>
          </w:tcPr>
          <w:p w:rsidR="00D71B15" w:rsidRDefault="00D71B15">
            <w:pPr>
              <w:pStyle w:val="Pagedecouverture"/>
              <w:rPr>
                <w:noProof/>
                <w:sz w:val="21"/>
                <w:szCs w:val="21"/>
              </w:rPr>
            </w:pPr>
          </w:p>
        </w:tc>
      </w:tr>
    </w:tbl>
    <w:p w:rsidR="00D71B15" w:rsidRDefault="00D71B15">
      <w:pPr>
        <w:pStyle w:val="Text1"/>
        <w:rPr>
          <w:noProof/>
          <w:sz w:val="21"/>
          <w:szCs w:val="21"/>
        </w:rPr>
      </w:pPr>
    </w:p>
    <w:tbl>
      <w:tblPr>
        <w:tblW w:w="8047" w:type="dxa"/>
        <w:tblInd w:w="534" w:type="dxa"/>
        <w:tblLayout w:type="fixed"/>
        <w:tblLook w:val="01E0" w:firstRow="1" w:lastRow="1" w:firstColumn="1" w:lastColumn="1" w:noHBand="0" w:noVBand="0"/>
      </w:tblPr>
      <w:tblGrid>
        <w:gridCol w:w="1980"/>
        <w:gridCol w:w="822"/>
        <w:gridCol w:w="850"/>
        <w:gridCol w:w="851"/>
        <w:gridCol w:w="850"/>
        <w:gridCol w:w="851"/>
        <w:gridCol w:w="850"/>
        <w:gridCol w:w="993"/>
      </w:tblGrid>
      <w:tr w:rsidR="00D71B15">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D71B15" w:rsidRDefault="005012C0">
            <w:pPr>
              <w:pStyle w:val="Pagedecouverture"/>
              <w:jc w:val="center"/>
              <w:rPr>
                <w:noProof/>
                <w:sz w:val="21"/>
                <w:szCs w:val="21"/>
              </w:rPr>
            </w:pPr>
            <w:r>
              <w:rPr>
                <w:noProof/>
                <w:sz w:val="21"/>
              </w:rPr>
              <w:t>YHTEENSÄ</w:t>
            </w:r>
          </w:p>
        </w:tc>
        <w:tc>
          <w:tcPr>
            <w:tcW w:w="822" w:type="dxa"/>
            <w:tcBorders>
              <w:top w:val="single" w:sz="12" w:space="0" w:color="auto"/>
              <w:left w:val="single" w:sz="2" w:space="0" w:color="auto"/>
              <w:bottom w:val="single" w:sz="12" w:space="0" w:color="auto"/>
              <w:right w:val="single" w:sz="2" w:space="0" w:color="auto"/>
            </w:tcBorders>
            <w:vAlign w:val="center"/>
          </w:tcPr>
          <w:p w:rsidR="00D71B15" w:rsidRDefault="005012C0">
            <w:pPr>
              <w:pStyle w:val="Pagedecouverture"/>
              <w:jc w:val="center"/>
              <w:rPr>
                <w:noProof/>
                <w:sz w:val="21"/>
                <w:szCs w:val="21"/>
              </w:rPr>
            </w:pPr>
            <w:r>
              <w:rPr>
                <w:noProof/>
                <w:sz w:val="22"/>
              </w:rPr>
              <w:t>0,044</w:t>
            </w:r>
          </w:p>
        </w:tc>
        <w:tc>
          <w:tcPr>
            <w:tcW w:w="850" w:type="dxa"/>
            <w:tcBorders>
              <w:top w:val="single" w:sz="12" w:space="0" w:color="auto"/>
              <w:left w:val="single" w:sz="2" w:space="0" w:color="auto"/>
              <w:bottom w:val="single" w:sz="12" w:space="0" w:color="auto"/>
              <w:right w:val="single" w:sz="2" w:space="0" w:color="auto"/>
            </w:tcBorders>
            <w:vAlign w:val="center"/>
          </w:tcPr>
          <w:p w:rsidR="00D71B15" w:rsidRDefault="005012C0">
            <w:pPr>
              <w:pStyle w:val="Pagedecouverture"/>
              <w:jc w:val="center"/>
              <w:rPr>
                <w:noProof/>
                <w:sz w:val="21"/>
                <w:szCs w:val="21"/>
              </w:rPr>
            </w:pPr>
            <w:r>
              <w:rPr>
                <w:noProof/>
                <w:sz w:val="22"/>
              </w:rPr>
              <w:t>0,064</w:t>
            </w:r>
          </w:p>
        </w:tc>
        <w:tc>
          <w:tcPr>
            <w:tcW w:w="851" w:type="dxa"/>
            <w:tcBorders>
              <w:top w:val="single" w:sz="12" w:space="0" w:color="auto"/>
              <w:left w:val="single" w:sz="2" w:space="0" w:color="auto"/>
              <w:bottom w:val="single" w:sz="12" w:space="0" w:color="auto"/>
              <w:right w:val="single" w:sz="2" w:space="0" w:color="auto"/>
            </w:tcBorders>
            <w:vAlign w:val="center"/>
          </w:tcPr>
          <w:p w:rsidR="00D71B15" w:rsidRDefault="005012C0">
            <w:pPr>
              <w:pStyle w:val="Pagedecouverture"/>
              <w:jc w:val="center"/>
              <w:rPr>
                <w:noProof/>
                <w:sz w:val="21"/>
                <w:szCs w:val="21"/>
              </w:rPr>
            </w:pPr>
            <w:r>
              <w:rPr>
                <w:noProof/>
                <w:sz w:val="22"/>
              </w:rPr>
              <w:t>0,032</w:t>
            </w:r>
          </w:p>
        </w:tc>
        <w:tc>
          <w:tcPr>
            <w:tcW w:w="850" w:type="dxa"/>
            <w:tcBorders>
              <w:top w:val="single" w:sz="12" w:space="0" w:color="auto"/>
              <w:left w:val="single" w:sz="2" w:space="0" w:color="auto"/>
              <w:bottom w:val="single" w:sz="12" w:space="0" w:color="auto"/>
              <w:right w:val="single" w:sz="2" w:space="0" w:color="auto"/>
            </w:tcBorders>
            <w:vAlign w:val="center"/>
          </w:tcPr>
          <w:p w:rsidR="00D71B15" w:rsidRDefault="005012C0">
            <w:pPr>
              <w:pStyle w:val="Pagedecouverture"/>
              <w:jc w:val="center"/>
              <w:rPr>
                <w:noProof/>
                <w:sz w:val="21"/>
                <w:szCs w:val="21"/>
              </w:rPr>
            </w:pPr>
            <w:r>
              <w:rPr>
                <w:noProof/>
                <w:sz w:val="22"/>
              </w:rPr>
              <w:t>0,011</w:t>
            </w:r>
          </w:p>
        </w:tc>
        <w:tc>
          <w:tcPr>
            <w:tcW w:w="851" w:type="dxa"/>
            <w:tcBorders>
              <w:top w:val="single" w:sz="12" w:space="0" w:color="auto"/>
              <w:left w:val="single" w:sz="2" w:space="0" w:color="auto"/>
              <w:bottom w:val="single" w:sz="12" w:space="0" w:color="auto"/>
              <w:right w:val="single" w:sz="2" w:space="0" w:color="auto"/>
            </w:tcBorders>
            <w:vAlign w:val="center"/>
          </w:tcPr>
          <w:p w:rsidR="00D71B15" w:rsidRDefault="005012C0">
            <w:pPr>
              <w:pStyle w:val="Pagedecouverture"/>
              <w:jc w:val="center"/>
              <w:rPr>
                <w:noProof/>
                <w:sz w:val="21"/>
                <w:szCs w:val="21"/>
              </w:rPr>
            </w:pPr>
            <w:r>
              <w:rPr>
                <w:noProof/>
                <w:sz w:val="22"/>
              </w:rPr>
              <w:t>0,011</w:t>
            </w:r>
          </w:p>
        </w:tc>
        <w:tc>
          <w:tcPr>
            <w:tcW w:w="850" w:type="dxa"/>
            <w:tcBorders>
              <w:top w:val="single" w:sz="12" w:space="0" w:color="auto"/>
              <w:left w:val="single" w:sz="2" w:space="0" w:color="auto"/>
              <w:bottom w:val="single" w:sz="12" w:space="0" w:color="auto"/>
              <w:right w:val="single" w:sz="2" w:space="0" w:color="auto"/>
            </w:tcBorders>
            <w:vAlign w:val="center"/>
          </w:tcPr>
          <w:p w:rsidR="00D71B15" w:rsidRDefault="00D71B15">
            <w:pPr>
              <w:pStyle w:val="Pagedecouverture"/>
              <w:jc w:val="center"/>
              <w:rPr>
                <w:noProof/>
                <w:sz w:val="21"/>
                <w:szCs w:val="21"/>
              </w:rPr>
            </w:pPr>
          </w:p>
        </w:tc>
        <w:tc>
          <w:tcPr>
            <w:tcW w:w="993" w:type="dxa"/>
            <w:tcBorders>
              <w:top w:val="single" w:sz="12" w:space="0" w:color="auto"/>
              <w:left w:val="single" w:sz="2" w:space="0" w:color="auto"/>
              <w:bottom w:val="single" w:sz="12" w:space="0" w:color="auto"/>
              <w:right w:val="single" w:sz="12" w:space="0" w:color="auto"/>
            </w:tcBorders>
            <w:vAlign w:val="center"/>
          </w:tcPr>
          <w:p w:rsidR="00D71B15" w:rsidRDefault="005012C0">
            <w:pPr>
              <w:pStyle w:val="Pagedecouverture"/>
              <w:jc w:val="center"/>
              <w:rPr>
                <w:b/>
                <w:noProof/>
                <w:sz w:val="21"/>
                <w:szCs w:val="21"/>
              </w:rPr>
            </w:pPr>
            <w:r>
              <w:rPr>
                <w:b/>
                <w:noProof/>
                <w:sz w:val="22"/>
              </w:rPr>
              <w:t>0,162</w:t>
            </w:r>
          </w:p>
        </w:tc>
      </w:tr>
    </w:tbl>
    <w:p w:rsidR="00D71B15" w:rsidRDefault="005012C0">
      <w:pPr>
        <w:pStyle w:val="Text10"/>
        <w:spacing w:before="240"/>
        <w:ind w:left="142" w:right="140"/>
        <w:rPr>
          <w:sz w:val="24"/>
          <w:szCs w:val="24"/>
        </w:rPr>
      </w:pPr>
      <w:r>
        <w:t xml:space="preserve">Hallintomäärärahojen tarve katetaan toimen </w:t>
      </w:r>
      <w:r>
        <w:t>hallinnointiin jo osoitetuilla pääosaston määrärahoilla ja/tai pääosastossa toteutettujen uudelleenjärjestelyjen tuloksena saaduilla määrärahoilla sekä tarvittaessa sellaisilla lisäresursseilla, jotka toimea hallinnoiva pääosasto voi saada käyttöönsä vuotu</w:t>
      </w:r>
      <w:r>
        <w:t>isessa määrärahojen jakomenettelyssä talousarvion puitteissa.</w:t>
      </w:r>
    </w:p>
    <w:p w:rsidR="00D71B15" w:rsidRDefault="00D71B15">
      <w:pPr>
        <w:pStyle w:val="Text10"/>
        <w:spacing w:before="240"/>
        <w:ind w:left="142" w:right="140"/>
        <w:rPr>
          <w:sz w:val="24"/>
          <w:szCs w:val="24"/>
        </w:rPr>
      </w:pPr>
    </w:p>
    <w:p w:rsidR="00D71B15" w:rsidRDefault="00D71B15">
      <w:pPr>
        <w:pStyle w:val="Text10"/>
        <w:spacing w:before="240"/>
        <w:ind w:left="142" w:right="140"/>
        <w:rPr>
          <w:sz w:val="24"/>
          <w:szCs w:val="24"/>
        </w:rPr>
        <w:sectPr w:rsidR="00D71B15" w:rsidSect="005012C0">
          <w:headerReference w:type="default" r:id="rId22"/>
          <w:footerReference w:type="default" r:id="rId23"/>
          <w:headerReference w:type="first" r:id="rId24"/>
          <w:footerReference w:type="first" r:id="rId25"/>
          <w:pgSz w:w="11907" w:h="16840"/>
          <w:pgMar w:top="1134" w:right="1418" w:bottom="1134" w:left="1418" w:header="709" w:footer="709" w:gutter="0"/>
          <w:pgNumType w:start="26"/>
          <w:cols w:space="708"/>
          <w:docGrid w:linePitch="360"/>
        </w:sectPr>
      </w:pPr>
    </w:p>
    <w:p w:rsidR="00D71B15" w:rsidRDefault="005012C0">
      <w:pPr>
        <w:pStyle w:val="Heading5"/>
        <w:rPr>
          <w:b/>
          <w:sz w:val="21"/>
          <w:szCs w:val="21"/>
        </w:rPr>
      </w:pPr>
      <w:r>
        <w:rPr>
          <w:sz w:val="21"/>
        </w:rPr>
        <w:t>3.2.3.2.</w:t>
      </w:r>
      <w:r>
        <w:tab/>
      </w:r>
      <w:r>
        <w:rPr>
          <w:b/>
          <w:sz w:val="21"/>
        </w:rPr>
        <w:t xml:space="preserve"> </w:t>
      </w:r>
      <w:r>
        <w:rPr>
          <w:sz w:val="21"/>
        </w:rPr>
        <w:t xml:space="preserve">Henkilöresurssien arvioitu tarve </w:t>
      </w:r>
    </w:p>
    <w:p w:rsidR="00D71B15" w:rsidRDefault="005012C0">
      <w:pPr>
        <w:pStyle w:val="Text1"/>
        <w:rPr>
          <w:noProof/>
          <w:sz w:val="21"/>
          <w:szCs w:val="21"/>
        </w:rPr>
      </w:pPr>
      <w:r>
        <w:rPr>
          <w:noProof/>
          <w:sz w:val="21"/>
          <w:szCs w:val="21"/>
        </w:rPr>
        <w:sym w:font="Wingdings" w:char="F0A8"/>
      </w:r>
      <w:r>
        <w:rPr>
          <w:noProof/>
        </w:rPr>
        <w:t xml:space="preserve"> </w:t>
      </w:r>
      <w:r>
        <w:rPr>
          <w:noProof/>
          <w:sz w:val="21"/>
        </w:rPr>
        <w:t xml:space="preserve">Ehdotus/aloite ei edellytä </w:t>
      </w:r>
      <w:r>
        <w:rPr>
          <w:noProof/>
          <w:sz w:val="21"/>
        </w:rPr>
        <w:t>henkilöresursseja.</w:t>
      </w:r>
    </w:p>
    <w:p w:rsidR="00D71B15" w:rsidRDefault="005012C0">
      <w:pPr>
        <w:pStyle w:val="Text1"/>
        <w:rPr>
          <w:noProof/>
          <w:sz w:val="21"/>
          <w:szCs w:val="21"/>
        </w:rPr>
      </w:pPr>
      <w:r>
        <w:rPr>
          <w:noProof/>
          <w:sz w:val="21"/>
        </w:rPr>
        <w:t>X Ehdotus/aloite edellyttää henkilöresursseja seuraavasti:</w:t>
      </w:r>
    </w:p>
    <w:p w:rsidR="00D71B15" w:rsidRDefault="005012C0">
      <w:pPr>
        <w:pStyle w:val="Text1"/>
        <w:ind w:right="402"/>
        <w:jc w:val="right"/>
        <w:rPr>
          <w:i/>
          <w:noProof/>
          <w:sz w:val="21"/>
          <w:szCs w:val="21"/>
        </w:rPr>
      </w:pPr>
      <w:r>
        <w:rPr>
          <w:i/>
          <w:noProof/>
          <w:sz w:val="21"/>
        </w:rPr>
        <w:t>Arvio kokoaikaiseksi henkilöstöksi muutettuna</w:t>
      </w:r>
    </w:p>
    <w:tbl>
      <w:tblPr>
        <w:tblW w:w="4557" w:type="pct"/>
        <w:jc w:val="center"/>
        <w:tblInd w:w="-29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03"/>
        <w:gridCol w:w="1914"/>
        <w:gridCol w:w="989"/>
        <w:gridCol w:w="989"/>
        <w:gridCol w:w="991"/>
        <w:gridCol w:w="504"/>
        <w:gridCol w:w="487"/>
        <w:gridCol w:w="853"/>
        <w:gridCol w:w="853"/>
        <w:gridCol w:w="853"/>
      </w:tblGrid>
      <w:tr w:rsidR="00D71B15">
        <w:trPr>
          <w:trHeight w:val="207"/>
          <w:jc w:val="center"/>
        </w:trPr>
        <w:tc>
          <w:tcPr>
            <w:tcW w:w="1652" w:type="pct"/>
            <w:gridSpan w:val="2"/>
          </w:tcPr>
          <w:p w:rsidR="00D71B15" w:rsidRDefault="00D71B15">
            <w:pPr>
              <w:pStyle w:val="Pagedecouverture"/>
              <w:rPr>
                <w:noProof/>
                <w:sz w:val="21"/>
                <w:szCs w:val="21"/>
              </w:rPr>
            </w:pPr>
          </w:p>
        </w:tc>
        <w:tc>
          <w:tcPr>
            <w:tcW w:w="508" w:type="pct"/>
            <w:vAlign w:val="center"/>
          </w:tcPr>
          <w:p w:rsidR="00D71B15" w:rsidRDefault="005012C0">
            <w:pPr>
              <w:pStyle w:val="Pagedecouverture"/>
              <w:jc w:val="center"/>
              <w:rPr>
                <w:noProof/>
                <w:sz w:val="21"/>
                <w:szCs w:val="21"/>
              </w:rPr>
            </w:pPr>
            <w:r>
              <w:rPr>
                <w:noProof/>
                <w:sz w:val="21"/>
              </w:rPr>
              <w:t>Vuosi</w:t>
            </w:r>
            <w:r>
              <w:rPr>
                <w:noProof/>
                <w:sz w:val="21"/>
                <w:szCs w:val="21"/>
              </w:rPr>
              <w:br/>
            </w:r>
            <w:r>
              <w:rPr>
                <w:b/>
                <w:noProof/>
                <w:sz w:val="21"/>
              </w:rPr>
              <w:t>2016</w:t>
            </w:r>
          </w:p>
        </w:tc>
        <w:tc>
          <w:tcPr>
            <w:tcW w:w="508" w:type="pct"/>
            <w:vAlign w:val="center"/>
          </w:tcPr>
          <w:p w:rsidR="00D71B15" w:rsidRDefault="005012C0">
            <w:pPr>
              <w:pStyle w:val="Pagedecouverture"/>
              <w:jc w:val="center"/>
              <w:rPr>
                <w:noProof/>
                <w:sz w:val="21"/>
                <w:szCs w:val="21"/>
              </w:rPr>
            </w:pPr>
            <w:r>
              <w:rPr>
                <w:noProof/>
                <w:sz w:val="21"/>
              </w:rPr>
              <w:t>Vuosi</w:t>
            </w:r>
            <w:r>
              <w:rPr>
                <w:noProof/>
                <w:sz w:val="21"/>
                <w:szCs w:val="21"/>
              </w:rPr>
              <w:br/>
            </w:r>
            <w:r>
              <w:rPr>
                <w:b/>
                <w:noProof/>
                <w:sz w:val="21"/>
              </w:rPr>
              <w:t>2017</w:t>
            </w:r>
          </w:p>
        </w:tc>
        <w:tc>
          <w:tcPr>
            <w:tcW w:w="509" w:type="pct"/>
            <w:vAlign w:val="center"/>
          </w:tcPr>
          <w:p w:rsidR="00D71B15" w:rsidRDefault="005012C0">
            <w:pPr>
              <w:pStyle w:val="Pagedecouverture"/>
              <w:jc w:val="center"/>
              <w:rPr>
                <w:noProof/>
                <w:sz w:val="21"/>
                <w:szCs w:val="21"/>
              </w:rPr>
            </w:pPr>
            <w:r>
              <w:rPr>
                <w:noProof/>
                <w:sz w:val="21"/>
              </w:rPr>
              <w:t xml:space="preserve">Vuosi </w:t>
            </w:r>
            <w:r>
              <w:rPr>
                <w:b/>
                <w:noProof/>
                <w:sz w:val="21"/>
              </w:rPr>
              <w:t>2018</w:t>
            </w:r>
          </w:p>
        </w:tc>
        <w:tc>
          <w:tcPr>
            <w:tcW w:w="509" w:type="pct"/>
            <w:gridSpan w:val="2"/>
            <w:vAlign w:val="center"/>
          </w:tcPr>
          <w:p w:rsidR="00D71B15" w:rsidRDefault="005012C0">
            <w:pPr>
              <w:pStyle w:val="Pagedecouverture"/>
              <w:jc w:val="center"/>
              <w:rPr>
                <w:noProof/>
                <w:sz w:val="21"/>
                <w:szCs w:val="21"/>
              </w:rPr>
            </w:pPr>
            <w:r>
              <w:rPr>
                <w:noProof/>
                <w:sz w:val="21"/>
              </w:rPr>
              <w:t xml:space="preserve">Vuosi </w:t>
            </w:r>
            <w:r>
              <w:rPr>
                <w:b/>
                <w:noProof/>
                <w:sz w:val="21"/>
              </w:rPr>
              <w:t>2019</w:t>
            </w:r>
          </w:p>
        </w:tc>
        <w:tc>
          <w:tcPr>
            <w:tcW w:w="438" w:type="pct"/>
            <w:vAlign w:val="center"/>
          </w:tcPr>
          <w:p w:rsidR="00D71B15" w:rsidRDefault="005012C0">
            <w:pPr>
              <w:pStyle w:val="Pagedecouverture"/>
              <w:jc w:val="center"/>
              <w:rPr>
                <w:noProof/>
                <w:sz w:val="21"/>
                <w:szCs w:val="21"/>
              </w:rPr>
            </w:pPr>
            <w:r>
              <w:rPr>
                <w:noProof/>
                <w:sz w:val="21"/>
              </w:rPr>
              <w:t xml:space="preserve">Vuosi </w:t>
            </w:r>
            <w:r>
              <w:rPr>
                <w:b/>
                <w:noProof/>
                <w:sz w:val="21"/>
              </w:rPr>
              <w:t>2020</w:t>
            </w:r>
          </w:p>
        </w:tc>
        <w:tc>
          <w:tcPr>
            <w:tcW w:w="438" w:type="pct"/>
            <w:vAlign w:val="center"/>
          </w:tcPr>
          <w:p w:rsidR="00D71B15" w:rsidRDefault="00D71B15">
            <w:pPr>
              <w:pStyle w:val="Pagedecouverture"/>
              <w:rPr>
                <w:noProof/>
                <w:sz w:val="21"/>
                <w:szCs w:val="21"/>
              </w:rPr>
            </w:pPr>
          </w:p>
        </w:tc>
        <w:tc>
          <w:tcPr>
            <w:tcW w:w="438" w:type="pct"/>
            <w:vAlign w:val="center"/>
          </w:tcPr>
          <w:p w:rsidR="00D71B15" w:rsidRDefault="00D71B15">
            <w:pPr>
              <w:pStyle w:val="Pagedecouverture"/>
              <w:rPr>
                <w:noProof/>
                <w:sz w:val="21"/>
                <w:szCs w:val="21"/>
              </w:rPr>
            </w:pPr>
          </w:p>
        </w:tc>
      </w:tr>
      <w:tr w:rsidR="00D71B15">
        <w:trPr>
          <w:gridAfter w:val="4"/>
          <w:wAfter w:w="1564" w:type="pct"/>
          <w:trHeight w:val="178"/>
          <w:jc w:val="center"/>
        </w:trPr>
        <w:tc>
          <w:tcPr>
            <w:tcW w:w="3436" w:type="pct"/>
            <w:gridSpan w:val="6"/>
            <w:tcBorders>
              <w:right w:val="nil"/>
            </w:tcBorders>
            <w:vAlign w:val="center"/>
          </w:tcPr>
          <w:p w:rsidR="00D71B15" w:rsidRDefault="005012C0">
            <w:pPr>
              <w:pStyle w:val="Pagedecouverture"/>
              <w:rPr>
                <w:b/>
                <w:noProof/>
                <w:sz w:val="20"/>
                <w:szCs w:val="20"/>
              </w:rPr>
            </w:pPr>
            <w:r>
              <w:rPr>
                <w:b/>
                <w:noProof/>
                <w:sz w:val="20"/>
                <w:szCs w:val="20"/>
              </w:rPr>
              <w:sym w:font="Wingdings" w:char="F09F"/>
            </w:r>
            <w:r>
              <w:rPr>
                <w:noProof/>
              </w:rPr>
              <w:t xml:space="preserve"> </w:t>
            </w:r>
            <w:r>
              <w:rPr>
                <w:b/>
                <w:noProof/>
                <w:sz w:val="20"/>
              </w:rPr>
              <w:t xml:space="preserve">Henkilöstötaulukkoon sisältyvät virat/toimet (virkamiehet ja </w:t>
            </w:r>
            <w:r>
              <w:rPr>
                <w:b/>
                <w:noProof/>
                <w:sz w:val="20"/>
              </w:rPr>
              <w:t>väliaikaiset toimihenkilöt)</w:t>
            </w:r>
          </w:p>
        </w:tc>
      </w:tr>
      <w:tr w:rsidR="00D71B15">
        <w:trPr>
          <w:trHeight w:val="809"/>
          <w:jc w:val="center"/>
        </w:trPr>
        <w:tc>
          <w:tcPr>
            <w:tcW w:w="1652" w:type="pct"/>
            <w:gridSpan w:val="2"/>
            <w:vAlign w:val="center"/>
          </w:tcPr>
          <w:p w:rsidR="00D71B15" w:rsidRDefault="005012C0">
            <w:pPr>
              <w:pStyle w:val="Pagedecouverture"/>
              <w:jc w:val="left"/>
              <w:rPr>
                <w:noProof/>
                <w:sz w:val="20"/>
                <w:szCs w:val="20"/>
              </w:rPr>
            </w:pPr>
            <w:r>
              <w:rPr>
                <w:noProof/>
                <w:sz w:val="20"/>
              </w:rPr>
              <w:t>01 01 01 01 (päätoimipaikka ja komission edustustot EU:ssa)</w:t>
            </w:r>
          </w:p>
        </w:tc>
        <w:tc>
          <w:tcPr>
            <w:tcW w:w="508" w:type="pct"/>
            <w:vAlign w:val="center"/>
          </w:tcPr>
          <w:p w:rsidR="00D71B15" w:rsidRDefault="005012C0">
            <w:pPr>
              <w:pStyle w:val="Pagedecouverture"/>
              <w:jc w:val="center"/>
              <w:rPr>
                <w:noProof/>
                <w:sz w:val="20"/>
                <w:szCs w:val="20"/>
              </w:rPr>
            </w:pPr>
            <w:r>
              <w:rPr>
                <w:noProof/>
                <w:sz w:val="20"/>
              </w:rPr>
              <w:t>0,25</w:t>
            </w:r>
          </w:p>
        </w:tc>
        <w:tc>
          <w:tcPr>
            <w:tcW w:w="508" w:type="pct"/>
            <w:vAlign w:val="center"/>
          </w:tcPr>
          <w:p w:rsidR="00D71B15" w:rsidRDefault="005012C0">
            <w:pPr>
              <w:pStyle w:val="Pagedecouverture"/>
              <w:jc w:val="center"/>
              <w:rPr>
                <w:noProof/>
                <w:sz w:val="20"/>
                <w:szCs w:val="20"/>
              </w:rPr>
            </w:pPr>
            <w:r>
              <w:rPr>
                <w:noProof/>
                <w:sz w:val="20"/>
              </w:rPr>
              <w:t>0,32</w:t>
            </w:r>
          </w:p>
        </w:tc>
        <w:tc>
          <w:tcPr>
            <w:tcW w:w="509" w:type="pct"/>
            <w:vAlign w:val="center"/>
          </w:tcPr>
          <w:p w:rsidR="00D71B15" w:rsidRDefault="005012C0">
            <w:pPr>
              <w:pStyle w:val="Pagedecouverture"/>
              <w:jc w:val="center"/>
              <w:rPr>
                <w:noProof/>
                <w:sz w:val="20"/>
                <w:szCs w:val="20"/>
              </w:rPr>
            </w:pPr>
            <w:r>
              <w:rPr>
                <w:noProof/>
                <w:sz w:val="20"/>
              </w:rPr>
              <w:t>0,16</w:t>
            </w:r>
          </w:p>
        </w:tc>
        <w:tc>
          <w:tcPr>
            <w:tcW w:w="509" w:type="pct"/>
            <w:gridSpan w:val="2"/>
            <w:vAlign w:val="center"/>
          </w:tcPr>
          <w:p w:rsidR="00D71B15" w:rsidRDefault="005012C0">
            <w:pPr>
              <w:pStyle w:val="Pagedecouverture"/>
              <w:jc w:val="center"/>
              <w:rPr>
                <w:noProof/>
                <w:sz w:val="20"/>
                <w:szCs w:val="20"/>
              </w:rPr>
            </w:pPr>
            <w:r>
              <w:rPr>
                <w:noProof/>
                <w:sz w:val="20"/>
              </w:rPr>
              <w:t>0,08</w:t>
            </w:r>
          </w:p>
        </w:tc>
        <w:tc>
          <w:tcPr>
            <w:tcW w:w="438" w:type="pct"/>
            <w:vAlign w:val="center"/>
          </w:tcPr>
          <w:p w:rsidR="00D71B15" w:rsidRDefault="005012C0">
            <w:pPr>
              <w:pStyle w:val="Pagedecouverture"/>
              <w:jc w:val="center"/>
              <w:rPr>
                <w:noProof/>
                <w:sz w:val="20"/>
                <w:szCs w:val="20"/>
              </w:rPr>
            </w:pPr>
            <w:r>
              <w:rPr>
                <w:noProof/>
                <w:sz w:val="20"/>
              </w:rPr>
              <w:t>0,08</w:t>
            </w:r>
          </w:p>
        </w:tc>
        <w:tc>
          <w:tcPr>
            <w:tcW w:w="438" w:type="pct"/>
            <w:vAlign w:val="center"/>
          </w:tcPr>
          <w:p w:rsidR="00D71B15" w:rsidRDefault="00D71B15">
            <w:pPr>
              <w:pStyle w:val="Pagedecouverture"/>
              <w:rPr>
                <w:noProof/>
                <w:sz w:val="20"/>
                <w:szCs w:val="20"/>
              </w:rPr>
            </w:pPr>
          </w:p>
        </w:tc>
        <w:tc>
          <w:tcPr>
            <w:tcW w:w="438" w:type="pct"/>
            <w:vAlign w:val="center"/>
          </w:tcPr>
          <w:p w:rsidR="00D71B15" w:rsidRDefault="00D71B15">
            <w:pPr>
              <w:pStyle w:val="Pagedecouverture"/>
              <w:rPr>
                <w:noProof/>
                <w:sz w:val="20"/>
                <w:szCs w:val="20"/>
              </w:rPr>
            </w:pPr>
          </w:p>
        </w:tc>
      </w:tr>
      <w:tr w:rsidR="00D71B15">
        <w:trPr>
          <w:trHeight w:val="409"/>
          <w:jc w:val="center"/>
        </w:trPr>
        <w:tc>
          <w:tcPr>
            <w:tcW w:w="1652" w:type="pct"/>
            <w:gridSpan w:val="2"/>
            <w:vAlign w:val="center"/>
          </w:tcPr>
          <w:p w:rsidR="00D71B15" w:rsidRDefault="005012C0">
            <w:pPr>
              <w:pStyle w:val="Pagedecouverture"/>
              <w:jc w:val="left"/>
              <w:rPr>
                <w:noProof/>
                <w:sz w:val="20"/>
                <w:szCs w:val="20"/>
              </w:rPr>
            </w:pPr>
            <w:r>
              <w:rPr>
                <w:noProof/>
                <w:sz w:val="20"/>
              </w:rPr>
              <w:t>XX 01 01 02 (edustustot EU:n ulkopuolella)</w:t>
            </w:r>
          </w:p>
        </w:tc>
        <w:tc>
          <w:tcPr>
            <w:tcW w:w="508" w:type="pct"/>
            <w:vAlign w:val="center"/>
          </w:tcPr>
          <w:p w:rsidR="00D71B15" w:rsidRDefault="00D71B15">
            <w:pPr>
              <w:pStyle w:val="Pagedecouverture"/>
              <w:rPr>
                <w:noProof/>
                <w:sz w:val="20"/>
                <w:szCs w:val="20"/>
              </w:rPr>
            </w:pPr>
          </w:p>
        </w:tc>
        <w:tc>
          <w:tcPr>
            <w:tcW w:w="508" w:type="pct"/>
            <w:vAlign w:val="center"/>
          </w:tcPr>
          <w:p w:rsidR="00D71B15" w:rsidRDefault="00D71B15">
            <w:pPr>
              <w:pStyle w:val="Pagedecouverture"/>
              <w:rPr>
                <w:noProof/>
                <w:sz w:val="20"/>
                <w:szCs w:val="20"/>
              </w:rPr>
            </w:pPr>
          </w:p>
        </w:tc>
        <w:tc>
          <w:tcPr>
            <w:tcW w:w="509" w:type="pct"/>
            <w:vAlign w:val="center"/>
          </w:tcPr>
          <w:p w:rsidR="00D71B15" w:rsidRDefault="00D71B15">
            <w:pPr>
              <w:pStyle w:val="Pagedecouverture"/>
              <w:rPr>
                <w:noProof/>
                <w:sz w:val="20"/>
                <w:szCs w:val="20"/>
              </w:rPr>
            </w:pPr>
          </w:p>
        </w:tc>
        <w:tc>
          <w:tcPr>
            <w:tcW w:w="509" w:type="pct"/>
            <w:gridSpan w:val="2"/>
          </w:tcPr>
          <w:p w:rsidR="00D71B15" w:rsidRDefault="00D71B15">
            <w:pPr>
              <w:pStyle w:val="Pagedecouverture"/>
              <w:rPr>
                <w:noProof/>
                <w:sz w:val="20"/>
                <w:szCs w:val="20"/>
              </w:rPr>
            </w:pPr>
          </w:p>
        </w:tc>
        <w:tc>
          <w:tcPr>
            <w:tcW w:w="438" w:type="pct"/>
            <w:vAlign w:val="center"/>
          </w:tcPr>
          <w:p w:rsidR="00D71B15" w:rsidRDefault="00D71B15">
            <w:pPr>
              <w:pStyle w:val="Pagedecouverture"/>
              <w:rPr>
                <w:noProof/>
                <w:sz w:val="20"/>
                <w:szCs w:val="20"/>
              </w:rPr>
            </w:pPr>
          </w:p>
        </w:tc>
        <w:tc>
          <w:tcPr>
            <w:tcW w:w="438" w:type="pct"/>
            <w:vAlign w:val="center"/>
          </w:tcPr>
          <w:p w:rsidR="00D71B15" w:rsidRDefault="00D71B15">
            <w:pPr>
              <w:pStyle w:val="Pagedecouverture"/>
              <w:rPr>
                <w:noProof/>
                <w:sz w:val="20"/>
                <w:szCs w:val="20"/>
              </w:rPr>
            </w:pPr>
          </w:p>
        </w:tc>
        <w:tc>
          <w:tcPr>
            <w:tcW w:w="438" w:type="pct"/>
            <w:vAlign w:val="center"/>
          </w:tcPr>
          <w:p w:rsidR="00D71B15" w:rsidRDefault="00D71B15">
            <w:pPr>
              <w:pStyle w:val="Pagedecouverture"/>
              <w:rPr>
                <w:noProof/>
                <w:sz w:val="20"/>
                <w:szCs w:val="20"/>
              </w:rPr>
            </w:pPr>
          </w:p>
        </w:tc>
      </w:tr>
      <w:tr w:rsidR="00D71B15">
        <w:trPr>
          <w:trHeight w:val="415"/>
          <w:jc w:val="center"/>
        </w:trPr>
        <w:tc>
          <w:tcPr>
            <w:tcW w:w="1652" w:type="pct"/>
            <w:gridSpan w:val="2"/>
            <w:vAlign w:val="center"/>
          </w:tcPr>
          <w:p w:rsidR="00D71B15" w:rsidRDefault="005012C0">
            <w:pPr>
              <w:pStyle w:val="Pagedecouverture"/>
              <w:jc w:val="left"/>
              <w:rPr>
                <w:noProof/>
                <w:sz w:val="20"/>
                <w:szCs w:val="20"/>
              </w:rPr>
            </w:pPr>
            <w:r>
              <w:rPr>
                <w:noProof/>
                <w:sz w:val="20"/>
              </w:rPr>
              <w:t>XX 01 05 01 (epäsuora tutkimustoiminta)</w:t>
            </w:r>
          </w:p>
        </w:tc>
        <w:tc>
          <w:tcPr>
            <w:tcW w:w="508" w:type="pct"/>
            <w:vAlign w:val="center"/>
          </w:tcPr>
          <w:p w:rsidR="00D71B15" w:rsidRDefault="00D71B15">
            <w:pPr>
              <w:pStyle w:val="Pagedecouverture"/>
              <w:rPr>
                <w:noProof/>
                <w:sz w:val="20"/>
                <w:szCs w:val="20"/>
              </w:rPr>
            </w:pPr>
          </w:p>
        </w:tc>
        <w:tc>
          <w:tcPr>
            <w:tcW w:w="508" w:type="pct"/>
            <w:vAlign w:val="center"/>
          </w:tcPr>
          <w:p w:rsidR="00D71B15" w:rsidRDefault="00D71B15">
            <w:pPr>
              <w:pStyle w:val="Pagedecouverture"/>
              <w:rPr>
                <w:noProof/>
                <w:sz w:val="20"/>
                <w:szCs w:val="20"/>
              </w:rPr>
            </w:pPr>
          </w:p>
        </w:tc>
        <w:tc>
          <w:tcPr>
            <w:tcW w:w="509" w:type="pct"/>
            <w:vAlign w:val="center"/>
          </w:tcPr>
          <w:p w:rsidR="00D71B15" w:rsidRDefault="00D71B15">
            <w:pPr>
              <w:pStyle w:val="Pagedecouverture"/>
              <w:rPr>
                <w:noProof/>
                <w:sz w:val="20"/>
                <w:szCs w:val="20"/>
              </w:rPr>
            </w:pPr>
          </w:p>
        </w:tc>
        <w:tc>
          <w:tcPr>
            <w:tcW w:w="509" w:type="pct"/>
            <w:gridSpan w:val="2"/>
          </w:tcPr>
          <w:p w:rsidR="00D71B15" w:rsidRDefault="00D71B15">
            <w:pPr>
              <w:pStyle w:val="Pagedecouverture"/>
              <w:rPr>
                <w:noProof/>
                <w:sz w:val="20"/>
                <w:szCs w:val="20"/>
              </w:rPr>
            </w:pPr>
          </w:p>
        </w:tc>
        <w:tc>
          <w:tcPr>
            <w:tcW w:w="438" w:type="pct"/>
            <w:vAlign w:val="center"/>
          </w:tcPr>
          <w:p w:rsidR="00D71B15" w:rsidRDefault="00D71B15">
            <w:pPr>
              <w:pStyle w:val="Pagedecouverture"/>
              <w:rPr>
                <w:noProof/>
                <w:sz w:val="20"/>
                <w:szCs w:val="20"/>
              </w:rPr>
            </w:pPr>
          </w:p>
        </w:tc>
        <w:tc>
          <w:tcPr>
            <w:tcW w:w="438" w:type="pct"/>
            <w:vAlign w:val="center"/>
          </w:tcPr>
          <w:p w:rsidR="00D71B15" w:rsidRDefault="00D71B15">
            <w:pPr>
              <w:pStyle w:val="Pagedecouverture"/>
              <w:rPr>
                <w:noProof/>
                <w:sz w:val="20"/>
                <w:szCs w:val="20"/>
              </w:rPr>
            </w:pPr>
          </w:p>
        </w:tc>
        <w:tc>
          <w:tcPr>
            <w:tcW w:w="438" w:type="pct"/>
            <w:vAlign w:val="center"/>
          </w:tcPr>
          <w:p w:rsidR="00D71B15" w:rsidRDefault="00D71B15">
            <w:pPr>
              <w:pStyle w:val="Pagedecouverture"/>
              <w:rPr>
                <w:noProof/>
                <w:sz w:val="20"/>
                <w:szCs w:val="20"/>
              </w:rPr>
            </w:pPr>
          </w:p>
        </w:tc>
      </w:tr>
      <w:tr w:rsidR="00D71B15">
        <w:trPr>
          <w:trHeight w:val="407"/>
          <w:jc w:val="center"/>
        </w:trPr>
        <w:tc>
          <w:tcPr>
            <w:tcW w:w="1652" w:type="pct"/>
            <w:gridSpan w:val="2"/>
            <w:vAlign w:val="center"/>
          </w:tcPr>
          <w:p w:rsidR="00D71B15" w:rsidRDefault="005012C0">
            <w:pPr>
              <w:pStyle w:val="Pagedecouverture"/>
              <w:jc w:val="left"/>
              <w:rPr>
                <w:noProof/>
                <w:sz w:val="20"/>
                <w:szCs w:val="20"/>
              </w:rPr>
            </w:pPr>
            <w:r>
              <w:rPr>
                <w:noProof/>
                <w:sz w:val="20"/>
              </w:rPr>
              <w:t>10 01 05 01 (suora tutkimustoiminta)</w:t>
            </w:r>
          </w:p>
        </w:tc>
        <w:tc>
          <w:tcPr>
            <w:tcW w:w="508" w:type="pct"/>
            <w:vAlign w:val="center"/>
          </w:tcPr>
          <w:p w:rsidR="00D71B15" w:rsidRDefault="00D71B15">
            <w:pPr>
              <w:pStyle w:val="Pagedecouverture"/>
              <w:rPr>
                <w:noProof/>
                <w:sz w:val="20"/>
                <w:szCs w:val="20"/>
              </w:rPr>
            </w:pPr>
          </w:p>
        </w:tc>
        <w:tc>
          <w:tcPr>
            <w:tcW w:w="508" w:type="pct"/>
            <w:vAlign w:val="center"/>
          </w:tcPr>
          <w:p w:rsidR="00D71B15" w:rsidRDefault="00D71B15">
            <w:pPr>
              <w:pStyle w:val="Pagedecouverture"/>
              <w:rPr>
                <w:noProof/>
                <w:sz w:val="20"/>
                <w:szCs w:val="20"/>
              </w:rPr>
            </w:pPr>
          </w:p>
        </w:tc>
        <w:tc>
          <w:tcPr>
            <w:tcW w:w="509" w:type="pct"/>
            <w:vAlign w:val="center"/>
          </w:tcPr>
          <w:p w:rsidR="00D71B15" w:rsidRDefault="00D71B15">
            <w:pPr>
              <w:pStyle w:val="Pagedecouverture"/>
              <w:rPr>
                <w:noProof/>
                <w:sz w:val="20"/>
                <w:szCs w:val="20"/>
              </w:rPr>
            </w:pPr>
          </w:p>
        </w:tc>
        <w:tc>
          <w:tcPr>
            <w:tcW w:w="509" w:type="pct"/>
            <w:gridSpan w:val="2"/>
          </w:tcPr>
          <w:p w:rsidR="00D71B15" w:rsidRDefault="00D71B15">
            <w:pPr>
              <w:pStyle w:val="Pagedecouverture"/>
              <w:rPr>
                <w:noProof/>
                <w:sz w:val="20"/>
                <w:szCs w:val="20"/>
              </w:rPr>
            </w:pPr>
          </w:p>
        </w:tc>
        <w:tc>
          <w:tcPr>
            <w:tcW w:w="438" w:type="pct"/>
            <w:vAlign w:val="center"/>
          </w:tcPr>
          <w:p w:rsidR="00D71B15" w:rsidRDefault="00D71B15">
            <w:pPr>
              <w:pStyle w:val="Pagedecouverture"/>
              <w:rPr>
                <w:noProof/>
                <w:sz w:val="20"/>
                <w:szCs w:val="20"/>
              </w:rPr>
            </w:pPr>
          </w:p>
        </w:tc>
        <w:tc>
          <w:tcPr>
            <w:tcW w:w="438" w:type="pct"/>
            <w:vAlign w:val="center"/>
          </w:tcPr>
          <w:p w:rsidR="00D71B15" w:rsidRDefault="00D71B15">
            <w:pPr>
              <w:pStyle w:val="Pagedecouverture"/>
              <w:rPr>
                <w:noProof/>
                <w:sz w:val="20"/>
                <w:szCs w:val="20"/>
              </w:rPr>
            </w:pPr>
          </w:p>
        </w:tc>
        <w:tc>
          <w:tcPr>
            <w:tcW w:w="438" w:type="pct"/>
            <w:vAlign w:val="center"/>
          </w:tcPr>
          <w:p w:rsidR="00D71B15" w:rsidRDefault="00D71B15">
            <w:pPr>
              <w:pStyle w:val="Pagedecouverture"/>
              <w:rPr>
                <w:noProof/>
                <w:sz w:val="20"/>
                <w:szCs w:val="20"/>
              </w:rPr>
            </w:pPr>
          </w:p>
        </w:tc>
      </w:tr>
      <w:tr w:rsidR="00D71B15">
        <w:trPr>
          <w:trHeight w:val="178"/>
          <w:jc w:val="center"/>
        </w:trPr>
        <w:tc>
          <w:tcPr>
            <w:tcW w:w="5000" w:type="pct"/>
            <w:gridSpan w:val="10"/>
          </w:tcPr>
          <w:p w:rsidR="00D71B15" w:rsidRDefault="005012C0">
            <w:pPr>
              <w:pStyle w:val="Pagedecouverture"/>
              <w:rPr>
                <w:b/>
                <w:noProof/>
                <w:sz w:val="20"/>
                <w:szCs w:val="20"/>
              </w:rPr>
            </w:pPr>
            <w:r>
              <w:rPr>
                <w:b/>
                <w:noProof/>
                <w:sz w:val="20"/>
                <w:szCs w:val="20"/>
              </w:rPr>
              <w:sym w:font="Wingdings" w:char="F09F"/>
            </w:r>
            <w:r>
              <w:rPr>
                <w:noProof/>
              </w:rPr>
              <w:t xml:space="preserve"> </w:t>
            </w:r>
            <w:r>
              <w:rPr>
                <w:b/>
                <w:noProof/>
                <w:sz w:val="20"/>
              </w:rPr>
              <w:t>Ulkopuolinen henkilöstö (kokoaikaiseksi muutettuna)</w:t>
            </w:r>
            <w:r>
              <w:rPr>
                <w:rStyle w:val="FootnoteReference"/>
                <w:b/>
                <w:noProof/>
                <w:sz w:val="20"/>
              </w:rPr>
              <w:footnoteReference w:id="29"/>
            </w:r>
          </w:p>
        </w:tc>
      </w:tr>
      <w:tr w:rsidR="00D71B15">
        <w:trPr>
          <w:trHeight w:val="504"/>
          <w:jc w:val="center"/>
        </w:trPr>
        <w:tc>
          <w:tcPr>
            <w:tcW w:w="1652" w:type="pct"/>
            <w:gridSpan w:val="2"/>
            <w:vAlign w:val="center"/>
          </w:tcPr>
          <w:p w:rsidR="00D71B15" w:rsidRDefault="005012C0">
            <w:pPr>
              <w:pStyle w:val="Pagedecouverture"/>
              <w:jc w:val="left"/>
              <w:rPr>
                <w:noProof/>
                <w:sz w:val="20"/>
                <w:szCs w:val="20"/>
              </w:rPr>
            </w:pPr>
            <w:r>
              <w:rPr>
                <w:noProof/>
                <w:sz w:val="20"/>
              </w:rPr>
              <w:t>XX 01 02 01 (kokonaismäärärahoista katettavat sopimussuhteiset toimihenkilöt, vuokrahenkilöstö ja kansalliset asiantuntijat)</w:t>
            </w:r>
          </w:p>
        </w:tc>
        <w:tc>
          <w:tcPr>
            <w:tcW w:w="508" w:type="pct"/>
            <w:vAlign w:val="center"/>
          </w:tcPr>
          <w:p w:rsidR="00D71B15" w:rsidRDefault="00D71B15">
            <w:pPr>
              <w:pStyle w:val="Pagedecouverture"/>
              <w:rPr>
                <w:noProof/>
                <w:sz w:val="20"/>
                <w:szCs w:val="20"/>
              </w:rPr>
            </w:pPr>
          </w:p>
        </w:tc>
        <w:tc>
          <w:tcPr>
            <w:tcW w:w="508" w:type="pct"/>
            <w:vAlign w:val="center"/>
          </w:tcPr>
          <w:p w:rsidR="00D71B15" w:rsidRDefault="00D71B15">
            <w:pPr>
              <w:pStyle w:val="Pagedecouverture"/>
              <w:rPr>
                <w:noProof/>
                <w:sz w:val="20"/>
                <w:szCs w:val="20"/>
              </w:rPr>
            </w:pPr>
          </w:p>
        </w:tc>
        <w:tc>
          <w:tcPr>
            <w:tcW w:w="509" w:type="pct"/>
            <w:vAlign w:val="center"/>
          </w:tcPr>
          <w:p w:rsidR="00D71B15" w:rsidRDefault="00D71B15">
            <w:pPr>
              <w:pStyle w:val="Pagedecouverture"/>
              <w:rPr>
                <w:noProof/>
                <w:sz w:val="20"/>
                <w:szCs w:val="20"/>
              </w:rPr>
            </w:pPr>
          </w:p>
        </w:tc>
        <w:tc>
          <w:tcPr>
            <w:tcW w:w="509" w:type="pct"/>
            <w:gridSpan w:val="2"/>
          </w:tcPr>
          <w:p w:rsidR="00D71B15" w:rsidRDefault="00D71B15">
            <w:pPr>
              <w:pStyle w:val="Pagedecouverture"/>
              <w:rPr>
                <w:noProof/>
                <w:sz w:val="20"/>
                <w:szCs w:val="20"/>
              </w:rPr>
            </w:pPr>
          </w:p>
        </w:tc>
        <w:tc>
          <w:tcPr>
            <w:tcW w:w="438" w:type="pct"/>
            <w:vAlign w:val="center"/>
          </w:tcPr>
          <w:p w:rsidR="00D71B15" w:rsidRDefault="00D71B15">
            <w:pPr>
              <w:pStyle w:val="Pagedecouverture"/>
              <w:rPr>
                <w:noProof/>
                <w:sz w:val="20"/>
                <w:szCs w:val="20"/>
              </w:rPr>
            </w:pPr>
          </w:p>
        </w:tc>
        <w:tc>
          <w:tcPr>
            <w:tcW w:w="438" w:type="pct"/>
            <w:vAlign w:val="center"/>
          </w:tcPr>
          <w:p w:rsidR="00D71B15" w:rsidRDefault="00D71B15">
            <w:pPr>
              <w:pStyle w:val="Pagedecouverture"/>
              <w:rPr>
                <w:noProof/>
                <w:sz w:val="20"/>
                <w:szCs w:val="20"/>
              </w:rPr>
            </w:pPr>
          </w:p>
        </w:tc>
        <w:tc>
          <w:tcPr>
            <w:tcW w:w="438" w:type="pct"/>
            <w:vAlign w:val="center"/>
          </w:tcPr>
          <w:p w:rsidR="00D71B15" w:rsidRDefault="00D71B15">
            <w:pPr>
              <w:pStyle w:val="Pagedecouverture"/>
              <w:rPr>
                <w:noProof/>
                <w:sz w:val="20"/>
                <w:szCs w:val="20"/>
              </w:rPr>
            </w:pPr>
          </w:p>
        </w:tc>
      </w:tr>
      <w:tr w:rsidR="00D71B15">
        <w:trPr>
          <w:trHeight w:val="207"/>
          <w:jc w:val="center"/>
        </w:trPr>
        <w:tc>
          <w:tcPr>
            <w:tcW w:w="1652" w:type="pct"/>
            <w:gridSpan w:val="2"/>
            <w:vAlign w:val="center"/>
          </w:tcPr>
          <w:p w:rsidR="00D71B15" w:rsidRDefault="005012C0">
            <w:pPr>
              <w:pStyle w:val="Pagedecouverture"/>
              <w:jc w:val="left"/>
              <w:rPr>
                <w:noProof/>
                <w:sz w:val="20"/>
                <w:szCs w:val="20"/>
              </w:rPr>
            </w:pPr>
            <w:r>
              <w:rPr>
                <w:noProof/>
                <w:sz w:val="20"/>
              </w:rPr>
              <w:t xml:space="preserve">XX 01 02 02 (sopimussuhteiset ja paikalliset toimihenkilöt, </w:t>
            </w:r>
            <w:r>
              <w:rPr>
                <w:noProof/>
                <w:sz w:val="20"/>
              </w:rPr>
              <w:t>vuokrahenkilöstö, nuoremmat asiantuntijat ja kansalliset asiantuntijat EU:n ulkopuolisissa edustustoissa)</w:t>
            </w:r>
          </w:p>
        </w:tc>
        <w:tc>
          <w:tcPr>
            <w:tcW w:w="508" w:type="pct"/>
            <w:vAlign w:val="center"/>
          </w:tcPr>
          <w:p w:rsidR="00D71B15" w:rsidRDefault="00D71B15">
            <w:pPr>
              <w:pStyle w:val="Pagedecouverture"/>
              <w:rPr>
                <w:noProof/>
                <w:sz w:val="20"/>
                <w:szCs w:val="20"/>
              </w:rPr>
            </w:pPr>
          </w:p>
        </w:tc>
        <w:tc>
          <w:tcPr>
            <w:tcW w:w="508" w:type="pct"/>
            <w:vAlign w:val="center"/>
          </w:tcPr>
          <w:p w:rsidR="00D71B15" w:rsidRDefault="00D71B15">
            <w:pPr>
              <w:pStyle w:val="Pagedecouverture"/>
              <w:rPr>
                <w:noProof/>
                <w:sz w:val="20"/>
                <w:szCs w:val="20"/>
              </w:rPr>
            </w:pPr>
          </w:p>
        </w:tc>
        <w:tc>
          <w:tcPr>
            <w:tcW w:w="509" w:type="pct"/>
            <w:vAlign w:val="center"/>
          </w:tcPr>
          <w:p w:rsidR="00D71B15" w:rsidRDefault="00D71B15">
            <w:pPr>
              <w:pStyle w:val="Pagedecouverture"/>
              <w:rPr>
                <w:noProof/>
                <w:sz w:val="20"/>
                <w:szCs w:val="20"/>
              </w:rPr>
            </w:pPr>
          </w:p>
        </w:tc>
        <w:tc>
          <w:tcPr>
            <w:tcW w:w="509" w:type="pct"/>
            <w:gridSpan w:val="2"/>
          </w:tcPr>
          <w:p w:rsidR="00D71B15" w:rsidRDefault="00D71B15">
            <w:pPr>
              <w:pStyle w:val="Pagedecouverture"/>
              <w:rPr>
                <w:noProof/>
                <w:sz w:val="20"/>
                <w:szCs w:val="20"/>
              </w:rPr>
            </w:pPr>
          </w:p>
        </w:tc>
        <w:tc>
          <w:tcPr>
            <w:tcW w:w="438" w:type="pct"/>
            <w:vAlign w:val="center"/>
          </w:tcPr>
          <w:p w:rsidR="00D71B15" w:rsidRDefault="00D71B15">
            <w:pPr>
              <w:pStyle w:val="Pagedecouverture"/>
              <w:rPr>
                <w:noProof/>
                <w:sz w:val="20"/>
                <w:szCs w:val="20"/>
              </w:rPr>
            </w:pPr>
          </w:p>
        </w:tc>
        <w:tc>
          <w:tcPr>
            <w:tcW w:w="438" w:type="pct"/>
            <w:vAlign w:val="center"/>
          </w:tcPr>
          <w:p w:rsidR="00D71B15" w:rsidRDefault="00D71B15">
            <w:pPr>
              <w:pStyle w:val="Pagedecouverture"/>
              <w:rPr>
                <w:noProof/>
                <w:sz w:val="20"/>
                <w:szCs w:val="20"/>
              </w:rPr>
            </w:pPr>
          </w:p>
        </w:tc>
        <w:tc>
          <w:tcPr>
            <w:tcW w:w="438" w:type="pct"/>
            <w:vAlign w:val="center"/>
          </w:tcPr>
          <w:p w:rsidR="00D71B15" w:rsidRDefault="00D71B15">
            <w:pPr>
              <w:pStyle w:val="Pagedecouverture"/>
              <w:rPr>
                <w:noProof/>
                <w:sz w:val="20"/>
                <w:szCs w:val="20"/>
              </w:rPr>
            </w:pPr>
          </w:p>
        </w:tc>
      </w:tr>
      <w:tr w:rsidR="00D71B15">
        <w:trPr>
          <w:trHeight w:val="363"/>
          <w:jc w:val="center"/>
        </w:trPr>
        <w:tc>
          <w:tcPr>
            <w:tcW w:w="669" w:type="pct"/>
            <w:vMerge w:val="restart"/>
            <w:vAlign w:val="center"/>
          </w:tcPr>
          <w:p w:rsidR="00D71B15" w:rsidRDefault="005012C0">
            <w:pPr>
              <w:pStyle w:val="Pagedecouverture"/>
              <w:jc w:val="left"/>
              <w:rPr>
                <w:b/>
                <w:noProof/>
                <w:sz w:val="20"/>
                <w:szCs w:val="20"/>
              </w:rPr>
            </w:pPr>
            <w:r>
              <w:rPr>
                <w:b/>
                <w:noProof/>
                <w:sz w:val="20"/>
              </w:rPr>
              <w:t>XX</w:t>
            </w:r>
            <w:r>
              <w:rPr>
                <w:noProof/>
                <w:sz w:val="20"/>
              </w:rPr>
              <w:t xml:space="preserve"> 01 04 </w:t>
            </w:r>
            <w:r>
              <w:rPr>
                <w:b/>
                <w:noProof/>
                <w:sz w:val="20"/>
              </w:rPr>
              <w:t>yy</w:t>
            </w:r>
            <w:r>
              <w:rPr>
                <w:rStyle w:val="FootnoteReference"/>
                <w:b/>
                <w:noProof/>
                <w:sz w:val="20"/>
              </w:rPr>
              <w:footnoteReference w:id="30"/>
            </w:r>
          </w:p>
          <w:p w:rsidR="00D71B15" w:rsidRDefault="00D71B15">
            <w:pPr>
              <w:pStyle w:val="Pagedecouverture"/>
              <w:jc w:val="left"/>
              <w:rPr>
                <w:noProof/>
                <w:sz w:val="20"/>
                <w:szCs w:val="20"/>
              </w:rPr>
            </w:pPr>
          </w:p>
        </w:tc>
        <w:tc>
          <w:tcPr>
            <w:tcW w:w="983" w:type="pct"/>
            <w:vAlign w:val="center"/>
          </w:tcPr>
          <w:p w:rsidR="00D71B15" w:rsidRDefault="005012C0">
            <w:pPr>
              <w:pStyle w:val="Pagedecouverture"/>
              <w:jc w:val="left"/>
              <w:rPr>
                <w:b/>
                <w:noProof/>
                <w:sz w:val="20"/>
                <w:szCs w:val="20"/>
              </w:rPr>
            </w:pPr>
            <w:r>
              <w:rPr>
                <w:noProof/>
                <w:sz w:val="20"/>
              </w:rPr>
              <w:t>- päätoimipaikassa</w:t>
            </w:r>
          </w:p>
        </w:tc>
        <w:tc>
          <w:tcPr>
            <w:tcW w:w="508" w:type="pct"/>
            <w:vAlign w:val="center"/>
          </w:tcPr>
          <w:p w:rsidR="00D71B15" w:rsidRDefault="00D71B15">
            <w:pPr>
              <w:pStyle w:val="Pagedecouverture"/>
              <w:rPr>
                <w:noProof/>
                <w:sz w:val="20"/>
                <w:szCs w:val="20"/>
              </w:rPr>
            </w:pPr>
          </w:p>
        </w:tc>
        <w:tc>
          <w:tcPr>
            <w:tcW w:w="508" w:type="pct"/>
            <w:vAlign w:val="center"/>
          </w:tcPr>
          <w:p w:rsidR="00D71B15" w:rsidRDefault="00D71B15">
            <w:pPr>
              <w:pStyle w:val="Pagedecouverture"/>
              <w:rPr>
                <w:noProof/>
                <w:sz w:val="20"/>
                <w:szCs w:val="20"/>
              </w:rPr>
            </w:pPr>
          </w:p>
        </w:tc>
        <w:tc>
          <w:tcPr>
            <w:tcW w:w="509" w:type="pct"/>
            <w:vAlign w:val="center"/>
          </w:tcPr>
          <w:p w:rsidR="00D71B15" w:rsidRDefault="00D71B15">
            <w:pPr>
              <w:pStyle w:val="Pagedecouverture"/>
              <w:rPr>
                <w:noProof/>
                <w:sz w:val="20"/>
                <w:szCs w:val="20"/>
              </w:rPr>
            </w:pPr>
          </w:p>
        </w:tc>
        <w:tc>
          <w:tcPr>
            <w:tcW w:w="509" w:type="pct"/>
            <w:gridSpan w:val="2"/>
          </w:tcPr>
          <w:p w:rsidR="00D71B15" w:rsidRDefault="00D71B15">
            <w:pPr>
              <w:pStyle w:val="Pagedecouverture"/>
              <w:rPr>
                <w:noProof/>
                <w:sz w:val="20"/>
                <w:szCs w:val="20"/>
              </w:rPr>
            </w:pPr>
          </w:p>
        </w:tc>
        <w:tc>
          <w:tcPr>
            <w:tcW w:w="438" w:type="pct"/>
            <w:vAlign w:val="center"/>
          </w:tcPr>
          <w:p w:rsidR="00D71B15" w:rsidRDefault="00D71B15">
            <w:pPr>
              <w:pStyle w:val="Pagedecouverture"/>
              <w:rPr>
                <w:noProof/>
                <w:sz w:val="20"/>
                <w:szCs w:val="20"/>
              </w:rPr>
            </w:pPr>
          </w:p>
        </w:tc>
        <w:tc>
          <w:tcPr>
            <w:tcW w:w="438" w:type="pct"/>
            <w:vAlign w:val="center"/>
          </w:tcPr>
          <w:p w:rsidR="00D71B15" w:rsidRDefault="00D71B15">
            <w:pPr>
              <w:pStyle w:val="Pagedecouverture"/>
              <w:rPr>
                <w:noProof/>
                <w:sz w:val="20"/>
                <w:szCs w:val="20"/>
              </w:rPr>
            </w:pPr>
          </w:p>
        </w:tc>
        <w:tc>
          <w:tcPr>
            <w:tcW w:w="438" w:type="pct"/>
            <w:vAlign w:val="center"/>
          </w:tcPr>
          <w:p w:rsidR="00D71B15" w:rsidRDefault="00D71B15">
            <w:pPr>
              <w:pStyle w:val="Pagedecouverture"/>
              <w:rPr>
                <w:noProof/>
                <w:sz w:val="20"/>
                <w:szCs w:val="20"/>
              </w:rPr>
            </w:pPr>
          </w:p>
        </w:tc>
      </w:tr>
      <w:tr w:rsidR="00D71B15">
        <w:trPr>
          <w:trHeight w:val="207"/>
          <w:jc w:val="center"/>
        </w:trPr>
        <w:tc>
          <w:tcPr>
            <w:tcW w:w="669" w:type="pct"/>
            <w:vMerge/>
            <w:vAlign w:val="center"/>
          </w:tcPr>
          <w:p w:rsidR="00D71B15" w:rsidRDefault="00D71B15">
            <w:pPr>
              <w:pStyle w:val="Pagedecouverture"/>
              <w:jc w:val="left"/>
              <w:rPr>
                <w:noProof/>
                <w:sz w:val="20"/>
                <w:szCs w:val="20"/>
              </w:rPr>
            </w:pPr>
          </w:p>
        </w:tc>
        <w:tc>
          <w:tcPr>
            <w:tcW w:w="983" w:type="pct"/>
            <w:vAlign w:val="center"/>
          </w:tcPr>
          <w:p w:rsidR="00D71B15" w:rsidRDefault="005012C0">
            <w:pPr>
              <w:pStyle w:val="Pagedecouverture"/>
              <w:jc w:val="left"/>
              <w:rPr>
                <w:noProof/>
                <w:sz w:val="20"/>
                <w:szCs w:val="20"/>
              </w:rPr>
            </w:pPr>
            <w:r>
              <w:rPr>
                <w:noProof/>
                <w:sz w:val="20"/>
              </w:rPr>
              <w:t xml:space="preserve">- EU:n ulkop. edustustoissa </w:t>
            </w:r>
          </w:p>
        </w:tc>
        <w:tc>
          <w:tcPr>
            <w:tcW w:w="508" w:type="pct"/>
            <w:vAlign w:val="center"/>
          </w:tcPr>
          <w:p w:rsidR="00D71B15" w:rsidRDefault="00D71B15">
            <w:pPr>
              <w:pStyle w:val="Pagedecouverture"/>
              <w:rPr>
                <w:noProof/>
                <w:sz w:val="20"/>
                <w:szCs w:val="20"/>
              </w:rPr>
            </w:pPr>
          </w:p>
        </w:tc>
        <w:tc>
          <w:tcPr>
            <w:tcW w:w="508" w:type="pct"/>
            <w:vAlign w:val="center"/>
          </w:tcPr>
          <w:p w:rsidR="00D71B15" w:rsidRDefault="00D71B15">
            <w:pPr>
              <w:pStyle w:val="Pagedecouverture"/>
              <w:rPr>
                <w:noProof/>
                <w:sz w:val="20"/>
                <w:szCs w:val="20"/>
              </w:rPr>
            </w:pPr>
          </w:p>
        </w:tc>
        <w:tc>
          <w:tcPr>
            <w:tcW w:w="509" w:type="pct"/>
            <w:vAlign w:val="center"/>
          </w:tcPr>
          <w:p w:rsidR="00D71B15" w:rsidRDefault="00D71B15">
            <w:pPr>
              <w:pStyle w:val="Pagedecouverture"/>
              <w:rPr>
                <w:noProof/>
                <w:sz w:val="20"/>
                <w:szCs w:val="20"/>
              </w:rPr>
            </w:pPr>
          </w:p>
        </w:tc>
        <w:tc>
          <w:tcPr>
            <w:tcW w:w="509" w:type="pct"/>
            <w:gridSpan w:val="2"/>
          </w:tcPr>
          <w:p w:rsidR="00D71B15" w:rsidRDefault="00D71B15">
            <w:pPr>
              <w:pStyle w:val="Pagedecouverture"/>
              <w:rPr>
                <w:noProof/>
                <w:sz w:val="20"/>
                <w:szCs w:val="20"/>
              </w:rPr>
            </w:pPr>
          </w:p>
        </w:tc>
        <w:tc>
          <w:tcPr>
            <w:tcW w:w="438" w:type="pct"/>
            <w:vAlign w:val="center"/>
          </w:tcPr>
          <w:p w:rsidR="00D71B15" w:rsidRDefault="00D71B15">
            <w:pPr>
              <w:pStyle w:val="Pagedecouverture"/>
              <w:rPr>
                <w:noProof/>
                <w:sz w:val="20"/>
                <w:szCs w:val="20"/>
              </w:rPr>
            </w:pPr>
          </w:p>
        </w:tc>
        <w:tc>
          <w:tcPr>
            <w:tcW w:w="438" w:type="pct"/>
            <w:vAlign w:val="center"/>
          </w:tcPr>
          <w:p w:rsidR="00D71B15" w:rsidRDefault="00D71B15">
            <w:pPr>
              <w:pStyle w:val="Pagedecouverture"/>
              <w:rPr>
                <w:noProof/>
                <w:sz w:val="20"/>
                <w:szCs w:val="20"/>
              </w:rPr>
            </w:pPr>
          </w:p>
        </w:tc>
        <w:tc>
          <w:tcPr>
            <w:tcW w:w="438" w:type="pct"/>
            <w:vAlign w:val="center"/>
          </w:tcPr>
          <w:p w:rsidR="00D71B15" w:rsidRDefault="00D71B15">
            <w:pPr>
              <w:pStyle w:val="Pagedecouverture"/>
              <w:rPr>
                <w:noProof/>
                <w:sz w:val="20"/>
                <w:szCs w:val="20"/>
              </w:rPr>
            </w:pPr>
          </w:p>
        </w:tc>
      </w:tr>
      <w:tr w:rsidR="00D71B15">
        <w:trPr>
          <w:trHeight w:val="207"/>
          <w:jc w:val="center"/>
        </w:trPr>
        <w:tc>
          <w:tcPr>
            <w:tcW w:w="1652" w:type="pct"/>
            <w:gridSpan w:val="2"/>
            <w:vAlign w:val="center"/>
          </w:tcPr>
          <w:p w:rsidR="00D71B15" w:rsidRDefault="005012C0">
            <w:pPr>
              <w:pStyle w:val="Pagedecouverture"/>
              <w:jc w:val="left"/>
              <w:rPr>
                <w:noProof/>
                <w:sz w:val="20"/>
                <w:szCs w:val="20"/>
              </w:rPr>
            </w:pPr>
            <w:r>
              <w:rPr>
                <w:b/>
                <w:noProof/>
                <w:sz w:val="20"/>
              </w:rPr>
              <w:t>XX</w:t>
            </w:r>
            <w:r>
              <w:rPr>
                <w:noProof/>
              </w:rPr>
              <w:t xml:space="preserve"> </w:t>
            </w:r>
            <w:r>
              <w:rPr>
                <w:noProof/>
                <w:sz w:val="20"/>
              </w:rPr>
              <w:t xml:space="preserve">01 05 02 (epäsuora tutkimustoiminta: sopimussuhteiset </w:t>
            </w:r>
            <w:r>
              <w:rPr>
                <w:noProof/>
                <w:sz w:val="20"/>
              </w:rPr>
              <w:t>toimihenkilöt, kansalliset asiantuntijat ja vuokrahenkilöstö)</w:t>
            </w:r>
          </w:p>
          <w:p w:rsidR="00D71B15" w:rsidRDefault="00D71B15">
            <w:pPr>
              <w:pStyle w:val="Pagedecouverture"/>
              <w:jc w:val="left"/>
              <w:rPr>
                <w:noProof/>
                <w:sz w:val="20"/>
                <w:szCs w:val="20"/>
              </w:rPr>
            </w:pPr>
          </w:p>
        </w:tc>
        <w:tc>
          <w:tcPr>
            <w:tcW w:w="508" w:type="pct"/>
            <w:vAlign w:val="center"/>
          </w:tcPr>
          <w:p w:rsidR="00D71B15" w:rsidRDefault="00D71B15">
            <w:pPr>
              <w:pStyle w:val="Pagedecouverture"/>
              <w:rPr>
                <w:noProof/>
                <w:sz w:val="20"/>
                <w:szCs w:val="20"/>
              </w:rPr>
            </w:pPr>
          </w:p>
        </w:tc>
        <w:tc>
          <w:tcPr>
            <w:tcW w:w="508" w:type="pct"/>
            <w:vAlign w:val="center"/>
          </w:tcPr>
          <w:p w:rsidR="00D71B15" w:rsidRDefault="00D71B15">
            <w:pPr>
              <w:pStyle w:val="Pagedecouverture"/>
              <w:rPr>
                <w:noProof/>
                <w:sz w:val="20"/>
                <w:szCs w:val="20"/>
              </w:rPr>
            </w:pPr>
          </w:p>
        </w:tc>
        <w:tc>
          <w:tcPr>
            <w:tcW w:w="509" w:type="pct"/>
            <w:vAlign w:val="center"/>
          </w:tcPr>
          <w:p w:rsidR="00D71B15" w:rsidRDefault="00D71B15">
            <w:pPr>
              <w:pStyle w:val="Pagedecouverture"/>
              <w:rPr>
                <w:noProof/>
                <w:sz w:val="20"/>
                <w:szCs w:val="20"/>
              </w:rPr>
            </w:pPr>
          </w:p>
        </w:tc>
        <w:tc>
          <w:tcPr>
            <w:tcW w:w="509" w:type="pct"/>
            <w:gridSpan w:val="2"/>
          </w:tcPr>
          <w:p w:rsidR="00D71B15" w:rsidRDefault="00D71B15">
            <w:pPr>
              <w:pStyle w:val="Pagedecouverture"/>
              <w:rPr>
                <w:noProof/>
                <w:sz w:val="20"/>
                <w:szCs w:val="20"/>
              </w:rPr>
            </w:pPr>
          </w:p>
        </w:tc>
        <w:tc>
          <w:tcPr>
            <w:tcW w:w="438" w:type="pct"/>
            <w:vAlign w:val="center"/>
          </w:tcPr>
          <w:p w:rsidR="00D71B15" w:rsidRDefault="00D71B15">
            <w:pPr>
              <w:pStyle w:val="Pagedecouverture"/>
              <w:rPr>
                <w:noProof/>
                <w:sz w:val="20"/>
                <w:szCs w:val="20"/>
              </w:rPr>
            </w:pPr>
          </w:p>
        </w:tc>
        <w:tc>
          <w:tcPr>
            <w:tcW w:w="438" w:type="pct"/>
            <w:vAlign w:val="center"/>
          </w:tcPr>
          <w:p w:rsidR="00D71B15" w:rsidRDefault="00D71B15">
            <w:pPr>
              <w:pStyle w:val="Pagedecouverture"/>
              <w:rPr>
                <w:noProof/>
                <w:sz w:val="20"/>
                <w:szCs w:val="20"/>
              </w:rPr>
            </w:pPr>
          </w:p>
        </w:tc>
        <w:tc>
          <w:tcPr>
            <w:tcW w:w="438" w:type="pct"/>
            <w:vAlign w:val="center"/>
          </w:tcPr>
          <w:p w:rsidR="00D71B15" w:rsidRDefault="00D71B15">
            <w:pPr>
              <w:pStyle w:val="Pagedecouverture"/>
              <w:rPr>
                <w:noProof/>
                <w:sz w:val="20"/>
                <w:szCs w:val="20"/>
              </w:rPr>
            </w:pPr>
          </w:p>
        </w:tc>
      </w:tr>
      <w:tr w:rsidR="00D71B15">
        <w:trPr>
          <w:trHeight w:val="207"/>
          <w:jc w:val="center"/>
        </w:trPr>
        <w:tc>
          <w:tcPr>
            <w:tcW w:w="1652" w:type="pct"/>
            <w:gridSpan w:val="2"/>
            <w:vAlign w:val="center"/>
          </w:tcPr>
          <w:p w:rsidR="00D71B15" w:rsidRDefault="005012C0">
            <w:pPr>
              <w:pStyle w:val="Pagedecouverture"/>
              <w:jc w:val="left"/>
              <w:rPr>
                <w:noProof/>
                <w:sz w:val="20"/>
                <w:szCs w:val="20"/>
              </w:rPr>
            </w:pPr>
            <w:r>
              <w:rPr>
                <w:noProof/>
                <w:sz w:val="20"/>
              </w:rPr>
              <w:t>10 01 05 02 (suora tutkimustoiminta: sopimussuhteiset toimihenkilöt, kansalliset asiantuntijat ja vuokrahenkilöstö)</w:t>
            </w:r>
          </w:p>
        </w:tc>
        <w:tc>
          <w:tcPr>
            <w:tcW w:w="508" w:type="pct"/>
            <w:vAlign w:val="center"/>
          </w:tcPr>
          <w:p w:rsidR="00D71B15" w:rsidRDefault="00D71B15">
            <w:pPr>
              <w:pStyle w:val="Pagedecouverture"/>
              <w:rPr>
                <w:noProof/>
                <w:sz w:val="20"/>
                <w:szCs w:val="20"/>
              </w:rPr>
            </w:pPr>
          </w:p>
        </w:tc>
        <w:tc>
          <w:tcPr>
            <w:tcW w:w="508" w:type="pct"/>
            <w:vAlign w:val="center"/>
          </w:tcPr>
          <w:p w:rsidR="00D71B15" w:rsidRDefault="00D71B15">
            <w:pPr>
              <w:pStyle w:val="Pagedecouverture"/>
              <w:rPr>
                <w:noProof/>
                <w:sz w:val="20"/>
                <w:szCs w:val="20"/>
              </w:rPr>
            </w:pPr>
          </w:p>
        </w:tc>
        <w:tc>
          <w:tcPr>
            <w:tcW w:w="509" w:type="pct"/>
            <w:vAlign w:val="center"/>
          </w:tcPr>
          <w:p w:rsidR="00D71B15" w:rsidRDefault="00D71B15">
            <w:pPr>
              <w:pStyle w:val="Pagedecouverture"/>
              <w:rPr>
                <w:noProof/>
                <w:sz w:val="20"/>
                <w:szCs w:val="20"/>
              </w:rPr>
            </w:pPr>
          </w:p>
        </w:tc>
        <w:tc>
          <w:tcPr>
            <w:tcW w:w="509" w:type="pct"/>
            <w:gridSpan w:val="2"/>
          </w:tcPr>
          <w:p w:rsidR="00D71B15" w:rsidRDefault="00D71B15">
            <w:pPr>
              <w:pStyle w:val="Pagedecouverture"/>
              <w:rPr>
                <w:noProof/>
                <w:sz w:val="20"/>
                <w:szCs w:val="20"/>
              </w:rPr>
            </w:pPr>
          </w:p>
        </w:tc>
        <w:tc>
          <w:tcPr>
            <w:tcW w:w="438" w:type="pct"/>
            <w:vAlign w:val="center"/>
          </w:tcPr>
          <w:p w:rsidR="00D71B15" w:rsidRDefault="00D71B15">
            <w:pPr>
              <w:pStyle w:val="Pagedecouverture"/>
              <w:rPr>
                <w:noProof/>
                <w:sz w:val="20"/>
                <w:szCs w:val="20"/>
              </w:rPr>
            </w:pPr>
          </w:p>
        </w:tc>
        <w:tc>
          <w:tcPr>
            <w:tcW w:w="438" w:type="pct"/>
            <w:vAlign w:val="center"/>
          </w:tcPr>
          <w:p w:rsidR="00D71B15" w:rsidRDefault="00D71B15">
            <w:pPr>
              <w:pStyle w:val="Pagedecouverture"/>
              <w:rPr>
                <w:noProof/>
                <w:sz w:val="20"/>
                <w:szCs w:val="20"/>
              </w:rPr>
            </w:pPr>
          </w:p>
        </w:tc>
        <w:tc>
          <w:tcPr>
            <w:tcW w:w="438" w:type="pct"/>
            <w:vAlign w:val="center"/>
          </w:tcPr>
          <w:p w:rsidR="00D71B15" w:rsidRDefault="00D71B15">
            <w:pPr>
              <w:pStyle w:val="Pagedecouverture"/>
              <w:rPr>
                <w:noProof/>
                <w:sz w:val="20"/>
                <w:szCs w:val="20"/>
              </w:rPr>
            </w:pPr>
          </w:p>
        </w:tc>
      </w:tr>
      <w:tr w:rsidR="00D71B15">
        <w:trPr>
          <w:trHeight w:val="461"/>
          <w:jc w:val="center"/>
        </w:trPr>
        <w:tc>
          <w:tcPr>
            <w:tcW w:w="1652" w:type="pct"/>
            <w:gridSpan w:val="2"/>
            <w:tcBorders>
              <w:bottom w:val="double" w:sz="4" w:space="0" w:color="auto"/>
            </w:tcBorders>
            <w:vAlign w:val="center"/>
          </w:tcPr>
          <w:p w:rsidR="00D71B15" w:rsidRDefault="005012C0">
            <w:pPr>
              <w:pStyle w:val="Pagedecouverture"/>
              <w:jc w:val="left"/>
              <w:rPr>
                <w:noProof/>
                <w:sz w:val="20"/>
                <w:szCs w:val="20"/>
              </w:rPr>
            </w:pPr>
            <w:r>
              <w:rPr>
                <w:noProof/>
                <w:sz w:val="20"/>
              </w:rPr>
              <w:t>Muu budjettikohta (mikä?)</w:t>
            </w:r>
          </w:p>
        </w:tc>
        <w:tc>
          <w:tcPr>
            <w:tcW w:w="508" w:type="pct"/>
            <w:tcBorders>
              <w:bottom w:val="double" w:sz="4" w:space="0" w:color="auto"/>
            </w:tcBorders>
            <w:vAlign w:val="center"/>
          </w:tcPr>
          <w:p w:rsidR="00D71B15" w:rsidRDefault="00D71B15">
            <w:pPr>
              <w:pStyle w:val="Pagedecouverture"/>
              <w:rPr>
                <w:noProof/>
                <w:sz w:val="20"/>
                <w:szCs w:val="20"/>
              </w:rPr>
            </w:pPr>
          </w:p>
        </w:tc>
        <w:tc>
          <w:tcPr>
            <w:tcW w:w="508" w:type="pct"/>
            <w:tcBorders>
              <w:bottom w:val="double" w:sz="4" w:space="0" w:color="auto"/>
            </w:tcBorders>
            <w:vAlign w:val="center"/>
          </w:tcPr>
          <w:p w:rsidR="00D71B15" w:rsidRDefault="00D71B15">
            <w:pPr>
              <w:pStyle w:val="Pagedecouverture"/>
              <w:rPr>
                <w:noProof/>
                <w:sz w:val="20"/>
                <w:szCs w:val="20"/>
              </w:rPr>
            </w:pPr>
          </w:p>
        </w:tc>
        <w:tc>
          <w:tcPr>
            <w:tcW w:w="509" w:type="pct"/>
            <w:tcBorders>
              <w:bottom w:val="double" w:sz="4" w:space="0" w:color="auto"/>
            </w:tcBorders>
            <w:vAlign w:val="center"/>
          </w:tcPr>
          <w:p w:rsidR="00D71B15" w:rsidRDefault="00D71B15">
            <w:pPr>
              <w:pStyle w:val="Pagedecouverture"/>
              <w:rPr>
                <w:noProof/>
                <w:sz w:val="20"/>
                <w:szCs w:val="20"/>
              </w:rPr>
            </w:pPr>
          </w:p>
        </w:tc>
        <w:tc>
          <w:tcPr>
            <w:tcW w:w="509" w:type="pct"/>
            <w:gridSpan w:val="2"/>
            <w:tcBorders>
              <w:bottom w:val="double" w:sz="4" w:space="0" w:color="auto"/>
            </w:tcBorders>
          </w:tcPr>
          <w:p w:rsidR="00D71B15" w:rsidRDefault="00D71B15">
            <w:pPr>
              <w:pStyle w:val="Pagedecouverture"/>
              <w:rPr>
                <w:noProof/>
                <w:sz w:val="20"/>
                <w:szCs w:val="20"/>
              </w:rPr>
            </w:pPr>
          </w:p>
        </w:tc>
        <w:tc>
          <w:tcPr>
            <w:tcW w:w="438" w:type="pct"/>
            <w:tcBorders>
              <w:bottom w:val="double" w:sz="4" w:space="0" w:color="auto"/>
            </w:tcBorders>
            <w:vAlign w:val="center"/>
          </w:tcPr>
          <w:p w:rsidR="00D71B15" w:rsidRDefault="00D71B15">
            <w:pPr>
              <w:pStyle w:val="Pagedecouverture"/>
              <w:rPr>
                <w:noProof/>
                <w:sz w:val="20"/>
                <w:szCs w:val="20"/>
              </w:rPr>
            </w:pPr>
          </w:p>
        </w:tc>
        <w:tc>
          <w:tcPr>
            <w:tcW w:w="438" w:type="pct"/>
            <w:tcBorders>
              <w:bottom w:val="double" w:sz="4" w:space="0" w:color="auto"/>
            </w:tcBorders>
            <w:vAlign w:val="center"/>
          </w:tcPr>
          <w:p w:rsidR="00D71B15" w:rsidRDefault="00D71B15">
            <w:pPr>
              <w:pStyle w:val="Pagedecouverture"/>
              <w:rPr>
                <w:noProof/>
                <w:sz w:val="20"/>
                <w:szCs w:val="20"/>
              </w:rPr>
            </w:pPr>
          </w:p>
        </w:tc>
        <w:tc>
          <w:tcPr>
            <w:tcW w:w="438" w:type="pct"/>
            <w:tcBorders>
              <w:bottom w:val="double" w:sz="4" w:space="0" w:color="auto"/>
            </w:tcBorders>
            <w:vAlign w:val="center"/>
          </w:tcPr>
          <w:p w:rsidR="00D71B15" w:rsidRDefault="00D71B15">
            <w:pPr>
              <w:pStyle w:val="Pagedecouverture"/>
              <w:rPr>
                <w:noProof/>
                <w:sz w:val="20"/>
                <w:szCs w:val="20"/>
              </w:rPr>
            </w:pPr>
          </w:p>
        </w:tc>
      </w:tr>
      <w:tr w:rsidR="00D71B15">
        <w:trPr>
          <w:trHeight w:val="396"/>
          <w:jc w:val="center"/>
        </w:trPr>
        <w:tc>
          <w:tcPr>
            <w:tcW w:w="1652" w:type="pct"/>
            <w:gridSpan w:val="2"/>
            <w:tcBorders>
              <w:top w:val="double" w:sz="4" w:space="0" w:color="auto"/>
            </w:tcBorders>
            <w:vAlign w:val="center"/>
          </w:tcPr>
          <w:p w:rsidR="00D71B15" w:rsidRDefault="005012C0">
            <w:pPr>
              <w:pStyle w:val="Pagedecouverture"/>
              <w:rPr>
                <w:b/>
                <w:noProof/>
                <w:sz w:val="20"/>
                <w:szCs w:val="20"/>
              </w:rPr>
            </w:pPr>
            <w:r>
              <w:rPr>
                <w:b/>
                <w:noProof/>
                <w:sz w:val="20"/>
              </w:rPr>
              <w:t>YHTEENSÄ</w:t>
            </w:r>
          </w:p>
        </w:tc>
        <w:tc>
          <w:tcPr>
            <w:tcW w:w="508" w:type="pct"/>
            <w:tcBorders>
              <w:top w:val="double" w:sz="4" w:space="0" w:color="auto"/>
            </w:tcBorders>
            <w:vAlign w:val="center"/>
          </w:tcPr>
          <w:p w:rsidR="00D71B15" w:rsidRDefault="005012C0">
            <w:pPr>
              <w:pStyle w:val="Pagedecouverture"/>
              <w:jc w:val="center"/>
              <w:rPr>
                <w:noProof/>
                <w:sz w:val="20"/>
                <w:szCs w:val="20"/>
              </w:rPr>
            </w:pPr>
            <w:r>
              <w:rPr>
                <w:noProof/>
                <w:sz w:val="20"/>
              </w:rPr>
              <w:t>0,25</w:t>
            </w:r>
          </w:p>
        </w:tc>
        <w:tc>
          <w:tcPr>
            <w:tcW w:w="508" w:type="pct"/>
            <w:tcBorders>
              <w:top w:val="double" w:sz="4" w:space="0" w:color="auto"/>
            </w:tcBorders>
            <w:vAlign w:val="center"/>
          </w:tcPr>
          <w:p w:rsidR="00D71B15" w:rsidRDefault="005012C0">
            <w:pPr>
              <w:pStyle w:val="Pagedecouverture"/>
              <w:jc w:val="center"/>
              <w:rPr>
                <w:noProof/>
                <w:sz w:val="20"/>
                <w:szCs w:val="20"/>
              </w:rPr>
            </w:pPr>
            <w:r>
              <w:rPr>
                <w:noProof/>
                <w:sz w:val="20"/>
              </w:rPr>
              <w:t>0,32</w:t>
            </w:r>
          </w:p>
        </w:tc>
        <w:tc>
          <w:tcPr>
            <w:tcW w:w="509" w:type="pct"/>
            <w:tcBorders>
              <w:top w:val="double" w:sz="4" w:space="0" w:color="auto"/>
            </w:tcBorders>
            <w:vAlign w:val="center"/>
          </w:tcPr>
          <w:p w:rsidR="00D71B15" w:rsidRDefault="005012C0">
            <w:pPr>
              <w:pStyle w:val="Pagedecouverture"/>
              <w:jc w:val="center"/>
              <w:rPr>
                <w:noProof/>
                <w:sz w:val="20"/>
                <w:szCs w:val="20"/>
              </w:rPr>
            </w:pPr>
            <w:r>
              <w:rPr>
                <w:noProof/>
                <w:sz w:val="20"/>
              </w:rPr>
              <w:t>0,16</w:t>
            </w:r>
          </w:p>
        </w:tc>
        <w:tc>
          <w:tcPr>
            <w:tcW w:w="509" w:type="pct"/>
            <w:gridSpan w:val="2"/>
            <w:tcBorders>
              <w:top w:val="double" w:sz="4" w:space="0" w:color="auto"/>
            </w:tcBorders>
            <w:vAlign w:val="center"/>
          </w:tcPr>
          <w:p w:rsidR="00D71B15" w:rsidRDefault="005012C0">
            <w:pPr>
              <w:pStyle w:val="Pagedecouverture"/>
              <w:jc w:val="center"/>
              <w:rPr>
                <w:noProof/>
                <w:sz w:val="20"/>
                <w:szCs w:val="20"/>
              </w:rPr>
            </w:pPr>
            <w:r>
              <w:rPr>
                <w:noProof/>
                <w:sz w:val="20"/>
              </w:rPr>
              <w:t>0,08</w:t>
            </w:r>
          </w:p>
        </w:tc>
        <w:tc>
          <w:tcPr>
            <w:tcW w:w="438" w:type="pct"/>
            <w:tcBorders>
              <w:top w:val="double" w:sz="4" w:space="0" w:color="auto"/>
            </w:tcBorders>
            <w:vAlign w:val="center"/>
          </w:tcPr>
          <w:p w:rsidR="00D71B15" w:rsidRDefault="005012C0">
            <w:pPr>
              <w:pStyle w:val="Pagedecouverture"/>
              <w:jc w:val="center"/>
              <w:rPr>
                <w:noProof/>
                <w:sz w:val="20"/>
                <w:szCs w:val="20"/>
              </w:rPr>
            </w:pPr>
            <w:r>
              <w:rPr>
                <w:noProof/>
                <w:sz w:val="20"/>
              </w:rPr>
              <w:t>0,08</w:t>
            </w:r>
          </w:p>
        </w:tc>
        <w:tc>
          <w:tcPr>
            <w:tcW w:w="438" w:type="pct"/>
            <w:tcBorders>
              <w:top w:val="double" w:sz="4" w:space="0" w:color="auto"/>
            </w:tcBorders>
            <w:vAlign w:val="center"/>
          </w:tcPr>
          <w:p w:rsidR="00D71B15" w:rsidRDefault="00D71B15">
            <w:pPr>
              <w:pStyle w:val="Pagedecouverture"/>
              <w:rPr>
                <w:noProof/>
                <w:sz w:val="20"/>
                <w:szCs w:val="20"/>
              </w:rPr>
            </w:pPr>
          </w:p>
        </w:tc>
        <w:tc>
          <w:tcPr>
            <w:tcW w:w="438" w:type="pct"/>
            <w:tcBorders>
              <w:top w:val="double" w:sz="4" w:space="0" w:color="auto"/>
            </w:tcBorders>
            <w:vAlign w:val="center"/>
          </w:tcPr>
          <w:p w:rsidR="00D71B15" w:rsidRDefault="00D71B15">
            <w:pPr>
              <w:pStyle w:val="Pagedecouverture"/>
              <w:rPr>
                <w:noProof/>
                <w:sz w:val="20"/>
                <w:szCs w:val="20"/>
              </w:rPr>
            </w:pPr>
          </w:p>
        </w:tc>
      </w:tr>
    </w:tbl>
    <w:p w:rsidR="00D71B15" w:rsidRDefault="005012C0">
      <w:pPr>
        <w:pStyle w:val="Text1"/>
        <w:ind w:left="426" w:right="261"/>
        <w:rPr>
          <w:noProof/>
          <w:sz w:val="21"/>
          <w:szCs w:val="21"/>
        </w:rPr>
      </w:pPr>
      <w:r>
        <w:rPr>
          <w:b/>
          <w:noProof/>
          <w:sz w:val="21"/>
        </w:rPr>
        <w:t>XX</w:t>
      </w:r>
      <w:r>
        <w:rPr>
          <w:noProof/>
        </w:rPr>
        <w:t xml:space="preserve"> </w:t>
      </w:r>
      <w:r>
        <w:rPr>
          <w:noProof/>
          <w:sz w:val="21"/>
        </w:rPr>
        <w:t>viittaa kyseessä olevaan toimintalohkoon eli talousarvion osastoon.</w:t>
      </w:r>
    </w:p>
    <w:p w:rsidR="00D71B15" w:rsidRDefault="005012C0">
      <w:pPr>
        <w:pStyle w:val="Text1"/>
        <w:ind w:left="426" w:right="261"/>
        <w:rPr>
          <w:noProof/>
          <w:sz w:val="21"/>
          <w:szCs w:val="21"/>
        </w:rPr>
      </w:pPr>
      <w:r>
        <w:rPr>
          <w:noProof/>
          <w:sz w:val="21"/>
        </w:rPr>
        <w:t xml:space="preserve">Henkilöresurssien tarve katetaan toimen hallinnointiin jo osoitetulla pääosaston henkilöstöllä ja/tai pääosastossa toteutettujen henkilöstön uudelleenjärjestelyjen </w:t>
      </w:r>
      <w:r>
        <w:rPr>
          <w:noProof/>
          <w:sz w:val="21"/>
        </w:rPr>
        <w:t>tuloksena saadulla henkilöstöllä sekä tarvittaessa sellaisilla lisäresursseilla, jotka toimea hallinnoiva pääosasto voi saada käyttöönsä vuotuisessa määrärahojen jakomenettelyssä talousarvion puitteissa.</w:t>
      </w:r>
    </w:p>
    <w:p w:rsidR="00D71B15" w:rsidRDefault="005012C0">
      <w:pPr>
        <w:pStyle w:val="Text1"/>
        <w:ind w:left="426" w:right="261"/>
        <w:rPr>
          <w:noProof/>
          <w:sz w:val="21"/>
          <w:szCs w:val="21"/>
        </w:rPr>
      </w:pPr>
      <w:r>
        <w:rPr>
          <w:noProof/>
          <w:sz w:val="21"/>
        </w:rPr>
        <w:t>Tarvittavan henkilöstön kustannukset arvioidaan otta</w:t>
      </w:r>
      <w:r>
        <w:rPr>
          <w:noProof/>
          <w:sz w:val="21"/>
        </w:rPr>
        <w:t>malla lähtökohdaksi 30 prosenttia palkkaluokan AD5–AD12 virkamiehestä vuosittain aiheutuvista menoista.</w:t>
      </w:r>
    </w:p>
    <w:p w:rsidR="00D71B15" w:rsidRDefault="005012C0">
      <w:pPr>
        <w:pStyle w:val="Text1"/>
        <w:ind w:left="426" w:right="261"/>
        <w:rPr>
          <w:noProof/>
          <w:sz w:val="21"/>
          <w:szCs w:val="21"/>
        </w:rPr>
      </w:pPr>
      <w:r>
        <w:rPr>
          <w:noProof/>
          <w:sz w:val="21"/>
        </w:rPr>
        <w:t>Kuvaus henkilöstön tehtävistä:</w:t>
      </w:r>
    </w:p>
    <w:tbl>
      <w:tblPr>
        <w:tblW w:w="9639"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86"/>
        <w:gridCol w:w="5953"/>
      </w:tblGrid>
      <w:tr w:rsidR="00D71B15">
        <w:tc>
          <w:tcPr>
            <w:tcW w:w="3686" w:type="dxa"/>
          </w:tcPr>
          <w:p w:rsidR="00D71B15" w:rsidRDefault="005012C0">
            <w:pPr>
              <w:pStyle w:val="Pagedecouverture"/>
              <w:rPr>
                <w:noProof/>
                <w:sz w:val="21"/>
                <w:szCs w:val="21"/>
              </w:rPr>
            </w:pPr>
            <w:r>
              <w:rPr>
                <w:noProof/>
                <w:sz w:val="21"/>
              </w:rPr>
              <w:t>Virkamiehet ja väliaikaiset toimihenkilöt</w:t>
            </w:r>
          </w:p>
        </w:tc>
        <w:tc>
          <w:tcPr>
            <w:tcW w:w="5953" w:type="dxa"/>
          </w:tcPr>
          <w:p w:rsidR="00D71B15" w:rsidRDefault="005012C0">
            <w:pPr>
              <w:pStyle w:val="Pagedecouverture"/>
              <w:rPr>
                <w:noProof/>
                <w:sz w:val="21"/>
                <w:szCs w:val="21"/>
              </w:rPr>
            </w:pPr>
            <w:r>
              <w:rPr>
                <w:noProof/>
                <w:sz w:val="21"/>
              </w:rPr>
              <w:t xml:space="preserve">Yksikönpäällikkö: rahoitusaputoimen valvonta ja hallinnointi, lainasopimusta koskevien tarkastelukertomusten hyväksyminen, virkamatkojen johtaminen ja ehtojen noudattamisessa saavutetun edistymisen arviointi </w:t>
            </w:r>
          </w:p>
          <w:p w:rsidR="00D71B15" w:rsidRDefault="005012C0">
            <w:pPr>
              <w:pStyle w:val="Pagedecouverture"/>
              <w:rPr>
                <w:noProof/>
                <w:sz w:val="21"/>
                <w:szCs w:val="21"/>
              </w:rPr>
            </w:pPr>
            <w:r>
              <w:rPr>
                <w:noProof/>
                <w:sz w:val="21"/>
              </w:rPr>
              <w:t>Vastaava virkamies: yhteisymmärryspöytäkirjan l</w:t>
            </w:r>
            <w:r>
              <w:rPr>
                <w:noProof/>
                <w:sz w:val="21"/>
              </w:rPr>
              <w:t>aatiminen, yhteydet viranomaisiin ja kansainvälisiin rahoituslaitoksiin, yhteydet toiminnan arvioinnista ja jälkiarvioinnista vastaaviin ulkopuolisiin asiantuntijoihin, tarkastusmatkoille osallistuminen, komission yksiköiden raporttien laatiminen ja rahoit</w:t>
            </w:r>
            <w:r>
              <w:rPr>
                <w:noProof/>
                <w:sz w:val="21"/>
              </w:rPr>
              <w:t>usavun hallinnointiin liittyvät komission menettelyt.</w:t>
            </w:r>
          </w:p>
        </w:tc>
      </w:tr>
      <w:tr w:rsidR="00D71B15">
        <w:trPr>
          <w:trHeight w:val="65"/>
        </w:trPr>
        <w:tc>
          <w:tcPr>
            <w:tcW w:w="3686" w:type="dxa"/>
          </w:tcPr>
          <w:p w:rsidR="00D71B15" w:rsidRDefault="005012C0">
            <w:pPr>
              <w:pStyle w:val="Pagedecouverture"/>
              <w:rPr>
                <w:noProof/>
                <w:sz w:val="21"/>
                <w:szCs w:val="21"/>
              </w:rPr>
            </w:pPr>
            <w:r>
              <w:rPr>
                <w:noProof/>
                <w:sz w:val="21"/>
              </w:rPr>
              <w:t>Ulkopuolinen henkilöstö</w:t>
            </w:r>
          </w:p>
        </w:tc>
        <w:tc>
          <w:tcPr>
            <w:tcW w:w="5953" w:type="dxa"/>
          </w:tcPr>
          <w:p w:rsidR="00D71B15" w:rsidRDefault="005012C0">
            <w:pPr>
              <w:pStyle w:val="Pagedecouverture"/>
              <w:rPr>
                <w:noProof/>
                <w:sz w:val="21"/>
                <w:szCs w:val="21"/>
              </w:rPr>
            </w:pPr>
            <w:r>
              <w:rPr>
                <w:noProof/>
                <w:sz w:val="21"/>
              </w:rPr>
              <w:t>Ei ole</w:t>
            </w:r>
          </w:p>
        </w:tc>
      </w:tr>
    </w:tbl>
    <w:p w:rsidR="00D71B15" w:rsidRDefault="00D71B15">
      <w:pPr>
        <w:pStyle w:val="Sectionbreak"/>
        <w:rPr>
          <w:sz w:val="21"/>
          <w:szCs w:val="21"/>
        </w:rPr>
        <w:sectPr w:rsidR="00D71B15">
          <w:pgSz w:w="11907" w:h="16840" w:code="9"/>
          <w:pgMar w:top="720" w:right="720" w:bottom="720" w:left="720" w:header="709" w:footer="709" w:gutter="0"/>
          <w:cols w:space="708"/>
          <w:docGrid w:linePitch="360"/>
        </w:sectPr>
      </w:pPr>
    </w:p>
    <w:p w:rsidR="00D71B15" w:rsidRDefault="005012C0">
      <w:pPr>
        <w:pStyle w:val="Heading40"/>
      </w:pPr>
      <w:r>
        <w:t>3.2.4.</w:t>
      </w:r>
      <w:r>
        <w:tab/>
        <w:t xml:space="preserve">Yhteensopivuus nykyisen monivuotisen rahoituskehyksen kanssa </w:t>
      </w:r>
    </w:p>
    <w:p w:rsidR="00D71B15" w:rsidRDefault="005012C0">
      <w:pPr>
        <w:pStyle w:val="Text1"/>
        <w:rPr>
          <w:noProof/>
        </w:rPr>
      </w:pPr>
      <w:r>
        <w:rPr>
          <w:noProof/>
        </w:rPr>
        <w:t>X Ehdotus/aloite on nykyisen monivuotisen rahoituskehyksen mukainen.</w:t>
      </w:r>
    </w:p>
    <w:p w:rsidR="00D71B15" w:rsidRDefault="005012C0">
      <w:pPr>
        <w:pStyle w:val="Heading40"/>
      </w:pPr>
      <w:r>
        <w:t>3.2.5.</w:t>
      </w:r>
      <w:r>
        <w:tab/>
      </w:r>
      <w:r>
        <w:t xml:space="preserve">Ulkopuolisten tahojen rahoitusosuudet </w:t>
      </w:r>
    </w:p>
    <w:p w:rsidR="00D71B15" w:rsidRDefault="005012C0">
      <w:pPr>
        <w:pStyle w:val="Text1"/>
        <w:rPr>
          <w:noProof/>
        </w:rPr>
      </w:pPr>
      <w:r>
        <w:rPr>
          <w:noProof/>
        </w:rPr>
        <w:t xml:space="preserve">X Ehdotuksen/aloitteen rahoittamiseen ei osallistu ulkopuolisia tahoja. </w:t>
      </w:r>
    </w:p>
    <w:p w:rsidR="00D71B15" w:rsidRDefault="005012C0">
      <w:pPr>
        <w:pStyle w:val="Heading30"/>
        <w:rPr>
          <w:b/>
        </w:rPr>
      </w:pPr>
      <w:r>
        <w:rPr>
          <w:b/>
        </w:rPr>
        <w:t>3.3.</w:t>
      </w:r>
      <w:r>
        <w:tab/>
      </w:r>
      <w:r>
        <w:rPr>
          <w:b/>
        </w:rPr>
        <w:t xml:space="preserve">Arvioidut vaikutukset tuloihin </w:t>
      </w:r>
    </w:p>
    <w:p w:rsidR="00D71B15" w:rsidRDefault="005012C0">
      <w:pPr>
        <w:pStyle w:val="Text1"/>
        <w:rPr>
          <w:noProof/>
        </w:rPr>
      </w:pPr>
      <w:r>
        <w:rPr>
          <w:noProof/>
        </w:rPr>
        <w:t>X</w:t>
      </w:r>
      <w:r>
        <w:rPr>
          <w:noProof/>
        </w:rPr>
        <w:tab/>
        <w:t>Ehdotuksella/aloitteella ei ole vaikutuksia tuloihin.</w:t>
      </w:r>
    </w:p>
    <w:sectPr w:rsidR="00D71B15">
      <w:pgSz w:w="11907" w:h="16840"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B15" w:rsidRDefault="005012C0">
      <w:r>
        <w:separator/>
      </w:r>
    </w:p>
  </w:endnote>
  <w:endnote w:type="continuationSeparator" w:id="0">
    <w:p w:rsidR="00D71B15" w:rsidRDefault="0050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C0" w:rsidRDefault="005012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B15" w:rsidRDefault="005012C0">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FI</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C0" w:rsidRDefault="005012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B15" w:rsidRDefault="005012C0">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B15" w:rsidRDefault="00D71B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B15" w:rsidRDefault="005012C0">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B15" w:rsidRDefault="00D71B15">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B15" w:rsidRDefault="005012C0">
    <w:pPr>
      <w:pStyle w:val="Footer"/>
      <w:rPr>
        <w:rFonts w:ascii="Arial" w:hAnsi="Arial" w:cs="Arial"/>
        <w:b/>
        <w:sz w:val="48"/>
      </w:rPr>
    </w:pPr>
    <w:bookmarkStart w:id="0" w:name="_GoBack"/>
    <w:bookmarkEnd w:id="0"/>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B15" w:rsidRDefault="00D71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B15" w:rsidRDefault="005012C0">
      <w:r>
        <w:separator/>
      </w:r>
    </w:p>
  </w:footnote>
  <w:footnote w:type="continuationSeparator" w:id="0">
    <w:p w:rsidR="00D71B15" w:rsidRDefault="005012C0">
      <w:r>
        <w:continuationSeparator/>
      </w:r>
    </w:p>
  </w:footnote>
  <w:footnote w:id="1">
    <w:p w:rsidR="00D71B15" w:rsidRDefault="005012C0">
      <w:pPr>
        <w:pStyle w:val="FootnoteText"/>
      </w:pPr>
      <w:r>
        <w:rPr>
          <w:rStyle w:val="FootnoteReference"/>
        </w:rPr>
        <w:footnoteRef/>
      </w:r>
      <w:r>
        <w:tab/>
      </w:r>
      <w:proofErr w:type="gramStart"/>
      <w:r>
        <w:t xml:space="preserve">Pääministeri </w:t>
      </w:r>
      <w:proofErr w:type="spellStart"/>
      <w:r>
        <w:t>Streletin</w:t>
      </w:r>
      <w:proofErr w:type="spellEnd"/>
      <w:r>
        <w:t xml:space="preserve"> 20. elokuuta 2015 </w:t>
      </w:r>
      <w:r>
        <w:t xml:space="preserve">päivätty kirje komissaari </w:t>
      </w:r>
      <w:proofErr w:type="spellStart"/>
      <w:r>
        <w:t>Moscovicille</w:t>
      </w:r>
      <w:proofErr w:type="spellEnd"/>
      <w:r>
        <w:t xml:space="preserve"> sekä pääministeri Filipin 25. maaliskuuta 2016 päivätty kirje varapuheenjohtaja </w:t>
      </w:r>
      <w:proofErr w:type="spellStart"/>
      <w:r>
        <w:t>Dombrovskisille</w:t>
      </w:r>
      <w:proofErr w:type="spellEnd"/>
      <w:r>
        <w:t>.</w:t>
      </w:r>
      <w:proofErr w:type="gramEnd"/>
    </w:p>
  </w:footnote>
  <w:footnote w:id="2">
    <w:p w:rsidR="00D71B15" w:rsidRDefault="005012C0">
      <w:pPr>
        <w:pStyle w:val="FootnoteText"/>
      </w:pPr>
      <w:r>
        <w:rPr>
          <w:rStyle w:val="FootnoteReference"/>
        </w:rPr>
        <w:footnoteRef/>
      </w:r>
      <w:r>
        <w:tab/>
      </w:r>
      <w:proofErr w:type="gramStart"/>
      <w:r>
        <w:t>Euroopan parlamentin ja neuvoston päätös N:o 938/2010/EU, annettu 20 päivänä lokakuuta 2010, makrotaloudellisen avun m</w:t>
      </w:r>
      <w:r>
        <w:t>yöntämisestä Moldovan tasavallalle (EUVL L 277, 21.10.2010, s. 1).</w:t>
      </w:r>
      <w:proofErr w:type="gramEnd"/>
    </w:p>
  </w:footnote>
  <w:footnote w:id="3">
    <w:p w:rsidR="00D71B15" w:rsidRDefault="005012C0">
      <w:pPr>
        <w:pStyle w:val="FootnoteText"/>
      </w:pPr>
      <w:r>
        <w:rPr>
          <w:rStyle w:val="FootnoteReference"/>
        </w:rPr>
        <w:footnoteRef/>
      </w:r>
      <w:r>
        <w:tab/>
        <w:t>Takuurahastoa on rahoitettava siten, että rahastossa on 9 prosenttia maksetuista määristä kaksi vuotta sen jälkeen, kun kyseiset määrät on maksettu.</w:t>
      </w:r>
    </w:p>
  </w:footnote>
  <w:footnote w:id="4">
    <w:p w:rsidR="00D71B15" w:rsidRDefault="005012C0">
      <w:pPr>
        <w:pStyle w:val="FootnoteText"/>
      </w:pPr>
      <w:r>
        <w:rPr>
          <w:rStyle w:val="FootnoteReference"/>
        </w:rPr>
        <w:footnoteRef/>
      </w:r>
      <w:r>
        <w:tab/>
        <w:t>EUVL C […], […], s. […].</w:t>
      </w:r>
    </w:p>
  </w:footnote>
  <w:footnote w:id="5">
    <w:p w:rsidR="00D71B15" w:rsidRDefault="005012C0">
      <w:pPr>
        <w:pStyle w:val="FootnoteText"/>
      </w:pPr>
      <w:r>
        <w:rPr>
          <w:rStyle w:val="FootnoteReference"/>
        </w:rPr>
        <w:footnoteRef/>
      </w:r>
      <w:r>
        <w:tab/>
      </w:r>
      <w:proofErr w:type="gramStart"/>
      <w:r>
        <w:t xml:space="preserve">Euroopan </w:t>
      </w:r>
      <w:r>
        <w:t>parlamentin kanta, vahvistettu …, ja neuvoston päätös, annettu…</w:t>
      </w:r>
      <w:proofErr w:type="gramEnd"/>
    </w:p>
  </w:footnote>
  <w:footnote w:id="6">
    <w:p w:rsidR="00D71B15" w:rsidRDefault="005012C0">
      <w:pPr>
        <w:pStyle w:val="FootnoteText"/>
      </w:pPr>
      <w:r>
        <w:rPr>
          <w:rStyle w:val="FootnoteReference"/>
        </w:rPr>
        <w:footnoteRef/>
      </w:r>
      <w:r>
        <w:tab/>
        <w:t>Euroopan parlamentin ja neuvoston asetus (EU) N:o 182/2011, annettu 16 päivänä helmikuuta 2011, yleisistä säännöistä ja periaatteista, joiden mukaisesti jäsenvaltiot valvovat komission täytä</w:t>
      </w:r>
      <w:r>
        <w:t>ntöönpanovallan käyttöä (EUVL L 55, 28.2.2011, s. 13).</w:t>
      </w:r>
    </w:p>
  </w:footnote>
  <w:footnote w:id="7">
    <w:p w:rsidR="00D71B15" w:rsidRDefault="005012C0">
      <w:pPr>
        <w:pStyle w:val="FootnoteText"/>
      </w:pPr>
      <w:r>
        <w:rPr>
          <w:rStyle w:val="FootnoteReference"/>
        </w:rPr>
        <w:footnoteRef/>
      </w:r>
      <w:r>
        <w:tab/>
      </w:r>
      <w:proofErr w:type="gramStart"/>
      <w:r>
        <w:t xml:space="preserve">Neuvoston päätös 2010/427/EU, </w:t>
      </w:r>
      <w:r>
        <w:rPr>
          <w:color w:val="000000"/>
        </w:rPr>
        <w:t>annettu 26 päivänä heinäkuuta 2010</w:t>
      </w:r>
      <w:r>
        <w:t>, Euroopan ulkosuhdehallinnon organisaatiosta ja toiminnasta (EUVL L 201, 3.8.2010, s. 30).</w:t>
      </w:r>
      <w:proofErr w:type="gramEnd"/>
    </w:p>
  </w:footnote>
  <w:footnote w:id="8">
    <w:p w:rsidR="00D71B15" w:rsidRDefault="005012C0">
      <w:pPr>
        <w:pStyle w:val="FootnoteText"/>
      </w:pPr>
      <w:r>
        <w:rPr>
          <w:rStyle w:val="FootnoteReference"/>
        </w:rPr>
        <w:footnoteRef/>
      </w:r>
      <w:r>
        <w:tab/>
      </w:r>
      <w:proofErr w:type="gramStart"/>
      <w:r>
        <w:t>Neuvoston asetus (EY, Euratom) N:o 480/20</w:t>
      </w:r>
      <w:r>
        <w:t>09, annettu 25 päivänä toukokuuta 2009, takuurahaston perustamisesta ulkosuhteisiin liittyville hankkeille (EUVL L 145, 10.6.2009, s. 10).</w:t>
      </w:r>
      <w:proofErr w:type="gramEnd"/>
    </w:p>
  </w:footnote>
  <w:footnote w:id="9">
    <w:p w:rsidR="00D71B15" w:rsidRDefault="005012C0">
      <w:pPr>
        <w:pStyle w:val="FootnoteText"/>
      </w:pPr>
      <w:r>
        <w:rPr>
          <w:rStyle w:val="FootnoteReference"/>
        </w:rPr>
        <w:footnoteRef/>
      </w:r>
      <w:r>
        <w:tab/>
      </w:r>
      <w:proofErr w:type="gramStart"/>
      <w:r>
        <w:t>Euroopan parlamentin ja neuvoston asetus (EU, Euratom) N:o 966/2012, annettu 25 päivänä lokakuuta 2012, unionin yle</w:t>
      </w:r>
      <w:r>
        <w:t xml:space="preserve">iseen talousarvioon sovellettavista varainhoitosäännöistä ja neuvoston asetuksen (EY, Euratom) N:o 1605/2002 kumoamisesta </w:t>
      </w:r>
      <w:r>
        <w:rPr>
          <w:rStyle w:val="Emphasis"/>
          <w:i w:val="0"/>
        </w:rPr>
        <w:t>(EUVL L 298, 26.10.2012, s. 1)</w:t>
      </w:r>
      <w:r>
        <w:t>.</w:t>
      </w:r>
      <w:proofErr w:type="gramEnd"/>
    </w:p>
  </w:footnote>
  <w:footnote w:id="10">
    <w:p w:rsidR="00D71B15" w:rsidRDefault="005012C0">
      <w:pPr>
        <w:pStyle w:val="FootnoteText"/>
      </w:pPr>
      <w:r>
        <w:rPr>
          <w:rStyle w:val="FootnoteReference"/>
        </w:rPr>
        <w:footnoteRef/>
      </w:r>
      <w:r>
        <w:tab/>
      </w:r>
      <w:proofErr w:type="gramStart"/>
      <w:r>
        <w:t>Komission delegoitu asetus (EU) N:o 1268/2012, annettu 29 päivänä lokakuuta 2012, unionin yleiseen t</w:t>
      </w:r>
      <w:r>
        <w:t>alousarvioon sovellettavista varainhoitosäännöistä annetun Euroopan parlamentin ja neuvoston asetuksen (EU, Euratom) N:o 966/2012 soveltamissäännöistä (EUVL L 362, 31.12.2012, s. 1).</w:t>
      </w:r>
      <w:proofErr w:type="gramEnd"/>
    </w:p>
  </w:footnote>
  <w:footnote w:id="11">
    <w:p w:rsidR="00D71B15" w:rsidRDefault="005012C0">
      <w:pPr>
        <w:pStyle w:val="FootnoteText"/>
      </w:pPr>
      <w:r>
        <w:rPr>
          <w:rStyle w:val="FootnoteReference"/>
        </w:rPr>
        <w:footnoteRef/>
      </w:r>
      <w:r>
        <w:tab/>
      </w:r>
      <w:proofErr w:type="gramStart"/>
      <w:r>
        <w:t>Neuvoston asetus (EY, Euratom) N:o 2988/95, annettu 18 päivänä joulukuu</w:t>
      </w:r>
      <w:r>
        <w:t>ta 1995, Euroopan yhteisöjen taloudellisten etujen suojaamisesta (EYVL L 312, 23.12.1995, s. 1).</w:t>
      </w:r>
      <w:proofErr w:type="gramEnd"/>
    </w:p>
  </w:footnote>
  <w:footnote w:id="12">
    <w:p w:rsidR="00D71B15" w:rsidRDefault="005012C0">
      <w:pPr>
        <w:pStyle w:val="FootnoteText"/>
      </w:pPr>
      <w:r>
        <w:rPr>
          <w:rStyle w:val="FootnoteReference"/>
        </w:rPr>
        <w:footnoteRef/>
      </w:r>
      <w:r>
        <w:tab/>
      </w:r>
      <w:proofErr w:type="gramStart"/>
      <w:r>
        <w:t>Neuvoston asetus (Euratom, EY) N:o 2185/96, annettu 11 päivänä marraskuuta 1996, komission paikan päällä suorittamista tarkastuksista ja todentamisista Euroo</w:t>
      </w:r>
      <w:r>
        <w:t>pan yhteisöjen taloudellisiin etuihin kohdistuvien petosten ja muiden väärinkäytösten estämiseksi (EYVL L 292, 15.11.1996, s. 2).</w:t>
      </w:r>
      <w:proofErr w:type="gramEnd"/>
    </w:p>
  </w:footnote>
  <w:footnote w:id="13">
    <w:p w:rsidR="00D71B15" w:rsidRDefault="005012C0">
      <w:pPr>
        <w:pStyle w:val="FootnoteText"/>
      </w:pPr>
      <w:r>
        <w:rPr>
          <w:rStyle w:val="FootnoteReference"/>
        </w:rPr>
        <w:footnoteRef/>
      </w:r>
      <w:r>
        <w:tab/>
      </w:r>
      <w:proofErr w:type="gramStart"/>
      <w:r>
        <w:rPr>
          <w:color w:val="000000"/>
        </w:rPr>
        <w:t>Euroopan parlamentin ja neuvoston asetus (EU, Euratom) N:o 883/2013</w:t>
      </w:r>
      <w:r>
        <w:t xml:space="preserve">, annettu 11 päivänä syyskuuta 2013, Euroopan </w:t>
      </w:r>
      <w:r>
        <w:t>petostentorjuntaviraston (OLAF) tutkimuksista sekä Euroopan parlamentin ja neuvoston asetuksen (EY) N:o 1073/1999 ja neuvoston asetuksen (Euratom) N:o 1074/1999 kumoamisesta (EUVL L 248, 18.9.2013, s. 1).</w:t>
      </w:r>
      <w:proofErr w:type="gramEnd"/>
    </w:p>
  </w:footnote>
  <w:footnote w:id="14">
    <w:p w:rsidR="00D71B15" w:rsidRDefault="005012C0">
      <w:pPr>
        <w:pStyle w:val="FootnoteText"/>
      </w:pPr>
      <w:r>
        <w:rPr>
          <w:rStyle w:val="FootnoteReference"/>
        </w:rPr>
        <w:footnoteRef/>
      </w:r>
      <w:r>
        <w:tab/>
        <w:t>ABM: toimintoperusteinen johtaminen; ABB: toimint</w:t>
      </w:r>
      <w:r>
        <w:t>operusteinen budjetointi.</w:t>
      </w:r>
    </w:p>
  </w:footnote>
  <w:footnote w:id="15">
    <w:p w:rsidR="00D71B15" w:rsidRDefault="005012C0">
      <w:pPr>
        <w:pStyle w:val="FootnoteText"/>
      </w:pPr>
      <w:r>
        <w:rPr>
          <w:rStyle w:val="FootnoteReference"/>
        </w:rPr>
        <w:footnoteRef/>
      </w:r>
      <w:r>
        <w:tab/>
        <w:t xml:space="preserve">Moldovan tasavallalle vuosina 2010–2012 myönnetyn EU:n makrotaloudellisen rahoitusavun jälkiarviointi on saatavilla </w:t>
      </w:r>
      <w:proofErr w:type="spellStart"/>
      <w:r>
        <w:t>Europa-palvelimella</w:t>
      </w:r>
      <w:proofErr w:type="spellEnd"/>
      <w:r>
        <w:t>:</w:t>
      </w:r>
      <w:r>
        <w:tab/>
      </w:r>
      <w:r>
        <w:br/>
      </w:r>
      <w:hyperlink r:id="rId1">
        <w:r>
          <w:rPr>
            <w:rStyle w:val="Hyperlink"/>
          </w:rPr>
          <w:t>http://ec.europa.eu/dgs/economy_finance/evaluation/pdf/mfa_moldova_evaluation_final_report_en.pdf</w:t>
        </w:r>
      </w:hyperlink>
    </w:p>
  </w:footnote>
  <w:footnote w:id="16">
    <w:p w:rsidR="00D71B15" w:rsidRDefault="005012C0">
      <w:pPr>
        <w:pStyle w:val="FootnoteText"/>
      </w:pPr>
      <w:r>
        <w:rPr>
          <w:rStyle w:val="FootnoteReference"/>
        </w:rPr>
        <w:footnoteRef/>
      </w:r>
      <w:r>
        <w:tab/>
        <w:t>Rahoitusvaikutus on 60 000 euroa vuonna 2016, mikä vastaa Moldovan rahoitusketjujen ja hallintomenettelyjen toiminnan arviointia.</w:t>
      </w:r>
    </w:p>
  </w:footnote>
  <w:footnote w:id="17">
    <w:p w:rsidR="00D71B15" w:rsidRDefault="005012C0">
      <w:pPr>
        <w:pStyle w:val="FootnoteText"/>
      </w:pPr>
      <w:r>
        <w:rPr>
          <w:rStyle w:val="FootnoteReference"/>
        </w:rPr>
        <w:footnoteRef/>
      </w:r>
      <w:r>
        <w:tab/>
        <w:t xml:space="preserve">Kuvaukset eri hallinnointitavoista ja viittaukset varainhoitoasetukseen ovat saatavilla </w:t>
      </w:r>
      <w:proofErr w:type="spellStart"/>
      <w:r>
        <w:t>Europa-palvelimella</w:t>
      </w:r>
      <w:proofErr w:type="spellEnd"/>
      <w:r>
        <w:t xml:space="preserve"> osoitteessa </w:t>
      </w:r>
      <w:hyperlink r:id="rId2">
        <w:r>
          <w:rPr>
            <w:rStyle w:val="Hyperlink"/>
          </w:rPr>
          <w:t>http://ec.europa.eu/budget/explained/managem</w:t>
        </w:r>
        <w:r>
          <w:rPr>
            <w:rStyle w:val="Hyperlink"/>
          </w:rPr>
          <w:t>ent/managt_who/who_en.cfm</w:t>
        </w:r>
      </w:hyperlink>
    </w:p>
  </w:footnote>
  <w:footnote w:id="18">
    <w:p w:rsidR="00D71B15" w:rsidRDefault="005012C0">
      <w:pPr>
        <w:pStyle w:val="FootnoteText"/>
      </w:pPr>
      <w:r>
        <w:rPr>
          <w:rStyle w:val="FootnoteReference"/>
        </w:rPr>
        <w:footnoteRef/>
      </w:r>
      <w:r>
        <w:tab/>
      </w:r>
      <w:proofErr w:type="gramStart"/>
      <w:r>
        <w:t>JM = jaksotetut määrärahat; EI-JM = jaksottamattomat määrärahat.</w:t>
      </w:r>
      <w:proofErr w:type="gramEnd"/>
    </w:p>
  </w:footnote>
  <w:footnote w:id="19">
    <w:p w:rsidR="00D71B15" w:rsidRDefault="005012C0">
      <w:pPr>
        <w:pStyle w:val="FootnoteText"/>
      </w:pPr>
      <w:r>
        <w:rPr>
          <w:rStyle w:val="FootnoteReference"/>
        </w:rPr>
        <w:footnoteRef/>
      </w:r>
      <w:r>
        <w:tab/>
      </w:r>
      <w:proofErr w:type="gramStart"/>
      <w:r>
        <w:t>EFTA: Euroopan vapaakauppaliitto.</w:t>
      </w:r>
      <w:proofErr w:type="gramEnd"/>
      <w:r>
        <w:t xml:space="preserve"> </w:t>
      </w:r>
    </w:p>
  </w:footnote>
  <w:footnote w:id="20">
    <w:p w:rsidR="00D71B15" w:rsidRDefault="005012C0">
      <w:pPr>
        <w:pStyle w:val="FootnoteText"/>
      </w:pPr>
      <w:r>
        <w:rPr>
          <w:rStyle w:val="FootnoteReference"/>
        </w:rPr>
        <w:footnoteRef/>
      </w:r>
      <w:r>
        <w:tab/>
      </w:r>
      <w:proofErr w:type="gramStart"/>
      <w:r>
        <w:t>Ehdokasmaat ja soveltuvin osin Länsi-Balkanin mahdolliset ehdokasmaat.</w:t>
      </w:r>
      <w:proofErr w:type="gramEnd"/>
    </w:p>
  </w:footnote>
  <w:footnote w:id="21">
    <w:p w:rsidR="00D71B15" w:rsidRDefault="005012C0">
      <w:pPr>
        <w:pStyle w:val="FootnoteText"/>
      </w:pPr>
      <w:r>
        <w:rPr>
          <w:rStyle w:val="FootnoteReference"/>
        </w:rPr>
        <w:footnoteRef/>
      </w:r>
      <w:r>
        <w:tab/>
      </w:r>
      <w:proofErr w:type="gramStart"/>
      <w:r>
        <w:t>Neuvoston asetus (EY, Euratom) N:o 480/2009, annett</w:t>
      </w:r>
      <w:r>
        <w:t>u 25 päivänä toukokuuta 2009, takuurahaston perustamisesta ulkosuhteisiin liittyville hankkeille (EUVL L 145, 10.6.2009, s. 10).</w:t>
      </w:r>
      <w:proofErr w:type="gramEnd"/>
    </w:p>
  </w:footnote>
  <w:footnote w:id="22">
    <w:p w:rsidR="00D71B15" w:rsidRDefault="005012C0">
      <w:pPr>
        <w:pStyle w:val="FootnoteText"/>
      </w:pPr>
      <w:r>
        <w:rPr>
          <w:rStyle w:val="FootnoteReference"/>
        </w:rPr>
        <w:footnoteRef/>
      </w:r>
      <w:r>
        <w:tab/>
        <w:t>Vuosi on ehdotuksen/aloitteen toteutuksen aloitusvuosi.</w:t>
      </w:r>
    </w:p>
  </w:footnote>
  <w:footnote w:id="23">
    <w:p w:rsidR="00D71B15" w:rsidRDefault="005012C0">
      <w:pPr>
        <w:pStyle w:val="FootnoteText"/>
      </w:pPr>
      <w:r>
        <w:rPr>
          <w:rStyle w:val="FootnoteReference"/>
        </w:rPr>
        <w:footnoteRef/>
      </w:r>
      <w:r>
        <w:tab/>
        <w:t>Tekninen ja/tai hallinnollinen apu sekä EU:n ohjelmien ja/tai toimi</w:t>
      </w:r>
      <w:r>
        <w:t xml:space="preserve">en toteuttamiseen liittyvät tukimenot (entiset </w:t>
      </w:r>
      <w:proofErr w:type="spellStart"/>
      <w:r>
        <w:t>BA-budjettikohdat</w:t>
      </w:r>
      <w:proofErr w:type="spellEnd"/>
      <w:r>
        <w:t>), epäsuora ja suora tutkimustoiminta.</w:t>
      </w:r>
    </w:p>
  </w:footnote>
  <w:footnote w:id="24">
    <w:p w:rsidR="00D71B15" w:rsidRDefault="005012C0">
      <w:pPr>
        <w:pStyle w:val="FootnoteText"/>
      </w:pPr>
      <w:r>
        <w:rPr>
          <w:rStyle w:val="FootnoteReference"/>
        </w:rPr>
        <w:footnoteRef/>
      </w:r>
      <w:r>
        <w:tab/>
        <w:t>Vuosi on ehdotuksen/aloitteen toteutuksen aloitusvuosi.</w:t>
      </w:r>
    </w:p>
  </w:footnote>
  <w:footnote w:id="25">
    <w:p w:rsidR="00D71B15" w:rsidRDefault="005012C0">
      <w:pPr>
        <w:pStyle w:val="FootnoteText"/>
      </w:pPr>
      <w:r>
        <w:rPr>
          <w:rStyle w:val="FootnoteReference"/>
        </w:rPr>
        <w:footnoteRef/>
      </w:r>
      <w:r>
        <w:tab/>
        <w:t>Tuotokset ovat tuloksena olevia tuotteita ja palveluita (esim. rahoitettujen opiskelijavaihto</w:t>
      </w:r>
      <w:r>
        <w:t xml:space="preserve">jen määrä tai rakennetut tiekilometrit).  </w:t>
      </w:r>
    </w:p>
  </w:footnote>
  <w:footnote w:id="26">
    <w:p w:rsidR="00D71B15" w:rsidRDefault="005012C0">
      <w:pPr>
        <w:pStyle w:val="FootnoteText"/>
      </w:pPr>
      <w:r>
        <w:rPr>
          <w:rStyle w:val="FootnoteReference"/>
        </w:rPr>
        <w:footnoteRef/>
      </w:r>
      <w:r>
        <w:tab/>
      </w:r>
      <w:proofErr w:type="gramStart"/>
      <w:r>
        <w:t>Kuten kuvattu kohdassa 1.4.2 ”Erityistavoitteet”.</w:t>
      </w:r>
      <w:proofErr w:type="gramEnd"/>
      <w:r>
        <w:t xml:space="preserve">  </w:t>
      </w:r>
    </w:p>
  </w:footnote>
  <w:footnote w:id="27">
    <w:p w:rsidR="00D71B15" w:rsidRDefault="005012C0">
      <w:pPr>
        <w:pStyle w:val="FootnoteText"/>
      </w:pPr>
      <w:r>
        <w:rPr>
          <w:rStyle w:val="FootnoteReference"/>
        </w:rPr>
        <w:footnoteRef/>
      </w:r>
      <w:r>
        <w:tab/>
        <w:t>Vuosi on ehdotuksen/aloitteen toteutuksen aloitusvuosi.</w:t>
      </w:r>
    </w:p>
  </w:footnote>
  <w:footnote w:id="28">
    <w:p w:rsidR="00D71B15" w:rsidRDefault="005012C0">
      <w:pPr>
        <w:pStyle w:val="FootnoteText"/>
      </w:pPr>
      <w:r>
        <w:rPr>
          <w:rStyle w:val="FootnoteReference"/>
        </w:rPr>
        <w:footnoteRef/>
      </w:r>
      <w:r>
        <w:tab/>
        <w:t>Tekninen ja/tai hallinnollinen apu sekä EU:n ohjelmien ja/tai toimien toteuttamiseen liittyvät tuki</w:t>
      </w:r>
      <w:r>
        <w:t xml:space="preserve">menot (entiset </w:t>
      </w:r>
      <w:proofErr w:type="spellStart"/>
      <w:r>
        <w:t>BA-budjettikohdat</w:t>
      </w:r>
      <w:proofErr w:type="spellEnd"/>
      <w:r>
        <w:t>), epäsuora ja suora tutkimustoiminta.</w:t>
      </w:r>
    </w:p>
  </w:footnote>
  <w:footnote w:id="29">
    <w:p w:rsidR="00D71B15" w:rsidRDefault="005012C0">
      <w:pPr>
        <w:pStyle w:val="FootnoteText"/>
      </w:pPr>
      <w:r>
        <w:rPr>
          <w:rStyle w:val="FootnoteReference"/>
        </w:rPr>
        <w:footnoteRef/>
      </w:r>
      <w:r>
        <w:tab/>
      </w:r>
      <w:proofErr w:type="gramStart"/>
      <w:r>
        <w:t>Sopimussuhteiset toimihenkilöt, paikalliset toimihenkilöt, kansalliset asiantuntijat, vuokrahenkilöstö ja nuoremmat asiantuntijat EU:n ulkopuolisissa edustustoissa.</w:t>
      </w:r>
      <w:proofErr w:type="gramEnd"/>
      <w:r>
        <w:t xml:space="preserve"> </w:t>
      </w:r>
    </w:p>
  </w:footnote>
  <w:footnote w:id="30">
    <w:p w:rsidR="00D71B15" w:rsidRDefault="005012C0">
      <w:pPr>
        <w:pStyle w:val="FootnoteText"/>
      </w:pPr>
      <w:r>
        <w:rPr>
          <w:rStyle w:val="FootnoteReference"/>
        </w:rPr>
        <w:footnoteRef/>
      </w:r>
      <w:r>
        <w:tab/>
      </w:r>
      <w:r>
        <w:t xml:space="preserve">Toimintamäärärahoista katettavan ulkopuolisen henkilöstön enimmäismäärä (entiset </w:t>
      </w:r>
      <w:proofErr w:type="spellStart"/>
      <w:r>
        <w:t>BA-budjettikohdat</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C0" w:rsidRDefault="005012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C0" w:rsidRDefault="005012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C0" w:rsidRDefault="005012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B15" w:rsidRDefault="00D71B15">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B15" w:rsidRDefault="00D71B15">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B15" w:rsidRDefault="00D71B1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B15" w:rsidRDefault="00D71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D26B7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766DB58"/>
    <w:lvl w:ilvl="0">
      <w:start w:val="1"/>
      <w:numFmt w:val="decimal"/>
      <w:pStyle w:val="ListNumber3"/>
      <w:lvlText w:val="%1."/>
      <w:lvlJc w:val="left"/>
      <w:pPr>
        <w:tabs>
          <w:tab w:val="num" w:pos="926"/>
        </w:tabs>
        <w:ind w:left="926" w:hanging="360"/>
      </w:pPr>
    </w:lvl>
  </w:abstractNum>
  <w:abstractNum w:abstractNumId="2">
    <w:nsid w:val="FFFFFF7F"/>
    <w:multiLevelType w:val="singleLevel"/>
    <w:tmpl w:val="8A9273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8668A5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95E3C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D48751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40E7AE8"/>
    <w:lvl w:ilvl="0">
      <w:start w:val="1"/>
      <w:numFmt w:val="decimal"/>
      <w:pStyle w:val="ListNumber"/>
      <w:lvlText w:val="%1."/>
      <w:lvlJc w:val="left"/>
      <w:pPr>
        <w:tabs>
          <w:tab w:val="num" w:pos="360"/>
        </w:tabs>
        <w:ind w:left="360" w:hanging="360"/>
      </w:pPr>
    </w:lvl>
  </w:abstractNum>
  <w:abstractNum w:abstractNumId="7">
    <w:nsid w:val="FFFFFF89"/>
    <w:multiLevelType w:val="singleLevel"/>
    <w:tmpl w:val="734811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0.5806239"/>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D0C058A"/>
    <w:multiLevelType w:val="singleLevel"/>
    <w:tmpl w:val="BAE8D90E"/>
    <w:name w:val="0.0692364"/>
    <w:lvl w:ilvl="0">
      <w:start w:val="1"/>
      <w:numFmt w:val="bullet"/>
      <w:pStyle w:val="ListDash1"/>
      <w:lvlText w:val="–"/>
      <w:lvlJc w:val="left"/>
      <w:pPr>
        <w:tabs>
          <w:tab w:val="num" w:pos="1134"/>
        </w:tabs>
        <w:ind w:left="1134" w:hanging="283"/>
      </w:pPr>
      <w:rPr>
        <w:rFonts w:ascii="Times New Roman" w:hAnsi="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16"/>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3"/>
  </w:num>
  <w:num w:numId="24">
    <w:abstractNumId w:val="22"/>
  </w:num>
  <w:num w:numId="25">
    <w:abstractNumId w:val="12"/>
  </w:num>
  <w:num w:numId="26">
    <w:abstractNumId w:val="14"/>
  </w:num>
  <w:num w:numId="27">
    <w:abstractNumId w:val="10"/>
  </w:num>
  <w:num w:numId="28">
    <w:abstractNumId w:val="21"/>
  </w:num>
  <w:num w:numId="29">
    <w:abstractNumId w:val="9"/>
  </w:num>
  <w:num w:numId="30">
    <w:abstractNumId w:val="15"/>
  </w:num>
  <w:num w:numId="31">
    <w:abstractNumId w:val="18"/>
  </w:num>
  <w:num w:numId="32">
    <w:abstractNumId w:val="19"/>
  </w:num>
  <w:num w:numId="33">
    <w:abstractNumId w:val="11"/>
  </w:num>
  <w:num w:numId="34">
    <w:abstractNumId w:val="17"/>
  </w:num>
  <w:num w:numId="35">
    <w:abstractNumId w:val="23"/>
  </w:num>
  <w:num w:numId="36">
    <w:abstractNumId w:val="20"/>
  </w:num>
  <w:num w:numId="37">
    <w:abstractNumId w:val="13"/>
  </w:num>
  <w:num w:numId="38">
    <w:abstractNumId w:val="22"/>
  </w:num>
  <w:num w:numId="39">
    <w:abstractNumId w:val="12"/>
  </w:num>
  <w:num w:numId="40">
    <w:abstractNumId w:val="14"/>
  </w:num>
  <w:num w:numId="41">
    <w:abstractNumId w:val="10"/>
  </w:num>
  <w:num w:numId="42">
    <w:abstractNumId w:val="21"/>
  </w:num>
  <w:num w:numId="43">
    <w:abstractNumId w:val="9"/>
  </w:num>
  <w:num w:numId="44">
    <w:abstractNumId w:val="15"/>
  </w:num>
  <w:num w:numId="45">
    <w:abstractNumId w:val="18"/>
  </w:num>
  <w:num w:numId="46">
    <w:abstractNumId w:val="19"/>
  </w:num>
  <w:num w:numId="47">
    <w:abstractNumId w:val="11"/>
  </w:num>
  <w:num w:numId="48">
    <w:abstractNumId w:val="17"/>
  </w:num>
  <w:num w:numId="49">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13 08:43:14"/>
    <w:docVar w:name="DQCNUMB_30" w:val="88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1"/>
    <w:docVar w:name="DQCResult_StructureCheck" w:val="0;0"/>
    <w:docVar w:name="DQCResult_SuperfluousWhitespace" w:val="0;16"/>
    <w:docVar w:name="DQCResult_UnknownFonts" w:val="0;0"/>
    <w:docVar w:name="DQCResult_UnknownStyles" w:val="0;47"/>
    <w:docVar w:name="DQCStatus" w:val="Yellow"/>
    <w:docVar w:name="DQCVersion" w:val="3"/>
    <w:docVar w:name="DQCWithWarnings" w:val="0"/>
    <w:docVar w:name="LW_CONFIDENCE" w:val=" "/>
    <w:docVar w:name="LW_CONST_RESTREINT_UE" w:val="RESTREINT UE"/>
    <w:docVar w:name="LW_CORRIGENDUM" w:val="&lt;UNUSED&gt;"/>
    <w:docVar w:name="LW_COVERPAGE_GUID" w:val="F21DA97E95224796ABBA2EF5818D4290"/>
    <w:docVar w:name="LW_CROSSREFERENCE" w:val="{SWD(2017) 12 final}"/>
    <w:docVar w:name="LW_DocType" w:val="COM"/>
    <w:docVar w:name="LW_EMISSION" w:val="13.1.2017"/>
    <w:docVar w:name="LW_EMISSION_ISODATE" w:val="2017-01-13"/>
    <w:docVar w:name="LW_EMISSION_LOCATION" w:val="BRX"/>
    <w:docVar w:name="LW_EMISSION_PREFIX" w:val="Bryssel "/>
    <w:docVar w:name="LW_EMISSION_SUFFIX" w:val=" "/>
    <w:docVar w:name="LW_ID_DOCMODEL" w:val="SJ-025"/>
    <w:docVar w:name="LW_ID_DOCSIGNATURE" w:val="SJ-025"/>
    <w:docVar w:name="LW_ID_DOCSTRUCTURE" w:val="COM/PL/ORG"/>
    <w:docVar w:name="LW_ID_DOCTYPE" w:val="SJ-025"/>
    <w:docVar w:name="LW_ID_STATUT" w:val="SJ-025"/>
    <w:docVar w:name="LW_INTERETEEE.CP" w:val="&lt;UNUSED&gt;"/>
    <w:docVar w:name="LW_LANGUE" w:val="FI"/>
    <w:docVar w:name="LW_MARKING" w:val="&lt;UNUSED&gt;"/>
    <w:docVar w:name="LW_NOM.INST" w:val="EUROOPAN KOMISSIO"/>
    <w:docVar w:name="LW_NOM.INST_JOINTDOC" w:val="&lt;EMPTY&gt;"/>
    <w:docVar w:name="LW_PART_NBR" w:val="1"/>
    <w:docVar w:name="LW_PART_NBR_TOTAL" w:val="1"/>
    <w:docVar w:name="LW_REF.II.NEW.CP" w:val="COD"/>
    <w:docVar w:name="LW_REF.II.NEW.CP_NUMBER" w:val="0007"/>
    <w:docVar w:name="LW_REF.II.NEW.CP_YEAR" w:val="2017"/>
    <w:docVar w:name="LW_REF.INST.NEW" w:val="COM"/>
    <w:docVar w:name="LW_REF.INST.NEW_ADOPTED" w:val="final"/>
    <w:docVar w:name="LW_REF.INST.NEW_TEXT" w:val="(2017) 14"/>
    <w:docVar w:name="LW_REF.INTERNE" w:val="&lt;UNUSED&gt;"/>
    <w:docVar w:name="LW_SOUS.TITRE.OBJ.CP" w:val="&lt;UNUSED&gt;"/>
    <w:docVar w:name="LW_STATUT.CP" w:val="Ehdotus"/>
    <w:docVar w:name="LW_SUPERTITRE" w:val="&lt;UNUSED&gt;"/>
    <w:docVar w:name="LW_TITRE.OBJ.CP" w:val="makrotaloudellisen rahoitusavun myöntämisestä Moldovan tasavallalle"/>
    <w:docVar w:name="LW_TYPE.DOC.CP" w:val="EUROOPAN PARLAMENTIN JA NEUVOSTON PÄÄTÖS"/>
  </w:docVars>
  <w:rsids>
    <w:rsidRoot w:val="00D71B15"/>
    <w:rsid w:val="005012C0"/>
    <w:rsid w:val="00D71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rPr>
  </w:style>
  <w:style w:type="character" w:styleId="Hyperlink">
    <w:name w:val="Hyperlink"/>
    <w:uiPriority w:val="99"/>
    <w:rPr>
      <w:color w:val="0000FF"/>
      <w:u w:val="single"/>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Heading20">
    <w:name w:val="Heading2"/>
    <w:basedOn w:val="Pagedecouverture"/>
    <w:rPr>
      <w:rFonts w:eastAsia="Arial Unicode MS"/>
      <w:noProof/>
      <w:u w:color="000000"/>
      <w:bdr w:val="nil"/>
    </w:rPr>
  </w:style>
  <w:style w:type="paragraph" w:customStyle="1" w:styleId="Heading10">
    <w:name w:val="Heading1"/>
    <w:basedOn w:val="Pagedecouverture"/>
    <w:rPr>
      <w:noProof/>
    </w:rPr>
  </w:style>
  <w:style w:type="paragraph" w:customStyle="1" w:styleId="Heading30">
    <w:name w:val="Heading3"/>
    <w:basedOn w:val="Pagedecouverture"/>
    <w:rPr>
      <w:noProof/>
    </w:rPr>
  </w:style>
  <w:style w:type="paragraph" w:customStyle="1" w:styleId="Heading40">
    <w:name w:val="Heading4"/>
    <w:basedOn w:val="Pagedecouverture"/>
    <w:rPr>
      <w:noProof/>
    </w:rPr>
  </w:style>
  <w:style w:type="paragraph" w:customStyle="1" w:styleId="Text10">
    <w:name w:val="Text1"/>
    <w:basedOn w:val="Pagedecouverture"/>
    <w:rPr>
      <w:noProof/>
      <w:sz w:val="21"/>
      <w:szCs w:val="21"/>
    </w:rPr>
  </w:style>
  <w:style w:type="paragraph" w:customStyle="1" w:styleId="Heading5">
    <w:name w:val="Heading5"/>
    <w:basedOn w:val="Pagedecouverture"/>
    <w:rPr>
      <w:noProof/>
    </w:rPr>
  </w:style>
  <w:style w:type="paragraph" w:customStyle="1" w:styleId="Parttitle">
    <w:name w:val="Part title"/>
    <w:basedOn w:val="SectionTitle"/>
  </w:style>
  <w:style w:type="paragraph" w:customStyle="1" w:styleId="PartTitle0">
    <w:name w:val="PartTitle"/>
    <w:basedOn w:val="Normal"/>
    <w:next w:val="ChapterTitle"/>
    <w:pPr>
      <w:keepNext/>
      <w:pageBreakBefore/>
      <w:spacing w:after="360"/>
      <w:jc w:val="center"/>
    </w:pPr>
    <w:rPr>
      <w:b/>
      <w:sz w:val="36"/>
    </w:rPr>
  </w:style>
  <w:style w:type="paragraph" w:customStyle="1" w:styleId="PartTitle1">
    <w:name w:val="PartTitle"/>
    <w:basedOn w:val="Normal"/>
    <w:next w:val="ChapterTitle"/>
    <w:pPr>
      <w:keepNext/>
      <w:pageBreakBefore/>
      <w:spacing w:after="360"/>
      <w:jc w:val="center"/>
    </w:pPr>
    <w:rPr>
      <w:b/>
      <w:sz w:val="36"/>
    </w:rPr>
  </w:style>
  <w:style w:type="paragraph" w:customStyle="1" w:styleId="PartTitle2">
    <w:name w:val="PartTitle"/>
    <w:basedOn w:val="Normal"/>
    <w:next w:val="ChapterTitle"/>
    <w:pPr>
      <w:keepNext/>
      <w:pageBreakBefore/>
      <w:spacing w:after="360"/>
      <w:jc w:val="center"/>
    </w:pPr>
    <w:rPr>
      <w:b/>
      <w:sz w:val="36"/>
    </w:rPr>
  </w:style>
  <w:style w:type="paragraph" w:customStyle="1" w:styleId="Sectionbreak">
    <w:name w:val="Section break"/>
    <w:basedOn w:val="Pagedecouverture"/>
    <w:rPr>
      <w:noProof/>
    </w:rPr>
  </w:style>
  <w:style w:type="paragraph" w:customStyle="1" w:styleId="PartTitle3">
    <w:name w:val="PartTitle"/>
    <w:basedOn w:val="Normal"/>
    <w:next w:val="ChapterTitle"/>
    <w:pPr>
      <w:keepNext/>
      <w:pageBreakBefore/>
      <w:spacing w:after="360"/>
      <w:jc w:val="center"/>
    </w:pPr>
    <w:rPr>
      <w:b/>
      <w:sz w:val="36"/>
    </w:rPr>
  </w:style>
  <w:style w:type="paragraph" w:customStyle="1" w:styleId="PartTitle4">
    <w:name w:val="PartTitle"/>
    <w:basedOn w:val="Normal"/>
    <w:next w:val="ChapterTitle"/>
    <w:pPr>
      <w:keepNext/>
      <w:pageBreakBefore/>
      <w:spacing w:after="360"/>
      <w:jc w:val="center"/>
    </w:pPr>
    <w:rPr>
      <w:b/>
      <w:sz w:val="36"/>
    </w:rPr>
  </w:style>
  <w:style w:type="paragraph" w:customStyle="1" w:styleId="PartTitle5">
    <w:name w:val="PartTitle"/>
    <w:basedOn w:val="Normal"/>
    <w:next w:val="ChapterTitle"/>
    <w:pPr>
      <w:keepNext/>
      <w:pageBreakBefore/>
      <w:spacing w:after="360"/>
      <w:jc w:val="center"/>
    </w:pPr>
    <w:rPr>
      <w:b/>
      <w:sz w:val="36"/>
    </w:rPr>
  </w:style>
  <w:style w:type="paragraph" w:customStyle="1" w:styleId="PartTitle6">
    <w:name w:val="PartTitle"/>
    <w:basedOn w:val="Normal"/>
    <w:next w:val="ChapterTitle"/>
    <w:pPr>
      <w:keepNext/>
      <w:pageBreakBefore/>
      <w:spacing w:after="360"/>
      <w:jc w:val="center"/>
    </w:pPr>
    <w:rPr>
      <w:b/>
      <w:sz w:val="36"/>
    </w:rPr>
  </w:style>
  <w:style w:type="paragraph" w:customStyle="1" w:styleId="Point2">
    <w:name w:val="Point 2"/>
    <w:basedOn w:val="Normal"/>
    <w:pPr>
      <w:ind w:left="1984" w:hanging="567"/>
    </w:pPr>
  </w:style>
  <w:style w:type="paragraph" w:customStyle="1" w:styleId="PartTitle7">
    <w:name w:val="PartTitle"/>
    <w:basedOn w:val="Normal"/>
    <w:next w:val="ChapterTitle"/>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0">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0"/>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8">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rPr>
  </w:style>
  <w:style w:type="character" w:styleId="Hyperlink">
    <w:name w:val="Hyperlink"/>
    <w:uiPriority w:val="99"/>
    <w:rPr>
      <w:color w:val="0000FF"/>
      <w:u w:val="single"/>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Heading20">
    <w:name w:val="Heading2"/>
    <w:basedOn w:val="Pagedecouverture"/>
    <w:rPr>
      <w:rFonts w:eastAsia="Arial Unicode MS"/>
      <w:noProof/>
      <w:u w:color="000000"/>
      <w:bdr w:val="nil"/>
    </w:rPr>
  </w:style>
  <w:style w:type="paragraph" w:customStyle="1" w:styleId="Heading10">
    <w:name w:val="Heading1"/>
    <w:basedOn w:val="Pagedecouverture"/>
    <w:rPr>
      <w:noProof/>
    </w:rPr>
  </w:style>
  <w:style w:type="paragraph" w:customStyle="1" w:styleId="Heading30">
    <w:name w:val="Heading3"/>
    <w:basedOn w:val="Pagedecouverture"/>
    <w:rPr>
      <w:noProof/>
    </w:rPr>
  </w:style>
  <w:style w:type="paragraph" w:customStyle="1" w:styleId="Heading40">
    <w:name w:val="Heading4"/>
    <w:basedOn w:val="Pagedecouverture"/>
    <w:rPr>
      <w:noProof/>
    </w:rPr>
  </w:style>
  <w:style w:type="paragraph" w:customStyle="1" w:styleId="Text10">
    <w:name w:val="Text1"/>
    <w:basedOn w:val="Pagedecouverture"/>
    <w:rPr>
      <w:noProof/>
      <w:sz w:val="21"/>
      <w:szCs w:val="21"/>
    </w:rPr>
  </w:style>
  <w:style w:type="paragraph" w:customStyle="1" w:styleId="Heading5">
    <w:name w:val="Heading5"/>
    <w:basedOn w:val="Pagedecouverture"/>
    <w:rPr>
      <w:noProof/>
    </w:rPr>
  </w:style>
  <w:style w:type="paragraph" w:customStyle="1" w:styleId="Parttitle">
    <w:name w:val="Part title"/>
    <w:basedOn w:val="SectionTitle"/>
  </w:style>
  <w:style w:type="paragraph" w:customStyle="1" w:styleId="PartTitle0">
    <w:name w:val="PartTitle"/>
    <w:basedOn w:val="Normal"/>
    <w:next w:val="ChapterTitle"/>
    <w:pPr>
      <w:keepNext/>
      <w:pageBreakBefore/>
      <w:spacing w:after="360"/>
      <w:jc w:val="center"/>
    </w:pPr>
    <w:rPr>
      <w:b/>
      <w:sz w:val="36"/>
    </w:rPr>
  </w:style>
  <w:style w:type="paragraph" w:customStyle="1" w:styleId="PartTitle1">
    <w:name w:val="PartTitle"/>
    <w:basedOn w:val="Normal"/>
    <w:next w:val="ChapterTitle"/>
    <w:pPr>
      <w:keepNext/>
      <w:pageBreakBefore/>
      <w:spacing w:after="360"/>
      <w:jc w:val="center"/>
    </w:pPr>
    <w:rPr>
      <w:b/>
      <w:sz w:val="36"/>
    </w:rPr>
  </w:style>
  <w:style w:type="paragraph" w:customStyle="1" w:styleId="PartTitle2">
    <w:name w:val="PartTitle"/>
    <w:basedOn w:val="Normal"/>
    <w:next w:val="ChapterTitle"/>
    <w:pPr>
      <w:keepNext/>
      <w:pageBreakBefore/>
      <w:spacing w:after="360"/>
      <w:jc w:val="center"/>
    </w:pPr>
    <w:rPr>
      <w:b/>
      <w:sz w:val="36"/>
    </w:rPr>
  </w:style>
  <w:style w:type="paragraph" w:customStyle="1" w:styleId="Sectionbreak">
    <w:name w:val="Section break"/>
    <w:basedOn w:val="Pagedecouverture"/>
    <w:rPr>
      <w:noProof/>
    </w:rPr>
  </w:style>
  <w:style w:type="paragraph" w:customStyle="1" w:styleId="PartTitle3">
    <w:name w:val="PartTitle"/>
    <w:basedOn w:val="Normal"/>
    <w:next w:val="ChapterTitle"/>
    <w:pPr>
      <w:keepNext/>
      <w:pageBreakBefore/>
      <w:spacing w:after="360"/>
      <w:jc w:val="center"/>
    </w:pPr>
    <w:rPr>
      <w:b/>
      <w:sz w:val="36"/>
    </w:rPr>
  </w:style>
  <w:style w:type="paragraph" w:customStyle="1" w:styleId="PartTitle4">
    <w:name w:val="PartTitle"/>
    <w:basedOn w:val="Normal"/>
    <w:next w:val="ChapterTitle"/>
    <w:pPr>
      <w:keepNext/>
      <w:pageBreakBefore/>
      <w:spacing w:after="360"/>
      <w:jc w:val="center"/>
    </w:pPr>
    <w:rPr>
      <w:b/>
      <w:sz w:val="36"/>
    </w:rPr>
  </w:style>
  <w:style w:type="paragraph" w:customStyle="1" w:styleId="PartTitle5">
    <w:name w:val="PartTitle"/>
    <w:basedOn w:val="Normal"/>
    <w:next w:val="ChapterTitle"/>
    <w:pPr>
      <w:keepNext/>
      <w:pageBreakBefore/>
      <w:spacing w:after="360"/>
      <w:jc w:val="center"/>
    </w:pPr>
    <w:rPr>
      <w:b/>
      <w:sz w:val="36"/>
    </w:rPr>
  </w:style>
  <w:style w:type="paragraph" w:customStyle="1" w:styleId="PartTitle6">
    <w:name w:val="PartTitle"/>
    <w:basedOn w:val="Normal"/>
    <w:next w:val="ChapterTitle"/>
    <w:pPr>
      <w:keepNext/>
      <w:pageBreakBefore/>
      <w:spacing w:after="360"/>
      <w:jc w:val="center"/>
    </w:pPr>
    <w:rPr>
      <w:b/>
      <w:sz w:val="36"/>
    </w:rPr>
  </w:style>
  <w:style w:type="paragraph" w:customStyle="1" w:styleId="Point2">
    <w:name w:val="Point 2"/>
    <w:basedOn w:val="Normal"/>
    <w:pPr>
      <w:ind w:left="1984" w:hanging="567"/>
    </w:pPr>
  </w:style>
  <w:style w:type="paragraph" w:customStyle="1" w:styleId="PartTitle7">
    <w:name w:val="PartTitle"/>
    <w:basedOn w:val="Normal"/>
    <w:next w:val="ChapterTitle"/>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0">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0"/>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8">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83270">
      <w:bodyDiv w:val="1"/>
      <w:marLeft w:val="0"/>
      <w:marRight w:val="0"/>
      <w:marTop w:val="0"/>
      <w:marBottom w:val="0"/>
      <w:divBdr>
        <w:top w:val="none" w:sz="0" w:space="0" w:color="auto"/>
        <w:left w:val="none" w:sz="0" w:space="0" w:color="auto"/>
        <w:bottom w:val="none" w:sz="0" w:space="0" w:color="auto"/>
        <w:right w:val="none" w:sz="0" w:space="0" w:color="auto"/>
      </w:divBdr>
    </w:div>
    <w:div w:id="935671675">
      <w:bodyDiv w:val="1"/>
      <w:marLeft w:val="0"/>
      <w:marRight w:val="0"/>
      <w:marTop w:val="0"/>
      <w:marBottom w:val="0"/>
      <w:divBdr>
        <w:top w:val="none" w:sz="0" w:space="0" w:color="auto"/>
        <w:left w:val="none" w:sz="0" w:space="0" w:color="auto"/>
        <w:bottom w:val="none" w:sz="0" w:space="0" w:color="auto"/>
        <w:right w:val="none" w:sz="0" w:space="0" w:color="auto"/>
      </w:divBdr>
    </w:div>
    <w:div w:id="10365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explained/management/managt_who/who_en.cfm" TargetMode="External"/><Relationship Id="rId1" Type="http://schemas.openxmlformats.org/officeDocument/2006/relationships/hyperlink" Target="http://ec.europa.eu/dgs/economy_finance/evaluation/pdf/mfa_moldova_evaluation_final_repor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1985D-95C8-4B91-9645-D18294BA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29</Pages>
  <Words>9933</Words>
  <Characters>56623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20</cp:revision>
  <cp:lastPrinted>2016-12-01T13:43:00Z</cp:lastPrinted>
  <dcterms:created xsi:type="dcterms:W3CDTF">2017-01-12T14:18:00Z</dcterms:created>
  <dcterms:modified xsi:type="dcterms:W3CDTF">2017-01-13T07:44:00Z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SJ-025</vt:lpwstr>
  </property>
  <property fmtid="{D5CDD505-2E9C-101B-9397-08002B2CF9AE}" pid="10" name="DQCStatus">
    <vt:lpwstr>Yellow (DQC version 03)</vt:lpwstr>
  </property>
</Properties>
</file>