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DF8C2D631BE4339A34C45115900944F" style="width:450.75pt;height:423.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color w:val="000000"/>
          <w:u w:color="000000"/>
          <w:bdr w:val="nil"/>
        </w:rPr>
        <w:t>•</w:t>
      </w:r>
      <w:r>
        <w:rPr>
          <w:noProof/>
        </w:rPr>
        <w:tab/>
        <w:t>Αιτιολόγηση και στόχοι της πρότασης</w:t>
      </w:r>
    </w:p>
    <w:p>
      <w:pPr>
        <w:rPr>
          <w:noProof/>
        </w:rPr>
      </w:pPr>
      <w:r>
        <w:rPr>
          <w:noProof/>
        </w:rPr>
        <w:t>Δεδομένου ότι οι υπηρεσίες αντιπροσωπεύουν περίπου το 70% του ΑΕΠ και της απασχόλησης στην ΕΕ, η προαγωγή της ανταγωνιστικότητας των αγορών υπηρεσιών της ΕΕ είναι ουσιώδους σημασίας για τη δημιουργία νέων θέσεων εργασίας και την ενίσχυση της ανάπτυξης στην ΕΕ. Η οδηγία για τις υπηρεσίες, που εκδόθηκε το 2006, θέσπιζε γενικές διατάξεις για τη διευκόλυνση της εγκατάστασης των παρόχων υπηρεσιών και της δυνατότητάς τους να παρέχουν υπηρεσίες σε διασυνοριακό επίπεδο στην ενιαία αγορά. Η οδηγία αποτέλεσε το έναυσμα για την πραγματοποίηση αρκετών μεταρρυθμίσεων στα κράτη μέλη της ΕΕ συμβάλλοντας έτσι, κατά την τελευταία δεκαετία, στην αύξηση του ΑΕΠ της ΕΕ κατά 0,9% σύμφωνα με τις εκτιμήσεις.</w:t>
      </w:r>
    </w:p>
    <w:p>
      <w:pPr>
        <w:rPr>
          <w:noProof/>
        </w:rPr>
      </w:pPr>
      <w:r>
        <w:rPr>
          <w:noProof/>
        </w:rPr>
        <w:t>Εξακολουθούν, πάντως, να υπάρχουν ακόμη πολλές ανεκμετάλλευτες δυνατότητες για περαιτέρω ανάπτυξη και δημιουργία νέων θέσεων εργασίας. Οι αγορές υπηρεσιών της ΕΕ χαρακτηρίζονται από ταχύτερο ρυθμό αύξησης της παραγωγικότητας και αποτελεσματικότερη κατανομή των πόρων. Οι διασυνοριακές συναλλαγές και επενδύσεις στον τομέα των υπηρεσιών εξακολουθούν να κυμαίνονται σε χαμηλά επίπεδα. Η άρση των υπολειπόμενων εμποδίων που παρακωλύουν την αύξηση των διασυνοριακών δραστηριοτήτων στον τομέα των υπηρεσιών θα συμβάλει στην ενίσχυση του ανταγωνισμού, με αποτέλεσμα περισσότερες επιλογές και καλύτερες τιμές για τους καταναλωτές, καθώς και αύξηση της καινοτομίας. Η άρση των προαναφερθέντων εμποδίων εντός του πλαισίου που παρέχει ήδη η οδηγία για τις υπηρεσίες μπορεί να οδηγήσει σε περαιτέρω αύξηση του ΑΕΠ της ΕΕ κατά 1,7%</w:t>
      </w:r>
      <w:r>
        <w:rPr>
          <w:rStyle w:val="FootnoteReference"/>
          <w:noProof/>
        </w:rPr>
        <w:footnoteReference w:id="2"/>
      </w:r>
      <w:r>
        <w:rPr>
          <w:noProof/>
        </w:rPr>
        <w:t xml:space="preserve">. Επιπροσθέτως, η βελτίωση της λειτουργίας των αγορών υπηρεσιών θα επηρεάσει θετικά την ανταγωνιστικότητα της βιομηχανίας, καθώς ο μεταποιητικός τομέας της ΕΕ αποτελεί σημαντικό αγοραστή και τελικό χρήστη υπηρεσιών. Ουσιαστικά, οι υπηρεσίες αντιπροσωπεύουν το 40% της αξίας των τελικών μεταποιημένων προϊόντων στην ΕΕ. Οι εύρυθμα λειτουργούσες αγορές υπηρεσιών συνιστούν επομένως προϋπόθεση για έναν ανταγωνιστικό μεταποιητικό τομέα. </w:t>
      </w:r>
    </w:p>
    <w:p>
      <w:pPr>
        <w:rPr>
          <w:noProof/>
        </w:rPr>
      </w:pPr>
      <w:r>
        <w:rPr>
          <w:noProof/>
        </w:rPr>
        <w:t>Για τους λόγους αυτούς, το Ευρωπαϊκό Συμβούλιο υπογράμμισε ότι «η υλοποίηση μιας βαθύτερης και δικαιότερης ενιαίας αγοράς θα συμβάλει καθοριστικά στη δημιουργία νέων θέσεων εργασίας, την προώθηση της παραγωγικότητας και τη διασφάλιση ενός ευνοϊκού κλίματος για τις επενδύσεις και την καινοτομία»</w:t>
      </w:r>
      <w:r>
        <w:rPr>
          <w:rStyle w:val="FootnoteReference"/>
          <w:noProof/>
        </w:rPr>
        <w:footnoteReference w:id="3"/>
      </w:r>
      <w:r>
        <w:rPr>
          <w:noProof/>
        </w:rPr>
        <w:t>. Η βελτίωση της λειτουργίας της εσωτερικής αγοράς συγκαταλέγεται μεταξύ των δέκα προτεραιοτήτων της Ευρωπαϊκής Επιτροπής. Στη στρατηγική της για την ενιαία αγορά, που εγκρίθηκε τον Οκτώβριο του 2015, η Επιτροπή ανακοίνωσε μια σειρά δράσεων για την υλοποίηση της ενιαίας αγοράς χωρίς σύνορα για τις υπηρεσίες</w:t>
      </w:r>
      <w:r>
        <w:rPr>
          <w:rStyle w:val="FootnoteReference"/>
          <w:noProof/>
        </w:rPr>
        <w:footnoteReference w:id="4"/>
      </w:r>
      <w:r>
        <w:rPr>
          <w:noProof/>
        </w:rPr>
        <w:t xml:space="preserve">. Ο στόχος είναι σαφής: περιορισμός των εμποδίων, ώστε να μπορούν οι πάροχοι υπηρεσιών να επιδιώκουν ευκολότερα νέες επιχειρηματικές ευκαιρίες, διασφαλίζοντας ταυτόχρονα ποιοτικές υπηρεσίες για τους καταναλωτές. Η παρούσα πρόταση εντάσσεται στο πλαίσιο της παρακολούθησης της στρατηγικής για την ενιαία αγορά. </w:t>
      </w:r>
    </w:p>
    <w:p>
      <w:pPr>
        <w:rPr>
          <w:noProof/>
        </w:rPr>
      </w:pPr>
      <w:r>
        <w:rPr>
          <w:noProof/>
        </w:rPr>
        <w:lastRenderedPageBreak/>
        <w:t>Η οδηγία για τις υπηρεσίες παρέχει ένα ισορροπημένο νομικό πλαίσιο για την επίτευξη των στόχων αυτών. Διασφαλίζει ότι οι εθνικές κανονιστικές ρυθμίσεις δεν εισάγουν διακρίσεις, είναι δικαιολογημένες και αναλογικές για την επίτευξη των στόχων δημοσίου συμφέροντος  και, επιπλέον, απαιτεί από τα κράτη μέλη να μεριμνήσουν για τον περιορισμό των εμποδίων διοικητικής φύσης που αποτρέπουν στην πράξη τη δραστηριοποίηση των παρόχων υπηρεσιών σε διασυνοριακό επίπεδο. Η παρούσα πρόταση δεν θίγει στο παραμικρό την οδηγία για τις υπηρεσίες και τις σημαντικές αρχές που θεσπίζει η τελευταία.</w:t>
      </w:r>
    </w:p>
    <w:p>
      <w:pPr>
        <w:rPr>
          <w:noProof/>
        </w:rPr>
      </w:pPr>
      <w:r>
        <w:rPr>
          <w:noProof/>
        </w:rPr>
        <w:t>Οι εν λόγω αρχές, που θεσπίζει η οδηγία για τις υπηρεσίες, έχουν συμβάλει σημαντικά στη βελτίωση της λειτουργίας των αγορών υπηρεσιών της ΕΕ. Ταυτόχρονα, όμως, σε αρκετούς νευραλγικούς τομείς υπηρεσιών εξακολουθούν να υφίστανται εμπόδια που δυσχεραίνουν την περαιτέρω ολοκλήρωση της ενιαίας αγοράς.  Αυτό ισχύει ιδίως για αρκετές επιχειρηματικές υπηρεσίες και για τον κλάδο των κατασκευών, όπου οι πάροχοι υπηρεσιών δεν μπορούν συνήθως να επιδιώξουν επιχειρηματικές ευκαιρίες σε άλλα κράτη μέλη, καθώς, στην προσπάθειά τους να επεκταθούν στο εξωτερικό, έρχονται αντιμέτωποι με διοικητικά εμπόδια, γεγονός που επιβεβαιώθηκε στο πλαίσιο εκτεταμένων επαφών με παρόχους υπηρεσιών</w:t>
      </w:r>
      <w:r>
        <w:rPr>
          <w:rStyle w:val="FootnoteReference"/>
          <w:noProof/>
        </w:rPr>
        <w:footnoteReference w:id="5"/>
      </w:r>
      <w:r>
        <w:rPr>
          <w:noProof/>
        </w:rPr>
        <w:t xml:space="preserve">. </w:t>
      </w:r>
    </w:p>
    <w:p>
      <w:pPr>
        <w:rPr>
          <w:noProof/>
        </w:rPr>
      </w:pPr>
      <w:r>
        <w:rPr>
          <w:noProof/>
        </w:rPr>
        <w:t xml:space="preserve">Οι πάροχοι υπηρεσιών έρχονται αντιμέτωποι με πολύπλοκες διοικητικές ρυθμίσεις όταν επιχειρούν να δραστηριοποιηθούν σε διασυνοριακό επίπεδο. Αυτό σημαίνει, μεταξύ άλλων, έλλειψη σαφήνειας όσον αφορά τους τρόπους συμμόρφωσης με τους ισχύοντες κανόνες, γεγονός που αποτρέπει τις εταιρείες, ιδίως δε τις ΜΜΕ, από το να επιχειρήσουν να εκμεταλλευτούν επιχειρηματικές ευκαιρίες σε άλλα κράτη μέλη. Οι πάροχοι υπηρεσιών αντιμετωπίζουν δυσκολίες όταν προσπαθούν να πληροφορηθούν τις ισχύουσες κανονιστικές απαιτήσεις και διαδικασίες που πρέπει να διεκπεραιώσουν προκειμένου να αποκτήσουν πρόσβαση στην αγορά άλλου κράτους μέλους. Επιπροσθέτως, οι εθνικοί κανόνες αφορούν συνήθως μόνο εθνικές καταστάσεις και δεν αποσαφηνίζουν τους τρόπους με τους οποίους θα πρέπει να εφαρμόζονται σε παρόχους υπηρεσιών από άλλα κράτη μέλη της ΕΕ. Ως αποτέλεσμα, οι πάροχοι υπηρεσιών που επιχειρούν να αποκτήσουν μόνιμη παρουσία σε άλλο κράτος μέλος ή να παράσχουν διασυνοριακές υπηρεσίες σε προσωρινή βάση δυσκολεύονται συνήθως να κατανοήσουν ποιους κανόνες να εφαρμόσουν και με ποιον τρόπο. Οι διοικητικές διατυπώσεις τις οποίες καλούνται να διεκπεραιώσουν οι πάροχοι υπηρεσιών στα διάφορα κράτη μέλη είναι συνήθως πολύπλοκες και δαπανηρές. </w:t>
      </w:r>
    </w:p>
    <w:p>
      <w:pPr>
        <w:rPr>
          <w:noProof/>
        </w:rPr>
      </w:pPr>
      <w:r>
        <w:rPr>
          <w:noProof/>
        </w:rPr>
        <w:t xml:space="preserve">Η ευρωπαϊκή ηλεκτρονική κάρτα υπηρεσιών επιδιώκει επομένως να μειώσει τη διοικητική πολυπλοκότητα για τους παρόχους υπηρεσιών που επιθυμούν να επεκτείνουν τις δραστηριότητές τους σε άλλα κράτη μέλη, διασφαλίζοντας ταυτόχρονα ότι τα κράτη μέλη θα μπορούν να εφαρμόζουν δικαιολογημένες ρυθμίσεις. Θα παρέχεται προαιρετικά στους παρόχους υπηρεσιών ως εναλλακτική οδός επίδειξης συμμόρφωσης με τους ισχύοντες κανόνες και θα τους δίνει τη δυνατότητα να χρησιμοποιούν μια πλήρως ηλεκτρονική διαδικασία σε επίπεδο ΕΕ για τη διεκπεραίωση των διατυπώσεων που απαιτεί η επέκταση στο εξωτερικό, παρέχοντάς τους έτσι αυξημένη ασφάλεια δικαίου και μειώνοντας σημαντικά τη διοικητική πολυπλοκότητα. Η ηλεκτρονική κάρτα θα τους επιτρέπει να αποφεύγουν τα διοικητικά εμπόδια, όπως την αβεβαιότητα ως προς τις απαιτήσεις που πρέπει να εφαρμόσουν, τη συμπλήρωση σειράς διαφορετικών εντύπων σε ξένες γλώσσες, τη μετάφραση, επικύρωση ή βεβαίωση του γνήσιου της υπογραφής εγγράφων και μη ηλεκτρονικές διαδικαστικές ενέργειες. Η εξοικονόμηση κόστους σε σχέση με τις διατυπώσεις </w:t>
      </w:r>
      <w:r>
        <w:rPr>
          <w:noProof/>
        </w:rPr>
        <w:lastRenderedPageBreak/>
        <w:t>που θα καλύπτονται από τη διαδικασία της ηλεκτρονικής κάρτας θα είναι σημαντική σε σύγκριση με την υφιστάμενη κατάσταση, με πιθανότητα να αγγίξει ή να υπερβεί το 50%</w:t>
      </w:r>
      <w:r>
        <w:rPr>
          <w:rStyle w:val="FootnoteReference"/>
          <w:noProof/>
        </w:rPr>
        <w:footnoteReference w:id="6"/>
      </w:r>
      <w:r>
        <w:rPr>
          <w:noProof/>
        </w:rPr>
        <w:t>.</w:t>
      </w:r>
    </w:p>
    <w:p>
      <w:pPr>
        <w:rPr>
          <w:rFonts w:asciiTheme="minorHAnsi" w:hAnsiTheme="minorHAnsi" w:cstheme="minorBidi"/>
          <w:noProof/>
          <w:color w:val="1F497D" w:themeColor="dark2"/>
        </w:rPr>
      </w:pPr>
      <w:r>
        <w:rPr>
          <w:noProof/>
        </w:rPr>
        <w:t>Όταν ένας πάροχος υπηρεσιών σχεδιάζει να παράσχει κάποια υπηρεσία προσωρινά σε διασυνοριακό επίπεδο, η ηλεκτρονική κάρτα θα εκδίδεται από το κράτος μέλος καταγωγής. Τα κράτη μέλη υποδοχής θα διατηρούν τη δυνατότητα να αντιτάσσονται στην έκδοση της ηλεκτρονικής κάρτας στις περιπτώσεις στις οποίες η οδηγία για τις υπηρεσίες τους επιτρέπει ήδη να το πράττουν για έναν από τους επιτακτικούς λόγους δημοσίου συμφέροντος που απαριθμούνται στο άρθρο 16. Αφού εκδοθεί, η ηλεκτρονική κάρτα θα επιτρέπει στον πάροχο υπηρεσιών να παρέχει υπηρεσίες προσωρινώς σε διασυνοριακό επίπεδο στο κράτος μέλος υποδοχής. Η εξουσία λήψης αποφάσεων των κρατών μελών υποδοχής όσον αφορά την απόρριψη αίτησης για ευρωπαϊκή ηλεκτρονική κάρτα υπηρεσιών παραμένει επίσης αμετάβλητη, σύμφωνα με το άρθρο 16 της οδηγίας για τις υπηρεσίες.</w:t>
      </w:r>
    </w:p>
    <w:p>
      <w:pPr>
        <w:rPr>
          <w:noProof/>
        </w:rPr>
      </w:pPr>
      <w:r>
        <w:rPr>
          <w:noProof/>
        </w:rPr>
        <w:t xml:space="preserve">Όταν ο πάροχος υπηρεσιών σχεδιάζει να παρέχει υπηρεσίες μέσω υποκαταστήματος, πρακτορείου ή γραφείου σε άλλο κράτος μέλος, η ηλεκτρονική κάρτα εκδίδεται από το κράτος μέλος υποδοχής. Στην περίπτωση αυτή, ο πάροχος υπηρεσιών θα πρέπει και πάλι να υποβάλλει αίτηση για την έκδοση της ηλεκτρονικής κάρτας στις αρχές της χώρας καταγωγής του, οι οποίες θα ελέγχουν αν διατηρεί πράγματι έδρα στο έδαφος της χώρας σύμφωνα με τους ισχύοντες σε αυτήν κανόνες. Σε δεύτερο στάδιο όμως, οι αρχές του κράτους μέλους καταγωγής θα συνεργάζονται με την αρμόδια διοικητική αρχή της χώρας υποδοχής βοηθώντας την τελευταία να επαληθεύσει αν ο πάροχος υπηρεσιών που αιτείται την ηλεκτρονική κάρτα πληροί τις κανονιστικές απαιτήσεις της χώρας υποδοχής στην οποία επιθυμεί να επεκταθεί, σύμφωνα με την οδηγία για τις υπηρεσίες. Με τον τρόπο αυτόν, δεν θα υφίσταται άνιση μεταχείριση μεταξύ εγχώριων και ξένων παρόχων υπηρεσιών. Αφού εκδοθεί, η ηλεκτρονική κάρτα θα επιτρέπει στον κάτοχό της να παρέχει υπηρεσίες μέσω δευτερεύουσας εγκατάστασης (με τη μορφή υποκαταστήματος, πρακτορείου ή γραφείου) στο οικείο κράτος μέλος υποδοχής. </w:t>
      </w:r>
    </w:p>
    <w:p>
      <w:pPr>
        <w:rPr>
          <w:noProof/>
        </w:rPr>
      </w:pPr>
      <w:r>
        <w:rPr>
          <w:noProof/>
        </w:rPr>
        <w:t>Η ευρωπαϊκή ηλεκτρονική κάρτα υπηρεσιών είναι παρεμφερής, ως ιδέα, με την ευρωπαϊκή επαγγελματική ταυτότητα, με την οποία οι αρχές των κρατών μελών είναι ήδη εξοικειωμένες. Η ευρωπαϊκή επαγγελματική ταυτότητα άρχισε να διατίθεται τον Ιανουάριο του 2016 καλύπτοντας επιλεγμένες κατηγορίες επαγγελματιών. Η ανταπόκριση των τελευταίων ήταν σημαντική, γεγονός που καταδεικνύει ότι ο συγκεκριμένος τύπος μέσου απλούστευσης έχει πρακτικά οφέλη για τους χρήστες του. Τόσο η ευρωπαϊκή ηλεκτρονική κάρτα υπηρεσιών όσο και η ευρωπαϊκή επαγγελματική ταυτότητα είναι προαιρετικές ηλεκτρονικές διαδικασίες σε επίπεδο ΕΕ. Η χρήση της ευρωπαϊκής ηλεκτρονικής κάρτας υπηρεσιών είναι προαιρετική για τους παρόχους υπηρεσιών. Η αρχή της χώρας καταγωγής του αιτούντος λειτουργεί ως ενιαίο σημείο επαφής. Επιπλέον, η λειτουργία αμφότερων των συστημάτων βασίζεται σε προκαθορισμένες και δεσμευτικές διαδικασίες συνεργασίας μεταξύ των κρατών μελών καταγωγής και υποδοχής οι οποίες διεξάγονται μέσω του υφιστάμενου Συστήματος Πληροφόρησης για την Εσωτερική Αγορά, που θέσπισε ο κανονισμός ΙΜΙ</w:t>
      </w:r>
      <w:r>
        <w:rPr>
          <w:rStyle w:val="FootnoteReference"/>
          <w:noProof/>
        </w:rPr>
        <w:footnoteReference w:id="7"/>
      </w:r>
      <w:r>
        <w:rPr>
          <w:noProof/>
        </w:rPr>
        <w:t xml:space="preserve">. </w:t>
      </w:r>
    </w:p>
    <w:p>
      <w:pPr>
        <w:rPr>
          <w:noProof/>
        </w:rPr>
      </w:pPr>
      <w:r>
        <w:rPr>
          <w:noProof/>
        </w:rPr>
        <w:lastRenderedPageBreak/>
        <w:t xml:space="preserve">Ταυτόχρονα, τα δύο συστήματα έχουν διαφορετικούς στόχους. Η ευρωπαϊκή επαγγελματική ταυτότητα διευκολύνει τη διασυνοριακή παροχή υπηρεσιών μέσω της αναγνώρισης των επαγγελματικών προσόντων φυσικών προσώπων ως εργαζομένων ή αυτοαπασχολούμενων παρόχων υπηρεσιών σύμφωνα με την οδηγία για τα επαγγελματικά προσόντα. </w:t>
      </w:r>
    </w:p>
    <w:p>
      <w:pPr>
        <w:rPr>
          <w:noProof/>
        </w:rPr>
      </w:pPr>
      <w:r>
        <w:rPr>
          <w:noProof/>
        </w:rPr>
        <w:t xml:space="preserve">Η ευρωπαϊκή ηλεκτρονική κάρτα υπηρεσιών αφορά ένα πολύ ευρύτερο φάσμα απαιτήσεων. Θα διατίθεται δε τόσο σε φυσικά πρόσωπα που εργάζονται ως αυτοαπασχολούμενοι, όσο και σε εταιρείες που επιθυμούν να παρέχουν υπηρεσίες σε άλλο κράτος μέλος. Σε αντίθεση με την ευρωπαϊκή επαγγελματική ταυτότητα, η ευρωπαϊκή ηλεκτρονική κάρτα υπηρεσιών θα προσφέρει επίσης τεχνικές διευκολύνσεις για τη συμμόρφωση με διοικητικές διατυπώσεις που συνδέονται με την απόσπαση προσωπικού στο έδαφος εκείνων των κρατών μελών που γνωστοποίησαν στην Επιτροπή ότι επιθυμούν να κάνουν χρήση του ΙΜΙ γι’ αυτόν τον σκοπό. Η δυνατότητα χρήσης του ΙΜΙ δεν μεταβάλλει στο παραμικρό την ουσία των ισχυόντων κανόνων που διατυπώνονται στην οδηγία 2014/67/ΕΕ. Έχουν συμπεριληφθεί επίσης κανόνες για τη διευκόλυνση της επίτευξης ασφαλιστικής κάλυψης για υπηρεσίες που παρέχονται σε διασυνοριακό επίπεδο. </w:t>
      </w:r>
    </w:p>
    <w:p>
      <w:pPr>
        <w:rPr>
          <w:noProof/>
        </w:rPr>
      </w:pPr>
      <w:r>
        <w:rPr>
          <w:noProof/>
        </w:rPr>
        <w:t xml:space="preserve">Η ηλεκτρονική κάρτα θα καλύπτει απαιτήσεις που εμπίπτουν στο πεδίο εφαρμογής της οδηγίας για τις υπηρεσίες και ως εκ τούτου δεν θα αφορά τομείς όπως η φορολογία, η εργασία και η κοινωνική ασφάλιση. Πάντως, οι αρχές των κρατών μελών δεν θα απαιτούν από τον κάτοχο της ηλεκτρονικής κάρτας να παρέχει πληροφορίες που περιέχονται ήδη στην ηλεκτρονική κάρτα για διαδικασίες ή διατυπώσεις τις οποίες οφείλει να διεκπεραιώσει ο πάροχος σε σχέση με ανάθεση δημόσιας σύμβασης, διαγωνισμό μελετών ή παραχώρηση, ίδρυση θυγατρικών ή καταχώριση υποκαταστημάτων δυνάμει του εταιρικού δικαίου και εγγραφή σε συστήματα υποχρεωτικής κοινωνικής ασφάλισης. </w:t>
      </w:r>
    </w:p>
    <w:p>
      <w:pPr>
        <w:rPr>
          <w:noProof/>
        </w:rPr>
      </w:pPr>
      <w:r>
        <w:rPr>
          <w:noProof/>
        </w:rPr>
        <w:t>Η ευρωπαϊκή ηλεκτρονική κάρτα υπηρεσιών θα ισχύει – σε πρώτη φάση – για τις επιχειρηματικές υπηρεσίες και τον κλάδο των κατασκευών, στον βαθμό που οι συναφείς δραστηριότητες εμπίπτουν ήδη στο πεδίο εφαρμογής της οδηγίας για τις υπηρεσίες. Οι δύο αυτοί κλάδοι είναι ζωτικής σημασίας για την οικονομία της ΕΕ</w:t>
      </w:r>
      <w:r>
        <w:rPr>
          <w:rStyle w:val="FootnoteReference"/>
          <w:noProof/>
        </w:rPr>
        <w:footnoteReference w:id="8"/>
      </w:r>
      <w:r>
        <w:rPr>
          <w:noProof/>
        </w:rPr>
        <w:t xml:space="preserve">. Στην προσπάθειά τους να επεκταθούν στο εξωτερικό, οι πάροχοι κατασκευαστικών ή επιχειρηματικών υπηρεσιών έρχονται συχνά αντιμέτωποι με ιδιαίτερα πολύπλοκες διοικητικές διαδικασίες. Επιπλέον, ο ρυθμός αύξησης της παραγωγικότητας την τελευταία δεκαετία ήταν πολύ χαμηλός στους δύο αυτούς κλάδους και οι διασυνοριακές συναλλαγές και επενδύσεις περιορισμένες. Η αύξηση του διασυνοριακού ανταγωνισμού αναμένεται να συμβάλει στη διατήρηση και βελτίωση της ανταγωνιστικότητας αμφότερων των κλάδων. </w:t>
      </w:r>
    </w:p>
    <w:p>
      <w:pPr>
        <w:rPr>
          <w:noProof/>
        </w:rPr>
      </w:pPr>
      <w:r>
        <w:rPr>
          <w:noProof/>
        </w:rPr>
        <w:t>Η παρούσα πρόταση περιλαμβάνει επίσης ρήτρες αναθεώρησης για τη μελλοντική εξέταση της αποτελεσματικότητας της ευρωπαϊκής ηλεκτρονικής κάρτας υπηρεσιών, μεταξύ άλλων, όσον αφορά τη συμμόρφωση με τις απαραίτητες διατυπώσεις για την απόσπαση εργαζομένων και λαμβανομένης υπόψη της πείρας εκείνων των κρατών μελών που επέλεξαν να αξιοποιήσουν τη δυνατότητα που προσφέρει το άρθρο 6 παράγραφος 3 του παρόντος σχεδίου κανονισμού για διεκπεραίωση των σχετικών διατυπώσεων μέσω ηλεκτρονικής πλατφόρμας συνδεδεμένης με το ΙΜΙ.</w:t>
      </w:r>
    </w:p>
    <w:p>
      <w:pPr>
        <w:rPr>
          <w:noProof/>
        </w:rPr>
      </w:pPr>
    </w:p>
    <w:p>
      <w:pPr>
        <w:pStyle w:val="ManualHeading2"/>
        <w:rPr>
          <w:rFonts w:eastAsia="Arial Unicode MS"/>
          <w:noProof/>
          <w:color w:val="000000"/>
          <w:u w:color="000000"/>
          <w:bdr w:val="nil"/>
        </w:rPr>
      </w:pPr>
      <w:r>
        <w:rPr>
          <w:noProof/>
          <w:color w:val="000000"/>
          <w:u w:color="000000"/>
          <w:bdr w:val="nil"/>
        </w:rPr>
        <w:lastRenderedPageBreak/>
        <w:t>•</w:t>
      </w:r>
      <w:r>
        <w:rPr>
          <w:noProof/>
        </w:rPr>
        <w:tab/>
        <w:t>Συνοχή με ισχύουσες διατάξεις στον τομέα πολιτικής</w:t>
      </w:r>
    </w:p>
    <w:p>
      <w:pPr>
        <w:rPr>
          <w:noProof/>
        </w:rPr>
      </w:pPr>
      <w:r>
        <w:rPr>
          <w:noProof/>
        </w:rPr>
        <w:t xml:space="preserve">Ο παρών κανονισμός συνυποβάλλεται με μια οδηγία. Αντικείμενο του κανονισμού είναι η θέσπιση ευρωπαϊκής ηλεκτρονικής κάρτας υπηρεσιών, χωρίς να τροποποιούνται οι σχετικοί κανόνες της ΕΕ. Ο κανονισμός προβλέπει εργαλεία που τίθενται στη διάθεση των παρόχων υπηρεσιών σε ολόκληρη την ΕΕ. Επιπλέον, διευκολύνει την επίλυση ζητημάτων που σχετίζονται με την ασφαλιστική κάλυψη παρόχου υπηρεσιών που δραστηριοποιείται σε διασυνοριακό επίπεδο. Η οδηγία θεσπίζει το νομικό και επιχειρησιακό πλαίσιο της ευρωπαϊκής ηλεκτρονικής κάρτας υπηρεσιών και ρυθμίζει, μεταξύ άλλων, τους όρους επιλεξιμότητας, τις αρμοδιότητες των κρατών μελών καταγωγής και υποδοχής, την ισχύ της ευρωπαϊκής κάρτας υπηρεσιών και τις προϋποθέσεις ανάκλησης ή αναστολής της. </w:t>
      </w:r>
    </w:p>
    <w:p>
      <w:pPr>
        <w:rPr>
          <w:noProof/>
        </w:rPr>
      </w:pPr>
      <w:r>
        <w:rPr>
          <w:noProof/>
        </w:rPr>
        <w:t>Ο παρών κανονισμός διατηρεί πλήρως τις υφιστάμενες διατάξεις της ΕΕ που αφορούν κοινωνικά θέματα, τις συνθήκες απασχόλησης (ιδίως απόσπαση εργαζομένων, δικαιώματα εργαζομένων και τον κοινωνικό πυλώνα), την υγεία και ασφάλεια και την προστασία του περιβάλλοντος. Δεν τροποποιεί και δεν θίγει τις υφιστάμενες εγγυήσεις στο πλαίσιο αυτό. Η ηλεκτρονική κάρτα αναμένεται να παρέχει επιπλέον πληροφορίες σχετικά με την εταιρεία. Η εξουσία των κρατών μελών να διενεργούν επιτόπιες επιθεωρήσεις δεν θα θιγεί καθόλου. Οι κανόνες σχετικά με την απόσπαση εργαζομένων σύμφωνα με τις οδηγίες 96/71/ΕΚ και 2014/67/ΕΕ θα εξακολουθήσουν να ισχύουν στο πλαίσιο της ευρωπαϊκής ηλεκτρονικής κάρτας υπηρεσιών, ενώ ταυτόχρονα θα παρέχονται περαιτέρω διευκολύνσεις για τη συμμόρφωση με αυτούς τους κανόνες. Στις περιπτώσεις που τα κράτη μέλη έχουν θεσπίσει διαδικασίες που προβλέπουν τη δυνατότητα συμπλήρωσης δήλωσης σε σχέση με την απόσπαση εργαζομένων σύμφωνα με το άρθρο 9 της οδηγίας 2014/67/ΕΕ με ηλεκτρονικά μέσα, η ευρωπαϊκή ηλεκτρονική κάρτα υπηρεσιών θα καθοδηγεί τον κάτοχο της κάρτας στη διεκπεραίωση των οικείων εθνικών διαδικασιών. Οι πάροχοι που διαθέτουν ευρωπαϊκή ηλεκτρονική κάρτα υπηρεσιών μπορούν επίσης να υποβάλουν την εν λόγω δήλωση μέσω ηλεκτρονικής πλατφόρμας συνδεδεμένης με το ΙΜΙ, όταν ένα κράτος μέλος υποδοχής έχει γνωστοποιήσει στην Επιτροπή ότι για την απόσπαση εργαζομένων στο έδαφός του θα πρέπει να ισχύει αυτή η δυνατότητα.</w:t>
      </w:r>
    </w:p>
    <w:p>
      <w:pPr>
        <w:rPr>
          <w:noProof/>
        </w:rPr>
      </w:pPr>
      <w:r>
        <w:rPr>
          <w:noProof/>
        </w:rPr>
        <w:t xml:space="preserve">Η πρόταση για τη θέσπιση ευρωπαϊκής ηλεκτρονικής κάρτας υπηρεσιών λειτουργεί επίσης συμπληρωματικά προς άλλες πρωτοβουλίες πολιτικής στον τομέα των υπηρεσιών οι οποίες εξαγγέλλονται στη στρατηγική για την ενιαία αγορά με γνώμονα την πρόληψη της παρεμβολής εθνικών εμποδίων στη διασυνοριακή παροχή υπηρεσιών. Συγκεκριμένα, είναι συμπληρωματική προς την πρόταση οδηγίας [ΧΧ] της Επιτροπής για τη μεταρρύθμιση της διαδικασίας μέσω της οποίας τα κράτη μέλη οφείλουν να κοινοποιούν καθεστώτα και απαιτήσεις αδειοδότησης στον τομέα των υπηρεσιών. </w:t>
      </w:r>
    </w:p>
    <w:p>
      <w:pPr>
        <w:rPr>
          <w:noProof/>
        </w:rPr>
      </w:pPr>
      <w:r>
        <w:rPr>
          <w:noProof/>
        </w:rPr>
        <w:t xml:space="preserve">Η παρούσα πρόταση θα συμπληρωθεί επιπλέον από την πρωτοβουλία της ενιαίας ψηφιακής πύλης, που εξαγγέλλεται στη στρατηγική για την ενιαία αγορά για το 2017. Η πύλη, για την οποία διεξάχθηκε δημόσια διαβούλευση το φθινόπωρο του 2016, αναμένεται να δώσει λύση στο ζήτημα των υφιστάμενων κενών στην πληροφόρηση όσον αφορά τις επιχειρήσεις και τους πολίτες, μέσω της ολοκλήρωσης, της συμπλήρωσης και της βελτίωσης της σχετικής επιγραμμικής πληροφόρησης σε επίπεδο ΕΕ και σε εθνικό επίπεδο. Θα αποτελέσει επίσης συνδετικό κρίκο με τις υπηρεσίες βοήθειας. Επιπλέον, θα στοχεύει στην περαιτέρω ψηφιοποίηση των εθνικών διαδικασιών που αφορούν τους πολίτες και τις επιχειρήσεις που ασκούν τα δικαιώματά τους στην ενιαία αγορά. Στόχος είναι, το πεδίο εφαρμογής της ενιαίας ψηφιακής πύλης να υπερβεί τους τομείς που καλύπτει η παρούσα πρωτοβουλία.  </w:t>
      </w:r>
    </w:p>
    <w:p>
      <w:pPr>
        <w:rPr>
          <w:noProof/>
        </w:rPr>
      </w:pPr>
      <w:r>
        <w:rPr>
          <w:noProof/>
        </w:rPr>
        <w:lastRenderedPageBreak/>
        <w:t>Συγκριτικά, η ευρωπαϊκή ηλεκτρονική κάρτα υπηρεσιών θα προσφέρει ένα πλήρως εναρμονισμένο και τυποποιημένο μέσο για τη διασυνοριακή παροχή υπηρεσιών και, ως εκ τούτου, θα μειώσει το κόστος συμμόρφωσης για συγκεκριμένες αγορές υπηρεσιών στις οποίες κυριαρχούν οι ΜΜΕ. Στόχος της είναι η διοικητική απλούστευση, με τη συμμετοχή του κράτους μέλους από το οποίο προέρχεται ο πάροχος υπηρεσιών, χωρίς ωστόσο το εν λόγω κράτος μέλος (καταγωγής) να έχει λόγο όσον αφορά τις απαιτήσεις που οφείλει να εκπληρώσει ο πάροχος υπηρεσιών στα άλλα κράτη μέλη. Σύμφωνα με όσα ισχύουν για την ευρωπαϊκή ηλεκτρονική κάρτα υπηρεσιών, σε αυτά εναπόκειται το καθήκον ενημέρωσης και η εξασφάλιση συμμόρφωσης, στο πλαίσιο μιας προκαθορισμένης και πλήρως τυποποιημένης ροής εργασίας. Η ενιαία ψηφιακή πύλη θα αποτελέσει συνδετικό κρίκο με τη διαδικασία αυτή και θα διευκολύνει τους δικαιούχους στην εύρεσή της.</w:t>
      </w:r>
    </w:p>
    <w:p>
      <w:pPr>
        <w:rPr>
          <w:noProof/>
        </w:rPr>
      </w:pPr>
      <w:r>
        <w:rPr>
          <w:noProof/>
        </w:rPr>
        <w:t>Η εφαρμογή της ευρωπαϊκής ηλεκτρονικής κάρτας υπηρεσιών θα είναι πλήρως ευθυγραμμισμένη με την ανάπτυξη του σχεδίου ενιαίας ψηφιακής πύλης και θα σέβεται τις αρχές που καθορίζονται στο σχέδιο δράσης για την ηλεκτρονική διακυβέρνηση (ιδίως:  εξ ορισμού ψηφιακός χαρακτήρας, εξ ορισμού διαλειτουργικός χαρακτήρας, εξ ορισμού διασυνοριακός χαρακτήρας, αρχή «μόνον άπαξ» και εξ ορισμού κατάργηση των αποκλεισμών)</w:t>
      </w:r>
      <w:r>
        <w:rPr>
          <w:rStyle w:val="FootnoteReference"/>
          <w:noProof/>
        </w:rPr>
        <w:footnoteReference w:id="9"/>
      </w:r>
      <w:r>
        <w:rPr>
          <w:noProof/>
        </w:rPr>
        <w:t xml:space="preserve">. </w:t>
      </w:r>
    </w:p>
    <w:p>
      <w:pPr>
        <w:rPr>
          <w:noProof/>
        </w:rPr>
      </w:pPr>
      <w:r>
        <w:rPr>
          <w:noProof/>
        </w:rPr>
        <w:t>Τέλος, η παρούσα πρόταση συμπληρώνει την πολιτική της Επιτροπής σε επίπεδο εφαρμογής, η οποία επιδιώκει παράλληλα να αντιμετωπίσει αδικαιολόγητους ή δυσανάλογους εθνικούς περιορισμούς στην ελευθερία εγκατάστασης και την ελεύθερη παροχή υπηρεσιών.</w:t>
      </w:r>
    </w:p>
    <w:p>
      <w:pPr>
        <w:rPr>
          <w:noProof/>
        </w:rPr>
      </w:pPr>
      <w:r>
        <w:rPr>
          <w:noProof/>
        </w:rPr>
        <w:t>Η εφαρμογή του παρόντος κανονισμού θα υποστηριχθεί από το Σύστημα Πληροφόρησης για την Εσωτερική Αγορά (IMI) το οποίο θεσπίζεται με τον κανονισμό IMI</w:t>
      </w:r>
      <w:r>
        <w:rPr>
          <w:rStyle w:val="FootnoteReference"/>
          <w:noProof/>
        </w:rPr>
        <w:footnoteReference w:id="10"/>
      </w:r>
      <w:r>
        <w:rPr>
          <w:noProof/>
        </w:rPr>
        <w:t xml:space="preserve">. Το IMI το χρησιμοποιούν περίπου 5 000 αρχές από το 2011, ενώ διεξάγονται διαρκώς έρευνες ικανοποίησης των χρηστών του. Έχει δε αποδείξει τις δυνατότητές του με την ευρωπαϊκή επαγγελματική ταυτότητα που θεσπίστηκε τον Ιανουάριο του 2016. </w:t>
      </w:r>
    </w:p>
    <w:p>
      <w:pPr>
        <w:pStyle w:val="ManualHeading2"/>
        <w:rPr>
          <w:rFonts w:eastAsia="Arial Unicode MS"/>
          <w:noProof/>
        </w:rPr>
      </w:pPr>
      <w:r>
        <w:rPr>
          <w:noProof/>
          <w:color w:val="000000"/>
          <w:u w:color="000000"/>
          <w:bdr w:val="nil"/>
        </w:rPr>
        <w:t>•</w:t>
      </w:r>
      <w:r>
        <w:rPr>
          <w:noProof/>
        </w:rPr>
        <w:tab/>
        <w:t>Συνοχή με άλλες πολιτικές της Ένωσης</w:t>
      </w:r>
    </w:p>
    <w:p>
      <w:pPr>
        <w:rPr>
          <w:noProof/>
        </w:rPr>
      </w:pPr>
      <w:r>
        <w:rPr>
          <w:noProof/>
        </w:rPr>
        <w:t xml:space="preserve">Η παρούσα πρόταση κανονισμού για τη θέσπιση ευρωπαϊκής ηλεκτρονικής κάρτας υπηρεσιών και η συναφής πρόταση οδηγίας συνάδουν πλήρως με άλλες πολιτικές της Ένωσης, και συγκεκριμένα με εκείνες που επιδιώκουν τους ίδιους στόχους όσον αφορά τη διοικητική απλούστευση και τη μείωση των απαιτήσεων για τους παρόχους υπηρεσιών. </w:t>
      </w:r>
    </w:p>
    <w:p>
      <w:pPr>
        <w:rPr>
          <w:noProof/>
        </w:rPr>
      </w:pPr>
      <w:r>
        <w:rPr>
          <w:noProof/>
        </w:rPr>
        <w:t>Η απλούστευση των διατυπώσεων όσον αφορά τα έγγραφα θα ακολουθεί εκ του σύνεγγυς τις λύσεις που αναμένεται να θεσπιστούν με τον κανονισμό (ΕΕ) 2016/1191 για την προώθηση της ελεύθερης κυκλοφορίας των πολιτών μέσω της απλούστευσης των απαιτήσεων υποβολής ορισμένων δημόσιων εγγράφων στην Ευρωπαϊκή Ένωση</w:t>
      </w:r>
      <w:r>
        <w:rPr>
          <w:rStyle w:val="FootnoteReference"/>
          <w:noProof/>
        </w:rPr>
        <w:footnoteReference w:id="11"/>
      </w:r>
      <w:r>
        <w:rPr>
          <w:noProof/>
        </w:rPr>
        <w:t>.</w:t>
      </w:r>
    </w:p>
    <w:p>
      <w:pPr>
        <w:rPr>
          <w:noProof/>
        </w:rPr>
      </w:pPr>
      <w:r>
        <w:rPr>
          <w:noProof/>
        </w:rPr>
        <w:lastRenderedPageBreak/>
        <w:t xml:space="preserve">Στον τομέα της αναγνώρισης των επαγγελματικών προσόντων, θεσπίστηκε το 2013 παρεμφερές εργαλείο που προάγει τη διοικητική απλούστευση: πρόκειται για την προαναφερόμενη ευρωπαϊκή επαγγελματική ταυτότητα, η οποία είναι διαθέσιμη για επιλεγμένες κατηγορίες επαγγελμάτων (νοσηλευτές, φαρμακοποιούς, φυσικοθεραπευτές, οδηγούς βουνού και κτηματομεσίτες) από τον Ιανουάριο του 2016. Προκειμένου να αποφευχθεί τυχόν κίνδυνος αλληλεπικάλυψης, η παρούσα πρόταση προβλέπει ότι οι επαγγελματίες που μπορούν να υποβάλουν αίτηση για ευρωπαϊκή επαγγελματική ταυτότητα δεν μπορούν να λάβουν ευρωπαϊκή ηλεκτρονική κάρτα υπηρεσιών.   </w:t>
      </w:r>
    </w:p>
    <w:p>
      <w:pPr>
        <w:rPr>
          <w:noProof/>
        </w:rPr>
      </w:pPr>
      <w:r>
        <w:rPr>
          <w:noProof/>
        </w:rPr>
        <w:t>Στο πλαίσιο της προβλεπόμενης διαδικασίας για την ευρωπαϊκή ηλεκτρονική κάρτα υπηρεσιών, οι συντονιστικές και οι αρμόδιες αρχές κάνουν χρήση όλων των διαθέσιμων διασυνδέσεων εθνικών μητρώων, συμπεριλαμβανομένης της διασύνδεσης των μητρώων εταιρειών (BRIS), σύμφωνα με τα προβλεπόμενα στην οδηγία 2009/101/ΕΚ, και των μητρώων αφερεγγυότητας δυνάμει του κανονισμού (ΕΕ) 2015/848, πριν από κάθε άλλο μέσο λήψης ή επαλήθευσης προγενέστερα ληφθεισών πληροφοριών για τους σκοπούς της εν λόγω διαδικασίας.</w:t>
      </w: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rPr>
      </w:pPr>
      <w:r>
        <w:rPr>
          <w:noProof/>
        </w:rPr>
        <w:t>•</w:t>
      </w:r>
      <w:r>
        <w:rPr>
          <w:noProof/>
        </w:rPr>
        <w:tab/>
        <w:t>Νομική βάση</w:t>
      </w:r>
    </w:p>
    <w:p>
      <w:pPr>
        <w:rPr>
          <w:noProof/>
        </w:rPr>
      </w:pPr>
      <w:r>
        <w:rPr>
          <w:noProof/>
        </w:rPr>
        <w:t xml:space="preserve">Η παρούσα νομοθετική δράση εμπίπτει στο πεδίο της συντρέχουσας αρμοδιότητας δυνάμει του άρθρου 4 παράγραφος 2 στοιχείο α) ΣΛΕΕ. Στόχος της είναι η διευκόλυνση της εγκατάστασης και της παροχής υπηρεσιών μέσω της έγκρισης μέτρων για την προσέγγιση των νομοθετικών διατάξεων που έχουν ως αντικείμενο τη λειτουργία της εσωτερικής αγοράς. Ο παρών κανονισμός βασίζεται στο άρθρο 114 ΣΛΕΕ που συνιστά τη γενική νομική βάση για την έγκριση τέτοιων μέτρων. </w:t>
      </w:r>
    </w:p>
    <w:p>
      <w:pPr>
        <w:pStyle w:val="ManualHeading2"/>
        <w:rPr>
          <w:rFonts w:eastAsia="Arial Unicode MS"/>
          <w:noProof/>
          <w:u w:color="000000"/>
          <w:bdr w:val="nil"/>
        </w:rPr>
      </w:pPr>
      <w:r>
        <w:rPr>
          <w:noProof/>
        </w:rPr>
        <w:t>•</w:t>
      </w:r>
      <w:r>
        <w:rPr>
          <w:noProof/>
        </w:rPr>
        <w:tab/>
        <w:t xml:space="preserve">Επικουρικότητα (σε περίπτωση μη αποκλειστικής αρμοδιότητας) </w:t>
      </w:r>
    </w:p>
    <w:p>
      <w:pPr>
        <w:rPr>
          <w:noProof/>
        </w:rPr>
      </w:pPr>
      <w:r>
        <w:rPr>
          <w:noProof/>
        </w:rPr>
        <w:t>Ο γενικός στόχος της παρούσας νομοθετικής πρότασης είναι να διασφαλιστεί η ομαλή λειτουργία της ενιαίας αγοράς υπηρεσιών της ΕΕ, η οποία δεν περιορίζεται στην επικράτεια ενός κράτους μέλους, αλλά καλύπτει ολόκληρη την επικράτεια της ΕΕ. Δεδομένης της διασυνοριακής φύσης της ενιαίας αγοράς της ΕΕ και της αναγκαιότητας διευθέτησης κατά τον πλέον συνεκτικό τρόπο ζητημάτων που προκύπτουν σε διασυνοριακό επίπεδο, η χρήση εργαλείου ΤΠ για όλη την ΕΕ, του IMI, συνιστά αποτελεσματικό τρόπο αντίδρασης που μπορεί να υλοποιηθεί μόνο με την ανάληψη δράσης σε επίπεδο ΕΕ.</w:t>
      </w:r>
    </w:p>
    <w:p>
      <w:pPr>
        <w:pStyle w:val="ManualHeading2"/>
        <w:rPr>
          <w:rFonts w:eastAsia="Arial Unicode MS"/>
          <w:noProof/>
          <w:u w:color="000000"/>
          <w:bdr w:val="nil"/>
        </w:rPr>
      </w:pPr>
      <w:r>
        <w:rPr>
          <w:noProof/>
        </w:rPr>
        <w:t>•</w:t>
      </w:r>
      <w:r>
        <w:rPr>
          <w:noProof/>
        </w:rPr>
        <w:tab/>
        <w:t>Αναλογικότητα</w:t>
      </w:r>
    </w:p>
    <w:p>
      <w:pPr>
        <w:rPr>
          <w:noProof/>
        </w:rPr>
      </w:pPr>
      <w:r>
        <w:rPr>
          <w:noProof/>
        </w:rPr>
        <w:t xml:space="preserve">Τα μέτρα που θεσπίζει ο παρών κανονισμός είναι αναλογικά προς τον στόχο που θέτει για περαιτέρω ολοκλήρωση των αγορών υπηρεσιών σε επίπεδο ΕΕ, μέσω της ενίσχυσης της δυναμικής της αγοράς και του διασυνοριακού ανταγωνισμού. Είναι επίσης αναλογικά προς τους στόχους της ενίσχυσης της διαφάνειας, της μείωσης του κόστους και της απλούστευσης των διαδικασιών που επιβάλλουν τα κράτη μέλη στους παρόχους υπηρεσιών σε καταστάσεις διασυνοριακού χαρακτήρα, και συγκεκριμένα στις διαδικασίες περί απόσπασης προσωπικού και όσον αφορά την ασφάλιση επαγγελματικής ευθύνης. Επιπλέον, βασίζεται στο IMI, ένα υφιστάμενο εργαλείο ΤΠ σε επίπεδο ΕΕ το οποίο χρηματοδοτείται από τον προϋπολογισμό της ΕΕ και χρησιμοποιείται ήδη από τις εθνικές διοικητικές αρχές. Η διαδικασία σε επίπεδο </w:t>
      </w:r>
      <w:r>
        <w:rPr>
          <w:noProof/>
        </w:rPr>
        <w:lastRenderedPageBreak/>
        <w:t>ΕΕ θα επιφέρει ελάχιστες μόνο προσαρμογές στο IMI, οι οποίες συνεπάγονται ελάχιστο κόστος σε ενωσιακό και εθνικό επίπεδο. Η εκτίμηση του ελάχιστου αυτού κόστους έγινε σε σχέση με υφιστάμενες παρεμφερείς διαδικασίες, όπως η ευρωπαϊκή επαγγελματική ταυτότητα.</w:t>
      </w:r>
    </w:p>
    <w:p>
      <w:pPr>
        <w:rPr>
          <w:noProof/>
        </w:rPr>
      </w:pPr>
      <w:r>
        <w:rPr>
          <w:noProof/>
        </w:rPr>
        <w:t>Αυτά τα μέτρα δεν υπερβαίνουν όλα όσα είναι αναγκαία για την επίλυση των προβλημάτων που έχουν εντοπιστεί και την επίτευξη των στόχων που έχουν τεθεί. Αν και η διαδικασία σε επίπεδο ΕΕ απαιτεί την ανάληψη ενεργητικού ρόλου από τις διοικητικές αρχές των κρατών μελών, τα χρηματοοικονομικά κονδύλια που θα χρειαστεί ενδεχομένως να διαθέσουν τα κράτη μέλη θα είναι περιορισμένα λόγω της χρήσης του Συστήματος Πληροφόρησης για την Εσωτερική Αγορά, μιας πλατφόρμας που ήδη υφίσταται και λειτουργεί με πόρους της ΕΕ. Επιπλέον, οι προοπτικές που δημιουργεί η χρήση της ευρωπαϊκής ηλεκτρονικής κάρτας υπηρεσιών σε επίπεδο πρόσθετου ανταγωνισμού στις αγορές υπηρεσιών με περισσότερους παράγοντες της αγοράς, και πρόσθετου κύκλου εργασιών, θα έχουν θετικό αντίκτυπο στις οικονομίες των κρατών μελών.</w:t>
      </w:r>
    </w:p>
    <w:p>
      <w:pPr>
        <w:rPr>
          <w:noProof/>
        </w:rPr>
      </w:pPr>
      <w:r>
        <w:rPr>
          <w:noProof/>
        </w:rPr>
        <w:t xml:space="preserve">Η χρήση της ευρωπαϊκής ηλεκτρονικής κάρτας υπηρεσιών θα είναι προαιρετική για τους παρόχους υπηρεσιών. </w:t>
      </w:r>
    </w:p>
    <w:p>
      <w:pPr>
        <w:pStyle w:val="ManualHeading2"/>
        <w:rPr>
          <w:rFonts w:eastAsia="Arial Unicode MS"/>
          <w:noProof/>
          <w:u w:color="000000"/>
          <w:bdr w:val="nil"/>
        </w:rPr>
      </w:pPr>
      <w:r>
        <w:rPr>
          <w:noProof/>
        </w:rPr>
        <w:t>•</w:t>
      </w:r>
      <w:r>
        <w:rPr>
          <w:noProof/>
        </w:rPr>
        <w:tab/>
        <w:t>Επιλογή του νομικού μέσου</w:t>
      </w:r>
    </w:p>
    <w:p>
      <w:pPr>
        <w:rPr>
          <w:noProof/>
        </w:rPr>
      </w:pPr>
      <w:r>
        <w:rPr>
          <w:noProof/>
        </w:rPr>
        <w:t>Ο παρών κανονισμός βασίζεται στο άρθρο 114 ΣΛΕΕ. Περιέχει διατάξεις που διευκολύνουν την άσκηση της ελευθερίας δευτερεύουσας εγκατάστασης, καθώς και διατάξεις σχετικά με την ελεύθερη παροχή υπηρεσιών και προσωρινές καταστάσεις διασυνοριακού χαρακτήρα. Βασιζόμενος στο συγκεκριμένο άρθρο της ΣΛΕΕ, ο κανονισμός θεσπίζει επίσης πρακτικά εργαλεία σχετικά με την ασφάλιση επαγγελματικής ευθύνης, την οποία επιδιώκουν οι πάροχοι υπηρεσιών για τις δραστηριότητές τους στο εξωτερικό.</w:t>
      </w:r>
    </w:p>
    <w:p>
      <w:pPr>
        <w:pStyle w:val="ManualHeading1"/>
        <w:rPr>
          <w:noProof/>
        </w:rPr>
      </w:pPr>
      <w:r>
        <w:rPr>
          <w:noProof/>
        </w:rPr>
        <w:t>3.</w:t>
      </w:r>
      <w:r>
        <w:rPr>
          <w:noProof/>
        </w:rPr>
        <w:tab/>
        <w:t>ΑΠΟΤΕΛΕΣΜΑΤΑ ΕΚ ΤΩΝ ΥΣΤΕΡΩΝ ΑΞΙΟΛΟΓΗΣΕΩΝ, ΔΙΑΒΟΥΛΕΥΣΕΩΝ ΜΕ ΤΑ ΕΝΔΙΑΦΕΡΟΜΕΝΑ ΜΕΡΗ ΚΑΙ ΕΚΤΙΜΗΣΕΩΝ ΤΩΝ ΕΠΙΠΤΩΣΕΩΝ</w:t>
      </w:r>
    </w:p>
    <w:p>
      <w:pPr>
        <w:pStyle w:val="ManualHeading2"/>
        <w:rPr>
          <w:rFonts w:eastAsia="Arial Unicode MS"/>
          <w:noProof/>
          <w:u w:color="000000"/>
          <w:bdr w:val="nil"/>
        </w:rPr>
      </w:pPr>
      <w:r>
        <w:rPr>
          <w:noProof/>
        </w:rPr>
        <w:t>•</w:t>
      </w:r>
      <w:r>
        <w:rPr>
          <w:noProof/>
        </w:rPr>
        <w:tab/>
        <w:t>Εκ των υστέρων αξιολογήσεις / έλεγχοι καταλληλότητας ισχύουσας νομοθεσίας</w:t>
      </w:r>
    </w:p>
    <w:p>
      <w:pPr>
        <w:rPr>
          <w:noProof/>
        </w:rPr>
      </w:pPr>
      <w:r>
        <w:rPr>
          <w:noProof/>
        </w:rPr>
        <w:t xml:space="preserve">Κατά την προετοιμασία της παρούσας πρότασης, η Επιτροπή προέβη σε εμπεριστατωμένη αξιολόγηση της οδηγίας για τις υπηρεσίες, από την οποία προέκυψε ότι η εφαρμογή της οδηγίας για τις υπηρεσίες υπήρξε μέχρι στιγμής αποτελεσματική μόνο κατά ένα μέρος. Η οδηγία για τις υπηρεσίες συνέβαλε στην περαιτέρω ανάπτυξη μέσω των μεταρρυθμίσεων που υλοποίησαν τα κράτη μέλη. Ωστόσο, οι πάροχοι υπηρεσιών σε νευραλγικούς τομείς υπηρεσιών (όπως οι επιχειρηματικές υπηρεσίες και οι κατασκευές) εξακολουθούν να έρχονται αντιμέτωποι με πολλά εμπόδια. Επιπλέον, το σύστημα διοικητικής συνεργασίας μεταξύ των κρατών μελών δεν αποδίδει όλα τα δυνατά οφέλη. Από εμπεριστατωμένη ανάλυση της λειτουργίας και της χρηστικότητας των υπηρεσιών μίας στάσης προκύπτει ότι οι περισσότερες υπηρεσίες μίας στάσης δεν έχουν επιτύχει ακόμη τη μέγιστη αναμενόμενη διοικητική απλούστευση όσον αφορά την προσωρινή παροχή διασυνοριακών υπηρεσιών ή τη σύσταση επιχειρήσεων. </w:t>
      </w:r>
    </w:p>
    <w:p>
      <w:pPr>
        <w:rPr>
          <w:noProof/>
        </w:rPr>
      </w:pPr>
      <w:r>
        <w:rPr>
          <w:noProof/>
        </w:rPr>
        <w:t xml:space="preserve">Επιπλέον, από αξιολόγηση της Επιτροπής προκύπτει ότι τα κράτη μέλη ακολουθούν σε μεγάλο βαθμό ανομοιογενείς προσεγγίσεις όσον αφορά τις υποχρεώσεις ασφάλισης και πρόσβασης σε ασφάλιση για την παροχή υπηρεσιών, με αποτέλεσμα να είναι δύσκολο και δαπανηρό για τους παρόχους υπηρεσιών να αποκτούν ασφαλιστική κάλυψη για τη </w:t>
      </w:r>
      <w:r>
        <w:rPr>
          <w:noProof/>
        </w:rPr>
        <w:lastRenderedPageBreak/>
        <w:t>διασυνοριακή παροχή υπηρεσιών, ιδίως στους κλάδους των επιχειρηματικών υπηρεσιών και των κατασκευών.</w:t>
      </w:r>
    </w:p>
    <w:p>
      <w:pPr>
        <w:rPr>
          <w:noProof/>
        </w:rPr>
      </w:pPr>
      <w:r>
        <w:rPr>
          <w:noProof/>
        </w:rPr>
        <w:t>Όλα αυτά τα υπολειπόμενα εμπόδια παρακωλύουν την αύξηση των διασυνοριακών συναλλαγών και επενδύσεων στον τομέα των υπηρεσιών.</w:t>
      </w:r>
    </w:p>
    <w:p>
      <w:pPr>
        <w:pStyle w:val="ManualHeading2"/>
        <w:rPr>
          <w:rFonts w:eastAsia="Arial Unicode MS"/>
          <w:noProof/>
          <w:u w:color="000000"/>
          <w:bdr w:val="nil"/>
        </w:rPr>
      </w:pPr>
      <w:r>
        <w:rPr>
          <w:noProof/>
        </w:rPr>
        <w:t>•</w:t>
      </w:r>
      <w:r>
        <w:rPr>
          <w:noProof/>
        </w:rPr>
        <w:tab/>
        <w:t>Διαβουλεύσεις με τα ενδιαφερόμενα μέρη</w:t>
      </w:r>
    </w:p>
    <w:p>
      <w:pPr>
        <w:rPr>
          <w:noProof/>
        </w:rPr>
      </w:pPr>
      <w:r>
        <w:rPr>
          <w:noProof/>
        </w:rPr>
        <w:t xml:space="preserve">Η Επιτροπή πραγματοποίησε αρκετές αναλύσεις και διαβουλεύσεις προκειμένου να συλλέξει στοιχεία για τα υπολειπόμενα εμπόδια που παρακωλύουν την ολοκληρωμένη λειτουργία της ενιαίας αγοράς υπηρεσιών, με μεγαλύτερη έμφαση στις πρακτικές επιπτώσεις των διατάξεων όταν εφαρμόζονται στην πράξη. Συγκεκριμένα, εκπονήθηκε οικονομική εκτίμηση προκειμένου να αξιολογηθούν οι επιπτώσεις εθνικών μεταρρυθμίσεων στις αγορές υπηρεσιών και στην πρόσβαση των παρόχων υπηρεσιών σε ασφάλιση. Επιπλέον, το 2014, το 2015 και το 2016 διοργανώθηκαν εργαστήρια για τους ενδιαφερόμενους στο πλαίσιο του φόρουμ για την ενιαία αγορά με θέμα τις προκλήσεις που αντιμετωπίζουν οι μικρομεσαίες επιχειρήσεις στην προσπάθειά τους να αναπτυχθούν σε διασυνοριακές περιφερειακές αγορές, ή συγκεκριμένες προκλήσεις σε ορισμένους κλάδους υπηρεσιών (συγκεκριμένα δε στις επιχειρηματικές και τις κατασκευαστικές υπηρεσίες) όπου υφίστανται εμπόδια λόγω των περιορισμένων διασυνοριακών συναλλαγών και επενδύσεων σε επίπεδο ΕΕ. Από τις συλλεχθείσες συνεισφορές και συμμετοχές προέκυψε ότι, παρά τη μερική πρόοδο που επιτεύχθηκε τα προηγούμενα χρόνια, οι πάροχοι υπηρεσιών σε αρκετούς σημαντικούς -από οικονομικής άποψης- κλάδους εξακολουθούν να αντιμετωπίζουν διάφορα εμπόδια στην προσπάθειά τους να επεκταθούν σε διασυνοριακό επίπεδο. </w:t>
      </w:r>
    </w:p>
    <w:p>
      <w:pPr>
        <w:rPr>
          <w:noProof/>
        </w:rPr>
      </w:pPr>
      <w:r>
        <w:rPr>
          <w:noProof/>
        </w:rPr>
        <w:t>Οι ενδιαφερόμενοι διατύπωσαν μεν διαφορετικές απόψεις όσον αφορά τους πιθανούς τρόπους βελτίωσης του πλαισίου που διέπει τις αγορές υπηρεσιών σε ενωσιακό και εθνικό επίπεδο,  όμως αντιτάχθηκαν σχεδόν ομόφωνα σε κάθε απόπειρα επανεξέτασης της οδηγίας για τις υπηρεσίες. Ο παρών κανονισμός δεν τροποποιεί κανέναν ουσιαστικό κανόνα σχετικά με τη διασυνοριακή παροχή υπηρεσιών, ο οποίος θεσπίστηκε με την οδηγία για τις υπηρεσίες, ούτε οποιονδήποτε κανόνα που συνδέεται με την απόσπαση εργαζομένων, με την υγεία και την ασφάλεια ή με την προστασία του περιβάλλοντος.</w:t>
      </w:r>
    </w:p>
    <w:p>
      <w:pPr>
        <w:rPr>
          <w:noProof/>
        </w:rPr>
      </w:pPr>
      <w:r>
        <w:rPr>
          <w:noProof/>
        </w:rPr>
        <w:t>Στο πλαίσιο της ηλεκτρονικής δημόσιας διαβούλευσης, που διήρκεσε από τις 3 Μαΐου ως τις 26 Ιουλίου 2016, συλλέχθηκαν περαιτέρω απόψεις των παραγόντων που ενδιαφέρονται για τη διασυνοριακή παροχή υπηρεσιών στην ΕΕ, καθώς και άμεσες εμπειρίες που είχαν σχέση με τα υπολειπόμενα εμπόδια στους συγκεκριμένους κλάδους υπηρεσιών.</w:t>
      </w:r>
    </w:p>
    <w:p>
      <w:pPr>
        <w:rPr>
          <w:noProof/>
        </w:rPr>
      </w:pPr>
      <w:r>
        <w:rPr>
          <w:noProof/>
        </w:rPr>
        <w:t xml:space="preserve">Η Επιτροπή πραγματοποίησε επίσης δύο δημόσιες διαβουλεύσεις, συγκεκριμένα το 2013 και το 2015, στο πλαίσιο των οποίων συνέλεξε τις απόψεις των ενδιαφερομένων σχετικά με τα προβλήματα που αντιμετωπίζουν οι πάροχοι υπηρεσιών στην προσπάθειά τους να αποκτήσουν ασφαλιστική κάλυψη για την προσωρινή παροχή υπηρεσιών σε άλλο κράτος μέλος. </w:t>
      </w:r>
    </w:p>
    <w:p>
      <w:pPr>
        <w:rPr>
          <w:noProof/>
        </w:rPr>
      </w:pPr>
      <w:r>
        <w:rPr>
          <w:noProof/>
        </w:rPr>
        <w:t xml:space="preserve">Τα αποτελέσματα όλων αυτών των δράσεων επιβεβαίωσαν ότι εξακολουθούν να υφίστανται σε εθνικό επίπεδο αδικαιολόγητες ή δυσανάλογες απαιτήσεις εις βάρος των παρόχων και των αποδεκτών υπηρεσιών στην ενιαία αγορά. Παρείχαν ακόμη συγκεκριμένες ενδείξεις για τους τρόπους επίλυσης των προβλημάτων που αναμένουν οι ενδιαφερόμενοι σε επίπεδο πολιτικής. Οι τελευταίοι τάχθηκαν, στην πλειοψηφία τους, υπέρ της ανάγκης αντιμετώπισης των υπολειπόμενων εμποδίων στη διασυνοριακή παροχή υπηρεσιών, και της διευκόλυνσης της πρόσβασης σε ασφαλιστική κάλυψη στις περιπτώσεις αυτές, με παράλληλη διατήρηση του κεκτημένου της ΕΕ στους τομείς της κοινωνίας, της απασχόλησης, της υγείας και της </w:t>
      </w:r>
      <w:r>
        <w:rPr>
          <w:noProof/>
        </w:rPr>
        <w:lastRenderedPageBreak/>
        <w:t>ασφάλειας, και με ταυτόχρονη επιδίωξη φιλόδοξης πολιτικής σε επίπεδο ελέγχου εφαρμογής της νομοθεσίας. Στο πλαίσιο αυτό, η Επιτροπή ενέκρινε τον Νοέμβριο του 2016 ολοκληρωμένη δέσμη μέτρων για τον έλεγχο εφαρμογής της νομοθεσίας με σκοπό την αντιμετώπιση των δυσανάλογων περιορισμών που έχουν θεσπίσει στον τομέα των υπηρεσιών εννέα κράτη μέλη.</w:t>
      </w:r>
    </w:p>
    <w:p>
      <w:pPr>
        <w:rPr>
          <w:noProof/>
        </w:rPr>
      </w:pPr>
      <w:r>
        <w:rPr>
          <w:noProof/>
        </w:rPr>
        <w:t>Η πρωτοβουλία αυτή, που αποσκοπεί στην ενίσχυση της ανάπτυξης αγορών διασυνοριακής παροχής υπηρεσιών, υποστηρίχθηκε επίσης από το Συμβούλιο Ανταγωνιστικότητας στα συμπεράσματά του της 29ης Φεβρουαρίου 2016 σχετικά με τη στρατηγική για την ενιαία αγορά</w:t>
      </w:r>
      <w:r>
        <w:rPr>
          <w:rStyle w:val="FootnoteReference"/>
          <w:noProof/>
        </w:rPr>
        <w:footnoteReference w:id="12"/>
      </w:r>
      <w:r>
        <w:rPr>
          <w:noProof/>
        </w:rPr>
        <w:t>, ενώ υποστηρίχθηκε και από το Ευρωπαϊκό Συμβούλιο στα συμπεράσματά του της 28ης Ιουνίου 2016</w:t>
      </w:r>
      <w:r>
        <w:rPr>
          <w:rStyle w:val="FootnoteReference"/>
          <w:noProof/>
        </w:rPr>
        <w:footnoteReference w:id="13"/>
      </w:r>
      <w:r>
        <w:rPr>
          <w:noProof/>
        </w:rPr>
        <w:t>. Υποστηρίχθηκε ακόμη από το Ευρωπαϊκό Κοινοβούλιο στο ψήφισμα που ενέκρινε στις 26 Μαΐου 2016 σχετικά με τη στρατηγική για την ενιαία αγορά</w:t>
      </w:r>
      <w:r>
        <w:rPr>
          <w:rStyle w:val="FootnoteReference"/>
          <w:noProof/>
        </w:rPr>
        <w:footnoteReference w:id="14"/>
      </w:r>
      <w:r>
        <w:rPr>
          <w:noProof/>
        </w:rPr>
        <w:t>.</w:t>
      </w:r>
    </w:p>
    <w:p>
      <w:pPr>
        <w:pStyle w:val="ManualHeading2"/>
        <w:rPr>
          <w:rFonts w:eastAsia="Arial Unicode MS"/>
          <w:noProof/>
          <w:u w:color="000000"/>
          <w:bdr w:val="nil"/>
        </w:rPr>
      </w:pPr>
      <w:r>
        <w:rPr>
          <w:noProof/>
        </w:rPr>
        <w:t>•</w:t>
      </w:r>
      <w:r>
        <w:rPr>
          <w:noProof/>
        </w:rPr>
        <w:tab/>
        <w:t>Συλλογή και χρήση εμπειρογνωσίας</w:t>
      </w:r>
    </w:p>
    <w:p>
      <w:pPr>
        <w:rPr>
          <w:noProof/>
        </w:rPr>
      </w:pPr>
      <w:r>
        <w:rPr>
          <w:noProof/>
        </w:rPr>
        <w:t xml:space="preserve">Στην προετοιμασία της παρούσας πρότασης κανονισμού συνέβαλαν τα αποτελέσματα της διαδικασίας αμοιβαίας αξιολόγησης με τα κράτη μέλη το 2010-11, οι έλεγχοι επιδόσεων που διενεργήθηκαν το 2011-12 και η αξιολόγηση από ομοτίμους που πραγματοποιήθηκε το 2012-2013. Επιπλέον, τα αποτελέσματα των διαφόρων δημόσιων διαβουλεύσεων, συμπεριλαμβανομένης της διαβούλευσης που διεξήχθη το καλοκαίρι του 2016, παρείχαν μια στέρεα βάση εμπειρογνωσίας. </w:t>
      </w:r>
    </w:p>
    <w:p>
      <w:pPr>
        <w:rPr>
          <w:noProof/>
        </w:rPr>
      </w:pPr>
      <w:r>
        <w:rPr>
          <w:noProof/>
        </w:rPr>
        <w:t>Όσον αφορά τις συναφείς με την ασφάλιση πτυχές, ελήφθησαν υπόψη το αποτέλεσμα της δημόσιας διαβούλευσης που ξεκίνησε το 2013 με θέμα τις δυσκολίες που αντιμετωπίζουν οι πάροχοι υπηρεσιών στην προσπάθειά τους να αποκτήσουν ασφαλιστική κάλυψη σε διασυνοριακό πλαίσιο, καθώς και το αποτέλεσμα της δημόσιας διαβούλευσης που ξεκίνησε τον Δεκέμβριο του 2015 με θέμα πιθανή πράσινη βίβλο για τις λιανικές χρηματοπιστωτικές υπηρεσίες. Στο πλαίσιο της τελευταίας αυτής διαβούλευσης εξετάστηκαν επίσης συγκεκριμένα ζητήματα που σχετίζονται με την πρόσβαση σε ασφάλιση επαγγελματικής ευθύνης σε διασυνοριακό πλαίσιο. Διεξήχθησαν ακόμη τακτικές συζητήσεις με εκπροσώπους του ασφαλιστικού κλάδου.</w:t>
      </w:r>
    </w:p>
    <w:p>
      <w:pPr>
        <w:rPr>
          <w:noProof/>
        </w:rPr>
      </w:pPr>
      <w:r>
        <w:rPr>
          <w:noProof/>
        </w:rPr>
        <w:t>Η Επιτροπή οργάνωσε πολυάριθμα εργαστήρια στα οποία συμμετείχαν ενδιαφερόμενοι, ιδίως δε κοινωνικοί εταίροι, συλλέγοντας έτσι εμπειρογνωσία σχετικά με τις δυσκολίες που απαντώνται στα διάφορα κράτη μέλη λόγω σημαντικών διοικητικών απαιτήσεων. Στοιχεία συλλέχθηκαν επίσης μέσω εξωτερικών μελετών και εκθέσεων. Η Επιτροπή βασίστηκε ακόμη στις τακτικές ανταλλαγές που πραγματοποιήθηκαν σε τεχνικό επίπεδο στους κόλπους της ομάδας εμπειρογνωμόνων της για την εφαρμογή της οδηγίας για τις υπηρεσίες.</w:t>
      </w:r>
    </w:p>
    <w:p>
      <w:pPr>
        <w:pStyle w:val="ManualHeading2"/>
        <w:rPr>
          <w:rFonts w:eastAsia="Arial Unicode MS"/>
          <w:noProof/>
          <w:u w:color="000000"/>
          <w:bdr w:val="nil"/>
        </w:rPr>
      </w:pPr>
      <w:r>
        <w:rPr>
          <w:noProof/>
        </w:rPr>
        <w:t>•</w:t>
      </w:r>
      <w:r>
        <w:rPr>
          <w:noProof/>
        </w:rPr>
        <w:tab/>
        <w:t>Εκτίμηση των επιπτώσεων</w:t>
      </w:r>
    </w:p>
    <w:p>
      <w:pPr>
        <w:rPr>
          <w:noProof/>
        </w:rPr>
      </w:pPr>
      <w:r>
        <w:rPr>
          <w:noProof/>
        </w:rPr>
        <w:t>Κατά την προετοιμασία της παρούσας πρωτοβουλίας, εκπονήθηκε εκτίμηση επιπτώσεων. Η εκ νέου υποβληθείσα έκθεση λαμβάνει υπόψη τις συστάσεις που διατύπωσε η επιτροπή ρυθμιστικού ελέγχου στην αρχική αρνητική γνωμοδότηση την οποία εξέδωσε στις 14 Οκτωβρίου 2016</w:t>
      </w:r>
      <w:r>
        <w:rPr>
          <w:rStyle w:val="FootnoteReference"/>
          <w:noProof/>
        </w:rPr>
        <w:footnoteReference w:id="15"/>
      </w:r>
      <w:r>
        <w:rPr>
          <w:noProof/>
        </w:rPr>
        <w:t xml:space="preserve">, καθώς και τα πρόσθετα σημεία που έθιγε στην τελική θετική </w:t>
      </w:r>
      <w:r>
        <w:rPr>
          <w:noProof/>
        </w:rPr>
        <w:lastRenderedPageBreak/>
        <w:t>γνωμοδότησή της με ημερομηνία 8 Νοεμβρίου 2016</w:t>
      </w:r>
      <w:r>
        <w:rPr>
          <w:rStyle w:val="FootnoteReference"/>
          <w:noProof/>
        </w:rPr>
        <w:footnoteReference w:id="16"/>
      </w:r>
      <w:r>
        <w:rPr>
          <w:noProof/>
        </w:rPr>
        <w:t>. Ειδικότερα, έχουν αποσαφηνιστεί η περιγραφή του προβλήματος και το εύρος της εκτίμησης των επιπτώσεων, έχουν ομαδοποιηθεί οι διαφορετικές επιλογές πολιτικής σε σαφώς αναγνωρίσιμες δέσμες επιλογών και έχουν υπολογιστεί με μεγαλύτερη ακρίβεια οι μειώσεις διοικητικού κόστους.</w:t>
      </w:r>
    </w:p>
    <w:p>
      <w:pPr>
        <w:rPr>
          <w:noProof/>
        </w:rPr>
      </w:pPr>
      <w:r>
        <w:rPr>
          <w:noProof/>
        </w:rPr>
        <w:t>Στο πλαίσιο της εκτίμησης επιπτώσεων εξετάστηκαν διάφορες μεμονωμένες επιλογές πολιτικής οι οποίες στη συνέχεια ομαδοποιήθηκαν σε «δέσμες» επιλογών πολιτικής. Οι δέσμες επιλογών πολιτικής που εξετάστηκαν ήταν οι ακόλουθες:</w:t>
      </w:r>
    </w:p>
    <w:p>
      <w:pPr>
        <w:pStyle w:val="ListBullet1"/>
        <w:rPr>
          <w:noProof/>
        </w:rPr>
      </w:pPr>
      <w:r>
        <w:rPr>
          <w:noProof/>
        </w:rPr>
        <w:t xml:space="preserve">Η πρώτη δέσμη επιλογών προέβλεπε τη δυνατότητα χορήγησης στον πάροχο υπηρεσιών πιστοποιητικού νόμιμης εγκατάστασης στο κράτος μέλος καταγωγής, καθώς και βεβαίωσης σχετικά με την ασφαλιστική κάλυψη που ήδη διαθέτει για τις δραστηριότητες που αναπτύσσει στο κράτος μέλος καταγωγής· </w:t>
      </w:r>
    </w:p>
    <w:p>
      <w:pPr>
        <w:pStyle w:val="ListBullet1"/>
        <w:rPr>
          <w:noProof/>
        </w:rPr>
      </w:pPr>
      <w:r>
        <w:rPr>
          <w:noProof/>
        </w:rPr>
        <w:t xml:space="preserve">Η δεύτερη δέσμη επιλογών προέβλεπε τη δυνατότητα χρήσης εκ μέρους του παρόχου υπηρεσιών μιας διαδικασίας σε επίπεδο ΕΕ για τη διευκόλυνση της πρόσβασης στην αγορά άλλου κράτους μέλους, στην οποία συμπεριλαμβανόταν ένας προηγμένος ηλεκτρονικός μηχανισμός συνδεόμενος με το ΙΜΙ για τη διευκόλυνση της συμμόρφωσης με τις διατυπώσεις για το αποσπασμένο προσωπικό τον οποίο θα μπορούσε να επιλέξει να χρησιμοποιήσει το κράτος μέλος υποδοχής. καθώς και την επίλυση πρακτικών εμποδίων σε επίπεδο διασυνοριακής ασφάλισης· </w:t>
      </w:r>
    </w:p>
    <w:p>
      <w:pPr>
        <w:pStyle w:val="ListBullet1"/>
        <w:rPr>
          <w:noProof/>
        </w:rPr>
      </w:pPr>
      <w:r>
        <w:rPr>
          <w:noProof/>
        </w:rPr>
        <w:t>Η τρίτη δέσμη επιλογών προέβλεπε, συμπληρωματικά προς τη δεύτερη δέσμη, τη μείωση της ανομοιογένειας των κανονιστικών ρυθμίσεων που διέπουν διάφορες βασικές επιχειρηματικές υπηρεσίες (υπηρεσίες αρχιτεκτόνων, υπηρεσίες μηχανικών και λογιστικές υπηρεσίες) μέσω της εναρμόνισης μικρού αριθμού απαιτήσεων που ισχύουν για τους παρόχους των τριών αυτών ειδών υπηρεσιών (πρόκειται για τους περιορισμούς όσον αφορά τη νομική μορφή, για τις απαιτήσεις όσον αφορά τη συμμετοχή στο μετοχικό κεφάλαιο που θα πρέπει να προβλέπεται για επαγγελματίες και για τους περιορισμούς στην παροχή πολυεπιστημονικών δραστηριοτήτων)·</w:t>
      </w:r>
    </w:p>
    <w:p>
      <w:pPr>
        <w:pStyle w:val="ListBullet1"/>
        <w:rPr>
          <w:noProof/>
        </w:rPr>
      </w:pPr>
      <w:r>
        <w:rPr>
          <w:noProof/>
        </w:rPr>
        <w:t xml:space="preserve">Η τέταρτη δέσμη επιλογών προέβλεπε, συμπληρωματικά προς την τρίτη δέσμη, συγκεκριμένες λύσεις για την αντιμετώπιση της ανομοιογένειας των κανονιστικών ρυθμίσεων που διέπουν τη δευτερεύουσα εγκατάσταση (υποκαταστήματα και πρακτορεία), απαλλάσσοντας τους ξένους παρόχους υπηρεσιών από ορισμένες απαιτήσεις και επιτρέποντας ταυτόχρονα στο κράτος μέλος υποδοχής να θεσπίζει εναλλακτικές εγγυήσεις. </w:t>
      </w:r>
    </w:p>
    <w:p>
      <w:pPr>
        <w:rPr>
          <w:noProof/>
          <w:szCs w:val="24"/>
        </w:rPr>
      </w:pPr>
      <w:r>
        <w:rPr>
          <w:noProof/>
        </w:rPr>
        <w:t xml:space="preserve">Η πρώτη δέσμη αναμενόταν να έχει κάποια αποτελέσματα σε επίπεδο απλούστευσης τα οποία θα ήταν, πάντως, περιορισμένα σε σύγκριση με τις άλλες δέσμες. Ενώ η τρίτη και η τέταρτη δέσμη θα είχαν σαφώς σημαντικότερα αποτελέσματα σε σύγκριση με τη δεύτερη δέσμη, δεδομένου ότι αντιμετώπιζαν επιπλέον εμπόδια σε επίπεδο κανονιστικής ρύθμισης (επιπροσθέτως της διοικητικής απλούστευσης), η Επιτροπή αποφάσισε να επιλέξει τη δεύτερη δέσμη, βασιζόμενη στο ακόλουθο σκεπτικό:  Η άρση των περισσότερο </w:t>
      </w:r>
      <w:r>
        <w:rPr>
          <w:noProof/>
        </w:rPr>
        <w:lastRenderedPageBreak/>
        <w:t xml:space="preserve">περιοριστικών απαιτήσεων που εμπίπτει στην τρίτη και στην τέταρτη δέσμη μέσω στοχοθετημένης δράσης επιβολής της νομοθεσίας, η οποία θα συμπληρώνεται από ειδικές συστάσεις που θα αφορούν το συνολικό κανονιστικό πλαίσιο που ισχύει για το επάγγελμα που παρέχει την υπηρεσία, φαίνεται αναλογικότερη επιλογή από μια νομοθετική πρόταση για τη θέσπιση ελάχιστης εναρμόνισης σε μικρό αριθμό απαιτήσεων σε μικρό αριθμό τομέων παροχής υπηρεσιών. Επιπλέον, η τέταρτη δέσμη απορρίπτεται επίσης, επειδή θα έδινε την εντύπωση ότι προωθείται λύση βασιζόμενη στην προσέγγιση που ακολουθεί η εκάστοτε χώρα προέλευσης, στο πλαίσιο της οποίας οι ξένοι πάροχοι υπηρεσιών υπόκεινται μόνο στη νομοθεσία των κρατών μελών καταγωγής τους, με αποτέλεσμα την εισαγωγή αντίστροφης διάκρισης εις βάρος των εγχώριων παρόχων υπηρεσιών. </w:t>
      </w:r>
    </w:p>
    <w:p>
      <w:pPr>
        <w:rPr>
          <w:noProof/>
          <w:szCs w:val="24"/>
        </w:rPr>
      </w:pPr>
      <w:r>
        <w:rPr>
          <w:noProof/>
        </w:rPr>
        <w:t xml:space="preserve">Η δέσμη που επιλέχθηκε αναμένεται να αυξήσει την ασφάλεια δικαίου και να συμβάλει στη σημαντική εξοικονόμηση κόστους για τους παρόχους υπηρεσιών που επιχειρούν να δραστηριοποιηθούν σε διασυνοριακό επίπεδο. Μπορεί να ενισχύσει τη δυναμική της αγοράς και τον ανταγωνισμό και να εξασφαλίσει έτσι περισσότερες επιλογές και μεγαλύτερη προστιθέμενη αξία για τους καταναλωτές. </w:t>
      </w:r>
    </w:p>
    <w:p>
      <w:pPr>
        <w:pStyle w:val="ManualHeading2"/>
        <w:rPr>
          <w:rFonts w:eastAsia="Arial Unicode MS"/>
          <w:noProof/>
          <w:u w:color="000000"/>
          <w:bdr w:val="nil"/>
        </w:rPr>
      </w:pPr>
      <w:r>
        <w:rPr>
          <w:noProof/>
        </w:rPr>
        <w:t>•</w:t>
      </w:r>
      <w:r>
        <w:rPr>
          <w:noProof/>
        </w:rPr>
        <w:tab/>
        <w:t>Καταλληλότητα του κανονιστικού πλαισίου και απλούστευση</w:t>
      </w:r>
    </w:p>
    <w:p>
      <w:pPr>
        <w:rPr>
          <w:noProof/>
        </w:rPr>
      </w:pPr>
      <w:r>
        <w:rPr>
          <w:noProof/>
        </w:rPr>
        <w:t>Η πρόταση κανονισμού για τη θέσπιση ευρωπαϊκής ηλεκτρονικής κάρτας υπηρεσιών θα συμβάλει στην καταλληλότητα του κανονιστικού πλαισίου σχετικά με την πρόσβαση των παρόχων υπηρεσιών στην αγορά και την απλούστευση, βελτιώνοντας τους όρους παροχής πρόσβασης για τους παρόχους υπηρεσιών στην αγορά άλλου κράτους μέλους.  Αυτό δεν επηρεάζει τα δικαιώματα των κρατών μελών υποδοχής που απορρέουν από την οδηγία για τις υπηρεσίες.</w:t>
      </w:r>
    </w:p>
    <w:p>
      <w:pPr>
        <w:rPr>
          <w:rFonts w:eastAsia="Arial Unicode MS"/>
          <w:b/>
          <w:noProof/>
          <w:u w:color="000000"/>
          <w:bdr w:val="nil"/>
        </w:rPr>
      </w:pPr>
      <w:r>
        <w:rPr>
          <w:noProof/>
        </w:rPr>
        <w:t>•</w:t>
      </w:r>
      <w:r>
        <w:rPr>
          <w:noProof/>
        </w:rPr>
        <w:tab/>
      </w:r>
      <w:r>
        <w:rPr>
          <w:b/>
          <w:noProof/>
          <w:u w:color="000000"/>
          <w:bdr w:val="nil"/>
        </w:rPr>
        <w:t>Θεμελιώδη δικαιώματα</w:t>
      </w:r>
    </w:p>
    <w:p>
      <w:pPr>
        <w:rPr>
          <w:noProof/>
        </w:rPr>
      </w:pPr>
      <w:r>
        <w:rPr>
          <w:noProof/>
        </w:rPr>
        <w:t xml:space="preserve">Η παρούσα πρόταση προάγει τα δικαιώματα που κατοχυρώνονται στον Χάρτη Θεμελιωδών Δικαιωμάτων. Πιο συγκεκριμένα, η προστασία των δεδομένων προσωπικού χαρακτήρα διασφαλίζεται δυνάμει του άρθρου 8 του Χάρτη. Βασικός στόχος της παρούσας πρωτοβουλίας είναι επίσης η διευκόλυνση των δικαιωμάτων της εγκατάστασης και της παροχής υπηρεσιών σε κάθε κράτος μέλος, σύμφωνα με τα οριζόμενα στο άρθρο 15 παράγραφος 2 του Χάρτη, χωρίς διακρίσεις, ακόμη και έμμεσες, λόγω ιθαγένειας (κατ' εφαρμογή, επιπλέον, του άρθρου 21 παράγραφος 2 του Χάρτη). Επιπροσθέτως, η προβλεπόμενη διαδικασία σε επίπεδο ΕΕ αναμένεται να είναι αμερόληπτη, δίκαιη και ευλόγως ταχεία, όσον αφορά επιπλέον τη συμμετοχή της Επιτροπής, σύμφωνα με τα προβλεπόμενα στο άρθρο 41 του Χάρτη. Τέλος, λαμβάνεται δεόντως υπόψη η απαγόρευση της κατάχρησης δικαιώματος, συγκεκριμένα δε της ελεύθερης παροχής υπηρεσιών, σύμφωνα με τα προβλεπόμενα στο άρθρο 54 του Χάρτη. </w:t>
      </w:r>
    </w:p>
    <w:p>
      <w:pPr>
        <w:pStyle w:val="ManualHeading1"/>
        <w:rPr>
          <w:noProof/>
        </w:rPr>
      </w:pPr>
      <w:r>
        <w:rPr>
          <w:noProof/>
        </w:rPr>
        <w:t>4.</w:t>
      </w:r>
      <w:r>
        <w:rPr>
          <w:noProof/>
        </w:rPr>
        <w:tab/>
        <w:t>ΔΗΜΟΣΙΟΝΟΜΙΚΕΣ ΕΠΙΠΤΩΣΕΙΣ</w:t>
      </w:r>
    </w:p>
    <w:p>
      <w:pPr>
        <w:rPr>
          <w:noProof/>
        </w:rPr>
      </w:pPr>
      <w:r>
        <w:rPr>
          <w:noProof/>
        </w:rPr>
        <w:t xml:space="preserve">Η πρόταση αναμένεται να έχει επιπτώσεις στον προϋπολογισμό της ΕΕ στον βαθμό που η μελλοντική ευρωπαϊκή ηλεκτρονική κάρτα υπηρεσιών θα χρησιμοποιεί το Σύστημα Πληροφόρησης για την Εσωτερική Αγορά («IMI») ως τη βασική υποδομή για τη λειτουργία της. Το ΙΜΙ θα πρέπει να προσαρμοστεί για να υποστηρίξει τη διαδικασία για την ευρωπαϊκή ηλεκτρονική κάρτα υπηρεσιών και τις συναφείς απαιτήσεις αποθήκευσης· επίσης, θα πρέπει να συμπληρωθεί με ορισμένες πρόσθετες λειτουργίες, και συγκεκριμένα με μια δημόσια διεπαφή για τους παρόχους υπηρεσιών, με διασυνδέσεις με άλλα συναφή συστήματα, και με μια υποστηρικτική λειτουργική δυνατότητα για τις εθνικές αρχές. Αυτό θα γίνει επειδή, για τους σκοπούς της ευρωπαϊκής ηλεκτρονικής κάρτας υπηρεσιών το ΙΜΙ θα προσφέρεται ως </w:t>
      </w:r>
      <w:r>
        <w:rPr>
          <w:noProof/>
        </w:rPr>
        <w:lastRenderedPageBreak/>
        <w:t>εργαλείο για την αποτελεσματική ανταλλαγή πληροφοριών και την αμοιβαία συνδρομή μεταξύ αρμόδιων αρχών στο πλαίσιο ενός κράτους μέλους, με την επιφύλαξη άλλων λύσεων που εφαρμόζουν τα κράτη μέλη. Οι επιπτώσεις στον προϋπολογισμό της ΕΕ θα είναι περιορισμένες καθώς η χρήση του IMI για τη στήριξη της ευρωπαϊκής ηλεκτρονικής κάρτας υπηρεσιών θα εξασφαλίσει σημαντικές οικονομίες κλίμακας και φάσματος. Επιπλέον, οι βασικές δυνατότητες που ήδη διαθέτει το IMI, καθώς και εκείνες που αναπτύσσονται επί του παρόντος, είναι σε μεγάλο βαθμό συμβατές με τις απαιτήσεις της ευρωπαϊκής ηλεκτρονικής κάρτας υπηρεσιών. Το κόστος προσαρμογής και ανάπτυξης θα είναι ως εκ τούτου σημαντικά μειωμένο.</w:t>
      </w:r>
    </w:p>
    <w:p>
      <w:pPr>
        <w:rPr>
          <w:noProof/>
        </w:rPr>
      </w:pPr>
      <w:r>
        <w:rPr>
          <w:noProof/>
        </w:rPr>
        <w:t>Τυχόν κονδύλια που θα χρειαστούν, πάντως, θα προέλθουν από αναδιάταξη πόρων· δεν αναμένεται καμία δημοσιονομική επίπτωση στον προϋπολογισμό της ΕΕ πέραν των πιστώσεων που προβλέπονται ήδη στον επίσημο δημοσιονομικό προγραμματισμό της Επιτροπής.</w:t>
      </w:r>
    </w:p>
    <w:p>
      <w:pPr>
        <w:pStyle w:val="ManualHeading1"/>
        <w:rPr>
          <w:noProof/>
        </w:rPr>
      </w:pPr>
      <w:r>
        <w:rPr>
          <w:noProof/>
        </w:rPr>
        <w:t>5.</w:t>
      </w:r>
      <w:r>
        <w:rPr>
          <w:noProof/>
        </w:rPr>
        <w:tab/>
        <w:t>ΛΟΙΠΑ ΣΤΟΙΧΕΙΑ</w:t>
      </w:r>
    </w:p>
    <w:p>
      <w:pPr>
        <w:pStyle w:val="ManualHeading2"/>
        <w:rPr>
          <w:rFonts w:eastAsia="Arial Unicode MS"/>
          <w:noProof/>
          <w:u w:color="000000"/>
          <w:bdr w:val="nil"/>
        </w:rPr>
      </w:pPr>
      <w:r>
        <w:rPr>
          <w:noProof/>
        </w:rPr>
        <w:t>•</w:t>
      </w:r>
      <w:r>
        <w:rPr>
          <w:noProof/>
        </w:rPr>
        <w:tab/>
        <w:t>Σχέδια εφαρμογής και ρυθμίσεις παρακολούθησης, αξιολόγησης και υποβολής εκθέσεων</w:t>
      </w:r>
    </w:p>
    <w:p>
      <w:pPr>
        <w:rPr>
          <w:noProof/>
        </w:rPr>
      </w:pPr>
      <w:r>
        <w:rPr>
          <w:noProof/>
        </w:rPr>
        <w:t>Κάθε πέντε χρόνια μετά την εφαρμογή της ευρωπαϊκής ηλεκτρονικής κάρτας υπηρεσιών προβλέπεται αξιολόγηση του παρόντος κανονισμού. Η αξιολόγηση αυτή θα περιλαμβάνει, μεταξύ άλλων, εκτίμηση της συνεργασίας μεταξύ των συντονιστικών αρχών των κρατών μελών, και θα εξετάζει την ανάγκη προσαρμογής των διαδικασιών για την ευρωπαϊκή ηλεκτρονική κάρτα υπηρεσιών στις πλέον πρόσφατες εξελίξεις στον τομέα της ηλεκτρονικής διακυβέρνησης. Στην αξιολόγηση της λειτουργίας της πρωτοβουλίας θα καλούνται επίσης να συμμετάσχουν τα κράτη μέλη, οι πάροχοι υπηρεσιών, οι κοινωνικοί εταίροι και άλλοι ενδιαφερόμενοι. Θα εξετάζονται συγκεκριμένοι δείκτες μέσω των οποίων θα καθίσταται δυνατή η εκτίμηση των επιπτώσεων του κανονισμού, όπως ο αριθμός των παρόχων υπηρεσιών που χρησιμοποιούν την ευρωπαϊκή ηλεκτρονική κάρτα υπηρεσιών, οι εμπειρίες τους σχετικά με τον διοικητικό φόρτο, η ταχύτητα των χρησιμοποιούμενων διαδικασιών ή ο αριθμός των ανταλλαγών πληροφοριών μεταξύ των κρατών μελών.</w:t>
      </w:r>
    </w:p>
    <w:p>
      <w:pPr>
        <w:rPr>
          <w:noProof/>
        </w:rPr>
      </w:pPr>
      <w:r>
        <w:rPr>
          <w:noProof/>
        </w:rPr>
        <w:t>Δεδομένου ότι προβλέπεται επανεξέταση ορισμένων πτυχών της οδηγίας 2014/67/ΕΕ τον Ιούνιο του 2019, αναμένεται να επανεξεταστούν, στο πλαίσιο αυτό, οι δυνατότητες διευκολύνσεων που θα προσφερθούν βάσει του άρθρου 6. Στην επανεξέταση θα ληφθεί υπόψη η πείρα εκείνων των κρατών μελών που επέλεξαν, ενδεχομένως, τη δυνατότητα που παρέχει το άρθρο 6 παράγραφος 3 του παρόντος σχεδίου κανονισμού να διεκπεραιώνονται οι διατυπώσεις για την απόσπαση εργαζομένων μέσω ηλεκτρονικής πλατφόρμας συνδεδεμένης με το ΙΜΙ.</w:t>
      </w:r>
    </w:p>
    <w:p>
      <w:pPr>
        <w:pStyle w:val="ManualHeading2"/>
        <w:rPr>
          <w:rFonts w:eastAsia="Arial Unicode MS"/>
          <w:noProof/>
          <w:u w:color="000000"/>
          <w:bdr w:val="nil"/>
        </w:rPr>
      </w:pPr>
      <w:r>
        <w:rPr>
          <w:noProof/>
        </w:rPr>
        <w:t>•</w:t>
      </w:r>
      <w:r>
        <w:rPr>
          <w:noProof/>
        </w:rPr>
        <w:tab/>
        <w:t>Αναλυτική επεξήγηση των επιμέρους διατάξεων της πρότασης</w:t>
      </w:r>
    </w:p>
    <w:p>
      <w:pPr>
        <w:rPr>
          <w:noProof/>
        </w:rPr>
      </w:pPr>
      <w:r>
        <w:rPr>
          <w:noProof/>
        </w:rPr>
        <w:t>Το άρθρο 1 καθορίζει το αντικείμενο του προτεινόμενου κανονισμού, ήτοι τη θέσπιση ευρωπαϊκής ηλεκτρονικής κάρτας υπηρεσιών και συναφών διοικητικών διευκολύνσεων προς χρήση από παρόχους υπηρεσιών για την παροχή υπηρεσιών σε διασυνοριακό επίπεδο. Διευκρινίζει ακόμη ότι ο συντονισμός των εθνικών διατάξεων που απαιτείται για να καταστεί διαθέσιμη η εν λόγω ηλεκτρονική κάρτα διασφαλίζεται με την οδηγία (για την ευρωπαϊκή ηλεκτρονική κάρτα υπηρεσιών) που θα εκδοθεί ταυτοχρόνως.</w:t>
      </w:r>
    </w:p>
    <w:p>
      <w:pPr>
        <w:rPr>
          <w:noProof/>
        </w:rPr>
      </w:pPr>
      <w:r>
        <w:rPr>
          <w:noProof/>
        </w:rPr>
        <w:t xml:space="preserve">Το άρθρο 2 καθορίζει το πεδίο εφαρμογής των δραστηριοτήτων για τις οποίες διατίθεται η ευρωπαϊκή ηλεκτρονική κάρτα υπηρεσιών, καθώς και τις συγκεκριμένες δραστηριότητες, </w:t>
      </w:r>
      <w:r>
        <w:rPr>
          <w:noProof/>
        </w:rPr>
        <w:lastRenderedPageBreak/>
        <w:t xml:space="preserve">τομείς και ζητήματα που δεν καλύπτονται από την κάρτα, κατά το πρότυπο της οδηγίας 2006/123/ΕΚ. </w:t>
      </w:r>
    </w:p>
    <w:p>
      <w:pPr>
        <w:rPr>
          <w:noProof/>
        </w:rPr>
      </w:pPr>
      <w:r>
        <w:rPr>
          <w:noProof/>
        </w:rPr>
        <w:t>Ορίζει επίσης ότι, όπως και η οδηγία 2006/123/EΚ, ο παρών κανονισμός δεν θίγει τον ορισμό ή την οργάνωση των υπηρεσιών γενικού οικονομικού ενδιαφέροντος ούτε τους κανόνες που διέπονται από το δίκαιο του ανταγωνισμού. Επίσης, δεν θίγει την πολιτιστική και γλωσσική πολυμορφία ή τον πλουραλισμό των μέσων μαζικής επικοινωνίας. Τέλος, ο κανονισμός δεν θίγει τις διατάξεις του γενικού ποινικού δικαίου, του εργατικού δικαίου, του φορολογικού δικαίου ή του δικαίου περί κοινωνικής ασφάλισης.</w:t>
      </w:r>
    </w:p>
    <w:p>
      <w:pPr>
        <w:rPr>
          <w:noProof/>
        </w:rPr>
      </w:pPr>
      <w:r>
        <w:rPr>
          <w:noProof/>
        </w:rPr>
        <w:t>Όπως και στην περίπτωση της οδηγίας 2006/123/ΕΚ, διευκρινίζεται ότι ο παρών κανονισμός δεν ισχύει όταν έρχεται σε σύγκρουση με άλλες πράξεις της Ένωσης που ρυθμίζουν συγκεκριμένες πτυχές πρόσβασης ή άσκησης δραστηριότητας παροχής υπηρεσίας σε συγκεκριμένους τομείς ή για συγκεκριμένους τομείς ή συγκεκριμένα επαγγέλματα.</w:t>
      </w:r>
    </w:p>
    <w:p>
      <w:pPr>
        <w:rPr>
          <w:noProof/>
        </w:rPr>
      </w:pPr>
      <w:r>
        <w:rPr>
          <w:noProof/>
        </w:rPr>
        <w:t>Στο άρθρο 3 παρατίθενται οι ορισμοί που σχετίζονται με τον παρόντα κανονισμό.</w:t>
      </w:r>
    </w:p>
    <w:p>
      <w:pPr>
        <w:rPr>
          <w:noProof/>
        </w:rPr>
      </w:pPr>
      <w:r>
        <w:rPr>
          <w:noProof/>
        </w:rPr>
        <w:t>Το άρθρο 4 προσδιορίζει τα βασικά στοιχεία που θα περιέχονται στις αιτήσεις έκδοσης της ευρωπαϊκής ηλεκτρονικής κάρτας υπηρεσιών, τα οποία πρέπει να είναι τα ίδια σε ολόκληρη την ΕΕ, και εκχωρεί εκτελεστικές αρμοδιότητες στην Επιτροπή για τον καθορισμό του τυποποιημένου εντύπου και των τεχνικών λεπτομερειών, καθώς και κατ' εξουσιοδότηση αρμοδιότητες για τον περαιτέρω καθορισμό του είδους των συνοδευτικών πληροφοριακών στοιχείων και, σε εξαιρετικές και δεόντως αιτιολογημένες περιστάσεις, των εγγράφων που πρέπει να υποβάλλονται μαζί με την αίτηση.</w:t>
      </w:r>
    </w:p>
    <w:p>
      <w:pPr>
        <w:rPr>
          <w:noProof/>
        </w:rPr>
      </w:pPr>
      <w:r>
        <w:rPr>
          <w:noProof/>
        </w:rPr>
        <w:t>Το άρθρο 5 θεσπίζει την υποχρέωση για τους διανομείς ασφαλιστικών προϊόντων και τους οργανισμούς που έχουν οριστεί από κράτη μέλη για την παροχή υποχρεωτικής ασφαλιστικής κάλυψης, να παρέχουν πιστοποιητικό ασφάλισης στους ασφαλισμένους τους κατόπιν σχετικού αιτήματος των τελευταίων. Προσδιορίζει ακόμη τα βασικά στοιχεία που θα περιέχονται στο εν λόγω πιστοποιητικό και προβλέπει τη δυνατότητα καθορισμού από την Επιτροπή τυποποιημένου εντύπου μέσω εκτελεστικών πράξεων.</w:t>
      </w:r>
    </w:p>
    <w:p>
      <w:pPr>
        <w:rPr>
          <w:noProof/>
        </w:rPr>
      </w:pPr>
      <w:r>
        <w:rPr>
          <w:noProof/>
        </w:rPr>
        <w:t xml:space="preserve">Το άρθρο 6 θεσπίζει τη δυνατότητα των κατόχων της ευρωπαϊκής ηλεκτρονικής κάρτας υπηρεσιών να διεκπεραιώνουν τις διατυπώσεις για την απόσπαση εργαζομένων δυνάμει της οδηγίας 2005/36/ΕΚ μέσω ηλεκτρονικής πλατφόρμας συνδεδεμένης με το IMI υπό τον συντονισμό της συντονιστικής αρχής του κράτους μέλους καταγωγής. Για την απόσπαση εργαζομένων βάσει της οδηγίας 96/71/EΚ και της οδηγίας 2014/67/EΚ, ισχύει η ίδια δυνατότητα για τα κράτη μέλη που γνωστοποιούν στην Επιτροπή ότι θα πρέπει να ισχύει η εν λόγω δυνατότητα για την απόσπαση εργαζομένων στο έδαφός τους. Επιπλέον, όταν τα κράτη μέλη έχουν θεσπίσει διαδικασίες που προβλέπουν τη δυνατότητα συμπλήρωσης δήλωσης σε σχέση με την απόσπαση εργαζομένων σύμφωνα με το άρθρο 9 της οδηγίας 2014/67/ΕΕ με ηλεκτρονικά μέσα, η ηλεκτρονική πλατφόρμα που συνδέεται με το ΙΜΙ θα καθοδηγεί τον κάτοχο της κάρτας κατά τη διεκπεραίωση των οικείων εθνικών διαδικασιών. </w:t>
      </w:r>
    </w:p>
    <w:p>
      <w:pPr>
        <w:rPr>
          <w:noProof/>
        </w:rPr>
      </w:pPr>
      <w:r>
        <w:rPr>
          <w:noProof/>
        </w:rPr>
        <w:t xml:space="preserve">Το άρθρο 7 θεσπίζει τη δυνατότητα για τους αιτούντες ευρωπαϊκή ηλεκτρονική κάρτα υπηρεσιών να διεκπεραιώνουν τις απαραίτητες διατυπώσεις για την ελεύθερη κυκλοφορία των αυτοαπασχολουμένων δυνάμει της οδηγίας 2005/36/ΕΚ μέσω ηλεκτρονικής πλατφόρμας συνδεδεμένης με το IMI υπό τον συντονισμό της συντονιστικής αρχής του κράτους μέλους καταγωγής. Προβλέπει ακόμη την αντικατάσταση των βεβαιώσεων επαγγελματικών προσόντων που απαιτούνται δυνάμει της οδηγίας 2005/36/ΕΚ από το συμπληρωμένο έντυπο αίτησης για ευρωπαϊκή ηλεκτρονική κάρτα υπηρεσιών. </w:t>
      </w:r>
    </w:p>
    <w:p>
      <w:pPr>
        <w:rPr>
          <w:noProof/>
        </w:rPr>
      </w:pPr>
      <w:r>
        <w:rPr>
          <w:noProof/>
        </w:rPr>
        <w:lastRenderedPageBreak/>
        <w:t>Το άρθρο 8 ορίζει ότι οι διαδικασίες υποβολής αιτήσεων, έκδοσης, επικαιροποίησης, αναστολής, ανάκλησης και ακύρωσης ευρωπαϊκών ηλεκτρονικών καρτών υπηρεσιών θα είναι πλήρως ηλεκτρονικές και θα διατίθενται μέσω ηλεκτρονικής πλατφόρμας συνδεδεμένης με το IMI, χωρίς να θίγεται η εσωτερική ροή των διαδικασιών μεταξύ των συντονιστικών και των αρμόδιων αρχών των κρατών μελών. Εκχωρεί επίσης εκτελεστικές αρμοδιότητες στην Επιτροπή να εγκρίνει τεχνικές προδιαγραφές για τις προαναφερθείσες ηλεκτρονικές διαδικασίες.</w:t>
      </w:r>
    </w:p>
    <w:p>
      <w:pPr>
        <w:rPr>
          <w:noProof/>
        </w:rPr>
      </w:pPr>
      <w:r>
        <w:rPr>
          <w:noProof/>
        </w:rPr>
        <w:t xml:space="preserve">Το άρθρο 9 προβλέπει κοινούς κανόνες για τη μορφή και τη γλώσσα των εγγράφων προς υποβολή στο πλαίσιο της διαδικασίας για την ευρωπαϊκή ηλεκτρονική κάρτα υπηρεσιών. Εκχωρεί επίσης εκτελεστικές αρμοδιότητες στην Επιτροπή να εγκρίνει τεχνικούς κανόνες για τη μετάφραση των πληροφοριακών στοιχείων και των εγγράφων που χρησιμοποιούνται στο πλαίσιο της διαδικασίας για την ευρωπαϊκή ηλεκτρονική κάρτα υπηρεσιών . </w:t>
      </w:r>
    </w:p>
    <w:p>
      <w:pPr>
        <w:rPr>
          <w:noProof/>
        </w:rPr>
      </w:pPr>
      <w:r>
        <w:rPr>
          <w:noProof/>
        </w:rPr>
        <w:t>Το άρθρο 10 θεσπίζει αναλυτικά τις αρχές βάσει των οποίων επιβάλλονται τέλη από τα κράτη μέλη καταγωγής και υποδοχής, τέλη τα οποία δεν δύνανται να υπερβαίνουν το άμεσο κόστος που βαρύνει τα κράτη μέλη. Εκχωρεί ακόμη εκτελεστικές αρμοδιότητες στην Επιτροπή για να θεσπίσει τεχνικούς κανόνες για τους όρους και τις διαδικασίες πληρωμής.</w:t>
      </w:r>
    </w:p>
    <w:p>
      <w:pPr>
        <w:rPr>
          <w:noProof/>
        </w:rPr>
      </w:pPr>
      <w:r>
        <w:rPr>
          <w:noProof/>
        </w:rPr>
        <w:t xml:space="preserve">Το άρθρο 11 θεσπίζει την υποχρέωση για τους διανομείς ασφαλιστικών προϊόντων να εκδίδουν, κατόπιν αιτήματος του ασφαλισμένου, βεβαίωση σχετικά με τις αξιώσεις αποζημίωσης τρίτων για τις δραστηριότητες του ασφαλισμένου. Εξουσιοδοτεί επίσης την Επιτροπή να εκδίδει κανόνες εφαρμογής για τον τυποποιημένο μορφότυπο της βεβαίωσης. </w:t>
      </w:r>
    </w:p>
    <w:p>
      <w:pPr>
        <w:rPr>
          <w:noProof/>
        </w:rPr>
      </w:pPr>
      <w:r>
        <w:rPr>
          <w:noProof/>
        </w:rPr>
        <w:t xml:space="preserve">Το άρθρο 12 απαιτεί από τους διανομείς ασφαλιστικών προϊόντων και τους οργανισμούς που έχουν οριστεί από κράτη μέλη για την παροχή υποχρεωτικής ασφάλισης, να λαμβάνουν δεόντως υπόψη κατά τρόπο που δεν εισάγει διακρίσεις, στο πλαίσιο της πολιτικής αποδοχής τους και του υπολογισμού των ασφαλίστρων, τη βεβαίωση σχετικά με τις αξιώσεις που υποβάλλει ο πάροχος. </w:t>
      </w:r>
    </w:p>
    <w:p>
      <w:pPr>
        <w:rPr>
          <w:noProof/>
        </w:rPr>
      </w:pPr>
      <w:r>
        <w:rPr>
          <w:noProof/>
        </w:rPr>
        <w:t>Το άρθρο 13 θεσπίζει την υποχρέωση για τις επαγγελματικές οργανώσεις που παρέχουν ομαδική ασφάλιση επαγγελματικής ευθύνης στα μέλη τους ή σε άλλους παρόχους υπηρεσιών υπό συγκεκριμένες προϋποθέσεις να επιτρέπουν την πρόσβαση στην εν λόγω ασφαλιστική κάλυψη χωρίς διακρίσεις σε παρόχους από άλλα κράτη μέλη οι οποίοι εκφράζουν ενδιαφέρον και, μεταξύ άλλων, στους κατόχους ευρωπαϊκής ηλεκτρονικής κάρτας υπηρεσιών.</w:t>
      </w:r>
    </w:p>
    <w:p>
      <w:pPr>
        <w:rPr>
          <w:noProof/>
        </w:rPr>
      </w:pPr>
      <w:r>
        <w:rPr>
          <w:noProof/>
        </w:rPr>
        <w:t>Το άρθρο 14 προβλέπει αμοιβαία υποχρέωση ανταλλαγής πληροφοριών μεταξύ των οικείων συντονιστικών αρχών και εκχωρεί επιπλέον εκτελεστικές αρμοδιότητες στην Επιτροπή για να καθορίσει τις τεχνικές λεπτομέρειες της επεξεργασίας της εν λόγω ανταλλαγής πληροφοριών.</w:t>
      </w:r>
    </w:p>
    <w:p>
      <w:pPr>
        <w:rPr>
          <w:noProof/>
        </w:rPr>
      </w:pPr>
      <w:r>
        <w:rPr>
          <w:noProof/>
        </w:rPr>
        <w:t>Το άρθρο 15 ρυθμίζει την άσκηση της εξουσιοδότησης από την Επιτροπή σύμφωνα με τα οριζόμενα στο άρθρο 4.</w:t>
      </w:r>
    </w:p>
    <w:p>
      <w:pPr>
        <w:rPr>
          <w:noProof/>
        </w:rPr>
      </w:pPr>
      <w:r>
        <w:rPr>
          <w:noProof/>
        </w:rPr>
        <w:t xml:space="preserve">Το άρθρο 16 ορίζει την επιτροπή που θα επικουρεί την Επιτροπή στην έκδοση εκτελεστικών πράξεων και την εφαρμοστέα διαδικασία σύμφωνα με τον κανονισμό (ΕΕ) αριθ. 182/2011. </w:t>
      </w:r>
    </w:p>
    <w:p>
      <w:pPr>
        <w:rPr>
          <w:noProof/>
        </w:rPr>
      </w:pPr>
      <w:r>
        <w:rPr>
          <w:noProof/>
        </w:rPr>
        <w:t>Το άρθρο 17 θεσπίζει την υποχρέωση των κρατών μελών να ορίζουν τη συντονιστική αρχή που είναι αρμόδια για την επιτέλεση των καθηκόντων τα οποία προβλέπονται στον κανονισμό και την οδηγία σχετικά με τη θέσπιση επιχειρησιακού πλαισίου για την ευρωπαϊκή ηλεκτρονική κάρτα υπηρεσιών, να την κοινοποιούν στην Επιτροπή και να την καταχωρίζουν στο IMI.</w:t>
      </w:r>
    </w:p>
    <w:p>
      <w:pPr>
        <w:rPr>
          <w:noProof/>
        </w:rPr>
      </w:pPr>
      <w:r>
        <w:rPr>
          <w:noProof/>
        </w:rPr>
        <w:t xml:space="preserve">Το άρθρο 18 και το άρθρο 19 επιβάλλουν στην Επιτροπή υποχρεώσεις παρακολούθησης του αντικτύπου του παρόντος κανονισμού στην ελευθερία εγκατάστασης και στην ελεύθερη </w:t>
      </w:r>
      <w:r>
        <w:rPr>
          <w:noProof/>
        </w:rPr>
        <w:lastRenderedPageBreak/>
        <w:t xml:space="preserve">παροχή υπηρεσιών σε διασυνοριακό επίπεδο, καθώς και αναθεώρησης του κανονισμού. Γίνεται επίσης αναφορά στις διευκολύνσεις που προσφέρονται βάσει του άρθρου 6, στο πλαίσιο της αναθεώρησης βάσει της οδηγίας 2014/67/ΕΕ. </w:t>
      </w:r>
    </w:p>
    <w:p>
      <w:pPr>
        <w:rPr>
          <w:noProof/>
        </w:rPr>
      </w:pPr>
      <w:r>
        <w:rPr>
          <w:noProof/>
        </w:rPr>
        <w:t>Το άρθρο 20 προβλέπει την τροποποίηση του κανονισμού (ΕΕ) αριθ. 1024/2012 για το IMI, ώστε να συμπεριληφθεί η ευρωπαϊκή ηλεκτρονική κάρτα υπηρεσιών στο πεδίο εφαρμογής του.</w:t>
      </w:r>
    </w:p>
    <w:p>
      <w:pPr>
        <w:rPr>
          <w:noProof/>
        </w:rPr>
      </w:pPr>
      <w:r>
        <w:rPr>
          <w:noProof/>
        </w:rPr>
        <w:t xml:space="preserve">Το άρθρο 21 αφορά την έναρξη ισχύος και την εφαρμογή. Οι σχετικές ημερομηνίες προσαρμόζονται στις ημερομηνίες που προτείνονται για την οδηγία.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2016/0403 (COD)</w:t>
      </w:r>
    </w:p>
    <w:p>
      <w:pPr>
        <w:pStyle w:val="Statut"/>
        <w:rPr>
          <w:noProof/>
        </w:rPr>
      </w:pPr>
      <w:r>
        <w:rPr>
          <w:noProof/>
        </w:rPr>
        <w:t>Πρόταση</w:t>
      </w:r>
    </w:p>
    <w:p>
      <w:pPr>
        <w:pStyle w:val="Typedudocument"/>
        <w:rPr>
          <w:noProof/>
        </w:rPr>
      </w:pPr>
      <w:r>
        <w:rPr>
          <w:noProof/>
        </w:rPr>
        <w:t>ΚΑΝΟΝΙΣΜΟΣ ΤΟΥ ΕΥΡΩΠΑΪΚΟΥ ΚΟΙΝΟΒΟΥΛΙΟΥ ΚΑΙ ΤΟΥ ΣΥΜΒΟΥΛΙΟΥ</w:t>
      </w:r>
    </w:p>
    <w:p>
      <w:pPr>
        <w:pStyle w:val="Titreobjet"/>
        <w:rPr>
          <w:noProof/>
        </w:rPr>
      </w:pPr>
      <w:r>
        <w:rPr>
          <w:noProof/>
        </w:rPr>
        <w:t>για τη θέσπιση ευρωπαϊκής ηλεκτρονικής κάρτας υπηρεσιών και συναφών διοικητικών διευκολύνσεων</w:t>
      </w:r>
    </w:p>
    <w:p>
      <w:pPr>
        <w:pStyle w:val="IntrtEEE"/>
        <w:rPr>
          <w:noProof/>
        </w:rPr>
      </w:pPr>
      <w:r>
        <w:rPr>
          <w:noProof/>
        </w:rPr>
        <w:t>(Κείμενο που παρουσιάζει ενδιαφέρον για τον ΕΟΧ)</w:t>
      </w:r>
    </w:p>
    <w:p>
      <w:pPr>
        <w:pStyle w:val="Institutionquiagit"/>
        <w:rPr>
          <w:noProof/>
        </w:rPr>
      </w:pPr>
      <w:r>
        <w:rPr>
          <w:noProof/>
        </w:rPr>
        <w:t>ΤΟ ΕΥΡΩΠΑΪΚΟ ΚΟΙΝΟΒΟΥΛΙΟ ΚΑΙ 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114,</w:t>
      </w:r>
    </w:p>
    <w:p>
      <w:pPr>
        <w:rPr>
          <w:noProof/>
        </w:rPr>
      </w:pPr>
      <w:r>
        <w:rPr>
          <w:noProof/>
        </w:rPr>
        <w:t>Έχοντας υπόψη την πρόταση της Ευρωπαϊκής Επιτροπής,</w:t>
      </w:r>
    </w:p>
    <w:p>
      <w:pPr>
        <w:rPr>
          <w:noProof/>
        </w:rPr>
      </w:pPr>
      <w:r>
        <w:rPr>
          <w:noProof/>
        </w:rPr>
        <w:t>Κατόπιν διαβίβασης του σχεδίου νομοθετικής πράξης στα εθνικά κοινοβούλια,</w:t>
      </w:r>
    </w:p>
    <w:p>
      <w:pPr>
        <w:rPr>
          <w:noProof/>
        </w:rPr>
      </w:pPr>
      <w:r>
        <w:rPr>
          <w:noProof/>
        </w:rPr>
        <w:t>Έχοντας υπόψη τη γνώμη της Ευρωπαϊκής Οικονομικής και Κοινωνικής Επιτροπής</w:t>
      </w:r>
      <w:r>
        <w:rPr>
          <w:rStyle w:val="FootnoteReference"/>
          <w:noProof/>
        </w:rPr>
        <w:footnoteReference w:id="17"/>
      </w:r>
      <w:r>
        <w:rPr>
          <w:noProof/>
        </w:rPr>
        <w:t xml:space="preserve">, </w:t>
      </w:r>
    </w:p>
    <w:p>
      <w:pPr>
        <w:rPr>
          <w:noProof/>
        </w:rPr>
      </w:pPr>
      <w:r>
        <w:rPr>
          <w:noProof/>
        </w:rPr>
        <w:t>Έχοντας υπόψη τη γνώμη της Επιτροπής των Περιφερειών</w:t>
      </w:r>
      <w:r>
        <w:rPr>
          <w:rStyle w:val="FootnoteReference"/>
          <w:noProof/>
        </w:rPr>
        <w:footnoteReference w:id="18"/>
      </w:r>
      <w:r>
        <w:rPr>
          <w:noProof/>
        </w:rPr>
        <w:t xml:space="preserve">, </w:t>
      </w:r>
    </w:p>
    <w:p>
      <w:pPr>
        <w:rPr>
          <w:noProof/>
        </w:rPr>
      </w:pPr>
      <w:r>
        <w:rPr>
          <w:noProof/>
        </w:rPr>
        <w:t>Αποφασίζοντας σύμφωνα με τη συνήθη νομοθετική διαδικασία,</w:t>
      </w:r>
    </w:p>
    <w:p>
      <w:pPr>
        <w:rPr>
          <w:noProof/>
        </w:rPr>
      </w:pPr>
      <w:r>
        <w:rPr>
          <w:noProof/>
        </w:rPr>
        <w:t>Εκτιμώντας τα ακόλουθα:</w:t>
      </w:r>
    </w:p>
    <w:p>
      <w:pPr>
        <w:pStyle w:val="ManualConsidrant"/>
        <w:rPr>
          <w:noProof/>
        </w:rPr>
      </w:pPr>
      <w:r>
        <w:t>(1)</w:t>
      </w:r>
      <w:r>
        <w:tab/>
      </w:r>
      <w:r>
        <w:rPr>
          <w:noProof/>
        </w:rPr>
        <w:t>Η Συνθήκη για τη λειτουργία της Ευρωπαϊκής Ένωσης (ΣΛΕΕ) διασφαλίζει στους παρόχους υπηρεσιών την ελευθερία εγκατάστασης σε κράτη μέλη και την ελεύθερη παροχή υπηρεσιών σε διασυνοριακό επίπεδο.</w:t>
      </w:r>
    </w:p>
    <w:p>
      <w:pPr>
        <w:pStyle w:val="ManualConsidrant"/>
        <w:rPr>
          <w:noProof/>
        </w:rPr>
      </w:pPr>
      <w:r>
        <w:t>(2)</w:t>
      </w:r>
      <w:r>
        <w:tab/>
      </w:r>
      <w:r>
        <w:rPr>
          <w:noProof/>
        </w:rPr>
        <w:t>Η οδηγία 2006/123/ΕΚ του Ευρωπαϊκού Κοινοβουλίου και του Συμβουλίου</w:t>
      </w:r>
      <w:r>
        <w:rPr>
          <w:rStyle w:val="FootnoteReference"/>
          <w:noProof/>
        </w:rPr>
        <w:footnoteReference w:id="19"/>
      </w:r>
      <w:r>
        <w:rPr>
          <w:noProof/>
        </w:rPr>
        <w:t>, θεσπίζει τις γενικές διατάξεις που διευκολύνουν την άσκηση της ελευθερίας εγκατάστασης των παρόχων υπηρεσιών και την ελεύθερη κυκλοφορία των υπηρεσιών. Προβλέπει, μεταξύ άλλων, ότι τα κράτη μέλη θα πρέπει να μεριμνούν για τη διοικητική απλούστευση, όπως να χρησιμοποιούν κέντρα ενιαίας εξυπηρέτησης, καθώς και να αποδέχονται ισοδύναμη ασφάλιση επαγγελματικής ευθύνης που διαθέτουν ήδη οι πάροχοι υπηρεσιών στο κράτος μέλος καταγωγής τους.</w:t>
      </w:r>
    </w:p>
    <w:p>
      <w:pPr>
        <w:pStyle w:val="ManualConsidrant"/>
        <w:rPr>
          <w:noProof/>
        </w:rPr>
      </w:pPr>
      <w:r>
        <w:t>(3)</w:t>
      </w:r>
      <w:r>
        <w:tab/>
      </w:r>
      <w:r>
        <w:rPr>
          <w:noProof/>
        </w:rPr>
        <w:t xml:space="preserve">Η οδηγία 2006/123/ΕΚ απαιτεί από τα κράτη μέλη να δημιουργήσουν κέντρα ενιαίας εξυπηρέτησης στα οποία ο πάροχος υπηρεσιών που ενδιαφέρεται για εγκατάσταση ή παροχή υπηρεσιών θα μπορεί να βρει όλες τις συναφείς πληροφορίες για τις απαιτήσεις με τις οποίες οφείλει να συμμορφωθεί και για τις ηλεκτρονικές διαδικασίες που σχετίζονται με τη διεκπεραίωση όλων των απαιτούμενων διατυπώσεων, αδειών </w:t>
      </w:r>
      <w:r>
        <w:rPr>
          <w:noProof/>
        </w:rPr>
        <w:lastRenderedPageBreak/>
        <w:t xml:space="preserve">και κοινοποιήσεων, καθώς και να μεριμνήσουν για τη διαρκή ενημέρωση του καταλόγου των κέντρων ενιαίας εξυπηρέτησης. Οι πάροχοι υπηρεσιών, ωστόσο, εξακολουθούν να αντιμετωπίζουν ακόμη και σήμερα προβλήματα όσον αφορά το υψηλό κόστος της πληροφόρησης, καθώς και δυσκολίες συμμόρφωσης με τις εθνικές διαδικασίες εξ αποστάσεως, και συγκεκριμένα με τις επιμέρους απαιτήσεις του εκάστοτε κλάδου. Η συνεργασία μεταξύ των διοικητικών αρχών των διαφόρων κρατών μελών θα πρέπει να γίνεται καταρχήν μέσω του Συστήματος Πληροφόρησης για την Εσωτερική Αγορά (IMI), μιας πλατφόρμας ΤΠ που παρέχεται για τη διασυνοριακή ανταλλαγή πληροφοριών και την αμοιβαία συνδρομή μεταξύ των αρχών των διαφόρων κρατών μελών στο πλαίσιο της εν λόγω οδηγίας. Παρά το γεγονός ότι οι αρχές έχουν ενίοτε αμφιβολίες για τη νόμιμη εγκατάσταση κάποιου παρόχου σε άλλο κράτος μέλος, δεν αξιοποιούνται στο έπακρο οι δυνατότητες συνεργασίας που παρέχονται επί του παρόντος μέσω του IMI. </w:t>
      </w:r>
    </w:p>
    <w:p>
      <w:pPr>
        <w:pStyle w:val="ManualConsidrant"/>
        <w:rPr>
          <w:noProof/>
        </w:rPr>
      </w:pPr>
      <w:r>
        <w:t>(4)</w:t>
      </w:r>
      <w:r>
        <w:tab/>
      </w:r>
      <w:r>
        <w:rPr>
          <w:noProof/>
        </w:rPr>
        <w:t>Εξακολουθούν να ισχύουν απαιτήσεις που καθιστούν επαχθή και μη ελκυστική την επέκταση των δραστηριοτήτων των παρόχων υπηρεσιών δια μέσου των συνόρων της εσωτερικής αγοράς, όπως είναι τα πολλαπλά και με μεγάλες αποκλίσεις καθεστώτα αδειοδότησης ενώπιον διαφορετικών αρχών, τα οποία, όσον αφορά την εγκατάσταση, δεν διασφαλίζουν την αμοιβαία αναγνώριση των προϋποθέσεων με τις οποίες συμμορφώνεται ήδη ο πάροχος υπηρεσιών σε άλλα κράτη μέλη ή εφαρμόζουν δυσανάλογους ή αδικαιολόγητους περιορισμούς όσον αφορά την προσωρινή διασυνοριακή παροχή υπηρεσιών. Ως εκ τούτου, οι πάροχοι υπηρεσιών βρίσκονται αντιμέτωποι με ιδιαίτερα υψηλό και δυσανάλογο κόστος συμμόρφωσης στην προσπάθειά τους να επεκταθούν σε διασυνοριακό επίπεδο.</w:t>
      </w:r>
    </w:p>
    <w:p>
      <w:pPr>
        <w:pStyle w:val="ManualConsidrant"/>
        <w:rPr>
          <w:noProof/>
        </w:rPr>
      </w:pPr>
      <w:r>
        <w:t>(5)</w:t>
      </w:r>
      <w:r>
        <w:tab/>
      </w:r>
      <w:r>
        <w:rPr>
          <w:noProof/>
        </w:rPr>
        <w:t xml:space="preserve">Οι διατυπώσεις που σχετίζονται με άδειες και κοινοποιήσεις απαιτούν συχνά τη συμπλήρωση εντύπων σε χαρτί και την υποβολή εγγράφων σε έντυπη μορφή, καθώς και τη μετάφρασή τους με σημαντικό κόστος, τα οποία πρέπει μάλιστα να συμμορφώνονται με συγκεκριμένες τυπικές απαιτήσεις, όπως επικύρωση ή βεβαίωση του γνήσιου της υπογραφής. Οι πληροφορίες που σχετίζονται με τα εν λόγω εμπόδια είτε δεν υπάρχουν διαθέσιμες σε ηλεκτρονική μορφή είτε είναι ελάχιστες, ελλιπείς, διασκορπισμένες και δυσερμήνευτες σε σχέση με τις συγκεκριμένες περιστάσεις που αντιμετωπίζει ο εκάστοτε πάροχος στην προσπάθειά του να επεκταθεί πέραν των συνόρων, καθώς συνήθως αφορούν αμιγώς εγχώριες καταστάσεις. Οι πάροχοι υπηρεσιών βρίσκονται συχνά αντιμέτωποι με το ενδεχόμενο να καταθέσουν εκ νέου τα ίδια πληροφοριακά στοιχεία και έγγραφα, και να υποβληθούν ξανά στους ίδιους ελέγχους από διαφορετικές αρχές του ίδιου κράτους μέλους. Το υψηλό κόστος της μετάφρασης λειτουργεί επίσης ως σημαντικό αντικίνητρο για τις εταιρείες, καθώς τις αποθαρρύνει να ξεκινήσουν την επέκτασή τους στο εξωτερικό. </w:t>
      </w:r>
    </w:p>
    <w:p>
      <w:pPr>
        <w:pStyle w:val="ManualConsidrant"/>
        <w:rPr>
          <w:noProof/>
        </w:rPr>
      </w:pPr>
      <w:r>
        <w:t>(6)</w:t>
      </w:r>
      <w:r>
        <w:tab/>
      </w:r>
      <w:r>
        <w:rPr>
          <w:noProof/>
        </w:rPr>
        <w:t xml:space="preserve">Οι διασυνοριακές συναλλαγές και επενδύσεις σε ορισμένες επιχειρηματικές και κατασκευαστικές υπηρεσίες κυμαίνονται σε ιδιαίτερα χαμηλά επίπεδα καταδεικνύοντας έτσι περιθώρια βελτίωσης της ολοκλήρωσης των αγορών υπηρεσιών η οποία έχει σημαντικές αρνητικές επιπτώσεις στην υπόλοιπη οικονομία. Αυτή η κατάσταση χαμηλής απόδοσης δεν ευνοεί την πλήρη αξιοποίηση των δυνατοτήτων για περαιτέρω ανάπτυξη και δημιουργία περισσότερων θέσεων απασχόλησης στην ενιαία αγορά. </w:t>
      </w:r>
    </w:p>
    <w:p>
      <w:pPr>
        <w:pStyle w:val="ManualConsidrant"/>
        <w:rPr>
          <w:noProof/>
        </w:rPr>
      </w:pPr>
      <w:r>
        <w:t>(7)</w:t>
      </w:r>
      <w:r>
        <w:tab/>
      </w:r>
      <w:r>
        <w:rPr>
          <w:noProof/>
        </w:rPr>
        <w:t xml:space="preserve">Η άρση των υπολειπόμενων εμποδίων που παρακωλύουν την αύξηση των διασυνοριακών δραστηριοτήτων στον τομέα των υπηρεσιών θα συμβάλει στην ενίσχυση του ανταγωνισμού, με αποτέλεσμα περισσότερες επιλογές και καλύτερες </w:t>
      </w:r>
      <w:r>
        <w:rPr>
          <w:noProof/>
        </w:rPr>
        <w:lastRenderedPageBreak/>
        <w:t>τιμές για τους καταναλωτές, καθώς και περισσότερο ανταγωνιστικούς κλάδους υπηρεσιών που θα δημιουργούν νέες θέσεις εργασίας, θα προάγουν την παραγωγικότητα και θα διασφαλίζουν ελκυστικότερο κλίμα για επενδύσεις και καινοτομία.</w:t>
      </w:r>
    </w:p>
    <w:p>
      <w:pPr>
        <w:pStyle w:val="ManualConsidrant"/>
        <w:rPr>
          <w:noProof/>
        </w:rPr>
      </w:pPr>
      <w:r>
        <w:t>(8)</w:t>
      </w:r>
      <w:r>
        <w:tab/>
      </w:r>
      <w:r>
        <w:rPr>
          <w:noProof/>
        </w:rPr>
        <w:t>Στόχος του παρόντος κανονισμού είναι η διευκόλυνση της ελευθερίας της εγκατάστασης και της ελεύθερης παροχής υπηρεσιών στην εσωτερική αγορά σε τομείς που καλύπτονται ήδη από την οδηγία 2006/123/ΕΚ μέσω της έγκρισης περαιτέρω μέτρων για την προσέγγιση των νομοθετικών διατάξεων που έχουν ως αντικείμενο την εγκαθίδρυση και τη λειτουργία της εσωτερικής αγοράς. Θα πρέπει να βασίζεται δε στο άρθρο 114 ΣΛΕΕ.</w:t>
      </w:r>
    </w:p>
    <w:p>
      <w:pPr>
        <w:pStyle w:val="ManualConsidrant"/>
        <w:rPr>
          <w:noProof/>
        </w:rPr>
      </w:pPr>
      <w:r>
        <w:t>(9)</w:t>
      </w:r>
      <w:r>
        <w:tab/>
      </w:r>
      <w:r>
        <w:rPr>
          <w:noProof/>
        </w:rPr>
        <w:t xml:space="preserve">Στο πλαίσιο αυτό, ο παρών κανονισμός θεσπίζει ευρωπαϊκή ηλεκτρονική κάρτα υπηρεσιών η οποία θα διευκολύνει ορισμένους παρόχους υπηρεσιών να επεκτείνουν την παροχή υπηρεσιών τους διά μέσου των συνόρων της εσωτερικής αγοράς, με τη μορφή είτε της προσωρινής παροχής υπηρεσιών είτε της δευτερεύουσας εγκατάστασης μέσω υποκαταστημάτων, πρακτορείων ή γραφείων. </w:t>
      </w:r>
    </w:p>
    <w:p>
      <w:pPr>
        <w:pStyle w:val="ManualConsidrant"/>
        <w:rPr>
          <w:noProof/>
        </w:rPr>
      </w:pPr>
      <w:r>
        <w:t>(10)</w:t>
      </w:r>
      <w:r>
        <w:tab/>
      </w:r>
      <w:r>
        <w:rPr>
          <w:noProof/>
        </w:rPr>
        <w:t xml:space="preserve">Ο παρών κανονισμός εστιάζει συγκεκριμένα στους κλάδους της παροχής επιχειρηματικών και κατασκευαστικών υπηρεσιών που περιλαμβάνονται στο πεδίο εφαρμογής της οδηγίας …[οδηγία για την ευρωπαϊκή ηλεκτρονική κάρτα υπηρεσιών]… οι οποίοι διέπονται από τα πλέον αυστηρά πλαίσια ρυθμίσεων κανονιστικής και διοικητικής φύσης που θέτουν σοβαρά εμπόδια στη διασυνοριακή επέκταση, και των οποίων οι δυνατότητες, όσον αφορά την ολοκλήρωση της εσωτερικής αγοράς, δεν έχουν, ως εκ τούτου, αξιοποιηθεί πλήρως. </w:t>
      </w:r>
    </w:p>
    <w:p>
      <w:pPr>
        <w:pStyle w:val="ManualConsidrant"/>
        <w:rPr>
          <w:noProof/>
        </w:rPr>
      </w:pPr>
      <w:r>
        <w:t>(11)</w:t>
      </w:r>
      <w:r>
        <w:tab/>
      </w:r>
      <w:r>
        <w:rPr>
          <w:noProof/>
        </w:rPr>
        <w:t>Όλα τα θέματα, οι δραστηριότητες και οι τομείς που εξαιρούνται από το πεδίο εφαρμογής της οδηγίας 2006/123/ΕΚ θα πρέπει να εξαιρούνται επίσης από το πεδίο εφαρμογής του παρόντος κανονισμού. Ιδίως, ο παρών κανονισμός δεν θίγει θέματα, δραστηριότητες και τομείς που πηγάζουν από το φορολογικό και το εργατικό δίκαιο και το δίκαιο κοινωνικής ασφάλισης, συμπεριλαμβανομένης κάθε νομικής ή συμβατικής διάταξης για τους όρους απασχόλησης ή τους όρους εργασίας, καθώς και για την υγεία και την ασφάλεια κατά την εργασία, και για τις σχέσεις μεταξύ εργοδοτών και εργαζομένων. Επίσης ο παρών κανονισμός δεν θίγει την περί κοινωνικών ασφαλίσεων νομοθεσία των κρατών μελών. Ο παρών κανονισμός εφαρμόζεται επίσης με την επιφύλαξη τυχόν διατάξεων που απορρέουν από το δίκαιο του ανταγωνισμού, καθώς και τυχόν κανόνων περί εφαρμοστέου δικαίου ή δικαιοδοσίας σύμφωνα με το ιδιωτικό διεθνές δίκαιο.</w:t>
      </w:r>
    </w:p>
    <w:p>
      <w:pPr>
        <w:pStyle w:val="ManualConsidrant"/>
        <w:rPr>
          <w:noProof/>
        </w:rPr>
      </w:pPr>
      <w:r>
        <w:t>(12)</w:t>
      </w:r>
      <w:r>
        <w:tab/>
      </w:r>
      <w:r>
        <w:rPr>
          <w:noProof/>
        </w:rPr>
        <w:t xml:space="preserve">Για λόγους συνοχής, τυχόν συγκρούσεις μεταξύ του παρόντος κανονισμού και άλλων πράξεων της ΕΕ που ρυθμίζουν συγκεκριμένες πτυχές πρόσβασης ή άσκησης δραστηριότητας παροχής υπηρεσιών σε συγκεκριμένους τομείς, πρέπει να επιλύονται σύμφωνα με το άρθρο 3 της οδηγίας 2006/123/ΕΚ για τις περιπτώσεις συγκρούσεων μεταξύ της οδηγίας και των εν λόγω πράξεων, δηλαδή εφαρμόζονται οι εν λόγω άλλες πράξεις. Ως αποτέλεσμα, οι μηχανισμοί εκ των προτέρων χορήγησης άδειας, οι μηχανισμοί εκ των προτέρων κοινοποιήσεων ή οι απαιτήσεις εγκατάστασης που απαγορεύονται από άλλες πράξεις της ΕΕ οι οποίες ρυθμίζουν συγκεκριμένες πτυχές πρόσβασης ή άσκησης δραστηριότητας παροχής υπηρεσιών σε συγκεκριμένο τομέα, όπως η οδηγία 2000/31/ΕΚ του Ευρωπαϊκού Κοινοβουλίου και του Συμβουλίου, της </w:t>
      </w:r>
      <w:r>
        <w:rPr>
          <w:noProof/>
        </w:rPr>
        <w:lastRenderedPageBreak/>
        <w:t>8ης Ιουνίου 2000</w:t>
      </w:r>
      <w:r>
        <w:rPr>
          <w:rStyle w:val="FootnoteReference"/>
          <w:noProof/>
        </w:rPr>
        <w:footnoteReference w:id="20"/>
      </w:r>
      <w:r>
        <w:rPr>
          <w:noProof/>
        </w:rPr>
        <w:t>, δεν μπορούν να δικαιολογηθούν με την επίκληση διατάξεων του παρόντος κανονισμού. Επιπλέον, ο παρών κανονισμός δεν θίγει κατά κανέναν τρόπο τις υποχρεώσεις που οφείλουν να τηρούν οι πάροχοι υπηρεσιών σύμφωνα με την οδηγία 96/71/ΕΚ του Ευρωπαϊκού Κοινοβουλίου και του Συμβουλίου</w:t>
      </w:r>
      <w:r>
        <w:rPr>
          <w:rStyle w:val="FootnoteReference"/>
          <w:noProof/>
        </w:rPr>
        <w:footnoteReference w:id="21"/>
      </w:r>
      <w:r>
        <w:rPr>
          <w:noProof/>
        </w:rPr>
        <w:t xml:space="preserve"> και με την οδηγία 2014/67/ΕΕ του Ευρωπαϊκού Κοινοβουλίου και του Συμβουλίου</w:t>
      </w:r>
      <w:r>
        <w:rPr>
          <w:rStyle w:val="FootnoteReference"/>
          <w:noProof/>
        </w:rPr>
        <w:t xml:space="preserve"> </w:t>
      </w:r>
      <w:r>
        <w:rPr>
          <w:rStyle w:val="FootnoteReference"/>
          <w:noProof/>
        </w:rPr>
        <w:footnoteReference w:id="22"/>
      </w:r>
      <w:r>
        <w:rPr>
          <w:noProof/>
        </w:rPr>
        <w:t>.</w:t>
      </w:r>
    </w:p>
    <w:p>
      <w:pPr>
        <w:pStyle w:val="ManualConsidrant"/>
        <w:rPr>
          <w:noProof/>
        </w:rPr>
      </w:pPr>
      <w:r>
        <w:t>(13)</w:t>
      </w:r>
      <w:r>
        <w:tab/>
      </w:r>
      <w:r>
        <w:rPr>
          <w:noProof/>
        </w:rPr>
        <w:t>Η ευρωπαϊκή ηλεκτρονική κάρτα υπηρεσιών θα πρέπει να θεσπιστεί ως προαιρετική εναλλακτική επιλογή για τους παρόχους υπηρεσιών Οι πάροχοι υπηρεσιών θα πρέπει να συνεχίσουν να έχουν τη δυνατότητα να επιδεικνύουν συμμόρφωση, κατά την επέκταση των δραστηριοτήτων τους πέραν των συνόρων, με τις ισχύουσες απαιτήσεις για άλλες άδειες και κοινοποιήσεις τις οποίες προβλέπει η εθνική νομοθεσία των οικείων κρατών μελών. Ο εκάστοτε πάροχος υπηρεσιών θα πρέπει να έχει την επιλογή να μην υποβάλει αίτηση για ευρωπαϊκή ηλεκτρονική κάρτα υπηρεσιών.</w:t>
      </w:r>
    </w:p>
    <w:p>
      <w:pPr>
        <w:pStyle w:val="ManualConsidrant"/>
        <w:rPr>
          <w:noProof/>
        </w:rPr>
      </w:pPr>
      <w:r>
        <w:t>(14)</w:t>
      </w:r>
      <w:r>
        <w:tab/>
      </w:r>
      <w:r>
        <w:rPr>
          <w:noProof/>
        </w:rPr>
        <w:t>Η ευρωπαϊκή κάρτα υπηρεσιών θα πρέπει να είναι πλήρως ηλεκτρονική, να βασίζεται σχεδόν αποκλειστικά σε στοιχεία που παρέχονται από αξιόπιστες πηγές, να περιορίζει τη χρήση εγγράφων στην ελάχιστη απαιτούμενη και να καθιστά δυνατή την πολυγλωσσική επεξεργασία, ώστε να αποφεύγεται το κόστος μετάφρασης. Για να καταστεί πλήρως ηλεκτρονική η διαδικασία και να είναι δυνατή η διοικητική συνεργασία μεταξύ των κρατών μελών καταγωγής και υποδοχής, στο πλαίσιο του παρόντος κανονισμού θα πρέπει να γίνει χρήση του Συστήματος Πληροφόρησης για την Εσωτερική Αγορά που έχει θεσπιστεί με τον κανονισμό (ΕΕ) αριθ. 1024/2012 του Ευρωπαϊκού Κοινοβουλίου και του Συμβουλίου</w:t>
      </w:r>
      <w:r>
        <w:rPr>
          <w:rStyle w:val="FootnoteReference"/>
          <w:noProof/>
        </w:rPr>
        <w:footnoteReference w:id="23"/>
      </w:r>
      <w:r>
        <w:rPr>
          <w:noProof/>
        </w:rPr>
        <w:t>. Θα πρέπει να αναπτυχθεί ειδική ηλεκτρονική πλατφόρμα για τον σκοπό της έκδοσης, της επικαιροποίησης, της αναστολής, της ανάκλησης ή της ακύρωσης ευρωπαϊκών ηλεκτρονικών καρτών υπηρεσιών, καθώς και της ηλεκτρονικής διάθεσης έγκυρων ευρωπαϊκών ηλεκτρονικών καρτών υπηρεσιών στους κατόχους τους και στις αρμόδιες αρχές.</w:t>
      </w:r>
    </w:p>
    <w:p>
      <w:pPr>
        <w:pStyle w:val="ManualConsidrant"/>
        <w:rPr>
          <w:noProof/>
        </w:rPr>
      </w:pPr>
      <w:r>
        <w:t>(15)</w:t>
      </w:r>
      <w:r>
        <w:tab/>
      </w:r>
      <w:r>
        <w:rPr>
          <w:noProof/>
        </w:rPr>
        <w:t xml:space="preserve">Για την υποβολή αίτησης για ευρωπαϊκή ηλεκτρονική κάρτα υπηρεσιών, θα πρέπει να διατίθεται εναρμονισμένο πολυγλωσσικό έντυπο το οποίο θα περιλαμβάνει τα αναγκαία στοιχεία για τον προσδιορισμό της ταυτότητας του παρόχου και των υπηρεσιών για τις οποίες ζητείται η ηλεκτρονική κάρτα, καθώς και για την αξιολόγηση συγκεκριμένων απαιτήσεων που ισχύουν για τις προς παροχή υπηρεσίες, όπως οι απαιτήσεις σχετικά με την απόδειξη εγκατάστασης του παρόχου στο κράτος μέλος καταγωγής, με την απόδειξη της εντιμότητας ή της ασφαλιστικής του κάλυψης, </w:t>
      </w:r>
      <w:r>
        <w:rPr>
          <w:noProof/>
        </w:rPr>
        <w:lastRenderedPageBreak/>
        <w:t>ώστε να είναι έτσι δυνατή η διάθεσή τους στις συντονιστικές αρχές τόσο του κράτους μέλους καταγωγής όσο και του κράτους μέλους υποδοχής.</w:t>
      </w:r>
    </w:p>
    <w:p>
      <w:pPr>
        <w:pStyle w:val="ManualConsidrant"/>
        <w:rPr>
          <w:noProof/>
        </w:rPr>
      </w:pPr>
      <w:r>
        <w:t>(16)</w:t>
      </w:r>
      <w:r>
        <w:tab/>
      </w:r>
      <w:r>
        <w:rPr>
          <w:noProof/>
        </w:rPr>
        <w:t xml:space="preserve">Θα πρέπει να ανατεθεί στην Επιτροπή η αρμοδιότητα έκδοσης πράξεων σύμφωνα με το άρθρο 290 της Συνθήκης για τον λεπτομερή προσδιορισμό των πληροφοριακών στοιχείων που θα πρέπει να περιέχονται στο τυποποιημένο έντυπο αίτησης και των εγγράφων που θα πρέπει να επισυνάπτονται στην αίτηση ως συνοδευτικά στοιχεία. Έχει ιδιαίτερη σημασία η διεξαγωγή από την Επιτροπή των κατάλληλων διαβουλεύσεων κατά τις προπαρασκευαστικές εργασίες της, μεταξύ άλλων και σε επίπεδο εμπειρογνωμόνων, καθώς και η διεξαγωγή των εν λόγω διαβουλεύσεων σύμφωνα με τις αρχές που ορίζονται στη διοργανική συμφωνία για τη βελτίωση του νομοθετικού έργου, της 13ης Απριλίου 2016. Πιο συγκεκριμένα, προκειμένου να εξασφαλιστεί ισότιμη συμμετοχή στην προετοιμασία των κατ' εξουσιοδότηση πράξεων, το Ευρωπαϊκό Κοινοβούλιο και το Συμβούλιο λαμβάνουν όλα τα έγγραφα ταυτόχρονα με τους εμπειρογνώμονες των κρατών μελών, και οι εμπειρογνώμονές τους έχουν συστηματικά πρόσβαση στις συνεδριάσεις των ομάδων εμπειρογνωμόνων της Επιτροπής που ασχολούνται με την προετοιμασία των κατ' εξουσιοδότηση πράξεων. </w:t>
      </w:r>
    </w:p>
    <w:p>
      <w:pPr>
        <w:pStyle w:val="ManualConsidrant"/>
        <w:rPr>
          <w:noProof/>
        </w:rPr>
      </w:pPr>
      <w:r>
        <w:t>(17)</w:t>
      </w:r>
      <w:r>
        <w:tab/>
      </w:r>
      <w:r>
        <w:rPr>
          <w:noProof/>
        </w:rPr>
        <w:t>Κατά την εφαρμογή του παρόντος κανονισμού, τα κράτη μέλη θα πρέπει να ενημερώνουν την Επιτροπή για τις διαδικασίες στις οποίες υπόκεινται, δυνάμει του εθνικού τους δικαίου, οι εισερχόμενοι διασυνοριακοί πάροχοι που επιθυμούν να παρέχουν υπηρεσίες σε προσωρινή βάση ή μέσω υποκαταστήματος, πρακτορείου ή γραφείου, καθώς και για τα πληροφοριακά στοιχεία και έγγραφα που απαιτούνται στο πλαίσιο των εν λόγω διαδικασιών, ώστε να καταστεί δυνατή η προετοιμασία των εντύπων της αίτησης. Για να διασφαλιστεί η ομοιόμορφη εφαρμογή όσον αφορά τις πληροφορίες που είναι αναγκαίο να παρέχονται στο πλαίσιο της αίτησης για την ευρωπαϊκή ηλεκτρονική κάρτα υπηρεσιών, θα πρέπει να εκχωρηθούν εκτελεστικές αρμοδιότητες στην Επιτροπή. Οι εν λόγω αρμοδιότητες θα πρέπει να ασκούνται σύμφωνα με τον κανονισμό (ΕΕ) αριθ. 182/2011 του Ευρωπαϊκού Κοινοβουλίου και του Συμβουλίου</w:t>
      </w:r>
      <w:r>
        <w:rPr>
          <w:rStyle w:val="FootnoteReference"/>
          <w:noProof/>
        </w:rPr>
        <w:footnoteReference w:id="24"/>
      </w:r>
      <w:r>
        <w:rPr>
          <w:noProof/>
        </w:rPr>
        <w:t xml:space="preserve">. </w:t>
      </w:r>
    </w:p>
    <w:p>
      <w:pPr>
        <w:pStyle w:val="ManualConsidrant"/>
        <w:rPr>
          <w:noProof/>
        </w:rPr>
      </w:pPr>
      <w:r>
        <w:t>(18)</w:t>
      </w:r>
      <w:r>
        <w:tab/>
      </w:r>
      <w:r>
        <w:rPr>
          <w:noProof/>
        </w:rPr>
        <w:t>Οι αναλυτικοί όροι υποχρεωτικής ή προαιρετικής ασφαλιστικής κάλυψης που περιέχονται σε γραπτές συμβάσεις είναι ενδεχομένως δύσκολο να εντοπιστούν. Οι διανομείς ασφαλιστικών προϊόντων, καθώς και οι οργανισμοί που έχουν οριστεί από κράτη μέλη για την παροχή υποχρεωτικής ασφάλισης, θα πρέπει επομένως να παρέχουν περιγραφή των βασικών στοιχείων της παρεχόμενης κάλυψης στον πελάτη τους με τη μορφή πιστοποιητικού ασφάλισης, το οποίο θα πρέπει να επισυνάπτεται στο έντυπο της αίτησης. Για να διασφαλιστεί η ομοιόμορφη εφαρμογή του συγκεκριμένου σκέλους του κανονισμού, θα πρέπει να εκχωρηθούν εκτελεστικές αρμοδιότητες στην Επιτροπή για την έγκριση εναρμονισμένου μορφότυπου για τα πιστοποιητικά. Οι εν λόγω αρμοδιότητες θα πρέπει να ασκούνται σύμφωνα με τον κανονισμό (ΕΕ) αριθ. 182/2011 του Ευρωπαϊκού Κοινοβουλίου και του Συμβουλίου.</w:t>
      </w:r>
    </w:p>
    <w:p>
      <w:pPr>
        <w:pStyle w:val="ManualConsidrant"/>
        <w:rPr>
          <w:noProof/>
        </w:rPr>
      </w:pPr>
      <w:r>
        <w:lastRenderedPageBreak/>
        <w:t>(19)</w:t>
      </w:r>
      <w:r>
        <w:tab/>
      </w:r>
      <w:r>
        <w:rPr>
          <w:noProof/>
        </w:rPr>
        <w:t>Οι κάτοχοι ευρωπαϊκής ηλεκτρονικής κάρτας υπηρεσιών είναι πιθανό να χρειαστεί να προβούν σε απόσπαση προσωπικού στο έδαφος του κράτους μέλους υποδοχής. Στην περίπτωση αυτή, οι πάροχοι υπηρεσιών καλούνται, ενδεχομένως, να συμμορφωθούν με διάφορες απαιτήσεις, όπως εκ των προτέρων δηλώσεις προς το κράτος μέλος υποδοχής, οι οποίες είναι αναγκαίες για την προστασία των αποσπασμένων εργαζομένων. Η ευρωπαϊκή ηλεκτρονική κάρτα υπηρεσιών δεν θα θίγει κατά κανέναν τρόπο το περιεχόμενο των εν λόγω δηλώσεων ούτε τις σχετικές αρμοδιότητες του κράτους μέλους υποδοχής.</w:t>
      </w:r>
    </w:p>
    <w:p>
      <w:pPr>
        <w:pStyle w:val="ManualConsidrant"/>
        <w:rPr>
          <w:noProof/>
        </w:rPr>
      </w:pPr>
      <w:r>
        <w:t>(20)</w:t>
      </w:r>
      <w:r>
        <w:tab/>
      </w:r>
      <w:r>
        <w:rPr>
          <w:noProof/>
        </w:rPr>
        <w:t>Η Επιτροπή πρόκειται να αναπτύξει ηλεκτρονική πλατφόρμα συνδεδεμένη με το ΙΜΙ, η οποία θα καταστεί διαθέσιμη στους κατόχους ευρωπαϊκής ηλεκτρονικής κάρτας υπηρεσιών με σκοπό τη διευκόλυνση της συμμόρφωσης με τις διατυπώσεις που θα πρέπει, ενδεχομένως, να διεκπεραιώνουν στο κράτος μέλος υποδοχής. Οι διατυπώσεις αυτές αφορούν ιδίως την πιθανή υποχρέωση προηγούμενης δήλωσης σχετικά με τα επαγγελματικά προσόντα των εργαζομένων, η οποία θα πρέπει να εκπληρωθεί σύμφωνα με την οδηγία 2005/36/EΚ του Ευρωπαϊκού Κοινοβουλίου και του Συμβουλίου</w:t>
      </w:r>
      <w:r>
        <w:rPr>
          <w:rStyle w:val="FootnoteReference"/>
          <w:noProof/>
        </w:rPr>
        <w:footnoteReference w:id="25"/>
      </w:r>
      <w:r>
        <w:rPr>
          <w:noProof/>
        </w:rPr>
        <w:t xml:space="preserve">. </w:t>
      </w:r>
    </w:p>
    <w:p>
      <w:pPr>
        <w:pStyle w:val="ManualConsidrant"/>
        <w:rPr>
          <w:noProof/>
        </w:rPr>
      </w:pPr>
      <w:r>
        <w:t>(21)</w:t>
      </w:r>
      <w:r>
        <w:tab/>
      </w:r>
      <w:r>
        <w:rPr>
          <w:noProof/>
        </w:rPr>
        <w:t>Όσον αφορά την προηγούμενη δήλωση που μπορεί να απαιτείται βάσει του άρθρου 9 της οδηγίας 2014/67/EΕ του Ευρωπαϊκού Κοινοβουλίου και του Συμβουλίου</w:t>
      </w:r>
      <w:r>
        <w:rPr>
          <w:rStyle w:val="FootnoteReference"/>
          <w:noProof/>
        </w:rPr>
        <w:footnoteReference w:id="26"/>
      </w:r>
      <w:r>
        <w:rPr>
          <w:noProof/>
        </w:rPr>
        <w:t xml:space="preserve">, η ηλεκτρονική πλατφόρμα που συνδέεται με το ΙΜΙ θα πρέπει να καθοδηγεί τους κατόχους ευρωπαϊκής ηλεκτρονικής κάρτας υπηρεσιών να διεκπεραιώνουν τις ηλεκτρονικές εθνικές διαδικασίες που εφαρμόζει το κράτος μέλος υποδοχής, στο οποίο θα αποσπαστούν οι εργαζόμενοι, κάθε φορά που οι εν λόγω εθνικές διαδικασίες προβλέπουν ηλεκτρονική υποβολή της προαναφερόμενης προηγούμενης δήλωσης. </w:t>
      </w:r>
    </w:p>
    <w:p>
      <w:pPr>
        <w:pStyle w:val="ManualConsidrant"/>
        <w:rPr>
          <w:noProof/>
        </w:rPr>
      </w:pPr>
      <w:r>
        <w:t>(22)</w:t>
      </w:r>
      <w:r>
        <w:tab/>
      </w:r>
      <w:r>
        <w:rPr>
          <w:noProof/>
        </w:rPr>
        <w:t xml:space="preserve">Η Επιτροπή θα πρέπει να καταστήσει διαθέσιμη την ηλεκτρονική πλατφόρμα που συνδέεται με το ΙΜΙ στα κράτη μέλη που έχουν γνωστοποιήσει προηγουμένως στην Επιτροπή την πρόθεσή τους να κάνουν χρήση της δυνατότητας αυτής. Όταν τα κράτη μέλη αποφασίζουν να παράσχουν τη δυνατότητα χρήσης του ΙΜΙ για την αποστολή της προηγούμενης δήλωσης σε σχέση με εργαζομένους που έχουν αποσπαστεί στο έδαφός τους, οι κάτοχοι ευρωπαϊκής ηλεκτρονικής κάρτας υπηρεσιών θα μπορούν να υποβάλουν δήλωση σύμφωνα με τα προβλεπόμενα στο άρθρο 9 της οδηγίας 2014/67/ΕΕ απευθείας στην αρμόδια αρχή του κράτους μέλους υποδοχής, όπως αυτή ορίζεται στο άρθρο 2 στοιχείο α) της οδηγίας 2014/67/ΕΕ, μέσω της ηλεκτρονικής πλατφόρμας που συνδέεται με το IMI.  Για τον σκοπό αυτό, το κράτος μέλος υποδοχής θα πρέπει να παρέχει όλα τα στοιχεία που απαιτούνται σύμφωνα με το άρθρο 9 δεύτερο εδάφιο στοιχείο α) της οδηγίας 2014/67/EΕ ως βάση για το πολυγλωσσικό έντυπο που πρέπει να υποβάλλεται για τη δήλωση των αποσπασμένων εργαζομένων στο έδαφός του. Η Επιτροπή θα πρέπει να δημοσιεύει το έντυπο αυτό στην Επίσημη Εφημερίδα και να το καθιστά διαθέσιμο στην ηλεκτρονική πλατφόρμα που συνδέεται με το ΙΜΙ. Οι σχετικές πληροφορίες όσον αφορά τα απαιτούμενα </w:t>
      </w:r>
      <w:r>
        <w:rPr>
          <w:noProof/>
        </w:rPr>
        <w:lastRenderedPageBreak/>
        <w:t xml:space="preserve">στοιχεία θα πρέπει να καθίστανται διαθέσιμες στο οικείο κράτος μέλος υποδοχής σε πλήρη συμμόρφωση με τις γλωσσικές απαιτήσεις που ορίζονται στο άρθρο 9 παράγραφος 1 στοιχείο α) της οδηγίας 2014/67/EΕ. Η πείρα αυτών των κρατών μελών από τη χρήση της ηλεκτρονικής πλατφόρμας που θα είναι συνδεδεμένη με το ΙΜΙ θα πρέπει να συνεκτιμάται κατά την αξιολόγηση που προβλέπεται στο άρθρο 19 δεύτερο εδάφιο του παρόντος κανονισμού. </w:t>
      </w:r>
    </w:p>
    <w:p>
      <w:pPr>
        <w:pStyle w:val="ManualConsidrant"/>
        <w:rPr>
          <w:noProof/>
        </w:rPr>
      </w:pPr>
      <w:r>
        <w:t>(23)</w:t>
      </w:r>
      <w:r>
        <w:tab/>
      </w:r>
      <w:r>
        <w:rPr>
          <w:noProof/>
        </w:rPr>
        <w:t xml:space="preserve">Για να διασφαλιστεί η ομοιόμορφη εφαρμογή του παρόντος κανονισμού όσον αφορά τις διαδικασίες έκδοσης και επικαιροποίησης της ευρωπαϊκής ηλεκτρονικής κάρτας υπηρεσιών, καθώς και τις διατυπώσεις σχετικά με την απόσπαση προσωπικού και την κυκλοφορία των αυτοαπασχολουμένων, εκτός από εκείνη που αναφέρεται στην προηγούμενη αιτιολογική σκέψη, θα πρέπει να εκχωρηθούν εκτελεστικές αρμοδιότητες στην Επιτροπή για την έγκριση κανόνων σχετικά με την ηλεκτρονική επεξεργασία των εν λόγω διαδικασιών. Οι εν λόγω αρμοδιότητες θα πρέπει να ασκούνται σύμφωνα με τον κανονισμό (ΕΕ) αριθ. 182/2011 του Ευρωπαϊκού Κοινοβουλίου και του Συμβουλίου. </w:t>
      </w:r>
    </w:p>
    <w:p>
      <w:pPr>
        <w:pStyle w:val="ManualConsidrant"/>
        <w:rPr>
          <w:noProof/>
        </w:rPr>
      </w:pPr>
      <w:r>
        <w:t>(24)</w:t>
      </w:r>
      <w:r>
        <w:tab/>
      </w:r>
      <w:r>
        <w:rPr>
          <w:noProof/>
        </w:rPr>
        <w:t>Τα κράτη μέλη αποφασίζουν αν θα είναι ηλεκτρονικές ή όχι οι εγχώριες διοικητικές διαδικασίες για την υποστήριξη των διαδικασιών που διέπονται από τον παρόντα κανονισμό. Τα κράτη μέλη μπορούν, πάντως, να χρησιμοποιούν το Σύστημα Πληροφόρησης για την Εσωτερική Αγορά που θεσπίστηκε με τον κανονισμό (ΕΕ) αριθ. 1024/2012 για εγχώριους σκοπούς διοικητικής συνεργασίας.</w:t>
      </w:r>
    </w:p>
    <w:p>
      <w:pPr>
        <w:pStyle w:val="ManualConsidrant"/>
        <w:rPr>
          <w:noProof/>
        </w:rPr>
      </w:pPr>
      <w:r>
        <w:t>(25)</w:t>
      </w:r>
      <w:r>
        <w:tab/>
      </w:r>
      <w:r>
        <w:rPr>
          <w:noProof/>
        </w:rPr>
        <w:t>Για τις διαδικασίες έκδοσης, επικαιροποίησης, αναστολής ή ανάκλησης ευρωπαϊκής ηλεκτρονικής κάρτας υπηρεσιών θα πρέπει να χρησιμοποιούνται έγγραφα μόνο σε εξαιρετικές περιστάσεις, όταν είναι απολύτως αναγκαία η παροχή περαιτέρω λεπτομερών πληροφοριών. Σε κάθε περίπτωση, όλα αυτά τα έγγραφα θα πρέπει να χρησιμοποιούνται και να γίνονται δεκτά σε απλή μορφή.</w:t>
      </w:r>
    </w:p>
    <w:p>
      <w:pPr>
        <w:pStyle w:val="ManualConsidrant"/>
        <w:rPr>
          <w:noProof/>
        </w:rPr>
      </w:pPr>
      <w:r>
        <w:t>(26)</w:t>
      </w:r>
      <w:r>
        <w:tab/>
      </w:r>
      <w:r>
        <w:rPr>
          <w:noProof/>
        </w:rPr>
        <w:t xml:space="preserve">Το δίκαιο της ΕΕ μπορεί να επιτρέπει, στο πλαίσιο των διατυπώσεων για την απόσπαση προσωπικού ως επαγγελματιών που ασκούν νομοθετικά κατοχυρωμένα επαγγέλματα ή την κυκλοφορία των αυτοαπασχολουμένων σε σχέση με τον έλεγχο των επαγγελματικών προσόντων, την υποβολή εγγράφων σε ειδική μορφή, π.χ., ως επικυρωμένων εγγράφων ή ως εγγράφων με βεβαίωση του γνήσιου της υπογραφής. Η επικύρωση και η βεβαίωση του γνήσιου της υπογραφής, εφόσον γίνεται στο κράτος μέλος αρχικής έκδοσης του εκάστοτε εγγράφου, θα πρέπει να γίνονται δεκτές σε ολόκληρη την ΕΕ. </w:t>
      </w:r>
    </w:p>
    <w:p>
      <w:pPr>
        <w:pStyle w:val="ManualConsidrant"/>
        <w:rPr>
          <w:noProof/>
        </w:rPr>
      </w:pPr>
      <w:r>
        <w:t>(27)</w:t>
      </w:r>
      <w:r>
        <w:tab/>
      </w:r>
      <w:r>
        <w:rPr>
          <w:noProof/>
        </w:rPr>
        <w:t>Δεν θα πρέπει να απαιτείται επικυρωμένη μετάφραση εγγράφων δυνάμει του παρόντος κανονισμού. Οι ηλεκτρονικές πλατφόρμες διεκπεραίωσης των διαδικασιών θα πρέπει να παρέχουν κάποια τεχνική λύση για τη μετάφραση του περιεχομένου τους. Για να διασφαλιστεί η ομοιόμορφη εφαρμογή του συγκεκριμένου σκέλους του κανονισμού, θα πρέπει να εκχωρηθούν εκτελεστικές αρμοδιότητες στην Επιτροπή. Οι εν λόγω αρμοδιότητες θα πρέπει να ασκούνται σύμφωνα με τον κανονισμό (ΕΕ) αριθ. 182/2011 του Ευρωπαϊκού Κοινοβουλίου και του Συμβουλίου. Οι κανόνες που διέπουν τη μετάφραση εγγράφων στο πλαίσιο της απόσπασης εργαζομένων και της αίτησης για βεβαίωση καταβολής των εισφορών κοινωνικής ασφάλισής τους δεν θα πρέπει να καλύπτονται από τον παρόντα κανονισμό.</w:t>
      </w:r>
    </w:p>
    <w:p>
      <w:pPr>
        <w:pStyle w:val="ManualConsidrant"/>
        <w:rPr>
          <w:noProof/>
        </w:rPr>
      </w:pPr>
      <w:r>
        <w:t>(28)</w:t>
      </w:r>
      <w:r>
        <w:tab/>
      </w:r>
      <w:r>
        <w:rPr>
          <w:noProof/>
        </w:rPr>
        <w:t xml:space="preserve">Τα κράτη μέλη δικαιούνται να χρεώνουν τέλη μόνο για την κάλυψη του κόστους με το οποίο βαρύνονται για τη διεκπεραίωση της διαδικασίας. Δεν θα πρέπει να επιβάλλουν τέλη για κόστος που έχει ήδη καλυφθεί από τον προϋπολογισμό της Ένωσης. Τα </w:t>
      </w:r>
      <w:r>
        <w:rPr>
          <w:noProof/>
        </w:rPr>
        <w:lastRenderedPageBreak/>
        <w:t>κράτη μέλη θα πρέπει να κοινοποιούν στην Επιτροπή τα τέλη που χρεώνουν, μέσω του IMI, και να δημοσιεύουν τις συναφείς πληροφορίες. Δεδομένου ότι το IMI παρέχει ουσιαστικά όλες τις αναγκαίες διευκολύνσεις, τα κράτη μέλη, μεταξύ άλλων, δεν θα πρέπει να χρεώνουν τέλη για την επικαιροποίηση, αναστολή, ανάκληση ή ακύρωση ευρωπαϊκών ηλεκτρονικών καρτών υπηρεσιών.  Για να διασφαλιστεί η ομοιόμορφη εφαρμογή των διατάξεων για την πληρωμή των τελών, θα πρέπει να εκχωρηθούν στην Επιτροπή εκτελεστικές αρμοδιότητες με σκοπό να εγκρίνει κανόνες για τους όρους και τις διαδικασίες πληρωμής. Οι εν λόγω αρμοδιότητες θα πρέπει να ασκούνται σύμφωνα με τον κανονισμό (ΕΕ) αριθ. 182/2011 του Ευρωπαϊκού Κοινοβουλίου και του Συμβουλίου.</w:t>
      </w:r>
    </w:p>
    <w:p>
      <w:pPr>
        <w:pStyle w:val="ManualConsidrant"/>
        <w:rPr>
          <w:noProof/>
        </w:rPr>
      </w:pPr>
      <w:r>
        <w:t>(29)</w:t>
      </w:r>
      <w:r>
        <w:tab/>
      </w:r>
      <w:r>
        <w:rPr>
          <w:noProof/>
        </w:rPr>
        <w:t>Ο παρών κανονισμός βασίζεται στην ενισχυμένη διοικητική συνεργασία μεταξύ των κρατών μελών καταγωγής και υποδοχής, η οποία θα πρέπει να περιλαμβάνει ανταλλαγές πληροφοριών και χρήση διασυνδεδεμένων εθνικών μητρώων για τη λήψη ή επαλήθευση προγενέστερα ληφθεισών πληροφοριών όπως τα μητρώα που προβλέπονται δυνάμει της οδηγίας 2009/101/ΕΚ του Ευρωπαϊκού Κοινοβουλίου και του Συμβουλίου</w:t>
      </w:r>
      <w:r>
        <w:rPr>
          <w:rStyle w:val="FootnoteReference"/>
          <w:noProof/>
        </w:rPr>
        <w:footnoteReference w:id="27"/>
      </w:r>
      <w:r>
        <w:rPr>
          <w:noProof/>
        </w:rPr>
        <w:t xml:space="preserve"> ή του κανονισμού (ΕΕ) 2015/848 του Ευρωπαϊκού Κοινοβουλίου και του Συμβουλίου</w:t>
      </w:r>
      <w:r>
        <w:rPr>
          <w:rStyle w:val="FootnoteReference"/>
          <w:noProof/>
        </w:rPr>
        <w:footnoteReference w:id="28"/>
      </w:r>
      <w:r>
        <w:rPr>
          <w:noProof/>
        </w:rPr>
        <w:t>. Για να διασφαλιστεί η ομοιόμορφη εφαρμογή της διαχείρισης και της επεξεργασίας των ανταλλαγών πληροφοριών και της αμοιβαίας συνδρομής, θα πρέπει να εκχωρηθούν εκτελεστικές αρμοδιότητες στην Επιτροπή. Οι εν λόγω αρμοδιότητες θα πρέπει να ασκούνται σύμφωνα με τον κανονισμό (ΕΕ) αριθ. 182/2011 του Ευρωπαϊκού Κοινοβουλίου και του Συμβουλίου.</w:t>
      </w:r>
    </w:p>
    <w:p>
      <w:pPr>
        <w:pStyle w:val="ManualConsidrant"/>
        <w:rPr>
          <w:noProof/>
        </w:rPr>
      </w:pPr>
      <w:r>
        <w:t>(30)</w:t>
      </w:r>
      <w:r>
        <w:tab/>
      </w:r>
      <w:r>
        <w:rPr>
          <w:noProof/>
        </w:rPr>
        <w:t>Οι πάροχοι υπηρεσιών που υποχρεούνται να αποκτήσουν ασφάλιση επαγγελματικής ευθύνης σε κράτη μέλη όπου δεν έχουν αναπτύξει προηγούμενη δραστηριότητα δυσκολεύονται συχνά να αποδείξουν το ιστορικό των αξιώσεών τους σχετικά με την ασφαλιστική κάλυψη που είχαν σε άλλα κράτη μέλη. Τα ιστορικά αξιώσεων είναι σημαντικά για τους διανομείς ασφαλιστικών προϊόντων προκειμένου να εξακριβώνουν και να αξιολογούν το προφίλ κινδύνου κάθε πιθανού πελάτη. Η απόδειξη του ιστορικού παρουσιάζει δυσκολίες λόγω της ελλιπούς επικοινωνίας μεταξύ των διανομέων ασφαλιστικών προϊόντων δια μέσου των συνόρων της εσωτερικής αγοράς, αλλά και λόγω των αποκλίσεων που παρατηρούνται όσον αφορά την περιγραφή του πλήρους ιστορικού ενός ασφαλισμένου, ακόμη και εντός του ίδιου κράτους μέλους. Οι διανομείς ασφαλιστικών προϊόντων και οι οργανισμοί που έχουν οριστεί από κράτη μέλη για την παροχή υποχρεωτικής ασφαλιστικής κάλυψης θα πρέπει επομένως να υποχρεούνται να εκδίδουν βεβαίωση σχετικά με τις αξιώσεις αποζημίωσης τρίτων η οποία θα μπορεί ακολούθως να χρησιμοποιείται εκτός των συνόρων, αλλά και εντός, σε περίπτωση που κάποιος πάροχος υπηρεσιών αλλάζει διανομέα ασφαλιστικών προϊόντων.</w:t>
      </w:r>
    </w:p>
    <w:p>
      <w:pPr>
        <w:pStyle w:val="ManualConsidrant"/>
        <w:rPr>
          <w:noProof/>
        </w:rPr>
      </w:pPr>
      <w:r>
        <w:t>(31)</w:t>
      </w:r>
      <w:r>
        <w:tab/>
      </w:r>
      <w:r>
        <w:rPr>
          <w:noProof/>
        </w:rPr>
        <w:t xml:space="preserve">Για να διασφαλιστεί η ομοιόμορφη εφαρμογή του παρόντος κανονισμού όσον αφορά την παρουσίαση της περιγραφής των αξιώσεων αποζημίωσης, θα πρέπει να </w:t>
      </w:r>
      <w:r>
        <w:rPr>
          <w:noProof/>
        </w:rPr>
        <w:lastRenderedPageBreak/>
        <w:t>εκχωρηθούν στην Επιτροπή εκτελεστικές αρμοδιότητες με σκοπό να εγκρίνει κανόνες για τον τυποποιημένο μορφότυπο παρουσίασης της συγκεκριμένης βεβαίωσης. Οι εν λόγω αρμοδιότητες θα πρέπει να ασκούνται σύμφωνα με τον κανονισμό (ΕΕ) αριθ. 182/2011 του Ευρωπαϊκού Κοινοβουλίου και του Συμβουλίου.</w:t>
      </w:r>
    </w:p>
    <w:p>
      <w:pPr>
        <w:pStyle w:val="ManualConsidrant"/>
        <w:rPr>
          <w:noProof/>
        </w:rPr>
      </w:pPr>
      <w:r>
        <w:t>(32)</w:t>
      </w:r>
      <w:r>
        <w:tab/>
      </w:r>
      <w:r>
        <w:rPr>
          <w:noProof/>
        </w:rPr>
        <w:t>Η βεβαίωση σχετικά με το ιστορικό αξιώσεων θα είναι καθοριστικής σημασίας για την αποτροπή εκ μέρους των διανομέων ασφαλιστικών προϊόντων και των οργανισμών που έχουν οριστεί από κράτη μέλη για την παροχή υποχρεωτικής ασφαλιστικής κάλυψης πρακτικών που εισάγουν διακρίσεις εις βάρος διασυνοριακών παρόχων υπηρεσιών για τους οποίους δεν είναι εξίσου συχνό και εύκολο να ληφθούν πληροφορίες. Η ίδια αυτή αρχή της μη διακριτικής μεταχείρισης θα πρέπει να ισχύει και για τις επαγγελματικές οργανώσεις που προσφέρουν ομαδική ασφαλιστική κάλυψη στα μέλη τους ή σε άλλους παρόχους υπηρεσιών.</w:t>
      </w:r>
    </w:p>
    <w:p>
      <w:pPr>
        <w:pStyle w:val="ManualConsidrant"/>
        <w:rPr>
          <w:noProof/>
        </w:rPr>
      </w:pPr>
      <w:r>
        <w:t>(33)</w:t>
      </w:r>
      <w:r>
        <w:tab/>
      </w:r>
      <w:r>
        <w:rPr>
          <w:noProof/>
        </w:rPr>
        <w:t>Θα πρέπει να οριστεί μια ενιαία συντονιστική αρχή από κάθε κράτος μέλος για την εκτέλεση των καθηκόντων που προβλέπονται από τον παρόντα κανονισμό, χωρίς να θίγονται οι αρμοδιότητες που ορίζονται στην ισχύουσα εθνική νομοθεσία. Οι αρχές αυτές θα πρέπει να καταχωρίζονται ως αρμόδιες αρχές στο Σύστημα Πληροφόρησης για την Εσωτερική Αγορά για τους σκοπούς του κανονισμού (ΕΕ) αριθ. 1024/2012 και να κοινοποιούνται στην Επιτροπή.</w:t>
      </w:r>
    </w:p>
    <w:p>
      <w:pPr>
        <w:pStyle w:val="ManualConsidrant"/>
        <w:rPr>
          <w:noProof/>
        </w:rPr>
      </w:pPr>
      <w:r>
        <w:t>(34)</w:t>
      </w:r>
      <w:r>
        <w:tab/>
      </w:r>
      <w:r>
        <w:rPr>
          <w:noProof/>
        </w:rPr>
        <w:t>Η εφαρμογή του παρόντος κανονισμού θα πρέπει να παρακολουθείται και να αξιολογείται, ώστε να καθορίζεται η επίπτωσή του στο κόστος της διασυνοριακής επέκτασης των δραστηριοτήτων, στην ενίσχυση της διαφάνειας για τους διασυνοριακούς παρόχους, στον ανταγωνισμό, στις τιμές και στην ποιότητα των παρεχόμενων υπηρεσιών. Θα πρέπει δε να αξιολογούνται ανά τακτά χρονικά διαστήματα τα αποτελέσματα του παρόντος κανονισμού και η πρακτική λειτουργία της συνεργασίας μεταξύ των συντονιστικών αρχών. Η παρακολούθηση αυτή θα πραγματοποιείται σε συνεργασία με τα κράτη μέλη, τους κοινωνικούς εταίρους και λοιπούς οικείους ενδιαφερομένους.</w:t>
      </w:r>
    </w:p>
    <w:p>
      <w:pPr>
        <w:pStyle w:val="ManualConsidrant"/>
        <w:rPr>
          <w:noProof/>
        </w:rPr>
      </w:pPr>
      <w:r>
        <w:t>(35)</w:t>
      </w:r>
      <w:r>
        <w:tab/>
      </w:r>
      <w:r>
        <w:rPr>
          <w:noProof/>
        </w:rPr>
        <w:t>Για την προσαρμογή της λειτουργίας του IMI στα καθήκοντα που του ανατίθενται δυνάμει του παρόντος κανονισμού, θα πρέπει να τροποποιηθεί αναλόγως ο κανονισμός (ΕΕ) αριθ. 1024/2012.</w:t>
      </w:r>
    </w:p>
    <w:p>
      <w:pPr>
        <w:pStyle w:val="ManualConsidrant"/>
        <w:rPr>
          <w:noProof/>
        </w:rPr>
      </w:pPr>
      <w:r>
        <w:t>(36)</w:t>
      </w:r>
      <w:r>
        <w:tab/>
      </w:r>
      <w:r>
        <w:rPr>
          <w:noProof/>
        </w:rPr>
        <w:t>Δεδομένου ότι οι στόχοι του παρόντος κανονισμού δεν μπορούν να επιτευχθούν επαρκώς από τα κράτη μέλη λόγω του κινδύνου που εγκυμονεί η πολυπλοκότητα και η ασυνέπεια των κανονιστικών προσεγγίσεων ορισμένων υπηρεσιών μεταξύ των κρατών μελών, αλλά μπορούν αντιθέτως, λόγω της ενίσχυσης του διοικητικού συντονισμού και της εναρμόνισης σε ολόκληρη την Ένωση, να επιτευχθούν καλύτερα σε επίπεδο Ένωσης, η Ένωση μπορεί να θεσπίσει μέτρα, σύμφωνα με την αρχή της επικουρικότητας, όπως ορίζεται στο άρθρο 5 της Συνθήκης για την Ευρωπαϊκή Ένωση. Σύμφωνα με την αρχή της αναλογικότητας του ίδιου άρθρου, ο παρών κανονισμός δεν υπερβαίνει τα αναγκαία όρια για την επίτευξη των στόχων αυτών.</w:t>
      </w:r>
    </w:p>
    <w:p>
      <w:pPr>
        <w:pStyle w:val="ManualConsidrant"/>
        <w:rPr>
          <w:noProof/>
        </w:rPr>
      </w:pPr>
      <w:r>
        <w:t>(37)</w:t>
      </w:r>
      <w:r>
        <w:tab/>
      </w:r>
      <w:r>
        <w:rPr>
          <w:noProof/>
        </w:rPr>
        <w:t xml:space="preserve">Ο παρών κανονισμός σέβεται τα θεμελιώδη δικαιώματα και τηρεί τις αρχές που αναγνωρίζονται ιδίως στον Χάρτη των Θεμελιωδών Δικαιωμάτων της Ευρωπαϊκής Ένωσης. Ιδίως, ο παρών κανονισμός, μέσω της θέσπισης της ευρωπαϊκής ηλεκτρονικής κάρτας υπηρεσιών και συναφών διοικητικών διευκολύνσεων και διαδικασιών, επιδιώκει την προαγωγή των δικαιωμάτων της εγκατάστασης και της παροχής υπηρεσιών σε κάθε κράτος μέλος, χωρίς διακρίσεις λόγω ιθαγένειας, μέσω της θέσπισης αμερόληπτης, δίκαιης και ευλόγως ταχείας διαδικασίας, σύμφωνα με τα </w:t>
      </w:r>
      <w:r>
        <w:rPr>
          <w:noProof/>
        </w:rPr>
        <w:lastRenderedPageBreak/>
        <w:t>άρθρα 15, 21 και 41 του Χάρτη Θεμελιωδών Δικαιωμάτων της Ευρωπαϊκής Ένωσης, διασφαλίζοντας ταυτόχρονα τον πλήρη σεβασμό της προστασίας των δεδομένων προσωπικού χαρακτήρα, καθώς και σύμφωνα με τον κανονισμό (ΕΚ) αριθ. 45/2001 του Ευρωπαϊκού Κοινοβουλίου και του Συμβουλίου</w:t>
      </w:r>
      <w:r>
        <w:rPr>
          <w:rStyle w:val="FootnoteReference"/>
          <w:noProof/>
        </w:rPr>
        <w:footnoteReference w:id="29"/>
      </w:r>
      <w:r>
        <w:rPr>
          <w:noProof/>
        </w:rPr>
        <w:t>, και λαμβάνοντας δεόντως υπόψη τον κίνδυνο της κατάχρησης δικαιώματος, σύμφωνα με τα προβλεπόμενα στα άρθρα 8 και 54 αντίστοιχα του Χάρτη.</w:t>
      </w:r>
    </w:p>
    <w:p>
      <w:pPr>
        <w:pStyle w:val="Formuledadoption"/>
        <w:rPr>
          <w:noProof/>
        </w:rPr>
      </w:pPr>
      <w:r>
        <w:rPr>
          <w:noProof/>
        </w:rPr>
        <w:t>ΕΞΕΔΩΣΑΝ ΤΟΝ ΠΑΡΟΝΤΑ ΚΑΝΟΝΙΣΜΟ:</w:t>
      </w:r>
    </w:p>
    <w:p>
      <w:pPr>
        <w:pStyle w:val="ChapterTitle"/>
        <w:rPr>
          <w:b w:val="0"/>
          <w:noProof/>
        </w:rPr>
      </w:pPr>
      <w:r>
        <w:rPr>
          <w:noProof/>
        </w:rPr>
        <w:t>ΚΕΦΑΛΑΙΟ I</w:t>
      </w:r>
      <w:r>
        <w:rPr>
          <w:noProof/>
        </w:rPr>
        <w:br/>
        <w:t>ΓΕΝΙΚΕΣ ΔΙΑΤΑΞΕΙΣ</w:t>
      </w:r>
    </w:p>
    <w:p>
      <w:pPr>
        <w:pStyle w:val="Titrearticle"/>
        <w:rPr>
          <w:noProof/>
        </w:rPr>
      </w:pPr>
      <w:r>
        <w:rPr>
          <w:noProof/>
        </w:rPr>
        <w:t>Άρθρο 1</w:t>
      </w:r>
      <w:r>
        <w:rPr>
          <w:noProof/>
        </w:rPr>
        <w:br/>
      </w:r>
      <w:r>
        <w:rPr>
          <w:b/>
          <w:noProof/>
        </w:rPr>
        <w:t>Αντικείμενο</w:t>
      </w:r>
    </w:p>
    <w:p>
      <w:pPr>
        <w:rPr>
          <w:noProof/>
        </w:rPr>
      </w:pPr>
      <w:r>
        <w:rPr>
          <w:noProof/>
        </w:rPr>
        <w:t>Ο παρών κανονισμός θεσπίζει ευρωπαϊκή ηλεκτρονική κάρτα υπηρεσιών και συναφείς διοικητικές διευκολύνσεις, οι οποίες θα είναι διαθέσιμες σε ολόκληρη την Ευρωπαϊκή Ένωση σε παρόχους υπηρεσιών που επιθυμούν να κάνουν χρήση της εν λόγω ηλεκτρονικής κάρτας.</w:t>
      </w:r>
    </w:p>
    <w:p>
      <w:pPr>
        <w:rPr>
          <w:noProof/>
        </w:rPr>
      </w:pPr>
      <w:r>
        <w:rPr>
          <w:noProof/>
        </w:rPr>
        <w:t>Για να καταστεί διαθέσιμη η ευρωπαϊκή ηλεκτρονική κάρτα υπηρεσιών και να μπορούν οι πάροχοι υπηρεσιών να αναπτύσσουν και να ασκούν δραστηριότητες, θεσπίζεται με την οδηγία .......[για την ευρωπαϊκή ηλεκτρονική κάρτα υπηρεσιών]...... ο αναγκαίος συντονισμός των νομοθετικών, κανονιστικών και διοικητικών διατάξεων των κρατών μελών.</w:t>
      </w:r>
    </w:p>
    <w:p>
      <w:pPr>
        <w:pStyle w:val="Titrearticle"/>
        <w:rPr>
          <w:noProof/>
        </w:rPr>
      </w:pPr>
      <w:r>
        <w:rPr>
          <w:noProof/>
        </w:rPr>
        <w:t>Άρθρο 2</w:t>
      </w:r>
      <w:r>
        <w:rPr>
          <w:noProof/>
        </w:rPr>
        <w:br/>
      </w:r>
      <w:r>
        <w:rPr>
          <w:b/>
          <w:noProof/>
        </w:rPr>
        <w:t>Πεδίο εφαρμογής</w:t>
      </w:r>
    </w:p>
    <w:p>
      <w:pPr>
        <w:pStyle w:val="ManualNumPar1"/>
        <w:rPr>
          <w:rStyle w:val="s1"/>
          <w:rFonts w:ascii="Times New Roman" w:hAnsi="Times New Roman"/>
          <w:noProof/>
          <w:szCs w:val="24"/>
        </w:rPr>
      </w:pPr>
      <w:r>
        <w:rPr>
          <w:rStyle w:val="s1"/>
        </w:rPr>
        <w:t>1.</w:t>
      </w:r>
      <w:r>
        <w:rPr>
          <w:rStyle w:val="s1"/>
        </w:rPr>
        <w:tab/>
      </w:r>
      <w:r>
        <w:rPr>
          <w:rStyle w:val="s1"/>
          <w:rFonts w:ascii="Times New Roman" w:hAnsi="Times New Roman"/>
          <w:noProof/>
        </w:rPr>
        <w:t xml:space="preserve">Ο παρών κανονισμός εφαρμόζεται στις υπηρεσίες που απαριθμούνται στο παράρτημα της οδηγίας [για την ευρωπαϊκή ηλεκτρονική κάρτα υπηρεσιών]. </w:t>
      </w:r>
    </w:p>
    <w:p>
      <w:pPr>
        <w:pStyle w:val="ManualNumPar1"/>
        <w:rPr>
          <w:rStyle w:val="s1"/>
          <w:rFonts w:ascii="Times New Roman" w:hAnsi="Times New Roman"/>
          <w:noProof/>
          <w:szCs w:val="24"/>
        </w:rPr>
      </w:pPr>
      <w:r>
        <w:rPr>
          <w:rStyle w:val="s1"/>
        </w:rPr>
        <w:t>2.</w:t>
      </w:r>
      <w:r>
        <w:rPr>
          <w:rStyle w:val="s1"/>
        </w:rPr>
        <w:tab/>
      </w:r>
      <w:r>
        <w:rPr>
          <w:rStyle w:val="s1"/>
          <w:rFonts w:ascii="Times New Roman" w:hAnsi="Times New Roman"/>
          <w:noProof/>
        </w:rPr>
        <w:t xml:space="preserve">Ο παρών κανονισμός δεν θίγει τα θέματα που αναφέρονται στο άρθρο 1(παράγραφοι 2 έως 7 της οδηγίας 2006/123/ΕΚ. </w:t>
      </w:r>
    </w:p>
    <w:p>
      <w:pPr>
        <w:pStyle w:val="Text1"/>
        <w:rPr>
          <w:noProof/>
        </w:rPr>
      </w:pPr>
      <w:r>
        <w:rPr>
          <w:noProof/>
        </w:rPr>
        <w:t>Δεν εφαρμόζεται στις δραστηριότητες και τους τομείς που αναφέρονται στο άρθρο 2 παράγραφοι 2 και 3 της οδηγίας 2006/123/ΕΚ.</w:t>
      </w:r>
    </w:p>
    <w:p>
      <w:pPr>
        <w:pStyle w:val="ManualNumPar1"/>
        <w:rPr>
          <w:rStyle w:val="s1"/>
          <w:rFonts w:ascii="Times New Roman" w:hAnsi="Times New Roman"/>
          <w:noProof/>
          <w:szCs w:val="24"/>
        </w:rPr>
      </w:pPr>
      <w:r>
        <w:rPr>
          <w:rStyle w:val="s1"/>
        </w:rPr>
        <w:t>3.</w:t>
      </w:r>
      <w:r>
        <w:rPr>
          <w:rStyle w:val="s1"/>
        </w:rPr>
        <w:tab/>
      </w:r>
      <w:r>
        <w:rPr>
          <w:rStyle w:val="s1"/>
          <w:rFonts w:ascii="Times New Roman" w:hAnsi="Times New Roman"/>
          <w:noProof/>
        </w:rPr>
        <w:t>Αν οι διατάξεις του παρόντος κανονισμού έρχονται σε σύγκρουση με διάταξη άλλης πράξης της Ένωσης που ρυθμίζει τις ειδικές πτυχές της πρόσβασης και της άσκησης δραστηριότητας παροχής υπηρεσίας σε ειδικούς τομείς ή ειδικά επαγγέλματα, η διάταξη της άλλης πράξης της Ένωσης υπερισχύει και εφαρμόζεται σ’ αυτούς τους ειδικούς τομείς ή τα ειδικά επαγγέλματα.</w:t>
      </w:r>
    </w:p>
    <w:p>
      <w:pPr>
        <w:pStyle w:val="Text1"/>
        <w:rPr>
          <w:noProof/>
        </w:rPr>
      </w:pPr>
      <w:r>
        <w:rPr>
          <w:noProof/>
        </w:rPr>
        <w:t xml:space="preserve">Ο παρών κανονισμός, ιδίως το κεφάλαιο III αυτού, δεν θίγει τα δικαιώματα των </w:t>
      </w:r>
      <w:r>
        <w:rPr>
          <w:rStyle w:val="s1"/>
          <w:rFonts w:ascii="Times New Roman" w:hAnsi="Times New Roman"/>
          <w:noProof/>
        </w:rPr>
        <w:t>εργαζομένων</w:t>
      </w:r>
      <w:r>
        <w:rPr>
          <w:noProof/>
        </w:rPr>
        <w:t>, τις υποχρεώσεις των παρόχων υπηρεσιών και τους συναφείς ελέγχους στα κράτη μέλη, που θεσπίζουν οι οδηγίες 96/71/ΕΚ και 2014/67/ΕΕ.</w:t>
      </w:r>
    </w:p>
    <w:p>
      <w:pPr>
        <w:pStyle w:val="Text1"/>
        <w:rPr>
          <w:noProof/>
        </w:rPr>
      </w:pPr>
    </w:p>
    <w:p>
      <w:pPr>
        <w:pStyle w:val="Titrearticle"/>
        <w:rPr>
          <w:b/>
          <w:noProof/>
        </w:rPr>
      </w:pPr>
      <w:r>
        <w:rPr>
          <w:noProof/>
        </w:rPr>
        <w:lastRenderedPageBreak/>
        <w:t>Άρθρο 3</w:t>
      </w:r>
      <w:r>
        <w:rPr>
          <w:noProof/>
        </w:rPr>
        <w:br/>
      </w:r>
      <w:r>
        <w:rPr>
          <w:b/>
          <w:noProof/>
        </w:rPr>
        <w:t>Ορισμοί</w:t>
      </w:r>
    </w:p>
    <w:p>
      <w:pPr>
        <w:rPr>
          <w:noProof/>
        </w:rPr>
      </w:pPr>
      <w:r>
        <w:rPr>
          <w:noProof/>
        </w:rPr>
        <w:t>Για τους σκοπούς του παρόντος κανονισμού, ισχύουν οι ακόλουθοι ορισμοί:</w:t>
      </w:r>
    </w:p>
    <w:p>
      <w:pPr>
        <w:pStyle w:val="ManualNumPar1"/>
        <w:rPr>
          <w:rStyle w:val="s1"/>
          <w:rFonts w:ascii="Times New Roman" w:hAnsi="Times New Roman"/>
          <w:noProof/>
          <w:szCs w:val="24"/>
        </w:rPr>
      </w:pPr>
      <w:r>
        <w:rPr>
          <w:rStyle w:val="s1"/>
        </w:rPr>
        <w:t>1.</w:t>
      </w:r>
      <w:r>
        <w:rPr>
          <w:rStyle w:val="s1"/>
        </w:rPr>
        <w:tab/>
      </w:r>
      <w:r>
        <w:rPr>
          <w:rStyle w:val="s1"/>
          <w:rFonts w:ascii="Times New Roman" w:hAnsi="Times New Roman"/>
          <w:noProof/>
        </w:rPr>
        <w:t>«πληροφορίες σχετικά με την εντιμότητα των παρόχων»: οι πληροφορίες που αναφέρονται στο άρθρο 33 παράγραφος 1 της οδηγίας 2006/123/ΕΚ·</w:t>
      </w:r>
    </w:p>
    <w:p>
      <w:pPr>
        <w:rPr>
          <w:rStyle w:val="s1"/>
          <w:rFonts w:ascii="Times New Roman" w:hAnsi="Times New Roman"/>
          <w:i/>
          <w:noProof/>
          <w:szCs w:val="24"/>
        </w:rPr>
      </w:pPr>
    </w:p>
    <w:p>
      <w:pPr>
        <w:pStyle w:val="ManualNumPar1"/>
        <w:rPr>
          <w:rStyle w:val="s1"/>
          <w:rFonts w:ascii="Times New Roman" w:hAnsi="Times New Roman"/>
          <w:noProof/>
          <w:szCs w:val="24"/>
        </w:rPr>
      </w:pPr>
      <w:r>
        <w:rPr>
          <w:rStyle w:val="s1"/>
        </w:rPr>
        <w:t>2.</w:t>
      </w:r>
      <w:r>
        <w:rPr>
          <w:rStyle w:val="s1"/>
        </w:rPr>
        <w:tab/>
      </w:r>
      <w:r>
        <w:rPr>
          <w:rStyle w:val="s1"/>
          <w:rFonts w:ascii="Times New Roman" w:hAnsi="Times New Roman"/>
          <w:noProof/>
        </w:rPr>
        <w:t>«ηλεκτρονικό έγγραφο»: το ηλεκτρονικό έγγραφο κατά την έννοια του άρθρου 3 σημείο 35 του κανονισμού αριθ. (ΕΕ) 910/2014 του Ευρωπαϊκού Κοινοβουλίου και του Συμβουλίου</w:t>
      </w:r>
      <w:r>
        <w:rPr>
          <w:rStyle w:val="FootnoteReference"/>
          <w:noProof/>
        </w:rPr>
        <w:footnoteReference w:id="30"/>
      </w:r>
      <w:r>
        <w:rPr>
          <w:rStyle w:val="s1"/>
          <w:rFonts w:ascii="Times New Roman" w:hAnsi="Times New Roman"/>
          <w:noProof/>
        </w:rPr>
        <w:t>·</w:t>
      </w:r>
    </w:p>
    <w:p>
      <w:pPr>
        <w:pStyle w:val="ManualNumPar1"/>
        <w:rPr>
          <w:rStyle w:val="s1"/>
          <w:rFonts w:ascii="Times New Roman" w:hAnsi="Times New Roman"/>
          <w:noProof/>
          <w:szCs w:val="24"/>
        </w:rPr>
      </w:pPr>
      <w:r>
        <w:rPr>
          <w:rStyle w:val="s1"/>
        </w:rPr>
        <w:t>3.</w:t>
      </w:r>
      <w:r>
        <w:rPr>
          <w:rStyle w:val="s1"/>
        </w:rPr>
        <w:tab/>
      </w:r>
      <w:r>
        <w:rPr>
          <w:rStyle w:val="s1"/>
          <w:rFonts w:ascii="Times New Roman" w:hAnsi="Times New Roman"/>
          <w:noProof/>
        </w:rPr>
        <w:t>«IMI»: το Σύστημα Πληροφόρησης για την Εσωτερική Αγορά που θεσπίζεται με τον κανονισμό (ΕΚ) αριθ. 1024/2012·</w:t>
      </w:r>
    </w:p>
    <w:p>
      <w:pPr>
        <w:pStyle w:val="ManualNumPar1"/>
        <w:rPr>
          <w:rStyle w:val="s1"/>
          <w:rFonts w:ascii="Times New Roman" w:hAnsi="Times New Roman"/>
          <w:noProof/>
          <w:szCs w:val="24"/>
        </w:rPr>
      </w:pPr>
      <w:r>
        <w:rPr>
          <w:rStyle w:val="s1"/>
        </w:rPr>
        <w:t>4.</w:t>
      </w:r>
      <w:r>
        <w:rPr>
          <w:rStyle w:val="s1"/>
        </w:rPr>
        <w:tab/>
      </w:r>
      <w:r>
        <w:rPr>
          <w:rStyle w:val="s1"/>
          <w:rFonts w:ascii="Times New Roman" w:hAnsi="Times New Roman"/>
          <w:noProof/>
        </w:rPr>
        <w:t>«δημόσιο έγγραφο»: κάθε έγγραφο που εκδίδεται από τις αρχές κράτους μέλους σύμφωνα με το εθνικό του δίκαιο για ζητήματα συναφή με τις διαδικασίες που διέπονται από τον παρόντα κανονισμό κατά τα ακόλουθα:</w:t>
      </w:r>
    </w:p>
    <w:p>
      <w:pPr>
        <w:pStyle w:val="Text1"/>
        <w:rPr>
          <w:noProof/>
        </w:rPr>
      </w:pPr>
      <w:r>
        <w:rPr>
          <w:noProof/>
        </w:rPr>
        <w:t>α) έγγραφα τα οποία προέρχονται από αρχή ή υπάλληλο που συνδέεται με τα δικαστήρια κράτους μέλους, συμπεριλαμβανομένων των εγγράφων που προέρχονται από εισαγγελέα, γραμματέα δικαστηρίου ή δικαστικό επιμελητή («huissier de justice»)·</w:t>
      </w:r>
    </w:p>
    <w:p>
      <w:pPr>
        <w:pStyle w:val="Text1"/>
        <w:rPr>
          <w:noProof/>
        </w:rPr>
      </w:pPr>
      <w:r>
        <w:rPr>
          <w:noProof/>
        </w:rPr>
        <w:t>β) διοικητικά έγγραφα·</w:t>
      </w:r>
    </w:p>
    <w:p>
      <w:pPr>
        <w:pStyle w:val="Text1"/>
        <w:rPr>
          <w:noProof/>
        </w:rPr>
      </w:pPr>
      <w:r>
        <w:rPr>
          <w:noProof/>
        </w:rPr>
        <w:t>γ) συμβολαιογραφικές πράξεις·</w:t>
      </w:r>
    </w:p>
    <w:p>
      <w:pPr>
        <w:pStyle w:val="Text1"/>
        <w:rPr>
          <w:noProof/>
        </w:rPr>
      </w:pPr>
      <w:r>
        <w:rPr>
          <w:noProof/>
        </w:rPr>
        <w:t>δ) επίσημα πιστοποιητικά προσαρτημένα σε έγγραφα υπογεγραμμένα από πρόσωπα που ενεργούν ως ιδιώτες, όπως τα επίσημα πιστοποιητικά που καταγράφουν την πρωτοκόλληση ενός εγγράφου ή ότι το έγγραφο αυτό υπήρχε σε μια συγκεκριμένη ημερομηνία, καθώς και επίσημες ή συμβολαιογραφικές πράξεις για τη βεβαίωση του γνησίου της υπογραφής·</w:t>
      </w:r>
    </w:p>
    <w:p>
      <w:pPr>
        <w:pStyle w:val="Text1"/>
        <w:rPr>
          <w:noProof/>
        </w:rPr>
      </w:pPr>
      <w:r>
        <w:rPr>
          <w:noProof/>
        </w:rPr>
        <w:t>ε) έγγραφα που συντάσσονται από διπλωματικούς ή προξενικούς υπαλλήλους κράτους μέλους υπό την επίσημη ιδιότητά τους οι οποίοι ασκούν καθήκοντα στο έδαφος οποιουδήποτε κράτους, όταν τα εν λόγω έγγραφα πρέπει να υποβληθούν στο έδαφος άλλου κράτους μέλους ή στους διπλωματικούς ή προξενικούς υπαλλήλους άλλου κράτους μέλους οι οποίοι ασκούν καθήκοντα στο έδαφος τρίτου κράτους·</w:t>
      </w:r>
    </w:p>
    <w:p>
      <w:pPr>
        <w:pStyle w:val="ManualNumPar1"/>
        <w:rPr>
          <w:rStyle w:val="s1"/>
          <w:rFonts w:ascii="Times New Roman" w:hAnsi="Times New Roman"/>
          <w:noProof/>
          <w:szCs w:val="24"/>
        </w:rPr>
      </w:pPr>
      <w:r>
        <w:rPr>
          <w:rStyle w:val="s1"/>
        </w:rPr>
        <w:t>5.</w:t>
      </w:r>
      <w:r>
        <w:rPr>
          <w:rStyle w:val="s1"/>
        </w:rPr>
        <w:tab/>
      </w:r>
      <w:r>
        <w:rPr>
          <w:rStyle w:val="s1"/>
          <w:rFonts w:ascii="Times New Roman" w:hAnsi="Times New Roman"/>
          <w:noProof/>
        </w:rPr>
        <w:t>«επικύρωση»: η διατύπωση που ακολουθείται για τη βεβαίωση της γνησιότητας της υπογραφής δημόσιου λειτουργού, της ιδιότητας του/της υπογράφοντος/-ουσας και, κατά περίπτωση, της ταυτότητας της σφραγίδας την οποία φέρει το έγγραφο·</w:t>
      </w:r>
    </w:p>
    <w:p>
      <w:pPr>
        <w:pStyle w:val="ManualNumPar1"/>
        <w:rPr>
          <w:rStyle w:val="s1"/>
          <w:rFonts w:ascii="Times New Roman" w:hAnsi="Times New Roman"/>
          <w:noProof/>
          <w:szCs w:val="24"/>
        </w:rPr>
      </w:pPr>
      <w:r>
        <w:rPr>
          <w:rStyle w:val="s1"/>
        </w:rPr>
        <w:t>6.</w:t>
      </w:r>
      <w:r>
        <w:rPr>
          <w:rStyle w:val="s1"/>
        </w:rPr>
        <w:tab/>
      </w:r>
      <w:r>
        <w:rPr>
          <w:rStyle w:val="s1"/>
          <w:rFonts w:ascii="Times New Roman" w:hAnsi="Times New Roman"/>
          <w:noProof/>
        </w:rPr>
        <w:t xml:space="preserve">«επισημείωση»: η διατύπωση που ενδεχομένως απαιτείται για τη βεβαίωση της γνησιότητας της υπογραφής, της ιδιότητας του/της υπογράφοντος/-ουσας και, κατά περίπτωση, της ταυτότητας της σφραγίδας την οποία φέρει το έγγραφο, η οποία εκδίδεται από την αρμόδια αρχή του κράτους προέλευσης του εγγράφου και </w:t>
      </w:r>
      <w:r>
        <w:rPr>
          <w:rStyle w:val="s1"/>
          <w:rFonts w:ascii="Times New Roman" w:hAnsi="Times New Roman"/>
          <w:noProof/>
        </w:rPr>
        <w:lastRenderedPageBreak/>
        <w:t>προβλέπεται στη Σύμβαση της Χάγης της 5ης Οκτωβρίου 1961 περί κατάργησης της υποχρέωσης επικύρωσης των αλλοδαπών δημόσιων εγγράφων (σύμβαση για την επισημείωση εγγράφων)·</w:t>
      </w:r>
    </w:p>
    <w:p>
      <w:pPr>
        <w:pStyle w:val="ManualNumPar1"/>
        <w:rPr>
          <w:rStyle w:val="s1"/>
          <w:rFonts w:ascii="Times New Roman" w:hAnsi="Times New Roman"/>
          <w:noProof/>
          <w:szCs w:val="24"/>
        </w:rPr>
      </w:pPr>
      <w:r>
        <w:rPr>
          <w:rStyle w:val="s1"/>
        </w:rPr>
        <w:t>7.</w:t>
      </w:r>
      <w:r>
        <w:rPr>
          <w:rStyle w:val="s1"/>
        </w:rPr>
        <w:tab/>
      </w:r>
      <w:r>
        <w:rPr>
          <w:rStyle w:val="s1"/>
          <w:rFonts w:ascii="Times New Roman" w:hAnsi="Times New Roman"/>
          <w:noProof/>
        </w:rPr>
        <w:t>«επικυρωμένο αντίγραφο»: αντίγραφο πρωτότυπου δημόσιου εγγράφου, υπογεγραμμένο και πιστοποιημένο ως ακριβής και πλήρης αναπαραγωγή του εν λόγω πρωτότυπου δημόσιου εγγράφου από αρχή εξουσιοδοτημένη προς τούτο βάσει του εθνικού δικαίου·</w:t>
      </w:r>
    </w:p>
    <w:p>
      <w:pPr>
        <w:pStyle w:val="ManualNumPar1"/>
        <w:rPr>
          <w:rStyle w:val="s1"/>
          <w:rFonts w:ascii="Times New Roman" w:hAnsi="Times New Roman"/>
          <w:noProof/>
          <w:szCs w:val="24"/>
        </w:rPr>
      </w:pPr>
      <w:r>
        <w:rPr>
          <w:rStyle w:val="s1"/>
        </w:rPr>
        <w:t>8.</w:t>
      </w:r>
      <w:r>
        <w:rPr>
          <w:rStyle w:val="s1"/>
        </w:rPr>
        <w:tab/>
      </w:r>
      <w:r>
        <w:rPr>
          <w:rStyle w:val="s1"/>
          <w:rFonts w:ascii="Times New Roman" w:hAnsi="Times New Roman"/>
          <w:noProof/>
        </w:rPr>
        <w:t>«επικυρωμένη μετάφραση»: μετάφραση από πρόσωπο που, σύμφωνα με τη νομοθεσία κράτους μέλους, είναι εξουσιοδοτημένο να πραγματοποιεί τέτοιες μεταφράσεις·</w:t>
      </w:r>
    </w:p>
    <w:p>
      <w:pPr>
        <w:pStyle w:val="ManualNumPar1"/>
        <w:rPr>
          <w:rStyle w:val="s1"/>
          <w:rFonts w:ascii="Times New Roman" w:hAnsi="Times New Roman"/>
          <w:noProof/>
          <w:szCs w:val="24"/>
        </w:rPr>
      </w:pPr>
      <w:r>
        <w:rPr>
          <w:rStyle w:val="s1"/>
        </w:rPr>
        <w:t>9.</w:t>
      </w:r>
      <w:r>
        <w:rPr>
          <w:rStyle w:val="s1"/>
        </w:rPr>
        <w:tab/>
      </w:r>
      <w:r>
        <w:rPr>
          <w:rStyle w:val="s1"/>
          <w:rFonts w:ascii="Times New Roman" w:hAnsi="Times New Roman"/>
          <w:noProof/>
        </w:rPr>
        <w:t>«ασφάλιση επαγγελματικής ευθύνης»: η ασφάλιση επαγγελματικής ευθύνης κατά την έννοια του άρθρου 23 παράγραφος 5 τελευταία περίπτωση της οδηγίας 2006/123/ΕΚ·</w:t>
      </w:r>
    </w:p>
    <w:p>
      <w:pPr>
        <w:pStyle w:val="ManualNumPar1"/>
        <w:rPr>
          <w:rStyle w:val="s1"/>
          <w:rFonts w:ascii="Times New Roman" w:hAnsi="Times New Roman"/>
          <w:noProof/>
          <w:szCs w:val="24"/>
        </w:rPr>
      </w:pPr>
      <w:r>
        <w:rPr>
          <w:rStyle w:val="s1"/>
        </w:rPr>
        <w:t>10.</w:t>
      </w:r>
      <w:r>
        <w:rPr>
          <w:rStyle w:val="s1"/>
        </w:rPr>
        <w:tab/>
      </w:r>
      <w:r>
        <w:rPr>
          <w:rStyle w:val="s1"/>
          <w:rFonts w:ascii="Times New Roman" w:hAnsi="Times New Roman"/>
          <w:noProof/>
        </w:rPr>
        <w:t>«υπηρεσία»: η υπηρεσία κατά την έννοια του άρθρου 4 σημείο 1 της οδηγίας 2006/123/ΕΚ·</w:t>
      </w:r>
    </w:p>
    <w:p>
      <w:pPr>
        <w:pStyle w:val="ManualNumPar1"/>
        <w:rPr>
          <w:rStyle w:val="s1"/>
          <w:rFonts w:ascii="Times New Roman" w:hAnsi="Times New Roman"/>
          <w:noProof/>
          <w:szCs w:val="24"/>
        </w:rPr>
      </w:pPr>
      <w:r>
        <w:rPr>
          <w:rStyle w:val="s1"/>
        </w:rPr>
        <w:t>11.</w:t>
      </w:r>
      <w:r>
        <w:rPr>
          <w:rStyle w:val="s1"/>
        </w:rPr>
        <w:tab/>
      </w:r>
      <w:r>
        <w:rPr>
          <w:rStyle w:val="s1"/>
          <w:rFonts w:ascii="Times New Roman" w:hAnsi="Times New Roman"/>
          <w:noProof/>
        </w:rPr>
        <w:t>«πάροχος υπηρεσιών»: ο πάροχος υπηρεσιών κατά την έννοια του άρθρου 4 παράγραφος 2 της οδηγίας 2006/123/ΕΚ·</w:t>
      </w:r>
    </w:p>
    <w:p>
      <w:pPr>
        <w:pStyle w:val="ManualNumPar1"/>
        <w:rPr>
          <w:rStyle w:val="s1"/>
          <w:rFonts w:ascii="Times New Roman" w:hAnsi="Times New Roman"/>
          <w:noProof/>
          <w:szCs w:val="24"/>
        </w:rPr>
      </w:pPr>
      <w:r>
        <w:rPr>
          <w:rStyle w:val="s1"/>
        </w:rPr>
        <w:t>12.</w:t>
      </w:r>
      <w:r>
        <w:rPr>
          <w:rStyle w:val="s1"/>
        </w:rPr>
        <w:tab/>
      </w:r>
      <w:r>
        <w:rPr>
          <w:rStyle w:val="s1"/>
          <w:rFonts w:ascii="Times New Roman" w:hAnsi="Times New Roman"/>
          <w:noProof/>
        </w:rPr>
        <w:t>«κράτος μέλος εγκατάστασης»: το κράτος μέλος εγκατάστασης κατά την έννοια του άρθρου 4 παράγραφος 4 της οδηγίας 2006/123/ΕΚ·</w:t>
      </w:r>
    </w:p>
    <w:p>
      <w:pPr>
        <w:pStyle w:val="ManualNumPar1"/>
        <w:rPr>
          <w:rStyle w:val="s1"/>
          <w:rFonts w:ascii="Times New Roman" w:hAnsi="Times New Roman"/>
          <w:noProof/>
          <w:szCs w:val="24"/>
        </w:rPr>
      </w:pPr>
      <w:r>
        <w:rPr>
          <w:rStyle w:val="s1"/>
        </w:rPr>
        <w:t>13.</w:t>
      </w:r>
      <w:r>
        <w:rPr>
          <w:rStyle w:val="s1"/>
        </w:rPr>
        <w:tab/>
      </w:r>
      <w:r>
        <w:rPr>
          <w:rStyle w:val="s1"/>
          <w:rFonts w:ascii="Times New Roman" w:hAnsi="Times New Roman"/>
          <w:noProof/>
        </w:rPr>
        <w:t>«εγκατάσταση»: η εγκατάσταση κατά την έννοια του άρθρου 4 παράγραφος 5 της οδηγίας 2006/123/ΕΚ·</w:t>
      </w:r>
    </w:p>
    <w:p>
      <w:pPr>
        <w:pStyle w:val="ManualNumPar1"/>
        <w:rPr>
          <w:rStyle w:val="s1"/>
          <w:rFonts w:ascii="Times New Roman" w:hAnsi="Times New Roman"/>
          <w:noProof/>
          <w:szCs w:val="24"/>
        </w:rPr>
      </w:pPr>
      <w:r>
        <w:rPr>
          <w:rStyle w:val="s1"/>
        </w:rPr>
        <w:t>14.</w:t>
      </w:r>
      <w:r>
        <w:rPr>
          <w:rStyle w:val="s1"/>
        </w:rPr>
        <w:tab/>
      </w:r>
      <w:r>
        <w:rPr>
          <w:rStyle w:val="s1"/>
          <w:rFonts w:ascii="Times New Roman" w:hAnsi="Times New Roman"/>
          <w:noProof/>
        </w:rPr>
        <w:t>«κράτος μέλος καταγωγής»: το κράτος μέλος προς το οποίο ο πάροχος υπηρεσιών έχει απευθύνει την αίτησή του για ευρωπαϊκή ηλεκτρονική κάρτα υπηρεσιών·</w:t>
      </w:r>
    </w:p>
    <w:p>
      <w:pPr>
        <w:pStyle w:val="ManualNumPar1"/>
        <w:rPr>
          <w:rStyle w:val="s1"/>
          <w:rFonts w:ascii="Times New Roman" w:hAnsi="Times New Roman"/>
          <w:noProof/>
          <w:szCs w:val="24"/>
        </w:rPr>
      </w:pPr>
      <w:r>
        <w:rPr>
          <w:rStyle w:val="s1"/>
        </w:rPr>
        <w:t>15.</w:t>
      </w:r>
      <w:r>
        <w:rPr>
          <w:rStyle w:val="s1"/>
        </w:rPr>
        <w:tab/>
      </w:r>
      <w:r>
        <w:rPr>
          <w:rStyle w:val="s1"/>
          <w:rFonts w:ascii="Times New Roman" w:hAnsi="Times New Roman"/>
          <w:noProof/>
        </w:rPr>
        <w:t>«κράτος μέλος υποδοχής»: το κράτος μέλος στο οποίο ο πάροχος υπηρεσιών έχει δηλώσει την πρόθεση να παράσχει υπηρεσίες κάνοντας χρήση ευρωπαϊκής ηλεκτρονικής κάρτας υπηρεσιών·</w:t>
      </w:r>
    </w:p>
    <w:p>
      <w:pPr>
        <w:pStyle w:val="ManualNumPar1"/>
        <w:rPr>
          <w:rStyle w:val="s1"/>
          <w:rFonts w:ascii="Times New Roman" w:hAnsi="Times New Roman"/>
          <w:noProof/>
          <w:szCs w:val="24"/>
        </w:rPr>
      </w:pPr>
      <w:r>
        <w:rPr>
          <w:rStyle w:val="s1"/>
        </w:rPr>
        <w:t>16.</w:t>
      </w:r>
      <w:r>
        <w:rPr>
          <w:rStyle w:val="s1"/>
        </w:rPr>
        <w:tab/>
      </w:r>
      <w:r>
        <w:rPr>
          <w:rStyle w:val="s1"/>
          <w:rFonts w:ascii="Times New Roman" w:hAnsi="Times New Roman"/>
          <w:noProof/>
        </w:rPr>
        <w:t>«απαίτηση»: η απαίτηση κατά την έννοια του άρθρου 4 παράγραφος 7 της οδηγίας 2006/123/ΕΚ·</w:t>
      </w:r>
    </w:p>
    <w:p>
      <w:pPr>
        <w:pStyle w:val="ManualNumPar1"/>
        <w:rPr>
          <w:rStyle w:val="s1"/>
          <w:rFonts w:ascii="Times New Roman" w:hAnsi="Times New Roman"/>
          <w:noProof/>
          <w:szCs w:val="24"/>
        </w:rPr>
      </w:pPr>
      <w:r>
        <w:rPr>
          <w:rStyle w:val="s1"/>
        </w:rPr>
        <w:t>17.</w:t>
      </w:r>
      <w:r>
        <w:rPr>
          <w:rStyle w:val="s1"/>
        </w:rPr>
        <w:tab/>
      </w:r>
      <w:r>
        <w:rPr>
          <w:rStyle w:val="s1"/>
          <w:rFonts w:ascii="Times New Roman" w:hAnsi="Times New Roman"/>
          <w:noProof/>
        </w:rPr>
        <w:t>«συντονιστική αρχή»: η αρχή που έχει οριστεί σύμφωνα με το άρθρο 17·</w:t>
      </w:r>
    </w:p>
    <w:p>
      <w:pPr>
        <w:pStyle w:val="ManualNumPar1"/>
        <w:rPr>
          <w:rStyle w:val="s1"/>
          <w:rFonts w:ascii="Times New Roman" w:hAnsi="Times New Roman"/>
          <w:noProof/>
          <w:szCs w:val="24"/>
        </w:rPr>
      </w:pPr>
      <w:r>
        <w:rPr>
          <w:rStyle w:val="s1"/>
        </w:rPr>
        <w:t>18.</w:t>
      </w:r>
      <w:r>
        <w:rPr>
          <w:rStyle w:val="s1"/>
        </w:rPr>
        <w:tab/>
      </w:r>
      <w:r>
        <w:rPr>
          <w:rStyle w:val="s1"/>
          <w:rFonts w:ascii="Times New Roman" w:hAnsi="Times New Roman"/>
          <w:noProof/>
        </w:rPr>
        <w:t xml:space="preserve">«αρμόδια αρχή»: νοείται οποιαδήποτε από τις ακόλουθες αρχές: </w:t>
      </w:r>
    </w:p>
    <w:p>
      <w:pPr>
        <w:pStyle w:val="Text1"/>
        <w:rPr>
          <w:noProof/>
        </w:rPr>
      </w:pPr>
      <w:r>
        <w:rPr>
          <w:noProof/>
        </w:rPr>
        <w:t xml:space="preserve">(i) η αρμόδια αρχή όπως ορίζεται στο άρθρο 4 σημείο 9 της οδηγίας 2006/123/ΕΚ· </w:t>
      </w:r>
    </w:p>
    <w:p>
      <w:pPr>
        <w:pStyle w:val="Text1"/>
        <w:rPr>
          <w:noProof/>
        </w:rPr>
      </w:pPr>
      <w:r>
        <w:rPr>
          <w:noProof/>
        </w:rPr>
        <w:t>(ii) η αρμόδια αρχή όπως ορίζεται στο άρθρο 3 παράγραφος 1 στοιχείο δ) της οδηγίας 2005/36/ΕΕ·</w:t>
      </w:r>
    </w:p>
    <w:p>
      <w:pPr>
        <w:pStyle w:val="Text1"/>
        <w:rPr>
          <w:noProof/>
        </w:rPr>
      </w:pPr>
      <w:r>
        <w:rPr>
          <w:noProof/>
        </w:rPr>
        <w:t>(iii) κάθε αρχή ή φορέας που είναι υπεύθυνη/-ος για κεντρικό ή εμπορικό μητρώο, ή για μητρώο εταιρειών σε κράτος μέλος·</w:t>
      </w:r>
    </w:p>
    <w:p>
      <w:pPr>
        <w:pStyle w:val="Text1"/>
        <w:rPr>
          <w:noProof/>
        </w:rPr>
      </w:pPr>
      <w:r>
        <w:rPr>
          <w:noProof/>
        </w:rPr>
        <w:t>(iv) κάθε φορολογική αρχή κράτους μέλους·</w:t>
      </w:r>
    </w:p>
    <w:p>
      <w:pPr>
        <w:pStyle w:val="ManualNumPar1"/>
        <w:rPr>
          <w:rStyle w:val="s1"/>
          <w:rFonts w:ascii="Times New Roman" w:hAnsi="Times New Roman"/>
          <w:noProof/>
          <w:szCs w:val="24"/>
        </w:rPr>
      </w:pPr>
      <w:r>
        <w:rPr>
          <w:rStyle w:val="s1"/>
        </w:rPr>
        <w:lastRenderedPageBreak/>
        <w:t>19.</w:t>
      </w:r>
      <w:r>
        <w:rPr>
          <w:rStyle w:val="s1"/>
        </w:rPr>
        <w:tab/>
      </w:r>
      <w:r>
        <w:rPr>
          <w:rStyle w:val="s1"/>
          <w:rFonts w:ascii="Times New Roman" w:hAnsi="Times New Roman"/>
          <w:noProof/>
        </w:rPr>
        <w:t>«διανομέας ασφαλιστικών προϊόντων»: ο διανομέας ασφαλιστικών προϊόντων κατά την έννοια του άρθρου 2 σημείο 8 της οδηγίας (ΕΕ) 2016/97 του Ευρωπαϊκού Κοινοβουλίου και του Συμβουλίου</w:t>
      </w:r>
      <w:r>
        <w:rPr>
          <w:rStyle w:val="FootnoteReference"/>
          <w:noProof/>
        </w:rPr>
        <w:footnoteReference w:id="31"/>
      </w:r>
      <w:r>
        <w:rPr>
          <w:rStyle w:val="s1"/>
          <w:rFonts w:ascii="Times New Roman" w:hAnsi="Times New Roman"/>
          <w:noProof/>
        </w:rPr>
        <w:t xml:space="preserve">. </w:t>
      </w:r>
    </w:p>
    <w:p>
      <w:pPr>
        <w:pStyle w:val="ChapterTitle"/>
        <w:rPr>
          <w:noProof/>
        </w:rPr>
      </w:pPr>
    </w:p>
    <w:p>
      <w:pPr>
        <w:pStyle w:val="ChapterTitle"/>
        <w:rPr>
          <w:b w:val="0"/>
          <w:noProof/>
        </w:rPr>
      </w:pPr>
      <w:r>
        <w:rPr>
          <w:noProof/>
        </w:rPr>
        <w:t>ΚΕΦΑΛΑΙΟ II</w:t>
      </w:r>
      <w:r>
        <w:rPr>
          <w:noProof/>
        </w:rPr>
        <w:br/>
        <w:t>ΔΙΑΔΙΚΑΣΙΑ ΕΚΔΟΣΗΣ ΕΥΡΩΠΑΪΚΗΣ ΗΛΕΚΤΡΟΝΙΚΗΣ ΚΑΡΤΑΣ ΥΠΗΡΕΣΙΩΝ</w:t>
      </w:r>
    </w:p>
    <w:p>
      <w:pPr>
        <w:pStyle w:val="Titrearticle"/>
        <w:rPr>
          <w:b/>
          <w:noProof/>
        </w:rPr>
      </w:pPr>
      <w:r>
        <w:rPr>
          <w:noProof/>
        </w:rPr>
        <w:t>Άρθρο 4</w:t>
      </w:r>
      <w:r>
        <w:rPr>
          <w:noProof/>
        </w:rPr>
        <w:br/>
      </w:r>
      <w:r>
        <w:rPr>
          <w:b/>
          <w:noProof/>
        </w:rPr>
        <w:t>Αίτηση για ευρωπαϊκή ηλεκτρονική κάρτα υπηρεσιών</w:t>
      </w:r>
    </w:p>
    <w:p>
      <w:pPr>
        <w:pStyle w:val="ManualNumPar1"/>
        <w:rPr>
          <w:rStyle w:val="s1"/>
          <w:rFonts w:ascii="Times New Roman" w:hAnsi="Times New Roman"/>
          <w:noProof/>
          <w:szCs w:val="24"/>
        </w:rPr>
      </w:pPr>
      <w:r>
        <w:rPr>
          <w:rStyle w:val="s1"/>
        </w:rPr>
        <w:t>1.</w:t>
      </w:r>
      <w:r>
        <w:rPr>
          <w:rStyle w:val="s1"/>
        </w:rPr>
        <w:tab/>
      </w:r>
      <w:r>
        <w:rPr>
          <w:rStyle w:val="s1"/>
          <w:rFonts w:ascii="Times New Roman" w:hAnsi="Times New Roman"/>
          <w:noProof/>
        </w:rPr>
        <w:t>Οι πάροχοι έχουν τη δυνατότητα να επιλέξουν αν θα υποβάλουν αίτηση για ευρωπαϊκή ηλεκτρονική κάρτα υπηρεσιών.</w:t>
      </w:r>
    </w:p>
    <w:p>
      <w:pPr>
        <w:pStyle w:val="Text1"/>
        <w:rPr>
          <w:noProof/>
        </w:rPr>
      </w:pPr>
      <w:r>
        <w:rPr>
          <w:noProof/>
        </w:rPr>
        <w:t xml:space="preserve">Οι αιτήσεις για ευρωπαϊκή ηλεκτρονική κάρτα υπηρεσιών υποβάλλονται σε ηλεκτρονική πλατφόρμα συνδεδεμένη με το IMI μέσω πολυγλωσσικού τυποποιημένου εντύπου. </w:t>
      </w:r>
    </w:p>
    <w:p>
      <w:pPr>
        <w:pStyle w:val="Text1"/>
        <w:rPr>
          <w:noProof/>
        </w:rPr>
      </w:pPr>
      <w:r>
        <w:rPr>
          <w:noProof/>
        </w:rPr>
        <w:t>Το τυποποιημένο έντυπο περιλαμβάνει τα ακόλουθα στοιχεία:</w:t>
      </w:r>
    </w:p>
    <w:p>
      <w:pPr>
        <w:pStyle w:val="Text1"/>
        <w:rPr>
          <w:noProof/>
        </w:rPr>
      </w:pPr>
      <w:r>
        <w:rPr>
          <w:noProof/>
        </w:rPr>
        <w:t>α) στοιχεία προσδιορισμού της ταυτότητας του παρόχου υπηρεσιών, μεταξύ άλλων, κατά περίπτωση, αριθμούς καταχώρισης σε κεντρικό ή εμπορικό μητρώο, ή σε μητρώο εταιρειών, καθώς και αριθμούς φορολογικού μητρώου και μητρώου κοινωνικής ασφάλισης·</w:t>
      </w:r>
    </w:p>
    <w:p>
      <w:pPr>
        <w:pStyle w:val="Text1"/>
        <w:rPr>
          <w:noProof/>
        </w:rPr>
      </w:pPr>
      <w:r>
        <w:rPr>
          <w:noProof/>
        </w:rPr>
        <w:t>β) στοιχεία προσδιορισμού της δραστηριότητας παροχής υπηρεσίας, του κράτους μέλους υποδοχής, του είδους της προς έκδοση ευρωπαϊκής ηλεκτρονικής κάρτας υπηρεσιών·</w:t>
      </w:r>
    </w:p>
    <w:p>
      <w:pPr>
        <w:pStyle w:val="Text1"/>
        <w:rPr>
          <w:noProof/>
        </w:rPr>
      </w:pPr>
      <w:r>
        <w:rPr>
          <w:noProof/>
        </w:rPr>
        <w:t>γ) διευκρίνιση εάν προβλέπεται ή όχι η παροχή υπηρεσιών που σχετίζονται με την κοινωνία της πληροφορίας·</w:t>
      </w:r>
    </w:p>
    <w:p>
      <w:pPr>
        <w:pStyle w:val="Text1"/>
        <w:rPr>
          <w:noProof/>
        </w:rPr>
      </w:pPr>
      <w:r>
        <w:rPr>
          <w:noProof/>
        </w:rPr>
        <w:t>δ) πληροφορίες σχετικά με την εγκατάσταση του παρόχου στο κράτος μέλος καταγωγής σε σχέση με τη δραστηριότητα παροχής υπηρεσίας που προσδιορίζεται δυνάμει του στοιχείου β), συμπεριλαμβανομένης της ημερομηνίας αρχικής εγκατάστασης και του προσδιορισμού άλλων κρατών μελών εγκατάστασης·</w:t>
      </w:r>
    </w:p>
    <w:p>
      <w:pPr>
        <w:pStyle w:val="Text1"/>
        <w:rPr>
          <w:noProof/>
        </w:rPr>
      </w:pPr>
      <w:r>
        <w:rPr>
          <w:noProof/>
        </w:rPr>
        <w:t>ε) απαιτήσεις στις οποίες υπόκειται ο αιτών για την παροχή της υπηρεσίας στο κράτος μέλος καταγωγής του, όπως προσόντα ή πιστοποιήσεις·</w:t>
      </w:r>
    </w:p>
    <w:p>
      <w:pPr>
        <w:pStyle w:val="Text1"/>
        <w:rPr>
          <w:noProof/>
        </w:rPr>
      </w:pPr>
      <w:r>
        <w:rPr>
          <w:noProof/>
        </w:rPr>
        <w:t>στ) πληροφορίες σχετικά με την εντιμότητα του παρόχου·</w:t>
      </w:r>
    </w:p>
    <w:p>
      <w:pPr>
        <w:pStyle w:val="Text1"/>
        <w:rPr>
          <w:noProof/>
        </w:rPr>
      </w:pPr>
      <w:r>
        <w:rPr>
          <w:noProof/>
        </w:rPr>
        <w:t>ζ) πληροφορίες για τυχόν υφιστάμενη ασφάλιση επαγγελματικής ευθύνης του παρόχου σε σχέση με επαγγελματική ευθύνη στο έδαφος του κράτους μέλους καταγωγής, συμπεριλαμβανομένων πληροφοριών σχετικά με την ασφαλιστική κάλυψη για δραστηριότητες που εκτελούνται στο έδαφος άλλων κρατών μελών, κατά περίπτωση·</w:t>
      </w:r>
    </w:p>
    <w:p>
      <w:pPr>
        <w:pStyle w:val="Text1"/>
        <w:rPr>
          <w:noProof/>
        </w:rPr>
      </w:pPr>
      <w:r>
        <w:rPr>
          <w:noProof/>
        </w:rPr>
        <w:lastRenderedPageBreak/>
        <w:t>η) αναφορά ευρωπαϊκών ηλεκτρονικών καρτών υπηρεσιών που έχουν εκδοθεί στο παρελθόν για τον ίδιο πάροχο και την ίδια δραστηριότητα παροχής υπηρεσίας όπως προσδιορίζονται δυνάμει των στοιχείων α) και β).</w:t>
      </w:r>
    </w:p>
    <w:p>
      <w:pPr>
        <w:pStyle w:val="ManualNumPar1"/>
        <w:rPr>
          <w:rStyle w:val="s1"/>
          <w:rFonts w:ascii="Times New Roman" w:hAnsi="Times New Roman"/>
          <w:noProof/>
          <w:szCs w:val="24"/>
        </w:rPr>
      </w:pPr>
      <w:r>
        <w:rPr>
          <w:rStyle w:val="s1"/>
        </w:rPr>
        <w:t>2.</w:t>
      </w:r>
      <w:r>
        <w:rPr>
          <w:rStyle w:val="s1"/>
        </w:rPr>
        <w:tab/>
      </w:r>
      <w:r>
        <w:rPr>
          <w:rStyle w:val="s1"/>
          <w:rFonts w:ascii="Times New Roman" w:hAnsi="Times New Roman"/>
          <w:noProof/>
        </w:rPr>
        <w:t>Η Επιτροπή καθορίζει τον τρόπο παρουσίασης των πληροφοριών που αναφέρονται στα στοιχεία α) ως η) ανωτέρω στο τυποποιημένο έντυπο και θεσπίζει τις τεχνικές λεπτομέρειες του τυποποιημένου εντύπου σε ολόκληρη την Ευρωπαϊκή Ένωση, μέσω εκτελεστικών πράξεων.  Οι εν λόγω εκτελεστικές πράξεις εκδίδονται σύμφωνα με τη διαδικασία εξέτασης στην οποία παραπέμπει το άρθρο 16 παράγραφος 2.</w:t>
      </w:r>
    </w:p>
    <w:p>
      <w:pPr>
        <w:pStyle w:val="Text1"/>
        <w:rPr>
          <w:noProof/>
        </w:rPr>
      </w:pPr>
      <w:r>
        <w:rPr>
          <w:noProof/>
        </w:rPr>
        <w:t>Στην αίτηση περιλαμβάνονται όλα τα αναγκαία δικαιολογητικά έγγραφα, τα οποία αναφορτώνονται από τον αιτούντα στην ηλεκτρονική πλατφόρμα στην οποία διατίθεται το τυποποιημένο έντυπο της αίτησης.</w:t>
      </w:r>
    </w:p>
    <w:p>
      <w:pPr>
        <w:pStyle w:val="ManualNumPar1"/>
        <w:rPr>
          <w:rStyle w:val="s1"/>
          <w:rFonts w:ascii="Times New Roman" w:hAnsi="Times New Roman"/>
          <w:noProof/>
          <w:szCs w:val="24"/>
        </w:rPr>
      </w:pPr>
      <w:r>
        <w:rPr>
          <w:rStyle w:val="s1"/>
        </w:rPr>
        <w:t>3.</w:t>
      </w:r>
      <w:r>
        <w:rPr>
          <w:rStyle w:val="s1"/>
        </w:rPr>
        <w:tab/>
      </w:r>
      <w:r>
        <w:rPr>
          <w:rStyle w:val="s1"/>
          <w:rFonts w:ascii="Times New Roman" w:hAnsi="Times New Roman"/>
          <w:noProof/>
        </w:rPr>
        <w:t>Ανατίθεται στην Επιτροπή η εξουσία να εκδίδει κατ' εξουσιοδότηση πράξεις σύμφωνα με το άρθρο 15, ώστε να καθορίζει περαιτέρω:</w:t>
      </w:r>
    </w:p>
    <w:p>
      <w:pPr>
        <w:pStyle w:val="Text1"/>
        <w:rPr>
          <w:noProof/>
        </w:rPr>
      </w:pPr>
      <w:r>
        <w:rPr>
          <w:noProof/>
        </w:rPr>
        <w:t>α) τις λεπτομέρειες των πληροφοριακών στοιχείων που απαριθμούνται στα στοιχεία α) ως η) της παραγράφου 1, τα οποία περιλαμβάνονται στο τυποποιημένο έντυπο·</w:t>
      </w:r>
    </w:p>
    <w:p>
      <w:pPr>
        <w:pStyle w:val="Text1"/>
        <w:rPr>
          <w:noProof/>
        </w:rPr>
      </w:pPr>
      <w:r>
        <w:rPr>
          <w:noProof/>
        </w:rPr>
        <w:t>β) πρόσθετα έγγραφα ή κατηγορίες εγγράφων των οποίων απαιτείται κατ' εξαίρεση η συμπερίληψη στα δικαιολογητικά.</w:t>
      </w:r>
    </w:p>
    <w:p>
      <w:pPr>
        <w:pStyle w:val="ManualNumPar1"/>
        <w:rPr>
          <w:rStyle w:val="s1"/>
          <w:rFonts w:ascii="Times New Roman" w:hAnsi="Times New Roman"/>
          <w:noProof/>
          <w:szCs w:val="24"/>
        </w:rPr>
      </w:pPr>
      <w:r>
        <w:rPr>
          <w:rStyle w:val="s1"/>
        </w:rPr>
        <w:t>4.</w:t>
      </w:r>
      <w:r>
        <w:rPr>
          <w:rStyle w:val="s1"/>
        </w:rPr>
        <w:tab/>
      </w:r>
      <w:r>
        <w:rPr>
          <w:rStyle w:val="s1"/>
          <w:rFonts w:ascii="Times New Roman" w:hAnsi="Times New Roman"/>
          <w:noProof/>
        </w:rPr>
        <w:t>Τα κράτη μέλη παρέχουν στην Επιτροπή όλες τις πληροφορίες για τις διαδικαστικές ενέργειες που σχετίζονται με τις απαιτήσεις οι οποίες επιβάλλονται στους παρόχους για την παροχή υπηρεσιών μέσω υποκαταστήματος, πρακτορείου ή γραφείου, καθώς και για την προσωρινή διασυνοριακή παροχή των υπηρεσιών που εμπίπτουν στο πεδίο εφαρμογής της οδηγίας ..... [για την ευρωπαϊκή ηλεκτρονική κάρτα υπηρεσιών]……….., πληροφορίες οι οποίες είναι αναγκαίες για τη δημιουργία των τυποποιημένων εντύπων αίτησης και περιγράφουν τις πληροφορίες και τα έγγραφα που απαιτείται να υποβάλει ο πάροχος υπηρεσιών δυνάμει του εθνικού δικαίου σε σχέση με όλες τις ισχύουσες απαιτήσεις, μέσω του IMI έως [9 μήνες μετά την έναρξη ισχύος του παρόντος κανονισμού], εφόσον οι πληροφορίες δεν περιέχονταν στην κοινοποίηση της ίδιας της απαίτησης που έχει ήδη υποβληθεί δυνάμει του άρθρου 15 παράγραφος 7 και του άρθρου 39 παράγραφος 5 της οδηγίας 2006/123/ΕΚ.</w:t>
      </w:r>
    </w:p>
    <w:p>
      <w:pPr>
        <w:pStyle w:val="ManualNumPar1"/>
        <w:rPr>
          <w:rStyle w:val="s1"/>
          <w:rFonts w:ascii="Times New Roman" w:hAnsi="Times New Roman"/>
          <w:noProof/>
          <w:szCs w:val="24"/>
        </w:rPr>
      </w:pPr>
      <w:r>
        <w:rPr>
          <w:rStyle w:val="s1"/>
        </w:rPr>
        <w:t>5.</w:t>
      </w:r>
      <w:r>
        <w:rPr>
          <w:rStyle w:val="s1"/>
        </w:rPr>
        <w:tab/>
      </w:r>
      <w:r>
        <w:rPr>
          <w:rStyle w:val="s1"/>
          <w:rFonts w:ascii="Times New Roman" w:hAnsi="Times New Roman"/>
          <w:noProof/>
        </w:rPr>
        <w:t xml:space="preserve">Τα κράτη μέλη κοινοποιούν μέσω του IMI στην Επιτροπή τυχόν αλλαγές που έχουν επέλθει στις προγενέστερα κοινοποιηθείσες στην Επιτροπή πληροφορίες σύμφωνα με την παράγραφο 4, πριν από την έναρξη ισχύος της εν λόγω νομοθεσίας. </w:t>
      </w:r>
    </w:p>
    <w:p>
      <w:pPr>
        <w:pStyle w:val="Titrearticle"/>
        <w:rPr>
          <w:noProof/>
        </w:rPr>
      </w:pPr>
      <w:r>
        <w:rPr>
          <w:noProof/>
        </w:rPr>
        <w:t>Άρθρο 5</w:t>
      </w:r>
      <w:r>
        <w:rPr>
          <w:noProof/>
        </w:rPr>
        <w:br/>
      </w:r>
      <w:r>
        <w:rPr>
          <w:b/>
          <w:noProof/>
        </w:rPr>
        <w:t>Πιστοποιητικό ασφάλισης</w:t>
      </w:r>
    </w:p>
    <w:p>
      <w:pPr>
        <w:pStyle w:val="ManualNumPar1"/>
        <w:rPr>
          <w:rStyle w:val="s1"/>
          <w:rFonts w:ascii="Times New Roman" w:hAnsi="Times New Roman"/>
          <w:noProof/>
          <w:szCs w:val="24"/>
        </w:rPr>
      </w:pPr>
      <w:r>
        <w:rPr>
          <w:rStyle w:val="s1"/>
        </w:rPr>
        <w:t>1.</w:t>
      </w:r>
      <w:r>
        <w:rPr>
          <w:rStyle w:val="s1"/>
        </w:rPr>
        <w:tab/>
      </w:r>
      <w:r>
        <w:rPr>
          <w:rStyle w:val="s1"/>
          <w:rFonts w:ascii="Times New Roman" w:hAnsi="Times New Roman"/>
          <w:noProof/>
        </w:rPr>
        <w:t xml:space="preserve">Όταν παρατίθενται στο τυποποιημένο έντυπο πληροφορίες σχετικά με ασφαλιστική κάλυψη, σύμφωνα με το άρθρο 4 παράγραφος 1 τρίτο εδάφιο στοιχείο ζ), επισυνάπτεται στο έντυπο της αίτησης αντίστοιχο πιστοποιητικό ασφάλισης. </w:t>
      </w:r>
    </w:p>
    <w:p>
      <w:pPr>
        <w:pStyle w:val="Text1"/>
        <w:rPr>
          <w:noProof/>
        </w:rPr>
      </w:pPr>
      <w:r>
        <w:rPr>
          <w:noProof/>
        </w:rPr>
        <w:t>Ο διανομέας ασφαλιστικών προϊόντων ή ο οργανισμός που έχει οριστεί από κράτος μέλος για την παροχή υποχρεωτικής ασφαλιστικής κάλυψης παρέχει το πιστοποιητικό στον αιτούντα κατόπιν αίτησης του τελευταίου.</w:t>
      </w:r>
    </w:p>
    <w:p>
      <w:pPr>
        <w:pStyle w:val="Text1"/>
        <w:rPr>
          <w:noProof/>
        </w:rPr>
      </w:pPr>
      <w:r>
        <w:rPr>
          <w:noProof/>
        </w:rPr>
        <w:t xml:space="preserve">Το πιστοποιητικό ασφάλισης περιέχει πληροφορίες σχετικά με την ύπαρξη ασφάλισης επαγγελματικής ευθύνης για τις οικείες υπηρεσίες και, μεταξύ άλλων, το </w:t>
      </w:r>
      <w:r>
        <w:rPr>
          <w:noProof/>
        </w:rPr>
        <w:lastRenderedPageBreak/>
        <w:t>εδαφικό πεδίο εφαρμογής της εν λόγω κάλυψης σε άλλα κράτη μέλη, τους ασφαλιζόμενους κινδύνους, τη διάρκεια, τα ασφαλιζόμενα ποσά ανά αξίωση και για το σύνολο των αξιώσεων του εκάστοτε έτους, και τυχόν εξαιρέσεις.</w:t>
      </w:r>
    </w:p>
    <w:p>
      <w:pPr>
        <w:pStyle w:val="ManualNumPar1"/>
        <w:rPr>
          <w:rStyle w:val="s1"/>
          <w:rFonts w:ascii="Times New Roman" w:hAnsi="Times New Roman"/>
          <w:noProof/>
          <w:szCs w:val="24"/>
        </w:rPr>
      </w:pPr>
      <w:r>
        <w:rPr>
          <w:rStyle w:val="s1"/>
        </w:rPr>
        <w:t>2.</w:t>
      </w:r>
      <w:r>
        <w:rPr>
          <w:rStyle w:val="s1"/>
        </w:rPr>
        <w:tab/>
      </w:r>
      <w:r>
        <w:rPr>
          <w:rStyle w:val="s1"/>
          <w:rFonts w:ascii="Times New Roman" w:hAnsi="Times New Roman"/>
          <w:noProof/>
        </w:rPr>
        <w:t xml:space="preserve">Η Επιτροπή δύναται να εγκρίνει, μέσω εκτελεστικής πράξης, εναρμονισμένο μορφότυπο για τα πιστοποιητικά ασφάλισης που αναφέρονται στο δεύτερο εδάφιο της παραγράφου 1. </w:t>
      </w:r>
    </w:p>
    <w:p>
      <w:pPr>
        <w:pStyle w:val="Text1"/>
        <w:rPr>
          <w:noProof/>
        </w:rPr>
      </w:pPr>
      <w:r>
        <w:rPr>
          <w:noProof/>
        </w:rPr>
        <w:t xml:space="preserve">Οι εν λόγω εκτελεστικές πράξεις εκδίδονται σύμφωνα με τη διαδικασία εξέτασης στην οποία παραπέμπει το άρθρο 16 παράγραφος 2. </w:t>
      </w:r>
    </w:p>
    <w:p>
      <w:pPr>
        <w:pStyle w:val="ChapterTitle"/>
        <w:rPr>
          <w:noProof/>
        </w:rPr>
      </w:pPr>
      <w:r>
        <w:rPr>
          <w:noProof/>
        </w:rPr>
        <w:t>ΚΕΦΑΛΑΙΟ ΙII</w:t>
      </w:r>
      <w:r>
        <w:rPr>
          <w:noProof/>
        </w:rPr>
        <w:br/>
        <w:t>ΔΙΑΤΥΠΩΣΕΙΣ ΓΙΑ ΤΗΝ ΑΠΟΣΠΑΣΗ ΠΡΟΣΩΠΙΚΟΥ</w:t>
      </w:r>
      <w:r>
        <w:rPr>
          <w:noProof/>
        </w:rPr>
        <w:br/>
        <w:t>ΚΑΙ ΤΗΝ ΚΥΚΛΟΦΟΡΙΑ ΑΥΤΟΑΠΑΣΧΟΛΟΥΜΕΝΩΝ</w:t>
      </w:r>
    </w:p>
    <w:p>
      <w:pPr>
        <w:pStyle w:val="Titrearticle"/>
        <w:rPr>
          <w:noProof/>
        </w:rPr>
      </w:pPr>
      <w:r>
        <w:rPr>
          <w:noProof/>
        </w:rPr>
        <w:t>Άρθρο 6</w:t>
      </w:r>
      <w:r>
        <w:rPr>
          <w:noProof/>
        </w:rPr>
        <w:br/>
      </w:r>
      <w:r>
        <w:rPr>
          <w:b/>
          <w:noProof/>
        </w:rPr>
        <w:t>Διατυπώσεις για το αποσπασμένο προσωπικό</w:t>
      </w:r>
    </w:p>
    <w:p>
      <w:pPr>
        <w:pStyle w:val="ManualNumPar1"/>
        <w:rPr>
          <w:noProof/>
        </w:rPr>
      </w:pPr>
      <w:r>
        <w:t>1.</w:t>
      </w:r>
      <w:r>
        <w:tab/>
      </w:r>
      <w:r>
        <w:rPr>
          <w:rStyle w:val="s1"/>
          <w:rFonts w:ascii="Times New Roman" w:hAnsi="Times New Roman"/>
          <w:noProof/>
        </w:rPr>
        <w:t>Οι πάροχοι που είναι κάτοχοι ευρωπαϊκής ηλεκτρονικής κάρτας υπηρεσιών μπορούν να υποβάλουν προηγούμενη δήλωση, σύμφωνα με τα προβλεπόμενα στο άρθρο 7 της οδηγίας 2005/36/ΕΚ, σχετικά με τα επαγγελματικά προσόντα του προσωπικού που σκοπεύουν να αποσπάσουν στο κράτος μέλος υποδοχής, σε σχέση με τη δραστηριότητα παροχής υπηρεσιών για την οποία ισχύει η ηλεκτρονική κάρτα, μέσω ηλεκτρονικής πλατφόρμας συνδεδεμένης με το IMI, στην αρμόδια αρχή του κράτους μέλους υποδοχής, όπως αυτή ορίζεται στο άρθρο 3 σημείο 18 σημείο ii) του παρόντος κανονισμού.</w:t>
      </w:r>
    </w:p>
    <w:p>
      <w:pPr>
        <w:pStyle w:val="Text1"/>
        <w:rPr>
          <w:rStyle w:val="s1"/>
          <w:rFonts w:ascii="Times New Roman" w:hAnsi="Times New Roman"/>
          <w:noProof/>
          <w:szCs w:val="24"/>
        </w:rPr>
      </w:pPr>
      <w:r>
        <w:rPr>
          <w:rStyle w:val="s1"/>
          <w:rFonts w:ascii="Times New Roman" w:hAnsi="Times New Roman"/>
          <w:noProof/>
        </w:rPr>
        <w:t>Η προηγούμενη παράγραφος δεν εφαρμόζεται σε προηγούμενες δηλώσεις οι οποίες αφορούν επαγγελματικά προσόντα νομοθετικά κατοχυρωμένων επαγγελμάτων:</w:t>
      </w:r>
    </w:p>
    <w:p>
      <w:pPr>
        <w:pStyle w:val="Text1"/>
        <w:rPr>
          <w:noProof/>
        </w:rPr>
      </w:pPr>
      <w:r>
        <w:rPr>
          <w:noProof/>
        </w:rPr>
        <w:t>i) που έχουν επιπτώσεις στη δημόσια υγεία και ασφάλεια και δεν τυγχάνουν αυτόματης αναγνώρισης δυνάμει των κεφαλαίων II, III ή IIΙA του τίτλου III της οδηγίας 2005/36/ΕΚ·</w:t>
      </w:r>
    </w:p>
    <w:p>
      <w:pPr>
        <w:pStyle w:val="Text1"/>
        <w:rPr>
          <w:noProof/>
        </w:rPr>
      </w:pPr>
      <w:r>
        <w:rPr>
          <w:noProof/>
        </w:rPr>
        <w:t xml:space="preserve">ii) για τα οποία έχει καθιερωθεί ευρωπαϊκή επαγγελματική ταυτότητα, σύμφωνα με την οδηγία 2005/36/ΕΚ. </w:t>
      </w:r>
    </w:p>
    <w:p>
      <w:pPr>
        <w:pStyle w:val="Text1"/>
        <w:rPr>
          <w:noProof/>
        </w:rPr>
      </w:pPr>
      <w:r>
        <w:rPr>
          <w:noProof/>
        </w:rPr>
        <w:t xml:space="preserve">Η δήλωση σχετικά με τα επαγγελματικά προσόντα των αποσπασμένων εργαζομένων υποβάλλεται ως πολυγλωσσικό έντυπο με συναφή δικαιολογητικά έγγραφα, κατά τα προβλεπόμενα στο άρθρο 7 παράγραφοι 1 και 2 της οδηγίας 2005/36/ΕΚ. </w:t>
      </w:r>
    </w:p>
    <w:p>
      <w:pPr>
        <w:pStyle w:val="Text1"/>
        <w:rPr>
          <w:noProof/>
        </w:rPr>
      </w:pPr>
      <w:r>
        <w:rPr>
          <w:noProof/>
        </w:rPr>
        <w:t>Δήλωση που κοινοποιείται σύμφωνα με την παρούσα παράγραφο συνιστά δήλωση κατά την έννοια του άρθρου 7 της οδηγίας 2005/36/ΕΚ.</w:t>
      </w:r>
    </w:p>
    <w:p>
      <w:pPr>
        <w:pStyle w:val="ManualNumPar1"/>
        <w:rPr>
          <w:noProof/>
        </w:rPr>
      </w:pPr>
      <w:r>
        <w:t>2.</w:t>
      </w:r>
      <w:r>
        <w:tab/>
      </w:r>
      <w:r>
        <w:rPr>
          <w:noProof/>
        </w:rPr>
        <w:t>Οι πάροχοι που είναι κάτοχοι ευρωπαϊκής ηλεκτρονικής κάρτας υπηρεσιών και σκοπεύουν να αποσπάσουν εργαζομένους, σε σχέση με την εν λόγω δραστηριότητα παροχής υπηρεσίας, σε κράτος μέλος υποδοχής υποβάλλουν δήλωση, σύμφωνα με τα προβλεπόμενα στο άρθρο 9 της οδηγίας 2014/67/ΕΕ, σύμφωνα με τις διαδικασίες που έχουν θεσπίσει τα κράτη μέλη γι’ αυτόν τον σκοπό.</w:t>
      </w:r>
    </w:p>
    <w:p>
      <w:pPr>
        <w:pStyle w:val="Text1"/>
        <w:rPr>
          <w:noProof/>
        </w:rPr>
      </w:pPr>
      <w:r>
        <w:rPr>
          <w:noProof/>
        </w:rPr>
        <w:t xml:space="preserve">Όταν τα κράτη μέλη έχουν θεσπίσει διαδικασίες που προβλέπουν τη δυνατότητα συμπλήρωσης δήλωσης σε σχέση με την απόσπαση εργαζομένων σύμφωνα με το άρθρο 9 της οδηγίας 2014/67/ΕΕ με ηλεκτρονικά μέσα, η ηλεκτρονική πλατφόρμα </w:t>
      </w:r>
      <w:r>
        <w:rPr>
          <w:noProof/>
        </w:rPr>
        <w:lastRenderedPageBreak/>
        <w:t xml:space="preserve">που συνδέεται με το ΙΜΙ και αναφέρεται στην παράγραφο 1 καθοδηγεί τον κάτοχο της κάρτας κατά τη διεκπεραίωση των οικείων εθνικών διαδικασιών. </w:t>
      </w:r>
    </w:p>
    <w:p>
      <w:pPr>
        <w:pStyle w:val="ManualNumPar1"/>
        <w:rPr>
          <w:noProof/>
        </w:rPr>
      </w:pPr>
      <w:r>
        <w:t>3.</w:t>
      </w:r>
      <w:r>
        <w:tab/>
      </w:r>
      <w:r>
        <w:rPr>
          <w:noProof/>
        </w:rPr>
        <w:t>Οι πάροχοι που είναι κάτοχοι ευρωπαϊκής ηλεκτρονικής κάρτας υπηρεσιών μπορούν επίσης να υποβάλουν δήλωση, σύμφωνα με τα προβλεπόμενα στο άρθρο 9 της οδηγίας 2014/67/ΕΕ, σε σχέση με τους εργαζομένους τους οποίους σκοπεύουν να αποσπάσουν στο κράτος μέλος υποδοχής στο πλαίσιο της δραστηριότητας παροχής υπηρεσιών για την οποία ισχύει η κάρτα, στην αρμόδια αρχή του κράτους μέλους υποδοχής, όπως αυτή ορίζεται στο άρθρο 2 στοιχείο α) της οδηγίας 2014/67/ΕΕ, μέσω της ηλεκτρονικής πλατφόρμας που συνδέεται με το IMI και αναφέρεται στην παράγραφο 1, όταν ένα κράτος μέλος υποδοχής έχει γνωστοποιήσει στην Επιτροπή ότι για την απόσπαση εργαζομένων στο έδαφός του θα πρέπει να ισχύει αυτή η δυνατότητα.</w:t>
      </w:r>
    </w:p>
    <w:p>
      <w:pPr>
        <w:pStyle w:val="Text1"/>
        <w:rPr>
          <w:noProof/>
        </w:rPr>
      </w:pPr>
      <w:r>
        <w:rPr>
          <w:noProof/>
        </w:rPr>
        <w:t>Για να κάνει χρήση της δυνατότητας που προβλέπεται στο πρώτο εδάφιο, το κράτος μέλος υποδοχής παρέχει όλα τα στοιχεία που απαιτούνται σύμφωνα με το άρθρο 9 παράγραφος 1 στοιχείο α) και παράγραφος 2 της οδηγίας 2014/67/EΕ ως βάση για το πολυγλωσσικό έντυπο που θα υποβάλλεται για τη δήλωση των αποσπασμένων εργαζομένων στο έδαφός του. Η Επιτροπή δημοσιεύει το έντυπο αυτό στην Επίσημη Εφημερίδα και το καθιστά διαθέσιμο στην ηλεκτρονική πλατφόρμα που συνδέεται με το ΙΜΙ. Οι σχετικές πληροφορίες όσον αφορά τα απαιτούμενα στοιχεία καθίστανται διαθέσιμες στο οικείο κράτος μέλος υποδοχής σε πλήρη συμμόρφωση με τις γλωσσικές απαιτήσεις που ορίζονται στο άρθρο 9 παράγραφος 1 στοιχείο α) της οδηγίας 2014/67/EΕ.</w:t>
      </w:r>
    </w:p>
    <w:p>
      <w:pPr>
        <w:pStyle w:val="Text1"/>
        <w:rPr>
          <w:noProof/>
        </w:rPr>
      </w:pPr>
      <w:r>
        <w:rPr>
          <w:noProof/>
        </w:rPr>
        <w:t>Δήλωση που κοινοποιείται σύμφωνα με το πρώτο και δεύτερο εδάφιο συνιστά έγκυρη δήλωση κατά την έννοια του άρθρου 9 παράγραφος 1 στοιχείο α) και παράγραφος 2 της οδηγίας 2014/67/ΕΕ, με την επιφύλαξη άλλων διοικητικών απαιτήσεων ή μέτρων ελέγχου που επιβάλλονται από το κράτος μέλος υποδοχής σύμφωνα με το άρθρο 9 της ίδιας οδηγίας.</w:t>
      </w:r>
    </w:p>
    <w:p>
      <w:pPr>
        <w:pStyle w:val="Text1"/>
        <w:rPr>
          <w:noProof/>
        </w:rPr>
      </w:pPr>
      <w:r>
        <w:rPr>
          <w:noProof/>
        </w:rPr>
        <w:t xml:space="preserve">Το κράτος μέλος υποδοχής μπορεί να γνωστοποιήσει στην Επιτροπή ότι δεν επιθυμεί πλέον να χρησιμοποιεί τη δυνατότητα που προβλέπεται στο πρώτο εδάφιο. </w:t>
      </w:r>
    </w:p>
    <w:p>
      <w:pPr>
        <w:pStyle w:val="ManualNumPar1"/>
        <w:rPr>
          <w:noProof/>
        </w:rPr>
      </w:pPr>
      <w:r>
        <w:t>4.</w:t>
      </w:r>
      <w:r>
        <w:tab/>
      </w:r>
      <w:r>
        <w:rPr>
          <w:rStyle w:val="s1"/>
          <w:rFonts w:ascii="Times New Roman" w:hAnsi="Times New Roman"/>
          <w:noProof/>
        </w:rPr>
        <w:t>Ανατίθεται στην Επιτροπή η εξουσία να εγκρίνει, μέσω εκτελεστικών πράξεων, τεχνικούς κανόνες για τον σχεδιασμό του πολυγλωσσικού εντύπου που αναφέρεται στην παράγραφο 1.</w:t>
      </w:r>
      <w:r>
        <w:rPr>
          <w:noProof/>
        </w:rPr>
        <w:t xml:space="preserve"> Οι εν λόγω εκτελεστικές πράξεις εκδίδονται σύμφωνα με τη διαδικασία στην οποία παραπέμπει το άρθρο 16 παράγραφος 2.</w:t>
      </w:r>
    </w:p>
    <w:p>
      <w:pPr>
        <w:pStyle w:val="Titrearticle"/>
        <w:rPr>
          <w:b/>
          <w:noProof/>
        </w:rPr>
      </w:pPr>
      <w:r>
        <w:rPr>
          <w:noProof/>
        </w:rPr>
        <w:t>Άρθρο 7</w:t>
      </w:r>
      <w:r>
        <w:rPr>
          <w:noProof/>
        </w:rPr>
        <w:br/>
      </w:r>
      <w:r>
        <w:rPr>
          <w:b/>
          <w:noProof/>
        </w:rPr>
        <w:t>Διατυπώσεις για την κυκλοφορία των αυτοαπασχολουμένων</w:t>
      </w:r>
    </w:p>
    <w:p>
      <w:pPr>
        <w:pStyle w:val="ManualNumPar1"/>
        <w:rPr>
          <w:rStyle w:val="s1"/>
          <w:rFonts w:ascii="Times New Roman" w:hAnsi="Times New Roman"/>
          <w:noProof/>
          <w:szCs w:val="24"/>
        </w:rPr>
      </w:pPr>
      <w:r>
        <w:rPr>
          <w:rStyle w:val="s1"/>
        </w:rPr>
        <w:t>1.</w:t>
      </w:r>
      <w:r>
        <w:rPr>
          <w:rStyle w:val="s1"/>
        </w:rPr>
        <w:tab/>
      </w:r>
      <w:r>
        <w:rPr>
          <w:rStyle w:val="s1"/>
          <w:rFonts w:ascii="Times New Roman" w:hAnsi="Times New Roman"/>
          <w:noProof/>
        </w:rPr>
        <w:t>Οι πάροχοι που είναι φυσικά πρόσωπα και υποβάλλουν αίτηση για ευρωπαϊκή ηλεκτρονική κάρτα υπηρεσιών μπορούν να καταθέσουν προηγούμενη δήλωση σχετικά με τα δικά τους επαγγελματικά προσόντα σε ηλεκτρονική πλατφόρμα συνδεδεμένη με το IMI, υπό τις ίδιες προϋποθέσεις που ορίζονται στο άρθρο 6 παράγραφος 1 για τους εργαζομένους τους.</w:t>
      </w:r>
    </w:p>
    <w:p>
      <w:pPr>
        <w:pStyle w:val="Text1"/>
        <w:rPr>
          <w:noProof/>
        </w:rPr>
      </w:pPr>
      <w:r>
        <w:rPr>
          <w:noProof/>
        </w:rPr>
        <w:t xml:space="preserve">Όσον αφορά προηγούμενες δηλώσεις σχετικά με τα επαγγελματικά προσόντα του παρόχου υπηρεσιών, οι βεβαιώσεις που αναφέρονται στο άρθρο 7 παράγραφος 2 στοιχεία β) και δ) της οδηγίας 2005/36/ΕΚ αντικαθίστανται από το συμπληρωμένο έντυπο αίτησης για ευρωπαϊκή ηλεκτρονική κάρτα υπηρεσιών, το οποίο </w:t>
      </w:r>
      <w:r>
        <w:rPr>
          <w:noProof/>
        </w:rPr>
        <w:lastRenderedPageBreak/>
        <w:t>κοινοποιείται στο κράτος μέλος υποδοχής σύμφωνα με το άρθρο 11 της οδηγίας .....[για την ευρωπαϊκή ηλεκτρονική κάρτα υπηρεσιών]…….., και συνιστά απόδειξη της εγκατάστασης του παρόχου.</w:t>
      </w:r>
    </w:p>
    <w:p>
      <w:pPr>
        <w:pStyle w:val="ManualNumPar1"/>
        <w:rPr>
          <w:rStyle w:val="s1"/>
          <w:rFonts w:ascii="Times New Roman" w:hAnsi="Times New Roman"/>
          <w:noProof/>
          <w:szCs w:val="24"/>
        </w:rPr>
      </w:pPr>
      <w:r>
        <w:rPr>
          <w:rStyle w:val="s1"/>
        </w:rPr>
        <w:t>2.</w:t>
      </w:r>
      <w:r>
        <w:rPr>
          <w:rStyle w:val="s1"/>
        </w:rPr>
        <w:tab/>
      </w:r>
      <w:r>
        <w:rPr>
          <w:rStyle w:val="s1"/>
          <w:rFonts w:ascii="Times New Roman" w:hAnsi="Times New Roman"/>
          <w:noProof/>
        </w:rPr>
        <w:t>Δήλωση που κοινοποιείται σύμφωνα με την παράγραφο 1 συνιστά προηγούμενη δήλωση κατά την έννοια του άρθρου 7 της οδηγίας 2005/36/ΕΚ.</w:t>
      </w:r>
    </w:p>
    <w:p>
      <w:pPr>
        <w:pStyle w:val="ManualNumPar1"/>
        <w:rPr>
          <w:noProof/>
        </w:rPr>
      </w:pPr>
      <w:r>
        <w:t>3.</w:t>
      </w:r>
      <w:r>
        <w:tab/>
      </w:r>
      <w:r>
        <w:rPr>
          <w:rStyle w:val="s1"/>
          <w:rFonts w:ascii="Times New Roman" w:hAnsi="Times New Roman"/>
          <w:noProof/>
        </w:rPr>
        <w:t>Η Επιτροπή δύναται να εγκρίνει, μέσω εκτελεστικών πράξεων, τεχνικούς κανόνες για τον σχεδιασμό του πολυγλωσσικού εντύπου που αναφέρεται στην παράγραφο 1.</w:t>
      </w:r>
      <w:r>
        <w:rPr>
          <w:noProof/>
        </w:rPr>
        <w:t xml:space="preserve"> Οι εν λόγω εκτελεστικές πράξεις εκδίδονται σύμφωνα με τη διαδικασία στην οποία παραπέμπει το άρθρο 16 παράγραφος 2.</w:t>
      </w:r>
    </w:p>
    <w:p>
      <w:pPr>
        <w:pStyle w:val="ChapterTitle"/>
        <w:rPr>
          <w:b w:val="0"/>
          <w:noProof/>
        </w:rPr>
      </w:pPr>
      <w:r>
        <w:rPr>
          <w:noProof/>
        </w:rPr>
        <w:t>ΚΕΦΑΛΑΙΟ IV</w:t>
      </w:r>
      <w:r>
        <w:rPr>
          <w:noProof/>
        </w:rPr>
        <w:br/>
        <w:t xml:space="preserve">ΓΕΝΙΚΕΣ ΔΙΑΤΑΞΕΙΣ ΣΧΕΤΙΚΑ ΜΕ ΤΙΣ ΔΙΑΔΙΚΑΣΙΕΣ  </w:t>
      </w:r>
      <w:r>
        <w:rPr>
          <w:noProof/>
        </w:rPr>
        <w:br/>
        <w:t xml:space="preserve">ΤΗΣ ΕΥΡΩΠΑΪΚΗΣ ΗΛΕΚΤΡΟΝΙΚΗΣ ΚΑΡΤΑΣ ΥΠΗΡΕΣΙΩΝ </w:t>
      </w:r>
    </w:p>
    <w:p>
      <w:pPr>
        <w:pStyle w:val="Titrearticle"/>
        <w:rPr>
          <w:noProof/>
        </w:rPr>
      </w:pPr>
      <w:r>
        <w:rPr>
          <w:noProof/>
        </w:rPr>
        <w:t>Άρθρο 8</w:t>
      </w:r>
      <w:r>
        <w:rPr>
          <w:noProof/>
        </w:rPr>
        <w:br/>
      </w:r>
      <w:r>
        <w:rPr>
          <w:b/>
          <w:noProof/>
        </w:rPr>
        <w:t>Ηλεκτρονικές διαδικασίες</w:t>
      </w:r>
    </w:p>
    <w:p>
      <w:pPr>
        <w:pStyle w:val="ManualNumPar1"/>
        <w:rPr>
          <w:rStyle w:val="s1"/>
          <w:rFonts w:ascii="Times New Roman" w:hAnsi="Times New Roman"/>
          <w:noProof/>
          <w:szCs w:val="24"/>
        </w:rPr>
      </w:pPr>
      <w:r>
        <w:rPr>
          <w:rStyle w:val="s1"/>
        </w:rPr>
        <w:t>1.</w:t>
      </w:r>
      <w:r>
        <w:rPr>
          <w:rStyle w:val="s1"/>
        </w:rPr>
        <w:tab/>
      </w:r>
      <w:r>
        <w:rPr>
          <w:rStyle w:val="s1"/>
          <w:rFonts w:ascii="Times New Roman" w:hAnsi="Times New Roman"/>
          <w:noProof/>
        </w:rPr>
        <w:t xml:space="preserve">Οι πάροχοι υπηρεσιών έχουν δικαίωμα πρόσβασης σε πλήρως ηλεκτρονική διαχείριση και επεξεργασία των διαδικασιών που σχετίζονται με την υποβολή της αίτησης, την έκδοση και την επικαιροποίηση της ευρωπαϊκής ηλεκτρονικής κάρτας υπηρεσιών, καθώς και σε πλήρως ηλεκτρονικές διατυπώσεις σύμφωνα με το άρθρο 6 παράγραφοι 1 και 3 και με το άρθρο 7. </w:t>
      </w:r>
    </w:p>
    <w:p>
      <w:pPr>
        <w:pStyle w:val="Text1"/>
        <w:rPr>
          <w:noProof/>
        </w:rPr>
      </w:pPr>
      <w:r>
        <w:rPr>
          <w:noProof/>
        </w:rPr>
        <w:t>Οι εν λόγω ηλεκτρονικές διαδικασίες και διατυπώσεις καθίστανται διαθέσιμες από την Επιτροπή μέσω ηλεκτρονικής πλατφόρμας συνδεδεμένης με το IMI.</w:t>
      </w:r>
    </w:p>
    <w:p>
      <w:pPr>
        <w:pStyle w:val="Text1"/>
        <w:rPr>
          <w:noProof/>
        </w:rPr>
      </w:pPr>
      <w:r>
        <w:rPr>
          <w:noProof/>
        </w:rPr>
        <w:t>Τα κράτη μέλη καθορίζουν αν θα είναι ηλεκτρονική ή όχι η ροή των διαδικασιών μεταξύ των συντονιστικών και των αρμόδιων αρχών τους που εμπλέκονται στις διαδικασίες και τις διατυπώσεις της ευρωπαϊκής ηλεκτρονικής κάρτας υπηρεσιών για την απόσπαση προσωπικού και την κυκλοφορία των αυτοαπασχολουμένων δυνάμει των άρθρων 6 και 7.</w:t>
      </w:r>
    </w:p>
    <w:p>
      <w:pPr>
        <w:pStyle w:val="ManualNumPar1"/>
        <w:rPr>
          <w:rStyle w:val="s1"/>
          <w:rFonts w:ascii="Times New Roman" w:hAnsi="Times New Roman"/>
          <w:noProof/>
          <w:szCs w:val="24"/>
        </w:rPr>
      </w:pPr>
      <w:r>
        <w:rPr>
          <w:rStyle w:val="s1"/>
        </w:rPr>
        <w:t>2.</w:t>
      </w:r>
      <w:r>
        <w:rPr>
          <w:rStyle w:val="s1"/>
        </w:rPr>
        <w:tab/>
      </w:r>
      <w:r>
        <w:rPr>
          <w:rStyle w:val="s1"/>
          <w:rFonts w:ascii="Times New Roman" w:hAnsi="Times New Roman"/>
          <w:noProof/>
        </w:rPr>
        <w:t xml:space="preserve">Η Επιτροπή εγκρίνει, μέσω εκτελεστικών πράξεων, τεχνικές προδιαγραφές για την ηλεκτρονική διαχείριση και επεξεργασία των διαδικασιών της παραγράφου 1 και, μεταξύ άλλων, μέτρα για τη διασφάλιση της ακεραιότητας, της εμπιστευτικότητας και της ακρίβειας των πληροφοριών, καθώς και τις προϋποθέσεις και διαδικασίες καταφόρτωσης των συναφών πληροφοριών από τον κάτοχο ευρωπαϊκής ηλεκτρονικής κάρτας υπηρεσιών, πρόσβασης τρίτων στις πληροφορίες, και επαλήθευσης των πληροφοριών από τους εν λόγω τρίτους. </w:t>
      </w:r>
    </w:p>
    <w:p>
      <w:pPr>
        <w:pStyle w:val="Text1"/>
        <w:rPr>
          <w:noProof/>
        </w:rPr>
      </w:pPr>
      <w:r>
        <w:rPr>
          <w:noProof/>
        </w:rPr>
        <w:t xml:space="preserve">Οι εν λόγω εκτελεστικές πράξεις εκδίδονται σύμφωνα με τη διαδικασία εξέτασης στην οποία παραπέμπει το άρθρο 16 παράγραφος 2. </w:t>
      </w:r>
    </w:p>
    <w:p>
      <w:pPr>
        <w:pStyle w:val="ManualNumPar1"/>
        <w:rPr>
          <w:rStyle w:val="s1"/>
          <w:rFonts w:ascii="Times New Roman" w:hAnsi="Times New Roman"/>
          <w:noProof/>
          <w:szCs w:val="24"/>
        </w:rPr>
      </w:pPr>
      <w:r>
        <w:rPr>
          <w:rStyle w:val="s1"/>
        </w:rPr>
        <w:t>3.</w:t>
      </w:r>
      <w:r>
        <w:rPr>
          <w:rStyle w:val="s1"/>
        </w:rPr>
        <w:tab/>
      </w:r>
      <w:r>
        <w:rPr>
          <w:rStyle w:val="s1"/>
          <w:rFonts w:ascii="Times New Roman" w:hAnsi="Times New Roman"/>
          <w:noProof/>
        </w:rPr>
        <w:t xml:space="preserve">Οι συντονιστικές αρχές των κρατών μελών ενημερώνουν το κοινό για τη λειτουργία και την προστιθέμενη αξία της ευρωπαϊκής κάρτας υπηρεσιών και για τις διατυπώσεις σχετικά με την απόσπαση του προσωπικού και την κυκλοφορία των αυτοαπασχολουμένων δυνάμει του άρθρου 6 παράγραφος 1 και του άρθρου 7. </w:t>
      </w:r>
    </w:p>
    <w:p>
      <w:pPr>
        <w:pStyle w:val="Titrearticle"/>
        <w:rPr>
          <w:noProof/>
        </w:rPr>
      </w:pPr>
      <w:r>
        <w:rPr>
          <w:noProof/>
        </w:rPr>
        <w:lastRenderedPageBreak/>
        <w:t>Άρθρο 9</w:t>
      </w:r>
      <w:r>
        <w:rPr>
          <w:noProof/>
        </w:rPr>
        <w:br/>
      </w:r>
      <w:r>
        <w:rPr>
          <w:b/>
          <w:noProof/>
        </w:rPr>
        <w:t>Μορφή εγγράφων και μετάφραση</w:t>
      </w:r>
    </w:p>
    <w:p>
      <w:pPr>
        <w:pStyle w:val="ManualNumPar1"/>
        <w:rPr>
          <w:rStyle w:val="s1"/>
          <w:rFonts w:ascii="Times New Roman" w:hAnsi="Times New Roman"/>
          <w:noProof/>
          <w:szCs w:val="24"/>
        </w:rPr>
      </w:pPr>
      <w:r>
        <w:rPr>
          <w:rStyle w:val="s1"/>
        </w:rPr>
        <w:t>1.</w:t>
      </w:r>
      <w:r>
        <w:rPr>
          <w:rStyle w:val="s1"/>
        </w:rPr>
        <w:tab/>
      </w:r>
      <w:r>
        <w:rPr>
          <w:rStyle w:val="s1"/>
          <w:rFonts w:ascii="Times New Roman" w:hAnsi="Times New Roman"/>
          <w:noProof/>
        </w:rPr>
        <w:t>Στο πλαίσιο των διαδικασιών έκδοσης, επικαιροποίησης, αναστολής ή ανάκλησης ευρωπαϊκής ηλεκτρονικής κάρτας υπηρεσιών, οι αρμόδιες αρχές των κρατών μελών κάνουν δεκτά έγγραφα σε μορφή απλού αντιγράφου και δεν απαιτούν τα έγγραφα που τους υποβάλλονται να φέρουν επικύρωση ή άλλη ανάλογη διατύπωση, όπως επισημείωση, θεώρηση ή βεβαίωση του γνήσιου της υπογραφής.</w:t>
      </w:r>
    </w:p>
    <w:p>
      <w:pPr>
        <w:pStyle w:val="ManualNumPar1"/>
        <w:rPr>
          <w:rStyle w:val="s1"/>
          <w:rFonts w:ascii="Times New Roman" w:hAnsi="Times New Roman"/>
          <w:noProof/>
          <w:szCs w:val="24"/>
        </w:rPr>
      </w:pPr>
      <w:r>
        <w:rPr>
          <w:rStyle w:val="s1"/>
        </w:rPr>
        <w:t>2.</w:t>
      </w:r>
      <w:r>
        <w:rPr>
          <w:rStyle w:val="s1"/>
        </w:rPr>
        <w:tab/>
      </w:r>
      <w:r>
        <w:rPr>
          <w:rStyle w:val="s1"/>
          <w:rFonts w:ascii="Times New Roman" w:hAnsi="Times New Roman"/>
          <w:noProof/>
        </w:rPr>
        <w:t>Σε περίπτωση που απαιτείται η υποβολή εγγράφων σε ειδική μορφή για τους σκοπούς των διατυπώσεων σχετικά με την απόσπαση προσωπικού και την κυκλοφορία των αυτοαπασχολουμένων δυνάμει του άρθρου 6 παράγραφος 1 και του άρθρου 7, σύμφωνα με το δίκαιο της ΕΕ, οι αρμόδιες αρχές των κρατών μελών, όπως ορίζονται στο άρθρο 3 παράγραφος 19 σημείο ii), κάνουν δεκτά:</w:t>
      </w:r>
    </w:p>
    <w:p>
      <w:pPr>
        <w:pStyle w:val="Text1"/>
        <w:rPr>
          <w:noProof/>
        </w:rPr>
      </w:pPr>
      <w:r>
        <w:rPr>
          <w:noProof/>
        </w:rPr>
        <w:t>α) δημόσια έγγραφα, επικυρωμένα έγγραφα και τα επικυρωμένα αντίγραφά τους που εξαιρούνται από τη διατύπωση της επισημείωσης και από κάθε μορφή επικύρωσης·</w:t>
      </w:r>
    </w:p>
    <w:p>
      <w:pPr>
        <w:pStyle w:val="Text1"/>
        <w:rPr>
          <w:noProof/>
        </w:rPr>
      </w:pPr>
      <w:r>
        <w:rPr>
          <w:noProof/>
        </w:rPr>
        <w:t xml:space="preserve">β) ως επικυρωμένα ή θεωρημένα, έγγραφα που έχουν επικυρωθεί ή θεωρηθεί ως προς το γνήσιο της υπογραφής στο κράτος μέλος αρχικής έκδοσης, σύμφωνα με τις νομοθετικές, κανονιστικές και διοικητικές διατάξεις ή πρακτικές του· </w:t>
      </w:r>
    </w:p>
    <w:p>
      <w:pPr>
        <w:pStyle w:val="Text1"/>
        <w:rPr>
          <w:noProof/>
        </w:rPr>
      </w:pPr>
      <w:r>
        <w:rPr>
          <w:noProof/>
        </w:rPr>
        <w:t>γ) αντίγραφα που έχουν επικυρωθεί σε οποιοδήποτε κράτος μέλος, σύμφωνα με τους νόμους του κράτους μέλους στο οποίο έγινε η επικύρωση.</w:t>
      </w:r>
    </w:p>
    <w:p>
      <w:pPr>
        <w:pStyle w:val="ManualNumPar1"/>
        <w:rPr>
          <w:rStyle w:val="s1"/>
          <w:rFonts w:ascii="Times New Roman" w:hAnsi="Times New Roman"/>
          <w:noProof/>
          <w:szCs w:val="24"/>
        </w:rPr>
      </w:pPr>
      <w:r>
        <w:rPr>
          <w:rStyle w:val="s1"/>
        </w:rPr>
        <w:t>3.</w:t>
      </w:r>
      <w:r>
        <w:rPr>
          <w:rStyle w:val="s1"/>
        </w:rPr>
        <w:tab/>
      </w:r>
      <w:r>
        <w:rPr>
          <w:rStyle w:val="s1"/>
          <w:rFonts w:ascii="Times New Roman" w:hAnsi="Times New Roman"/>
          <w:noProof/>
        </w:rPr>
        <w:t>Δεν απαιτείται επικυρωμένη μετάφραση των εγγράφων που χρησιμοποιούνται στο πλαίσιο διαδικασιών έκδοσης, επικαιροποίησης, αναστολής ή ανάκλησης ευρωπαϊκής ηλεκτρονικής κάρτας υπηρεσιών ή στο πλαίσιο διατυπώσεων για την απόσπαση προσωπικού και την κυκλοφορία των αυτοαπασχολουμένων δυνάμει του άρθρου 6 παράγραφος 1 και του άρθρου 7. Τούτο δεν θίγει το δικαίωμα των κρατών μελών να απαιτούν μη επικυρωμένες μεταφράσεις εγγράφων σε μία από τις επίσημες γλώσσες τους, σύμφωνα με το δίκαιο της ΕΕ.</w:t>
      </w:r>
    </w:p>
    <w:p>
      <w:pPr>
        <w:pStyle w:val="ManualNumPar1"/>
        <w:rPr>
          <w:rStyle w:val="s1"/>
          <w:rFonts w:ascii="Times New Roman" w:hAnsi="Times New Roman"/>
          <w:noProof/>
          <w:szCs w:val="24"/>
        </w:rPr>
      </w:pPr>
      <w:r>
        <w:rPr>
          <w:rStyle w:val="s1"/>
        </w:rPr>
        <w:t>4.</w:t>
      </w:r>
      <w:r>
        <w:rPr>
          <w:rStyle w:val="s1"/>
        </w:rPr>
        <w:tab/>
      </w:r>
      <w:r>
        <w:rPr>
          <w:rStyle w:val="s1"/>
          <w:rFonts w:ascii="Times New Roman" w:hAnsi="Times New Roman"/>
          <w:noProof/>
        </w:rPr>
        <w:t>Η Επιτροπή εγκρίνει, μέσω εκτελεστικών πράξεων, τεχνικούς κανόνες για την αυτόματη μετάφραση πληροφοριών και εγγράφων στο πλαίσιο διαδικασιών έκδοσης, επικαιροποίησης, αναστολής ή ανάκλησης ευρωπαϊκής ηλεκτρονικής κάρτας υπηρεσιών ή στο πλαίσιο διατυπώσεων για την απόσπαση προσωπικού και την κυκλοφορία των αυτοαπασχολουμένων δυνάμει του άρθρου 6 παράγραφος 1 και του άρθρου 7. Οι εν λόγω εκτελεστικές πράξεις εκδίδονται σύμφωνα με τη διαδικασία εξέτασης στην οποία παραπέμπει το άρθρο 16 παράγραφος 2.</w:t>
      </w:r>
    </w:p>
    <w:p>
      <w:pPr>
        <w:pStyle w:val="Text1"/>
        <w:rPr>
          <w:rStyle w:val="s1"/>
          <w:rFonts w:ascii="Times New Roman" w:hAnsi="Times New Roman"/>
          <w:noProof/>
          <w:szCs w:val="24"/>
        </w:rPr>
      </w:pPr>
    </w:p>
    <w:p>
      <w:pPr>
        <w:pStyle w:val="Titrearticle"/>
        <w:rPr>
          <w:noProof/>
        </w:rPr>
      </w:pPr>
      <w:r>
        <w:rPr>
          <w:noProof/>
        </w:rPr>
        <w:t>Άρθρο 10</w:t>
      </w:r>
      <w:r>
        <w:rPr>
          <w:noProof/>
        </w:rPr>
        <w:br/>
      </w:r>
      <w:r>
        <w:rPr>
          <w:b/>
          <w:noProof/>
        </w:rPr>
        <w:t>Τέλη έκδοσης ευρωπαϊκής ηλεκτρονικής κάρτας υπηρεσιών</w:t>
      </w:r>
      <w:r>
        <w:rPr>
          <w:b/>
          <w:noProof/>
        </w:rPr>
        <w:br/>
        <w:t>και σχετικά με τις διατυπώσεις για την απόσπαση προσωπικού και την κυκλοφορία των αυτοαπασχολουμένων</w:t>
      </w:r>
    </w:p>
    <w:p>
      <w:pPr>
        <w:pStyle w:val="ManualNumPar1"/>
        <w:rPr>
          <w:rStyle w:val="s1"/>
          <w:rFonts w:ascii="Times New Roman" w:hAnsi="Times New Roman"/>
          <w:noProof/>
          <w:szCs w:val="24"/>
        </w:rPr>
      </w:pPr>
      <w:r>
        <w:rPr>
          <w:rStyle w:val="s1"/>
        </w:rPr>
        <w:t>1.</w:t>
      </w:r>
      <w:r>
        <w:rPr>
          <w:rStyle w:val="s1"/>
        </w:rPr>
        <w:tab/>
      </w:r>
      <w:r>
        <w:rPr>
          <w:rStyle w:val="s1"/>
          <w:rFonts w:ascii="Times New Roman" w:hAnsi="Times New Roman"/>
          <w:noProof/>
        </w:rPr>
        <w:t>Τυχόν τέλη που επιβάλλονται στο πλαίσιο διαδικασίας έκδοσης ευρωπαϊκής ηλεκτρονικής κάρτας υπηρεσιών είναι εύλογα και αναλογικά και δεν υπερβαίνουν το κόστος των συγκεκριμένων εργασιών που σχετίζονται άμεσα με τη διαδικασία.</w:t>
      </w:r>
    </w:p>
    <w:p>
      <w:pPr>
        <w:pStyle w:val="Text1"/>
        <w:rPr>
          <w:noProof/>
        </w:rPr>
      </w:pPr>
      <w:r>
        <w:rPr>
          <w:noProof/>
        </w:rPr>
        <w:t xml:space="preserve">Οι πάροχοι υπηρεσιών δικαιούνται επιστροφή των τελών που έχουν προκαταβάλει στο κράτος μέλος καταγωγής ή υποδοχής σε σχέση με αιτήσεις των οποίων δεν </w:t>
      </w:r>
      <w:r>
        <w:rPr>
          <w:noProof/>
        </w:rPr>
        <w:lastRenderedPageBreak/>
        <w:t>ολοκληρώθηκε η διαδικασία εξέτασης, επαλήθευσης ή τελικής διεκπεραίωσης από τα κράτη μέλη σύμφωνα με το άρθρο 11 παράγραφος 1 της οδηγίας ………[για την ευρωπαϊκή ηλεκτρονική κάρτα υπηρεσιών]……….</w:t>
      </w:r>
    </w:p>
    <w:p>
      <w:pPr>
        <w:pStyle w:val="Text1"/>
        <w:rPr>
          <w:noProof/>
        </w:rPr>
      </w:pPr>
      <w:r>
        <w:rPr>
          <w:noProof/>
        </w:rPr>
        <w:t>Δεν επιβάλλονται τέλη για:</w:t>
      </w:r>
    </w:p>
    <w:p>
      <w:pPr>
        <w:pStyle w:val="Text1"/>
        <w:rPr>
          <w:noProof/>
        </w:rPr>
      </w:pPr>
      <w:r>
        <w:rPr>
          <w:noProof/>
        </w:rPr>
        <w:t>α) τις διαδικασίες επικαιροποίησης, αναστολής, ανάκλησης ή ακύρωσης ευρωπαϊκής ηλεκτρονικής κάρτας υπηρεσιών·</w:t>
      </w:r>
    </w:p>
    <w:p>
      <w:pPr>
        <w:pStyle w:val="Text1"/>
        <w:rPr>
          <w:noProof/>
        </w:rPr>
      </w:pPr>
      <w:r>
        <w:rPr>
          <w:noProof/>
        </w:rPr>
        <w:t>β) την παροχή πρόσθετων πληροφοριών από τον κάτοχο της ηλεκτρονικής κάρτας σύμφωνα με το άρθρο 17 παράγραφος 4 της ...[οδηγίας]·</w:t>
      </w:r>
    </w:p>
    <w:p>
      <w:pPr>
        <w:pStyle w:val="Text1"/>
        <w:rPr>
          <w:noProof/>
        </w:rPr>
      </w:pPr>
      <w:r>
        <w:rPr>
          <w:noProof/>
        </w:rPr>
        <w:t>γ) διατυπώσεις δυνάμει του άρθρου 6 παράγραφος 1 και του άρθρου 7 για την απόσπαση προσωπικού και την κυκλοφορία αυτοαπασχολουμένων.</w:t>
      </w:r>
    </w:p>
    <w:p>
      <w:pPr>
        <w:pStyle w:val="ManualNumPar1"/>
        <w:rPr>
          <w:rStyle w:val="s1"/>
          <w:rFonts w:ascii="Times New Roman" w:hAnsi="Times New Roman"/>
          <w:noProof/>
          <w:szCs w:val="24"/>
        </w:rPr>
      </w:pPr>
      <w:r>
        <w:rPr>
          <w:rStyle w:val="s1"/>
        </w:rPr>
        <w:t>2.</w:t>
      </w:r>
      <w:r>
        <w:rPr>
          <w:rStyle w:val="s1"/>
        </w:rPr>
        <w:tab/>
      </w:r>
      <w:r>
        <w:rPr>
          <w:rStyle w:val="s1"/>
          <w:rFonts w:ascii="Times New Roman" w:hAnsi="Times New Roman"/>
          <w:noProof/>
        </w:rPr>
        <w:t>Τα κράτη μέλη κοινοποιούν τα τέλη και τους όρους πληρωμής που θεσπίζονται δυνάμει του παρόντος άρθρου στην Επιτροπή μέσω του IMI το αργότερο ως [2 έτη μετά την έναρξη ισχύος του παρόντος κανονισμού] και δημοσιεύουν καταλλήλως τις συναφείς πληροφορίες.</w:t>
      </w:r>
    </w:p>
    <w:p>
      <w:pPr>
        <w:pStyle w:val="ManualNumPar1"/>
        <w:rPr>
          <w:rStyle w:val="s1"/>
          <w:rFonts w:ascii="Times New Roman" w:hAnsi="Times New Roman"/>
          <w:noProof/>
          <w:szCs w:val="24"/>
        </w:rPr>
      </w:pPr>
      <w:r>
        <w:rPr>
          <w:rStyle w:val="s1"/>
        </w:rPr>
        <w:t>3.</w:t>
      </w:r>
      <w:r>
        <w:rPr>
          <w:rStyle w:val="s1"/>
        </w:rPr>
        <w:tab/>
      </w:r>
      <w:r>
        <w:rPr>
          <w:rStyle w:val="s1"/>
          <w:rFonts w:ascii="Times New Roman" w:hAnsi="Times New Roman"/>
          <w:noProof/>
        </w:rPr>
        <w:t xml:space="preserve">Η Επιτροπή εγκρίνει, μέσω εκτελεστικών πράξεων, τεχνικούς κανόνες για τους όρους και τις διαδικασίες πληρωμής. </w:t>
      </w:r>
    </w:p>
    <w:p>
      <w:pPr>
        <w:pStyle w:val="Text1"/>
        <w:rPr>
          <w:noProof/>
        </w:rPr>
      </w:pPr>
      <w:r>
        <w:rPr>
          <w:noProof/>
        </w:rPr>
        <w:t xml:space="preserve">Οι εν λόγω εκτελεστικές πράξεις εκδίδονται σύμφωνα με τη διαδικασία εξέτασης στην οποία παραπέμπει το άρθρο 16 παράγραφος 2. </w:t>
      </w:r>
    </w:p>
    <w:p>
      <w:pPr>
        <w:pStyle w:val="ChapterTitle"/>
        <w:rPr>
          <w:b w:val="0"/>
          <w:noProof/>
        </w:rPr>
      </w:pPr>
      <w:r>
        <w:rPr>
          <w:noProof/>
        </w:rPr>
        <w:t>ΚΕΦΑΛΑΙΟ V</w:t>
      </w:r>
      <w:r>
        <w:rPr>
          <w:noProof/>
        </w:rPr>
        <w:br/>
        <w:t>ΑΣΦΑΛΙΣΗ ΕΠΑΓΓΕΛΜΑΤΙΚΗΣ ΕΥΘΥΝΗΣ</w:t>
      </w:r>
    </w:p>
    <w:p>
      <w:pPr>
        <w:pStyle w:val="Titrearticle"/>
        <w:rPr>
          <w:noProof/>
        </w:rPr>
      </w:pPr>
      <w:r>
        <w:rPr>
          <w:noProof/>
        </w:rPr>
        <w:t>Άρθρο 11</w:t>
      </w:r>
      <w:r>
        <w:rPr>
          <w:noProof/>
        </w:rPr>
        <w:br/>
      </w:r>
      <w:r>
        <w:rPr>
          <w:b/>
          <w:noProof/>
        </w:rPr>
        <w:t>Βεβαίωση σχετικά με αξιώσεις αποζημίωσης τρίτων</w:t>
      </w:r>
    </w:p>
    <w:p>
      <w:pPr>
        <w:pStyle w:val="ManualNumPar1"/>
        <w:rPr>
          <w:rStyle w:val="s1"/>
          <w:rFonts w:ascii="Times New Roman" w:hAnsi="Times New Roman"/>
          <w:noProof/>
          <w:szCs w:val="24"/>
        </w:rPr>
      </w:pPr>
      <w:r>
        <w:rPr>
          <w:rStyle w:val="s1"/>
        </w:rPr>
        <w:t>1.</w:t>
      </w:r>
      <w:r>
        <w:rPr>
          <w:rStyle w:val="s1"/>
        </w:rPr>
        <w:tab/>
      </w:r>
      <w:r>
        <w:rPr>
          <w:rStyle w:val="s1"/>
          <w:rFonts w:ascii="Times New Roman" w:hAnsi="Times New Roman"/>
          <w:noProof/>
        </w:rPr>
        <w:t xml:space="preserve">Οι διανομείς ασφαλιστικών προϊόντων εκδίδουν, εντός 15 ημερών από τη λήψη σχετικού αιτήματος εκ μέρους του ασφαλισμένου, βεβαίωση σχετικά με τις αξιώσεις αποζημίωσης τρίτων σε σχέση με τις δραστηριότητες του ασφαλισμένου που καλύπτονται από τη σύμβαση ασφάλισης επαγγελματικής ευθύνης, για διάστημα έως πέντε (5) έτη προ της συμβατικής σχέσης ή, σε περίπτωση που δεν υπάρχουν τέτοιες αξιώσεις, βεβαίωση στην οποία να περιγράφονται οι αποζημιώσεις που προκύπτουν από την παροχή των εν λόγω υπηρεσιών που είχαν αποτελέσει αντικείμενο αξίωσης. </w:t>
      </w:r>
    </w:p>
    <w:p>
      <w:pPr>
        <w:pStyle w:val="ManualNumPar1"/>
        <w:rPr>
          <w:rStyle w:val="s1"/>
          <w:rFonts w:ascii="Times New Roman" w:hAnsi="Times New Roman"/>
          <w:noProof/>
          <w:szCs w:val="24"/>
        </w:rPr>
      </w:pPr>
      <w:r>
        <w:rPr>
          <w:rStyle w:val="s1"/>
        </w:rPr>
        <w:t>2.</w:t>
      </w:r>
      <w:r>
        <w:rPr>
          <w:rStyle w:val="s1"/>
        </w:rPr>
        <w:tab/>
      </w:r>
      <w:r>
        <w:rPr>
          <w:rStyle w:val="s1"/>
          <w:rFonts w:ascii="Times New Roman" w:hAnsi="Times New Roman"/>
          <w:noProof/>
        </w:rPr>
        <w:t>Η Επιτροπή δύναται να εγκρίνει, μέσω εκτελεστικών πράξεων, κανόνες για τον τυποποιημένο μορφότυπο παρουσίασης της βεβαίωσης που αναφέρεται στην παράγραφο 1.</w:t>
      </w:r>
    </w:p>
    <w:p>
      <w:pPr>
        <w:pStyle w:val="Text1"/>
        <w:rPr>
          <w:noProof/>
        </w:rPr>
      </w:pPr>
      <w:r>
        <w:rPr>
          <w:noProof/>
        </w:rPr>
        <w:t xml:space="preserve">Οι εν λόγω εκτελεστικές πράξεις εκδίδονται σύμφωνα με τη διαδικασία εξέτασης στην οποία παραπέμπει το άρθρο 16 παράγραφος 2. </w:t>
      </w:r>
    </w:p>
    <w:p>
      <w:pPr>
        <w:pStyle w:val="Titrearticle"/>
        <w:rPr>
          <w:b/>
          <w:noProof/>
        </w:rPr>
      </w:pPr>
      <w:r>
        <w:rPr>
          <w:noProof/>
        </w:rPr>
        <w:t>Άρθρο 12</w:t>
      </w:r>
      <w:r>
        <w:rPr>
          <w:noProof/>
        </w:rPr>
        <w:br/>
      </w:r>
      <w:r>
        <w:rPr>
          <w:b/>
          <w:noProof/>
        </w:rPr>
        <w:t>Υποχρεώσεις των διανομέων ασφαλιστικών προϊόντων</w:t>
      </w:r>
    </w:p>
    <w:p>
      <w:pPr>
        <w:rPr>
          <w:noProof/>
          <w:szCs w:val="24"/>
        </w:rPr>
      </w:pPr>
      <w:r>
        <w:rPr>
          <w:noProof/>
        </w:rPr>
        <w:t xml:space="preserve">Οι διανομείς ασφαλιστικών προϊόντων και οι οργανισμοί που έχουν οριστεί από κράτη μέλη για την παροχή υποχρεωτικής ασφάλισης λαμβάνουν δεόντως υπόψη, στο πλαίσιο της πολιτικής αποδοχής και του υπολογισμού των ασφαλίστρων, κατά τρόπο που δεν εισάγει διακρίσεις, την εμπειρία του παρόχου υπηρεσιών όπως αντικατοπτρίζεται στη βεβαίωση </w:t>
      </w:r>
      <w:r>
        <w:rPr>
          <w:noProof/>
        </w:rPr>
        <w:lastRenderedPageBreak/>
        <w:t xml:space="preserve">αξιώσεων που εκδίδεται σύμφωνα με το άρθρο 11, όπως προσκομίζεται από τον πάροχο υπηρεσιών. </w:t>
      </w:r>
    </w:p>
    <w:p>
      <w:pPr>
        <w:pStyle w:val="Titrearticle"/>
        <w:rPr>
          <w:b/>
          <w:noProof/>
          <w:szCs w:val="24"/>
        </w:rPr>
      </w:pPr>
      <w:r>
        <w:rPr>
          <w:noProof/>
        </w:rPr>
        <w:t>Άρθρο 13</w:t>
      </w:r>
      <w:r>
        <w:rPr>
          <w:noProof/>
        </w:rPr>
        <w:br/>
      </w:r>
      <w:r>
        <w:rPr>
          <w:b/>
          <w:noProof/>
        </w:rPr>
        <w:t>Οι υποχρεώσεις των επαγγελματικών οργανώσεων</w:t>
      </w:r>
    </w:p>
    <w:p>
      <w:pPr>
        <w:rPr>
          <w:noProof/>
        </w:rPr>
      </w:pPr>
      <w:r>
        <w:rPr>
          <w:noProof/>
        </w:rPr>
        <w:t>Οι επαγγελματικές οργανώσεις, συμπεριλαμβανομένων των αρμόδιων αρχών όπως ορίζονται στο άρθρο 3 παράγραφος 18 σημεία i) και ii), που παρέχουν ομαδική ασφάλιση επαγγελματικής ευθύνης στα μέλη τους ή σε παρόχους υπηρεσιών υπό συγκεκριμένες προϋποθέσεις, διασφαλίζουν την πρόσβαση στην εν λόγω ασφαλιστική κάλυψη, υπό τις ίδιες προϋποθέσεις και χωρίς διακρίσεις, σε παρόχους υπηρεσιών από άλλα κράτη μέλη οι οποίοι εκφράζουν ενδιαφέρον να υπαχθούν στην εν λόγω ομαδική κάλυψη.</w:t>
      </w:r>
    </w:p>
    <w:p>
      <w:pPr>
        <w:pStyle w:val="ChapterTitle"/>
        <w:rPr>
          <w:noProof/>
        </w:rPr>
      </w:pPr>
      <w:r>
        <w:rPr>
          <w:noProof/>
        </w:rPr>
        <w:t>ΚΕΦΑΛΑΙΟ VI</w:t>
      </w:r>
      <w:r>
        <w:rPr>
          <w:noProof/>
        </w:rPr>
        <w:br/>
        <w:t>ΤΕΛΙΚΕΣ ΔΙΑΤΑΞΕΙΣ</w:t>
      </w:r>
    </w:p>
    <w:p>
      <w:pPr>
        <w:pStyle w:val="Titrearticle"/>
        <w:rPr>
          <w:noProof/>
        </w:rPr>
      </w:pPr>
      <w:r>
        <w:rPr>
          <w:noProof/>
        </w:rPr>
        <w:t>Άρθρο 14</w:t>
      </w:r>
      <w:r>
        <w:rPr>
          <w:noProof/>
        </w:rPr>
        <w:br/>
      </w:r>
      <w:r>
        <w:rPr>
          <w:b/>
          <w:noProof/>
        </w:rPr>
        <w:t>Ανταλλαγή πληροφοριών και αμοιβαία συνδρομή</w:t>
      </w:r>
    </w:p>
    <w:p>
      <w:pPr>
        <w:pStyle w:val="ManualNumPar1"/>
        <w:rPr>
          <w:noProof/>
          <w:szCs w:val="24"/>
        </w:rPr>
      </w:pPr>
      <w:r>
        <w:t>1.</w:t>
      </w:r>
      <w:r>
        <w:tab/>
      </w:r>
      <w:r>
        <w:rPr>
          <w:rStyle w:val="s1"/>
          <w:rFonts w:ascii="Times New Roman" w:hAnsi="Times New Roman"/>
          <w:noProof/>
        </w:rPr>
        <w:t>Οι συντονιστικές και οι αρμόδιες αρχές των διαφόρων κρατών μελών ανταλλάσσουν πληροφορίες και παρέχουν μεταξύ τους αμοιβαία συνδρομή στο πλαίσιο διαδικασίας έκδοσης, αναστολής, ανάκλησης ή ακύρωσης ευρωπαϊκής ηλεκτρονικής κάρτας υπηρεσιών, και επικαιροποίησης των πληροφοριών που περιέχονται σε αυτήν. Η εν λόγω υποχρέωση εφαρμόζεται επίσης στο πλαίσιο της διεκπεραίωσης διατυπώσεων δυνάμει του άρθρου 6 παράγραφος 1 και του άρθρου 7 για την απόσπαση προσωπικού και την κυκλοφορία των αυτοαπασχολουμένων, σε σχέση με τις αρμόδιες αρχές, όπως ορίζονται στο άρθρο 3 σημείο 19 σημείο ii).</w:t>
      </w:r>
    </w:p>
    <w:p>
      <w:pPr>
        <w:pStyle w:val="ManualNumPar1"/>
        <w:rPr>
          <w:rStyle w:val="s1"/>
          <w:rFonts w:ascii="Times New Roman" w:hAnsi="Times New Roman"/>
          <w:noProof/>
          <w:szCs w:val="24"/>
        </w:rPr>
      </w:pPr>
      <w:r>
        <w:rPr>
          <w:rStyle w:val="s1"/>
        </w:rPr>
        <w:t>2.</w:t>
      </w:r>
      <w:r>
        <w:rPr>
          <w:rStyle w:val="s1"/>
        </w:rPr>
        <w:tab/>
      </w:r>
      <w:r>
        <w:rPr>
          <w:rStyle w:val="s1"/>
          <w:rFonts w:ascii="Times New Roman" w:hAnsi="Times New Roman"/>
          <w:noProof/>
        </w:rPr>
        <w:t>Οι συντονιστικές και οι αρμόδιες αρχές κάνουν χρήση όλων των διαθέσιμων διασυνδέσεων εθνικών μητρώων για τη λήψη ή την επαλήθευση προγενέστερα ληφθεισών πληροφοριών στο πλαίσιο των διαδικασιών που αναφέρονται στην προηγούμενη παράγραφο 1, συμπεριλαμβανομένης της διασύνδεσης των κεντρικών και των εμπορικών μητρώων, καθώς και των μητρώων εταιρειών, δυνάμει της οδηγίας 2009/101/ΕΚ, όπως επίσης και των μητρώων αφερεγγυότητας δυνάμει του κανονισμού (ΕΕ) 2015/848.</w:t>
      </w:r>
    </w:p>
    <w:p>
      <w:pPr>
        <w:pStyle w:val="ManualNumPar1"/>
        <w:rPr>
          <w:rStyle w:val="s1"/>
          <w:rFonts w:ascii="Times New Roman" w:hAnsi="Times New Roman"/>
          <w:noProof/>
          <w:szCs w:val="24"/>
        </w:rPr>
      </w:pPr>
      <w:r>
        <w:rPr>
          <w:rStyle w:val="s1"/>
        </w:rPr>
        <w:t>3.</w:t>
      </w:r>
      <w:r>
        <w:rPr>
          <w:rStyle w:val="s1"/>
        </w:rPr>
        <w:tab/>
      </w:r>
      <w:r>
        <w:rPr>
          <w:rStyle w:val="s1"/>
          <w:rFonts w:ascii="Times New Roman" w:hAnsi="Times New Roman"/>
          <w:noProof/>
        </w:rPr>
        <w:t>Η Επιτροπή εγκρίνει, μέσω εκτελεστικών πράξεων, τεχνικούς κανόνες για τη διαχείριση και επεξεργασία των ανταλλαγών πληροφοριών και της αμοιβαίας συνδρομής που αναφέρονται στις παραγράφους 1 και 3. Η έγκριση των τεχνικών κανόνων δεν θίγει τη λειτουργία των συστημάτων διασύνδεσης που αναφέρονται στην παράγραφο 2 του παρόντος άρθρου και τις αντίστοιχες τεχνικές προδιαγραφές τους.</w:t>
      </w:r>
    </w:p>
    <w:p>
      <w:pPr>
        <w:pStyle w:val="Text1"/>
        <w:rPr>
          <w:noProof/>
        </w:rPr>
      </w:pPr>
      <w:r>
        <w:rPr>
          <w:noProof/>
        </w:rPr>
        <w:t xml:space="preserve">Οι εν λόγω εκτελεστικές πράξεις εκδίδονται σύμφωνα με τη διαδικασία εξέτασης στην οποία παραπέμπει το άρθρο 16 παράγραφος 2. </w:t>
      </w:r>
    </w:p>
    <w:p>
      <w:pPr>
        <w:pStyle w:val="Titrearticle"/>
        <w:rPr>
          <w:noProof/>
        </w:rPr>
      </w:pPr>
      <w:r>
        <w:rPr>
          <w:noProof/>
        </w:rPr>
        <w:t>Άρθρο 15</w:t>
      </w:r>
      <w:r>
        <w:rPr>
          <w:noProof/>
        </w:rPr>
        <w:br/>
      </w:r>
      <w:r>
        <w:rPr>
          <w:b/>
          <w:noProof/>
        </w:rPr>
        <w:t>Άσκηση της εξουσιοδότησης</w:t>
      </w:r>
    </w:p>
    <w:p>
      <w:pPr>
        <w:pStyle w:val="ManualNumPar1"/>
        <w:rPr>
          <w:rStyle w:val="s1"/>
          <w:rFonts w:ascii="Times New Roman" w:hAnsi="Times New Roman"/>
          <w:noProof/>
          <w:szCs w:val="24"/>
        </w:rPr>
      </w:pPr>
      <w:r>
        <w:rPr>
          <w:rStyle w:val="s1"/>
        </w:rPr>
        <w:t>1.</w:t>
      </w:r>
      <w:r>
        <w:rPr>
          <w:rStyle w:val="s1"/>
        </w:rPr>
        <w:tab/>
      </w:r>
      <w:r>
        <w:rPr>
          <w:rStyle w:val="s1"/>
          <w:rFonts w:ascii="Times New Roman" w:hAnsi="Times New Roman"/>
          <w:noProof/>
        </w:rPr>
        <w:t xml:space="preserve">Η εξουσία έκδοσης κατ’ εξουσιοδότηση πράξεων ανατίθεται στην Επιτροπή υπό τις προϋποθέσεις που καθορίζονται στο παρόν άρθρο. </w:t>
      </w:r>
    </w:p>
    <w:p>
      <w:pPr>
        <w:pStyle w:val="ManualNumPar1"/>
        <w:rPr>
          <w:rStyle w:val="s1"/>
          <w:rFonts w:ascii="Times New Roman" w:hAnsi="Times New Roman"/>
          <w:noProof/>
          <w:szCs w:val="24"/>
        </w:rPr>
      </w:pPr>
      <w:r>
        <w:rPr>
          <w:rStyle w:val="s1"/>
        </w:rPr>
        <w:lastRenderedPageBreak/>
        <w:t>2.</w:t>
      </w:r>
      <w:r>
        <w:rPr>
          <w:rStyle w:val="s1"/>
        </w:rPr>
        <w:tab/>
      </w:r>
      <w:r>
        <w:rPr>
          <w:rStyle w:val="s1"/>
          <w:rFonts w:ascii="Times New Roman" w:hAnsi="Times New Roman"/>
          <w:noProof/>
        </w:rPr>
        <w:t xml:space="preserve">Η εξουσία έκδοσης των κατ’ εξουσιοδότηση πράξεων που αναφέρονται στο άρθρο 4 παράγραφος 3 ανατίθεται στην Επιτροπή για περίοδο πέντε ετών από […]. Η Επιτροπή υποβάλλει έκθεση σχετικά με τις εξουσίες που της έχουν ανατεθεί το αργότερο εννέα μήνες πριν από τη λήξη της πενταετούς περιόδου. Η εξουσιοδότηση ανανεώνεται σιωπηρά για περιόδους ίσης διάρκειας, εκτός αν το Ευρωπαϊκό Κοινοβούλιο ή το Συμβούλιο προβάλουν αντιρρήσεις το αργότερο εντός τριών μηνών πριν από τη λήξη της κάθε περιόδου. </w:t>
      </w:r>
    </w:p>
    <w:p>
      <w:pPr>
        <w:pStyle w:val="ManualNumPar1"/>
        <w:rPr>
          <w:rStyle w:val="s1"/>
          <w:rFonts w:ascii="Times New Roman" w:hAnsi="Times New Roman"/>
          <w:noProof/>
          <w:szCs w:val="24"/>
        </w:rPr>
      </w:pPr>
      <w:r>
        <w:rPr>
          <w:rStyle w:val="s1"/>
        </w:rPr>
        <w:t>3.</w:t>
      </w:r>
      <w:r>
        <w:rPr>
          <w:rStyle w:val="s1"/>
        </w:rPr>
        <w:tab/>
      </w:r>
      <w:r>
        <w:rPr>
          <w:rStyle w:val="s1"/>
          <w:rFonts w:ascii="Times New Roman" w:hAnsi="Times New Roman"/>
          <w:noProof/>
        </w:rPr>
        <w:t xml:space="preserve">Η εξουσιοδότηση που προβλέπεται στο άρθρο 4 παράγραφος 3 μπορεί να ανακληθεί ανά πάσα στιγμή από το Ευρωπαϊκό Κοινοβούλιο ή το Συμβούλιο. Η απόφαση ανάκλησης περατώνει την εξουσιοδότηση που προσδιορίζεται στην εν λόγω απόφαση. Τίθεται σε ισχύ την επόμενη ημέρα από τη δημοσίευση της απόφασης στην Επίσημη Εφημερίδα της Ευρωπαϊκής Ένωσης ή σε μεταγενέστερη ημερομηνία που ορίζεται σε αυτήν. Δεν θίγει το κύρος των κατ’ εξουσιοδότηση πράξεων που έχουν ήδη τεθεί σε ισχύ. </w:t>
      </w:r>
    </w:p>
    <w:p>
      <w:pPr>
        <w:pStyle w:val="ManualNumPar1"/>
        <w:rPr>
          <w:rStyle w:val="s1"/>
          <w:rFonts w:ascii="Times New Roman" w:hAnsi="Times New Roman"/>
          <w:noProof/>
          <w:szCs w:val="24"/>
        </w:rPr>
      </w:pPr>
      <w:r>
        <w:rPr>
          <w:rStyle w:val="s1"/>
        </w:rPr>
        <w:t>4.</w:t>
      </w:r>
      <w:r>
        <w:rPr>
          <w:rStyle w:val="s1"/>
        </w:rPr>
        <w:tab/>
      </w:r>
      <w:r>
        <w:rPr>
          <w:rStyle w:val="s1"/>
          <w:rFonts w:ascii="Times New Roman" w:hAnsi="Times New Roman"/>
          <w:noProof/>
        </w:rPr>
        <w:t xml:space="preserve">Μόλις εκδώσει κατ’ εξουσιοδότηση πράξη, η Επιτροπή την κοινοποιεί ταυτοχρόνως στο Ευρωπαϊκό Κοινοβούλιο και το Συμβούλιο. </w:t>
      </w:r>
    </w:p>
    <w:p>
      <w:pPr>
        <w:pStyle w:val="ManualNumPar1"/>
        <w:rPr>
          <w:rStyle w:val="s1"/>
          <w:rFonts w:ascii="Times New Roman" w:hAnsi="Times New Roman"/>
          <w:noProof/>
          <w:szCs w:val="24"/>
        </w:rPr>
      </w:pPr>
      <w:r>
        <w:rPr>
          <w:rStyle w:val="s1"/>
        </w:rPr>
        <w:t>5.</w:t>
      </w:r>
      <w:r>
        <w:rPr>
          <w:rStyle w:val="s1"/>
        </w:rPr>
        <w:tab/>
      </w:r>
      <w:r>
        <w:rPr>
          <w:rStyle w:val="s1"/>
          <w:rFonts w:ascii="Times New Roman" w:hAnsi="Times New Roman"/>
          <w:noProof/>
        </w:rPr>
        <w:t>Η κατ’ εξουσιοδότηση πράξη που εκδίδεται δυνάμει του άρθρου 4 παράγραφος 3 τίθεται σε ισχύ μόνον εφόσον δεν έχει διατυπωθεί αντίρρηση από το Ευρωπαϊκό Κοινοβούλιο ή από το Συμβούλιο εντός δύο μηνών από την ημέρα που η πράξη κοινοποιείται στο Ευρωπαϊκό Κοινοβούλιο και στο Συμβούλιο ή αν, πριν λήξει αυτή η περίοδος, το Ευρωπαϊκό Κοινοβούλιο και το Συμβούλιο ενημερώσουν αμφότερα την Επιτροπή ότι δεν θα προβάλουν αντιρρήσεις. Η προθεσμία αυτή παρατείνεται κατά δύο μήνες με πρωτοβουλία του Ευρωπαϊκού Κοινοβουλίου ή του Συμβουλίου.</w:t>
      </w:r>
    </w:p>
    <w:p>
      <w:pPr>
        <w:pStyle w:val="Titrearticle"/>
        <w:rPr>
          <w:noProof/>
        </w:rPr>
      </w:pPr>
      <w:r>
        <w:rPr>
          <w:noProof/>
        </w:rPr>
        <w:t>Άρθρο 16</w:t>
      </w:r>
      <w:r>
        <w:rPr>
          <w:noProof/>
        </w:rPr>
        <w:br/>
      </w:r>
      <w:r>
        <w:rPr>
          <w:b/>
          <w:noProof/>
        </w:rPr>
        <w:t>Διαδικασία επιτροπής</w:t>
      </w:r>
    </w:p>
    <w:p>
      <w:pPr>
        <w:pStyle w:val="ManualNumPar1"/>
        <w:rPr>
          <w:rStyle w:val="s1"/>
          <w:rFonts w:ascii="Times New Roman" w:hAnsi="Times New Roman"/>
          <w:noProof/>
          <w:szCs w:val="24"/>
        </w:rPr>
      </w:pPr>
      <w:r>
        <w:rPr>
          <w:rStyle w:val="s1"/>
        </w:rPr>
        <w:t>1.</w:t>
      </w:r>
      <w:r>
        <w:rPr>
          <w:rStyle w:val="s1"/>
        </w:rPr>
        <w:tab/>
      </w:r>
      <w:r>
        <w:rPr>
          <w:rStyle w:val="s1"/>
          <w:rFonts w:ascii="Times New Roman" w:hAnsi="Times New Roman"/>
          <w:noProof/>
        </w:rPr>
        <w:t>Η Επιτροπή επικουρείται από την επιτροπή του άρθρου 40 παράγραφος 1 της οδηγίας 2006/123/ΕΚ. Η εν λόγω επιτροπή αποτελεί επιτροπή κατά την έννοια του κανονισμού (ΕΕ) αριθ. 182/2011.</w:t>
      </w:r>
    </w:p>
    <w:p>
      <w:pPr>
        <w:pStyle w:val="ManualNumPar1"/>
        <w:rPr>
          <w:rStyle w:val="s1"/>
          <w:rFonts w:ascii="Times New Roman" w:hAnsi="Times New Roman"/>
          <w:noProof/>
          <w:szCs w:val="24"/>
        </w:rPr>
      </w:pPr>
      <w:r>
        <w:rPr>
          <w:rStyle w:val="s1"/>
        </w:rPr>
        <w:t>2.</w:t>
      </w:r>
      <w:r>
        <w:rPr>
          <w:rStyle w:val="s1"/>
        </w:rPr>
        <w:tab/>
      </w:r>
      <w:r>
        <w:rPr>
          <w:rStyle w:val="s1"/>
          <w:rFonts w:ascii="Times New Roman" w:hAnsi="Times New Roman"/>
          <w:noProof/>
        </w:rPr>
        <w:t xml:space="preserve">Όταν γίνεται παραπομπή στην παρούσα παράγραφο, εφαρμόζεται το άρθρο 5 του κανονισμού (ΕΕ) αριθ. 182/2011. </w:t>
      </w:r>
    </w:p>
    <w:p>
      <w:pPr>
        <w:pStyle w:val="Titrearticle"/>
        <w:rPr>
          <w:noProof/>
        </w:rPr>
      </w:pPr>
      <w:r>
        <w:rPr>
          <w:noProof/>
        </w:rPr>
        <w:t>Άρθρο 17</w:t>
      </w:r>
      <w:r>
        <w:rPr>
          <w:noProof/>
        </w:rPr>
        <w:br/>
      </w:r>
      <w:r>
        <w:rPr>
          <w:b/>
          <w:noProof/>
        </w:rPr>
        <w:t>Ορισμός και ρόλος των συντονιστικών αρχών</w:t>
      </w:r>
    </w:p>
    <w:p>
      <w:pPr>
        <w:pStyle w:val="ManualNumPar1"/>
        <w:rPr>
          <w:rStyle w:val="s1"/>
          <w:rFonts w:ascii="Times New Roman" w:hAnsi="Times New Roman"/>
          <w:noProof/>
          <w:szCs w:val="24"/>
        </w:rPr>
      </w:pPr>
      <w:r>
        <w:rPr>
          <w:rStyle w:val="s1"/>
        </w:rPr>
        <w:t>1.</w:t>
      </w:r>
      <w:r>
        <w:rPr>
          <w:rStyle w:val="s1"/>
        </w:rPr>
        <w:tab/>
      </w:r>
      <w:r>
        <w:rPr>
          <w:rStyle w:val="s1"/>
          <w:rFonts w:ascii="Times New Roman" w:hAnsi="Times New Roman"/>
          <w:noProof/>
        </w:rPr>
        <w:t>Για τους σκοπούς του παρόντος κανονισμού, κάθε κράτος μέλος ορίζει μία συντονιστική αρχή αρμόδια για την επιτέλεση των καθηκόντων που του ανατίθενται δυνάμει του παρόντος κανονισμού.</w:t>
      </w:r>
    </w:p>
    <w:p>
      <w:pPr>
        <w:pStyle w:val="ManualNumPar1"/>
        <w:rPr>
          <w:rStyle w:val="s1"/>
          <w:rFonts w:ascii="Times New Roman" w:hAnsi="Times New Roman"/>
          <w:noProof/>
          <w:szCs w:val="24"/>
        </w:rPr>
      </w:pPr>
      <w:r>
        <w:rPr>
          <w:rStyle w:val="s1"/>
        </w:rPr>
        <w:t>2.</w:t>
      </w:r>
      <w:r>
        <w:rPr>
          <w:rStyle w:val="s1"/>
        </w:rPr>
        <w:tab/>
      </w:r>
      <w:r>
        <w:rPr>
          <w:rStyle w:val="s1"/>
          <w:rFonts w:ascii="Times New Roman" w:hAnsi="Times New Roman"/>
          <w:noProof/>
        </w:rPr>
        <w:t xml:space="preserve">Τα κράτη μέλη κοινοποιούν τα στοιχεία των συντονιστικών αρχών τις οποίες ορίζουν δυνάμει της παραγράφου 1 στην Επιτροπή το αργότερο ως [….. 9 μήνες μετά την έναρξη ισχύος του παρόντος κανονισμού] και μεριμνούν για την καταχώρισή τους στο IMI σύμφωνα με το άρθρο 5 στοιχείο στ) του κανονισμού (ΕΕ) αριθ. 1024/2012. </w:t>
      </w:r>
    </w:p>
    <w:p>
      <w:pPr>
        <w:pStyle w:val="ManualNumPar1"/>
        <w:rPr>
          <w:rStyle w:val="s1"/>
          <w:rFonts w:ascii="Times New Roman" w:hAnsi="Times New Roman"/>
          <w:noProof/>
          <w:szCs w:val="24"/>
        </w:rPr>
      </w:pPr>
      <w:r>
        <w:rPr>
          <w:rStyle w:val="s1"/>
        </w:rPr>
        <w:t>3.</w:t>
      </w:r>
      <w:r>
        <w:rPr>
          <w:rStyle w:val="s1"/>
        </w:rPr>
        <w:tab/>
      </w:r>
      <w:r>
        <w:rPr>
          <w:rStyle w:val="s1"/>
          <w:rFonts w:ascii="Times New Roman" w:hAnsi="Times New Roman"/>
          <w:noProof/>
        </w:rPr>
        <w:t xml:space="preserve">Το παρόν άρθρο δεν θίγει την κατανομή των τοπικών ή περιφερειακών αρμοδιοτήτων των κρατών μελών. </w:t>
      </w:r>
    </w:p>
    <w:p>
      <w:pPr>
        <w:pStyle w:val="Titrearticle"/>
        <w:rPr>
          <w:b/>
          <w:noProof/>
        </w:rPr>
      </w:pPr>
      <w:r>
        <w:rPr>
          <w:noProof/>
        </w:rPr>
        <w:lastRenderedPageBreak/>
        <w:t>Άρθρο 18</w:t>
      </w:r>
      <w:r>
        <w:rPr>
          <w:noProof/>
        </w:rPr>
        <w:br/>
      </w:r>
      <w:r>
        <w:rPr>
          <w:b/>
          <w:noProof/>
        </w:rPr>
        <w:t>Παρακολούθηση της εφαρμογής</w:t>
      </w:r>
    </w:p>
    <w:p>
      <w:pPr>
        <w:rPr>
          <w:noProof/>
        </w:rPr>
      </w:pPr>
      <w:r>
        <w:rPr>
          <w:noProof/>
        </w:rPr>
        <w:t xml:space="preserve">Η Επιτροπή, από κοινού με τα κράτη μέλη, τους κοινωνικούς εταίρους και λοιπούς οικείους ενδιαφερόμενους, θεσπίζει ειδικές ρυθμίσεις για την παρακολούθηση της εφαρμογής και των επιπτώσεων του παρόντος κανονισμού, ιδίως των επιπτώσεών του στην ελευθερία της εγκατάστασης και στην ελεύθερη παροχή υπηρεσιών σε όλα τα κράτη μέλη για τις καλυπτόμενες υπηρεσίες, ως προς το κόστος που συνεπάγονται για τους παρόχους υπηρεσιών η διασυνοριακή επέκταση των δραστηριοτήτων τους, η ενίσχυση της διαφάνειας για τους διασυνοριακούς παρόχους, η ενίσχυση του ανταγωνισμού και ο τρόπος με τον οποίο επηρεάζει τις τιμές και την ποιότητα των εν λόγω υπηρεσιών, βάσει συναφών δεικτών. </w:t>
      </w:r>
    </w:p>
    <w:p>
      <w:pPr>
        <w:pStyle w:val="Titrearticle"/>
        <w:rPr>
          <w:noProof/>
        </w:rPr>
      </w:pPr>
      <w:r>
        <w:rPr>
          <w:noProof/>
        </w:rPr>
        <w:t>Άρθρο 19</w:t>
      </w:r>
      <w:r>
        <w:rPr>
          <w:noProof/>
        </w:rPr>
        <w:br/>
      </w:r>
      <w:r>
        <w:rPr>
          <w:b/>
          <w:noProof/>
        </w:rPr>
        <w:t>Ρήτρα επανεξέτασης</w:t>
      </w:r>
    </w:p>
    <w:p>
      <w:pPr>
        <w:rPr>
          <w:noProof/>
        </w:rPr>
      </w:pPr>
      <w:r>
        <w:rPr>
          <w:noProof/>
        </w:rPr>
        <w:t>Σε 60 μήνες μετά την έναρξη ισχύος του παρόντος κανονισμού και το αργότερο κάθε πέντε χρόνια στη συνέχεια, η Επιτροπή εκπονεί αξιολόγηση του παρόντος κανονισμού και υποβάλλει στο Ευρωπαϊκό</w:t>
      </w:r>
      <w:r>
        <w:rPr>
          <w:noProof/>
          <w:sz w:val="23"/>
        </w:rPr>
        <w:t xml:space="preserve"> </w:t>
      </w:r>
      <w:r>
        <w:rPr>
          <w:noProof/>
        </w:rPr>
        <w:t xml:space="preserve">Κοινοβούλιο και στο Συμβούλιο έκθεση για τις επιδόσεις του, καθώς και ανάλυση των επιπτώσεών του στον διοικητικό φόρτο που συνεπάγεται για τους παρόχους υπηρεσιών η δραστηριοποίησή τους σε διασυνοριακό επίπεδο. Η έκθεση περιλαμβάνει επίσης αξιολόγηση τυχόν πρακτικών εμπειριών σε σχέση με τη συνεργασία μεταξύ των συντονιστικών αρχών. Η έκθεση περιλαμβάνει εκτίμηση της καταλληλότητας της θέσπισης ευρωπαϊκής ηλεκτρονικής κάρτας υπηρεσιών για άλλες δραστηριότητες παροχής υπηρεσιών. Περιέχει ακόμη αξιολόγηση της οδηγίας …….[για την ευρωπαϊκή ηλεκτρονική κάρτα υπηρεσιών]…σύμφωνα με το άρθρο 21 αυτής. </w:t>
      </w:r>
    </w:p>
    <w:p>
      <w:pPr>
        <w:rPr>
          <w:i/>
          <w:noProof/>
        </w:rPr>
      </w:pPr>
      <w:r>
        <w:rPr>
          <w:noProof/>
        </w:rPr>
        <w:t>Στο πλαίσιο της έκθεσης που προβλέπεται στο άρθρο 24 παράγραφος 1 της οδηγίας 2014/67/ΕΕ, η Επιτροπή εκτιμά κατά πόσον και σε ποιο βαθμό μπορεί η ηλεκτρονική πλατφόρμα που συνδέεται με το ΙΜΙ και η οποία αναφέρεται στο άρθρο 6 του παρόντος κανονισμού να διευκολύνει τη συμμόρφωση με τις απαραίτητες διατυπώσεις για την απόσπαση εργαζομένων σύμφωνα με το άρθρο 9 της οδηγίας 2014/67/EΕ. Κατά την εκτίμηση αυτή λαμβάνεται υπόψη η πείρα των κρατών μελών που που επέλεξαν, ενδεχομένως, να κάνουν χρήση της ηλεκτρονικής πλατφόρμας που συνδέεται με το ΙΜΙ, σύμφωνα με το άρθρο 6 παράγραφος 3 του παρόντος κανονισμού.</w:t>
      </w:r>
    </w:p>
    <w:p>
      <w:pPr>
        <w:pStyle w:val="Titrearticle"/>
        <w:rPr>
          <w:noProof/>
        </w:rPr>
      </w:pPr>
      <w:r>
        <w:rPr>
          <w:noProof/>
        </w:rPr>
        <w:t>Άρθρο 20</w:t>
      </w:r>
      <w:r>
        <w:rPr>
          <w:noProof/>
        </w:rPr>
        <w:br/>
      </w:r>
      <w:r>
        <w:rPr>
          <w:b/>
          <w:noProof/>
        </w:rPr>
        <w:t>Τροποποίηση του κανονισμού (ΕΕ) αριθ. 1024/2012</w:t>
      </w:r>
    </w:p>
    <w:p>
      <w:pPr>
        <w:rPr>
          <w:noProof/>
        </w:rPr>
      </w:pPr>
      <w:r>
        <w:rPr>
          <w:noProof/>
        </w:rPr>
        <w:t xml:space="preserve">Στο παράρτημα του κανονισμού (EΕ) αριθ. 1024/2012 προστίθεται το ακόλουθο σημείο: </w:t>
      </w:r>
    </w:p>
    <w:p>
      <w:pPr>
        <w:rPr>
          <w:noProof/>
        </w:rPr>
      </w:pPr>
      <w:r>
        <w:rPr>
          <w:noProof/>
        </w:rPr>
        <w:t>«9. Κανονισμός (ΕΕ) ....... του Ευρωπαϊκού Κοινοβουλίου και του Συμβουλίου της ........ για τη θέσπιση ευρωπαϊκής ηλεκτρονικής κάρτας υπηρεσιών και συναφών διοικητικών διευκολύνσεων.»</w:t>
      </w:r>
    </w:p>
    <w:p>
      <w:pPr>
        <w:pStyle w:val="Titrearticle"/>
        <w:rPr>
          <w:noProof/>
        </w:rPr>
      </w:pPr>
      <w:r>
        <w:rPr>
          <w:noProof/>
        </w:rPr>
        <w:t>Άρθρο 21</w:t>
      </w:r>
      <w:r>
        <w:rPr>
          <w:noProof/>
        </w:rPr>
        <w:br/>
      </w:r>
      <w:r>
        <w:rPr>
          <w:b/>
          <w:noProof/>
        </w:rPr>
        <w:t>Έναρξη ισχύος</w:t>
      </w:r>
    </w:p>
    <w:p>
      <w:pPr>
        <w:rPr>
          <w:noProof/>
        </w:rPr>
      </w:pPr>
      <w:r>
        <w:rPr>
          <w:noProof/>
        </w:rPr>
        <w:t xml:space="preserve">Ο παρών κανονισμός αρχίζει να ισχύει την [εικοστή] ημέρα από τη δημοσίευσή του στην </w:t>
      </w:r>
      <w:r>
        <w:rPr>
          <w:i/>
          <w:noProof/>
        </w:rPr>
        <w:t>Επίσημη Εφημερίδα της Ευρωπαϊκής Ένωσης</w:t>
      </w:r>
      <w:r>
        <w:rPr>
          <w:noProof/>
        </w:rPr>
        <w:t>.</w:t>
      </w:r>
    </w:p>
    <w:p>
      <w:pPr>
        <w:pStyle w:val="Applicationdirecte"/>
        <w:rPr>
          <w:noProof/>
        </w:rPr>
      </w:pPr>
      <w:r>
        <w:rPr>
          <w:noProof/>
        </w:rPr>
        <w:lastRenderedPageBreak/>
        <w:t>Το άρθρο 4 παράγραφοι 1 ως 3, το άρθρο 5 παράγραφος 1, το άρθρο 6 παράγραφοι 1, 2, 3 και 4, το άρθρο 7 παράγραφοι 1 και 2, το άρθρο 8 παράγραφος 1, το άρθρο 9 παράγραφοι 1, 2 και 3, το άρθρο 10 παράγραφος 1, και το άρθρο 14 παράγραφοι 1, 2 και 3 εφαρμόζονται από [δυο έτη μετά την έναρξη ισχύος] του παρόντος κανονισμού.</w:t>
      </w:r>
    </w:p>
    <w:p>
      <w:pPr>
        <w:pStyle w:val="Applicationdirecte"/>
        <w:rPr>
          <w:noProof/>
        </w:rPr>
      </w:pPr>
      <w:r>
        <w:rPr>
          <w:noProof/>
        </w:rPr>
        <w:t>Ο παρών κανονισμός είναι δεσμευτικός ως προς όλα τα μέρη του και ισχύει άμεσα σε κάθε κράτος μέλος.</w:t>
      </w:r>
    </w:p>
    <w:p>
      <w:pPr>
        <w:pStyle w:val="Fait"/>
        <w:rPr>
          <w:noProof/>
        </w:rPr>
      </w:pPr>
      <w:r>
        <w:rPr>
          <w:noProof/>
        </w:rPr>
        <w:t>Βρυξέλλες,</w:t>
      </w:r>
    </w:p>
    <w:p>
      <w:pPr>
        <w:pStyle w:val="Institutionquisigne"/>
        <w:rPr>
          <w:noProof/>
        </w:rPr>
      </w:pPr>
      <w:r>
        <w:rPr>
          <w:noProof/>
        </w:rPr>
        <w:t>Για το Ευρωπαϊκό</w:t>
      </w:r>
      <w:r>
        <w:rPr>
          <w:noProof/>
        </w:rPr>
        <w:tab/>
        <w:t>Κοινοβούλιο Για το Συμβούλιο</w:t>
      </w:r>
    </w:p>
    <w:p>
      <w:pPr>
        <w:pStyle w:val="Personnequisigne"/>
        <w:rPr>
          <w:noProof/>
        </w:rPr>
      </w:pPr>
      <w:r>
        <w:rPr>
          <w:noProof/>
        </w:rPr>
        <w:t>Ο/Η Πρόεδρος</w:t>
      </w:r>
      <w:r>
        <w:rPr>
          <w:noProof/>
        </w:rPr>
        <w:tab/>
        <w:t>Ο/Η Πρόεδρος</w:t>
      </w:r>
      <w:r>
        <w:rPr>
          <w:noProof/>
        </w:rPr>
        <w:br w:type="page"/>
      </w:r>
    </w:p>
    <w:p>
      <w:pPr>
        <w:pStyle w:val="Fichefinanciretitre"/>
        <w:rPr>
          <w:noProof/>
        </w:rPr>
      </w:pPr>
      <w:r>
        <w:rPr>
          <w:noProof/>
        </w:rPr>
        <w:lastRenderedPageBreak/>
        <w:t>ΝΟΜΟΘΕΤΙΚΟ ΔΗΜΟΣΙΟΝΟΜΙΚΟ ΔΕΛΤΙΟ</w:t>
      </w:r>
    </w:p>
    <w:p>
      <w:pPr>
        <w:pStyle w:val="ManualHeading1"/>
        <w:rPr>
          <w:noProof/>
        </w:rPr>
      </w:pPr>
      <w:r>
        <w:rPr>
          <w:noProof/>
        </w:rPr>
        <w:t>1.</w:t>
      </w:r>
      <w:r>
        <w:rPr>
          <w:noProof/>
        </w:rPr>
        <w:tab/>
        <w:t xml:space="preserve">ΠΛΑΙΣΙΟ ΤΗΣ ΠΡΟΤΑΣΗΣ/ΠΡΩΤΟΒΟΥΛΙΑΣ </w:t>
      </w:r>
    </w:p>
    <w:p>
      <w:pPr>
        <w:pStyle w:val="ManualHeading2"/>
        <w:rPr>
          <w:b w:val="0"/>
          <w:noProof/>
        </w:rPr>
      </w:pPr>
      <w:r>
        <w:rPr>
          <w:noProof/>
        </w:rPr>
        <w:tab/>
      </w:r>
      <w:r>
        <w:rPr>
          <w:b w:val="0"/>
          <w:noProof/>
        </w:rPr>
        <w:t>1.1.</w:t>
      </w:r>
      <w:r>
        <w:rPr>
          <w:noProof/>
        </w:rPr>
        <w:tab/>
      </w:r>
      <w:r>
        <w:rPr>
          <w:b w:val="0"/>
          <w:noProof/>
        </w:rPr>
        <w:t xml:space="preserve">Τίτλος της πρότασης/πρωτοβουλίας </w:t>
      </w:r>
    </w:p>
    <w:p>
      <w:pPr>
        <w:pStyle w:val="ManualHeading2"/>
        <w:rPr>
          <w:b w:val="0"/>
          <w:noProof/>
        </w:rPr>
      </w:pPr>
      <w:r>
        <w:rPr>
          <w:noProof/>
        </w:rPr>
        <w:tab/>
      </w:r>
      <w:r>
        <w:rPr>
          <w:b w:val="0"/>
          <w:noProof/>
        </w:rPr>
        <w:t>1.2.</w:t>
      </w:r>
      <w:r>
        <w:rPr>
          <w:noProof/>
        </w:rPr>
        <w:tab/>
      </w:r>
      <w:r>
        <w:rPr>
          <w:b w:val="0"/>
          <w:noProof/>
        </w:rPr>
        <w:t>Σχετικοί τομείς πολιτικής στη δομή ΔΒΔ/ΠΒΔ</w:t>
      </w:r>
    </w:p>
    <w:p>
      <w:pPr>
        <w:pStyle w:val="ManualHeading2"/>
        <w:rPr>
          <w:b w:val="0"/>
          <w:noProof/>
        </w:rPr>
      </w:pPr>
      <w:r>
        <w:rPr>
          <w:noProof/>
        </w:rPr>
        <w:tab/>
      </w:r>
      <w:r>
        <w:rPr>
          <w:b w:val="0"/>
          <w:noProof/>
        </w:rPr>
        <w:t>1.3.</w:t>
      </w:r>
      <w:r>
        <w:rPr>
          <w:noProof/>
        </w:rPr>
        <w:tab/>
      </w:r>
      <w:r>
        <w:rPr>
          <w:b w:val="0"/>
          <w:noProof/>
        </w:rPr>
        <w:t xml:space="preserve">Χαρακτήρας της πρότασης/πρωτοβουλίας </w:t>
      </w:r>
    </w:p>
    <w:p>
      <w:pPr>
        <w:pStyle w:val="ManualHeading2"/>
        <w:rPr>
          <w:b w:val="0"/>
          <w:noProof/>
        </w:rPr>
      </w:pPr>
      <w:r>
        <w:rPr>
          <w:noProof/>
        </w:rPr>
        <w:tab/>
      </w:r>
      <w:r>
        <w:rPr>
          <w:b w:val="0"/>
          <w:noProof/>
        </w:rPr>
        <w:t>1.4.</w:t>
      </w:r>
      <w:r>
        <w:rPr>
          <w:noProof/>
        </w:rPr>
        <w:tab/>
      </w:r>
      <w:r>
        <w:rPr>
          <w:b w:val="0"/>
          <w:noProof/>
        </w:rPr>
        <w:t xml:space="preserve">Στόχος/-οι) </w:t>
      </w:r>
    </w:p>
    <w:p>
      <w:pPr>
        <w:pStyle w:val="ManualHeading2"/>
        <w:rPr>
          <w:b w:val="0"/>
          <w:noProof/>
        </w:rPr>
      </w:pPr>
      <w:r>
        <w:rPr>
          <w:noProof/>
        </w:rPr>
        <w:tab/>
      </w:r>
      <w:r>
        <w:rPr>
          <w:b w:val="0"/>
          <w:noProof/>
        </w:rPr>
        <w:t>1.5.</w:t>
      </w:r>
      <w:r>
        <w:rPr>
          <w:noProof/>
        </w:rPr>
        <w:tab/>
      </w:r>
      <w:r>
        <w:rPr>
          <w:b w:val="0"/>
          <w:noProof/>
        </w:rPr>
        <w:t xml:space="preserve">Αιτιολόγηση της πρότασης/πρωτοβουλίας </w:t>
      </w:r>
    </w:p>
    <w:p>
      <w:pPr>
        <w:pStyle w:val="ManualHeading2"/>
        <w:rPr>
          <w:b w:val="0"/>
          <w:noProof/>
        </w:rPr>
      </w:pPr>
      <w:r>
        <w:rPr>
          <w:noProof/>
        </w:rPr>
        <w:tab/>
      </w:r>
      <w:r>
        <w:rPr>
          <w:b w:val="0"/>
          <w:noProof/>
        </w:rPr>
        <w:t>1.6.</w:t>
      </w:r>
      <w:r>
        <w:rPr>
          <w:noProof/>
        </w:rPr>
        <w:tab/>
      </w:r>
      <w:r>
        <w:rPr>
          <w:b w:val="0"/>
          <w:noProof/>
        </w:rPr>
        <w:t xml:space="preserve">Διάρκεια και δημοσιονομικές επιπτώσεις </w:t>
      </w:r>
    </w:p>
    <w:p>
      <w:pPr>
        <w:pStyle w:val="ManualHeading2"/>
        <w:rPr>
          <w:b w:val="0"/>
          <w:noProof/>
        </w:rPr>
      </w:pPr>
      <w:r>
        <w:rPr>
          <w:noProof/>
        </w:rPr>
        <w:tab/>
      </w:r>
      <w:r>
        <w:rPr>
          <w:b w:val="0"/>
          <w:noProof/>
        </w:rPr>
        <w:t>1.7.</w:t>
      </w:r>
      <w:r>
        <w:rPr>
          <w:noProof/>
        </w:rPr>
        <w:tab/>
      </w:r>
      <w:r>
        <w:rPr>
          <w:b w:val="0"/>
          <w:noProof/>
        </w:rPr>
        <w:t xml:space="preserve">Προβλεπόμενος/-οι τρόπος/-οι διαχείρισης </w:t>
      </w:r>
    </w:p>
    <w:p>
      <w:pPr>
        <w:pStyle w:val="ManualHeading1"/>
        <w:rPr>
          <w:noProof/>
        </w:rPr>
      </w:pPr>
      <w:r>
        <w:rPr>
          <w:noProof/>
        </w:rPr>
        <w:t>2.</w:t>
      </w:r>
      <w:r>
        <w:rPr>
          <w:noProof/>
        </w:rPr>
        <w:tab/>
        <w:t xml:space="preserve">ΜΕΤΡΑ ΔΙΑΧΕΙΡΙΣΗΣ </w:t>
      </w:r>
    </w:p>
    <w:p>
      <w:pPr>
        <w:pStyle w:val="ManualHeading2"/>
        <w:rPr>
          <w:b w:val="0"/>
          <w:noProof/>
        </w:rPr>
      </w:pPr>
      <w:r>
        <w:rPr>
          <w:noProof/>
        </w:rPr>
        <w:tab/>
      </w:r>
      <w:r>
        <w:rPr>
          <w:b w:val="0"/>
          <w:noProof/>
        </w:rPr>
        <w:t>2.1.</w:t>
      </w:r>
      <w:r>
        <w:rPr>
          <w:noProof/>
        </w:rPr>
        <w:tab/>
      </w:r>
      <w:r>
        <w:rPr>
          <w:b w:val="0"/>
          <w:noProof/>
        </w:rPr>
        <w:t xml:space="preserve">Διατάξεις στον τομέα της παρακολούθησης και της υποβολής εκθέσεων </w:t>
      </w:r>
    </w:p>
    <w:p>
      <w:pPr>
        <w:pStyle w:val="ManualHeading2"/>
        <w:rPr>
          <w:b w:val="0"/>
          <w:noProof/>
        </w:rPr>
      </w:pPr>
      <w:r>
        <w:rPr>
          <w:noProof/>
        </w:rPr>
        <w:tab/>
      </w:r>
      <w:r>
        <w:rPr>
          <w:b w:val="0"/>
          <w:noProof/>
        </w:rPr>
        <w:t>2.2.</w:t>
      </w:r>
      <w:r>
        <w:rPr>
          <w:noProof/>
        </w:rPr>
        <w:tab/>
      </w:r>
      <w:r>
        <w:rPr>
          <w:b w:val="0"/>
          <w:noProof/>
        </w:rPr>
        <w:t xml:space="preserve">Σύστημα διαχείρισης και ελέγχου </w:t>
      </w:r>
    </w:p>
    <w:p>
      <w:pPr>
        <w:pStyle w:val="ManualHeading2"/>
        <w:rPr>
          <w:b w:val="0"/>
          <w:noProof/>
        </w:rPr>
      </w:pPr>
      <w:r>
        <w:rPr>
          <w:noProof/>
        </w:rPr>
        <w:tab/>
      </w:r>
      <w:r>
        <w:rPr>
          <w:b w:val="0"/>
          <w:noProof/>
        </w:rPr>
        <w:t>2.3.</w:t>
      </w:r>
      <w:r>
        <w:rPr>
          <w:noProof/>
        </w:rPr>
        <w:tab/>
      </w:r>
      <w:r>
        <w:rPr>
          <w:b w:val="0"/>
          <w:noProof/>
        </w:rPr>
        <w:t xml:space="preserve">Μέτρα για την πρόληψη περιπτώσεων απάτης και παρατυπίας </w:t>
      </w:r>
    </w:p>
    <w:p>
      <w:pPr>
        <w:pStyle w:val="ManualHeading1"/>
        <w:rPr>
          <w:noProof/>
        </w:rPr>
      </w:pPr>
      <w:r>
        <w:rPr>
          <w:noProof/>
        </w:rPr>
        <w:t>3.</w:t>
      </w:r>
      <w:r>
        <w:rPr>
          <w:noProof/>
        </w:rPr>
        <w:tab/>
        <w:t xml:space="preserve">ΕΚΤΙΜΩΜΕΝΕΣ ΔΗΜΟΣΙΟΝΟΜΙΚΕΣ ΕΠΙΠΤΩΣΕΙΣ ΤΗΣ ΠΡΟΤΑΣΗΣ/ΠΡΩΤΟΒΟΥΛΙΑΣ </w:t>
      </w:r>
    </w:p>
    <w:p>
      <w:pPr>
        <w:pStyle w:val="ManualHeading2"/>
        <w:rPr>
          <w:b w:val="0"/>
          <w:noProof/>
        </w:rPr>
      </w:pPr>
      <w:r>
        <w:rPr>
          <w:noProof/>
        </w:rPr>
        <w:tab/>
      </w:r>
      <w:r>
        <w:rPr>
          <w:b w:val="0"/>
          <w:noProof/>
        </w:rPr>
        <w:t>3.1.</w:t>
      </w:r>
      <w:r>
        <w:rPr>
          <w:noProof/>
        </w:rPr>
        <w:tab/>
      </w:r>
      <w:r>
        <w:rPr>
          <w:b w:val="0"/>
          <w:noProof/>
        </w:rPr>
        <w:t xml:space="preserve">Τομέας/-είς του πολυετούς δημοσιονομικού πλαισίου και γραμμή/-ές δαπανών του προϋπολογισμού που επηρεάζονται </w:t>
      </w:r>
    </w:p>
    <w:p>
      <w:pPr>
        <w:pStyle w:val="ManualHeading2"/>
        <w:rPr>
          <w:noProof/>
        </w:rPr>
      </w:pPr>
      <w:r>
        <w:rPr>
          <w:noProof/>
        </w:rPr>
        <w:tab/>
      </w:r>
      <w:r>
        <w:rPr>
          <w:b w:val="0"/>
          <w:noProof/>
        </w:rPr>
        <w:t>3.2.</w:t>
      </w:r>
      <w:r>
        <w:rPr>
          <w:noProof/>
        </w:rPr>
        <w:tab/>
      </w:r>
      <w:r>
        <w:rPr>
          <w:b w:val="0"/>
          <w:noProof/>
        </w:rPr>
        <w:t>Εκτιμώμενες επιπτώσεις στις δαπάνες</w:t>
      </w:r>
      <w:r>
        <w:rPr>
          <w:noProof/>
        </w:rPr>
        <w:t xml:space="preserve"> </w:t>
      </w:r>
    </w:p>
    <w:p>
      <w:pPr>
        <w:pStyle w:val="ManualHeading3"/>
        <w:rPr>
          <w:noProof/>
        </w:rPr>
      </w:pPr>
      <w:r>
        <w:rPr>
          <w:noProof/>
        </w:rPr>
        <w:tab/>
        <w:t>3.2.1.</w:t>
      </w:r>
      <w:r>
        <w:rPr>
          <w:noProof/>
        </w:rPr>
        <w:tab/>
        <w:t xml:space="preserve">Συνοπτική παρουσίαση των εκτιμώμενων επιπτώσεων στις δαπάνες </w:t>
      </w:r>
    </w:p>
    <w:p>
      <w:pPr>
        <w:pStyle w:val="ManualHeading3"/>
        <w:rPr>
          <w:noProof/>
        </w:rPr>
      </w:pPr>
      <w:r>
        <w:rPr>
          <w:noProof/>
        </w:rPr>
        <w:tab/>
        <w:t>3.2.2.</w:t>
      </w:r>
      <w:r>
        <w:rPr>
          <w:noProof/>
        </w:rPr>
        <w:tab/>
        <w:t xml:space="preserve">Εκτιμώμενες επιπτώσεις στις επιχειρησιακές πιστώσεις </w:t>
      </w:r>
    </w:p>
    <w:p>
      <w:pPr>
        <w:pStyle w:val="ManualHeading3"/>
        <w:rPr>
          <w:noProof/>
        </w:rPr>
      </w:pPr>
      <w:r>
        <w:rPr>
          <w:noProof/>
        </w:rPr>
        <w:tab/>
        <w:t>3.2.3.</w:t>
      </w:r>
      <w:r>
        <w:rPr>
          <w:noProof/>
        </w:rPr>
        <w:tab/>
        <w:t>Εκτιμώμενες επιπτώσεις στις πιστώσεις διοικητικού χαρακτήρα</w:t>
      </w:r>
    </w:p>
    <w:p>
      <w:pPr>
        <w:pStyle w:val="ManualHeading3"/>
        <w:rPr>
          <w:noProof/>
        </w:rPr>
      </w:pPr>
      <w:r>
        <w:rPr>
          <w:noProof/>
        </w:rPr>
        <w:tab/>
        <w:t>3.2.4.</w:t>
      </w:r>
      <w:r>
        <w:rPr>
          <w:noProof/>
        </w:rPr>
        <w:tab/>
        <w:t>Συμβατότητα με το ισχύον πολυετές δημοσιονομικό πλαίσιο</w:t>
      </w:r>
    </w:p>
    <w:p>
      <w:pPr>
        <w:pStyle w:val="ManualHeading3"/>
        <w:rPr>
          <w:noProof/>
        </w:rPr>
      </w:pPr>
      <w:r>
        <w:rPr>
          <w:noProof/>
        </w:rPr>
        <w:tab/>
        <w:t>3.2.5.</w:t>
      </w:r>
      <w:r>
        <w:rPr>
          <w:noProof/>
        </w:rPr>
        <w:tab/>
        <w:t xml:space="preserve">Συμμετοχή τρίτων μερών στη χρηματοδότηση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Εκτιμώμενες επιπτώσεις στα έσοδα</w:t>
      </w:r>
    </w:p>
    <w:p>
      <w:pPr>
        <w:jc w:val="center"/>
        <w:rPr>
          <w:noProof/>
        </w:rPr>
      </w:pPr>
      <w:r>
        <w:rPr>
          <w:b/>
          <w:noProof/>
          <w:u w:val="single"/>
        </w:rPr>
        <w:lastRenderedPageBreak/>
        <w:t>ΝΟΜΟΘΕΤΙΚΟ ΔΗΜΟΣΙΟΝΟΜΙΚΟ ΔΕΛΤΙΟ</w:t>
      </w:r>
    </w:p>
    <w:p>
      <w:pPr>
        <w:pStyle w:val="ManualHeading1"/>
        <w:rPr>
          <w:noProof/>
        </w:rPr>
      </w:pPr>
      <w:r>
        <w:t>1.</w:t>
      </w:r>
      <w:r>
        <w:tab/>
      </w:r>
      <w:r>
        <w:rPr>
          <w:noProof/>
        </w:rPr>
        <w:t xml:space="preserve">ΠΛΑΙΣΙΟ ΤΗΣ ΠΡΟΤΑΣΗΣ/ΠΡΩΤΟΒΟΥΛΙΑΣ </w:t>
      </w:r>
    </w:p>
    <w:p>
      <w:pPr>
        <w:pStyle w:val="ManualHeading2"/>
        <w:rPr>
          <w:noProof/>
        </w:rPr>
      </w:pPr>
      <w:r>
        <w:t>1.1.</w:t>
      </w:r>
      <w:r>
        <w:tab/>
      </w:r>
      <w:r>
        <w:rPr>
          <w:noProof/>
        </w:rPr>
        <w:t xml:space="preserve">Τίτλος της πρότασης/πρωτοβουλίας </w:t>
      </w:r>
    </w:p>
    <w:p>
      <w:pPr>
        <w:pStyle w:val="Text1"/>
        <w:pBdr>
          <w:top w:val="single" w:sz="4" w:space="1" w:color="auto"/>
          <w:left w:val="single" w:sz="4" w:space="4" w:color="auto"/>
          <w:bottom w:val="single" w:sz="4" w:space="1" w:color="auto"/>
          <w:right w:val="single" w:sz="4" w:space="4" w:color="auto"/>
        </w:pBdr>
        <w:rPr>
          <w:noProof/>
        </w:rPr>
      </w:pPr>
      <w:r>
        <w:rPr>
          <w:noProof/>
        </w:rPr>
        <w:t>Κανονισμός του Ευρωπαϊκού Κοινοβουλίου και του Συμβουλίου για τη θέσπιση ευρωπαϊκής ηλεκτρονικής κάρτας υπηρεσιών και συναφών διοικητικών διευκολύνσεων</w:t>
      </w:r>
    </w:p>
    <w:p>
      <w:pPr>
        <w:pStyle w:val="ManualHeading2"/>
        <w:rPr>
          <w:noProof/>
          <w:szCs w:val="24"/>
        </w:rPr>
      </w:pPr>
      <w:r>
        <w:t>1.2.</w:t>
      </w:r>
      <w:r>
        <w:tab/>
      </w:r>
      <w:r>
        <w:rPr>
          <w:noProof/>
        </w:rPr>
        <w:t>Σχετικός/-οί τομέας/-είς πολιτικής στη δομή ΔΒΔ/ΠΒΔ</w:t>
      </w:r>
      <w:r>
        <w:rPr>
          <w:rStyle w:val="FootnoteReference"/>
          <w:noProof/>
        </w:rPr>
        <w:footnoteReference w:id="32"/>
      </w:r>
      <w:r>
        <w:rPr>
          <w:i/>
          <w:noProof/>
        </w:rPr>
        <w:t xml:space="preserve"> </w:t>
      </w:r>
    </w:p>
    <w:p>
      <w:pPr>
        <w:pStyle w:val="Text1"/>
        <w:pBdr>
          <w:top w:val="single" w:sz="4" w:space="1" w:color="auto"/>
          <w:left w:val="single" w:sz="4" w:space="4" w:color="auto"/>
          <w:bottom w:val="single" w:sz="4" w:space="1" w:color="auto"/>
          <w:right w:val="single" w:sz="4" w:space="4" w:color="auto"/>
        </w:pBdr>
        <w:rPr>
          <w:rFonts w:eastAsia="Times New Roman"/>
          <w:noProof/>
        </w:rPr>
      </w:pPr>
      <w:r>
        <w:rPr>
          <w:noProof/>
        </w:rPr>
        <w:t>Τίτλος 02: Εσωτερική αγορά, βιομηχανία, επιχειρηματικότητα και ΜΜΕ</w:t>
      </w:r>
    </w:p>
    <w:p>
      <w:pPr>
        <w:pStyle w:val="Text1"/>
        <w:pBdr>
          <w:top w:val="single" w:sz="4" w:space="1" w:color="auto"/>
          <w:left w:val="single" w:sz="4" w:space="4" w:color="auto"/>
          <w:bottom w:val="single" w:sz="4" w:space="1" w:color="auto"/>
          <w:right w:val="single" w:sz="4" w:space="4" w:color="auto"/>
        </w:pBdr>
        <w:rPr>
          <w:rFonts w:eastAsia="Times New Roman"/>
          <w:noProof/>
        </w:rPr>
      </w:pPr>
      <w:r>
        <w:rPr>
          <w:noProof/>
        </w:rPr>
        <w:t>Δραστηριότητα 02 03: Εσωτερική αγορά αγαθών και υπηρεσιών</w:t>
      </w:r>
    </w:p>
    <w:p>
      <w:pPr>
        <w:pStyle w:val="ManualHeading2"/>
        <w:rPr>
          <w:bCs/>
          <w:noProof/>
          <w:szCs w:val="24"/>
        </w:rPr>
      </w:pPr>
      <w:r>
        <w:t>1.3.</w:t>
      </w:r>
      <w:r>
        <w:tab/>
      </w:r>
      <w:r>
        <w:rPr>
          <w:noProof/>
        </w:rPr>
        <w:t xml:space="preserve">Χαρακτήρας της πρότασης/πρωτοβουλίας </w:t>
      </w:r>
    </w:p>
    <w:p>
      <w:pPr>
        <w:pStyle w:val="Text1"/>
        <w:rPr>
          <w:b/>
          <w:noProof/>
          <w:sz w:val="22"/>
        </w:rPr>
      </w:pPr>
      <w:r>
        <w:rPr>
          <w:noProof/>
          <w:sz w:val="22"/>
        </w:rPr>
        <w:sym w:font="Wingdings" w:char="F078"/>
      </w:r>
      <w:r>
        <w:rPr>
          <w:b/>
          <w:i/>
          <w:noProof/>
          <w:sz w:val="22"/>
        </w:rPr>
        <w:t xml:space="preserve"> </w:t>
      </w:r>
      <w:r>
        <w:rPr>
          <w:noProof/>
        </w:rPr>
        <w:t xml:space="preserve">Η πρόταση/πρωτοβουλία αφορά </w:t>
      </w:r>
      <w:r>
        <w:rPr>
          <w:b/>
          <w:noProof/>
        </w:rPr>
        <w:t>νέα δράση που εξαγγέλλεται στο πλαίσιο της στρατηγικής για την ενιαία αγορά</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Η πρόταση/πρωτοβουλία αφορά </w:t>
      </w:r>
      <w:r>
        <w:rPr>
          <w:b/>
          <w:noProof/>
        </w:rPr>
        <w:t>νέα δράση μετά από πιλοτικό έργο/προπαρασκευαστική δράση</w:t>
      </w:r>
      <w:r>
        <w:rPr>
          <w:rStyle w:val="FootnoteReference"/>
          <w:b/>
          <w:noProof/>
        </w:rPr>
        <w:footnoteReference w:id="33"/>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Η πρόταση/πρωτοβουλία αφορά </w:t>
      </w:r>
      <w:r>
        <w:rPr>
          <w:b/>
          <w:noProof/>
        </w:rPr>
        <w:t>την παράταση υφιστάμενης δράσης</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Η πρόταση/πρωτοβουλία αφορά </w:t>
      </w:r>
      <w:r>
        <w:rPr>
          <w:b/>
          <w:noProof/>
        </w:rPr>
        <w:t>δράση προσανατολισμένη σε νέα δράση</w:t>
      </w:r>
      <w:r>
        <w:rPr>
          <w:noProof/>
        </w:rPr>
        <w:t xml:space="preserve"> </w:t>
      </w:r>
    </w:p>
    <w:p>
      <w:pPr>
        <w:pStyle w:val="ManualHeading2"/>
        <w:rPr>
          <w:bCs/>
          <w:noProof/>
          <w:szCs w:val="24"/>
        </w:rPr>
      </w:pPr>
      <w:r>
        <w:t>1.4.</w:t>
      </w:r>
      <w:r>
        <w:tab/>
      </w:r>
      <w:r>
        <w:rPr>
          <w:noProof/>
        </w:rPr>
        <w:t>Στόχος/-οι</w:t>
      </w:r>
    </w:p>
    <w:p>
      <w:pPr>
        <w:pStyle w:val="ManualHeading3"/>
        <w:rPr>
          <w:noProof/>
        </w:rPr>
      </w:pPr>
      <w:r>
        <w:t>1.4.1.</w:t>
      </w:r>
      <w:r>
        <w:tab/>
      </w:r>
      <w:r>
        <w:rPr>
          <w:noProof/>
        </w:rPr>
        <w:t xml:space="preserve">Ο/Οι πολυετής/-είς στρατηγικός/-οί στόχος/-οι της Επιτροπής τον/τους οποίο/-ους αφορά η πρόταση/πρωτοβουλία </w:t>
      </w:r>
    </w:p>
    <w:p>
      <w:pPr>
        <w:pStyle w:val="Text1"/>
        <w:pBdr>
          <w:top w:val="single" w:sz="4" w:space="1" w:color="auto"/>
          <w:left w:val="single" w:sz="4" w:space="4" w:color="auto"/>
          <w:bottom w:val="single" w:sz="4" w:space="1" w:color="auto"/>
          <w:right w:val="single" w:sz="4" w:space="4" w:color="auto"/>
        </w:pBdr>
        <w:rPr>
          <w:rFonts w:eastAsia="Times New Roman"/>
          <w:noProof/>
        </w:rPr>
      </w:pPr>
      <w:r>
        <w:rPr>
          <w:noProof/>
        </w:rPr>
        <w:t xml:space="preserve">Το στρατηγικό σχέδιο της ΓΔ GROW για την περίοδο 2016-2020 ορίζει ως προτεραιότητα της Επιτροπής τη δημιουργία μιας βαθύτερης και δικαιότερης ενιαίας αγοράς με ενισχυμένη βιομηχανική βάση. Στην ανακοίνωσή της με θέμα τη στρατηγική για την ενιαία αγορά και τίτλο «Αναβάθμιση της ενιαίας αγοράς: περισσότερες ευκαιρίες για τους πολίτες και τις επιχειρήσεις» (COM(2015) 550 final), η Επιτροπή εξήγγειλε νομοθετικές πρωτοβουλίες που αποσκοπούν στην άρση των εμποδίων στην αγορά υπηρεσιών. </w:t>
      </w:r>
    </w:p>
    <w:p>
      <w:pPr>
        <w:pStyle w:val="Text1"/>
        <w:pBdr>
          <w:top w:val="single" w:sz="4" w:space="1" w:color="auto"/>
          <w:left w:val="single" w:sz="4" w:space="4" w:color="auto"/>
          <w:bottom w:val="single" w:sz="4" w:space="1" w:color="auto"/>
          <w:right w:val="single" w:sz="4" w:space="4" w:color="auto"/>
        </w:pBdr>
        <w:rPr>
          <w:rFonts w:eastAsia="Times New Roman"/>
          <w:noProof/>
        </w:rPr>
      </w:pPr>
      <w:r>
        <w:rPr>
          <w:noProof/>
        </w:rPr>
        <w:t xml:space="preserve">Στο πλαίσιο αυτό, η στρατηγική για την ενιαία αγορά πρότεινε τη θέσπιση ευρωπαϊκής ηλεκτρονικής κάρτας υπηρεσιών («διαβατήριο υπηρεσιών»), ώστε να αυξηθεί η ασφάλεια και να μειωθούν οι φραγμοί για τους παρόχους υπηρεσιών που επιθυμούν πρόσβαση σε άλλες αγορές της ΕΕ προκειμένου να επεκτείνουν τις δραστηριότητές τους. Η εξαγγελία αυτή χαιρετίστηκε από το Ευρωπαϊκό Συμβούλιο στα συμπεράσματα του Ιουνίου 2016. </w:t>
      </w:r>
    </w:p>
    <w:p>
      <w:pPr>
        <w:pStyle w:val="Text1"/>
        <w:pBdr>
          <w:top w:val="single" w:sz="4" w:space="1" w:color="auto"/>
          <w:left w:val="single" w:sz="4" w:space="4" w:color="auto"/>
          <w:bottom w:val="single" w:sz="4" w:space="1" w:color="auto"/>
          <w:right w:val="single" w:sz="4" w:space="4" w:color="auto"/>
        </w:pBdr>
        <w:rPr>
          <w:rFonts w:eastAsia="Times New Roman"/>
          <w:noProof/>
        </w:rPr>
      </w:pPr>
      <w:r>
        <w:rPr>
          <w:noProof/>
        </w:rPr>
        <w:t xml:space="preserve">Οι γενικοί στόχοι της εν λόγω πρωτοβουλίας είναι η περαιτέρω ολοκλήρωση της αγοράς στους κλάδους των επιχειρηματικών υπηρεσιών και των κατασκευών, και η βελτίωση του ρυθμού αύξησης της παραγωγικότητας αμφότερων των κλάδων. </w:t>
      </w:r>
    </w:p>
    <w:p>
      <w:pPr>
        <w:pStyle w:val="ManualHeading3"/>
        <w:rPr>
          <w:bCs/>
          <w:noProof/>
          <w:szCs w:val="24"/>
        </w:rPr>
      </w:pPr>
      <w:r>
        <w:lastRenderedPageBreak/>
        <w:t>1.4.2.</w:t>
      </w:r>
      <w:r>
        <w:tab/>
      </w:r>
      <w:r>
        <w:rPr>
          <w:noProof/>
        </w:rPr>
        <w:t xml:space="preserve">Ειδικός/-οί στόχος/-οι και δραστηριότητα/-ες ΔΒΔ/ΠΒΔ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Ειδικοί στόχοι</w:t>
      </w:r>
    </w:p>
    <w:p>
      <w:pPr>
        <w:pStyle w:val="Text1"/>
        <w:pBdr>
          <w:top w:val="single" w:sz="4" w:space="1" w:color="auto"/>
          <w:left w:val="single" w:sz="4" w:space="4" w:color="auto"/>
          <w:bottom w:val="single" w:sz="4" w:space="1" w:color="auto"/>
          <w:right w:val="single" w:sz="4" w:space="4" w:color="auto"/>
        </w:pBdr>
        <w:rPr>
          <w:bCs/>
          <w:noProof/>
          <w:szCs w:val="24"/>
        </w:rPr>
      </w:pPr>
      <w:r>
        <w:rPr>
          <w:noProof/>
        </w:rPr>
        <w:t xml:space="preserve">Οι ειδικοί στόχοι της παρούσας πρότασης είναι: </w:t>
      </w:r>
    </w:p>
    <w:p>
      <w:pPr>
        <w:pStyle w:val="Text1"/>
        <w:pBdr>
          <w:top w:val="single" w:sz="4" w:space="1" w:color="auto"/>
          <w:left w:val="single" w:sz="4" w:space="4" w:color="auto"/>
          <w:bottom w:val="single" w:sz="4" w:space="1" w:color="auto"/>
          <w:right w:val="single" w:sz="4" w:space="4" w:color="auto"/>
        </w:pBdr>
        <w:rPr>
          <w:bCs/>
          <w:noProof/>
          <w:szCs w:val="24"/>
        </w:rPr>
      </w:pPr>
      <w:r>
        <w:rPr>
          <w:noProof/>
        </w:rPr>
        <w:t xml:space="preserve"> - να καταστήσει την παροχή υπηρεσιών σε άλλα κράτη μέλη περισσότερο εύκολη και λιγότερο δαπανηρή, </w:t>
      </w:r>
    </w:p>
    <w:p>
      <w:pPr>
        <w:pStyle w:val="Text1"/>
        <w:pBdr>
          <w:top w:val="single" w:sz="4" w:space="1" w:color="auto"/>
          <w:left w:val="single" w:sz="4" w:space="4" w:color="auto"/>
          <w:bottom w:val="single" w:sz="4" w:space="1" w:color="auto"/>
          <w:right w:val="single" w:sz="4" w:space="4" w:color="auto"/>
        </w:pBdr>
        <w:rPr>
          <w:bCs/>
          <w:noProof/>
          <w:szCs w:val="24"/>
        </w:rPr>
      </w:pPr>
      <w:r>
        <w:rPr>
          <w:noProof/>
        </w:rPr>
        <w:t xml:space="preserve"> - να ενισχύσει την εμπιστοσύνη της αγοράς στους ξένους παρόχους υπηρεσιών μέσω της αύξησης της διαφάνειας και των διαθέσιμων πληροφοριών,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 να ενισχύσει τη δυναμική της αγοράς και τον ανταγωνισμό εξασφαλίζοντας περισσότερες επιλογές και μεγαλύτερη προστιθέμενη αξία για τους καταναλωτές.</w:t>
      </w:r>
    </w:p>
    <w:p>
      <w:pPr>
        <w:pStyle w:val="Text1"/>
        <w:pBdr>
          <w:top w:val="single" w:sz="4" w:space="1" w:color="auto"/>
          <w:left w:val="single" w:sz="4" w:space="4" w:color="auto"/>
          <w:bottom w:val="single" w:sz="4" w:space="1" w:color="auto"/>
          <w:right w:val="single" w:sz="4" w:space="4" w:color="auto"/>
        </w:pBdr>
        <w:rPr>
          <w:noProof/>
        </w:rPr>
      </w:pPr>
      <w:r>
        <w:rPr>
          <w:noProof/>
        </w:rPr>
        <w:t>Για την επίτευξη των στόχων αυτών, προβλέπονται οι ακόλουθες δραστηριότητες:</w:t>
      </w:r>
    </w:p>
    <w:p>
      <w:pPr>
        <w:pStyle w:val="Text1"/>
        <w:pBdr>
          <w:top w:val="single" w:sz="4" w:space="1" w:color="auto"/>
          <w:left w:val="single" w:sz="4" w:space="4" w:color="auto"/>
          <w:bottom w:val="single" w:sz="4" w:space="1" w:color="auto"/>
          <w:right w:val="single" w:sz="4" w:space="4" w:color="auto"/>
        </w:pBdr>
        <w:rPr>
          <w:noProof/>
        </w:rPr>
      </w:pPr>
      <w:r>
        <w:rPr>
          <w:noProof/>
        </w:rPr>
        <w:t>1. μείωση του διοικητικού φόρτου μέσω της θέσπισης διαδικασίας σε επίπεδο ΕΕ με δημόσια διεπαφή που θα επιτρέπει στους παρόχους υπηρεσιών να διεκπεραιώνουν ηλεκτρονικά τις απαιτούμενες διατυπώσεις·</w:t>
      </w:r>
    </w:p>
    <w:p>
      <w:pPr>
        <w:pStyle w:val="Text1"/>
        <w:pBdr>
          <w:top w:val="single" w:sz="4" w:space="1" w:color="auto"/>
          <w:left w:val="single" w:sz="4" w:space="4" w:color="auto"/>
          <w:bottom w:val="single" w:sz="4" w:space="1" w:color="auto"/>
          <w:right w:val="single" w:sz="4" w:space="4" w:color="auto"/>
        </w:pBdr>
        <w:rPr>
          <w:noProof/>
        </w:rPr>
      </w:pPr>
      <w:r>
        <w:rPr>
          <w:noProof/>
        </w:rPr>
        <w:t>2. σύνδεση των κρατών μελών καταγωγής και υποδοχής μέσω πλατφόρμας ΤΠ σε ευρωπαϊκό επίπεδο. Για τον σκοπό αυτόν, το σύστημα IMI θα χρησιμεύσει ως υποστηρικτική λειτουργική δυνατότητα για τις εθνικές αρχές. Θα πρέπει δε να αναπτυχθεί περαιτέρω, ώστε να στηρίξει τη λειτουργία της ευρωπαϊκής ηλεκτρονικής κάρτας υπηρεσιών.</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Σχετική/-ές δραστηριότητα/-ες ΔΒΔ/ΠΒΔ</w:t>
      </w:r>
    </w:p>
    <w:p>
      <w:pPr>
        <w:pStyle w:val="Text1"/>
        <w:pBdr>
          <w:top w:val="single" w:sz="4" w:space="1" w:color="auto"/>
          <w:left w:val="single" w:sz="4" w:space="4" w:color="auto"/>
          <w:bottom w:val="single" w:sz="4" w:space="1" w:color="auto"/>
          <w:right w:val="single" w:sz="4" w:space="4" w:color="auto"/>
        </w:pBdr>
        <w:rPr>
          <w:noProof/>
        </w:rPr>
      </w:pPr>
      <w:r>
        <w:rPr>
          <w:noProof/>
        </w:rPr>
        <w:t>Κεφάλαιο 02 03: Εσωτερική αγορά αγαθών και υπηρεσιών</w:t>
      </w:r>
    </w:p>
    <w:p>
      <w:pPr>
        <w:pStyle w:val="ManualHeading3"/>
        <w:rPr>
          <w:bCs/>
          <w:noProof/>
          <w:szCs w:val="24"/>
        </w:rPr>
      </w:pPr>
      <w:r>
        <w:rPr>
          <w:noProof/>
        </w:rPr>
        <w:br w:type="page"/>
      </w:r>
      <w:r>
        <w:lastRenderedPageBreak/>
        <w:t>1.4.3.</w:t>
      </w:r>
      <w:r>
        <w:tab/>
      </w:r>
      <w:r>
        <w:rPr>
          <w:noProof/>
        </w:rPr>
        <w:t>Αναμενόμενο/-α αποτέλεσμα/-τα και επιπτώσεις</w:t>
      </w:r>
    </w:p>
    <w:p>
      <w:pPr>
        <w:pStyle w:val="Text1"/>
        <w:rPr>
          <w:i/>
          <w:noProof/>
          <w:sz w:val="20"/>
        </w:rPr>
      </w:pPr>
      <w:r>
        <w:rPr>
          <w:i/>
          <w:noProof/>
          <w:sz w:val="20"/>
        </w:rPr>
        <w:t>Να προσδιοριστούν τα αποτελέσματα που θα πρέπει να έχει η πρόταση/πρωτοβουλία όσον αφορά τους/τις στοχοθετημένους/-ες δικαιούχους/ομάδες.</w:t>
      </w:r>
    </w:p>
    <w:p>
      <w:pPr>
        <w:pStyle w:val="Text1"/>
        <w:pBdr>
          <w:top w:val="single" w:sz="4" w:space="1" w:color="auto"/>
          <w:left w:val="single" w:sz="4" w:space="4" w:color="auto"/>
          <w:bottom w:val="single" w:sz="4" w:space="1" w:color="auto"/>
          <w:right w:val="single" w:sz="4" w:space="4" w:color="auto"/>
        </w:pBdr>
        <w:rPr>
          <w:noProof/>
        </w:rPr>
      </w:pPr>
      <w:r>
        <w:rPr>
          <w:noProof/>
        </w:rPr>
        <w:t>Η πρόταση, η οποία βασίζεται στην οδηγία για τη θέσπιση της ευρωπαϊκής ηλεκτρονικής κάρτας υπηρεσιών, θα προβλέπει:</w:t>
      </w:r>
    </w:p>
    <w:p>
      <w:pPr>
        <w:pStyle w:val="Text1"/>
        <w:pBdr>
          <w:top w:val="single" w:sz="4" w:space="1" w:color="auto"/>
          <w:left w:val="single" w:sz="4" w:space="4" w:color="auto"/>
          <w:bottom w:val="single" w:sz="4" w:space="1" w:color="auto"/>
          <w:right w:val="single" w:sz="4" w:space="4" w:color="auto"/>
        </w:pBdr>
        <w:rPr>
          <w:noProof/>
        </w:rPr>
      </w:pPr>
      <w:r>
        <w:rPr>
          <w:noProof/>
        </w:rPr>
        <w:t>1. Μείωση του διοικητικού φόρτου για τους παρόχους υπηρεσιών που επιθυμούν να παρέχουν υπηρεσίες σε άλλα κράτη μέλη, καθώς θα μπορούν να χρησιμοποιούν απλουστευμένη ηλεκτρονική διαδικασία για τη διεκπεραίωση των απαιτούμενων διατυπώσεων και θα ωφεληθούν από τη βελτίωση της διαφάνειας κατά την επεξεργασία των αιτήσεων. Έτσι, θα είναι σε θέση να εξοικονομούν χρόνο και χρήματα κατά τη διασυνοριακή παροχή υπηρεσιών ή τη σύσταση δευτερεύουσας εγκατάστασης.</w:t>
      </w:r>
    </w:p>
    <w:p>
      <w:pPr>
        <w:pStyle w:val="Text1"/>
        <w:pBdr>
          <w:top w:val="single" w:sz="4" w:space="1" w:color="auto"/>
          <w:left w:val="single" w:sz="4" w:space="4" w:color="auto"/>
          <w:bottom w:val="single" w:sz="4" w:space="1" w:color="auto"/>
          <w:right w:val="single" w:sz="4" w:space="4" w:color="auto"/>
        </w:pBdr>
        <w:rPr>
          <w:noProof/>
        </w:rPr>
      </w:pPr>
      <w:r>
        <w:rPr>
          <w:noProof/>
        </w:rPr>
        <w:t>2. Μείωση του διοικητικού φόρτου για τις εθνικές αρχές και, μεταξύ άλλων, διευκόλυνση της περαιτέρω συνεργασίας μεταξύ των διαφόρων κρατών μελών.</w:t>
      </w:r>
    </w:p>
    <w:p>
      <w:pPr>
        <w:pStyle w:val="Text1"/>
        <w:pBdr>
          <w:top w:val="single" w:sz="4" w:space="1" w:color="auto"/>
          <w:left w:val="single" w:sz="4" w:space="4" w:color="auto"/>
          <w:bottom w:val="single" w:sz="4" w:space="1" w:color="auto"/>
          <w:right w:val="single" w:sz="4" w:space="4" w:color="auto"/>
        </w:pBdr>
        <w:rPr>
          <w:noProof/>
        </w:rPr>
      </w:pPr>
      <w:r>
        <w:rPr>
          <w:noProof/>
        </w:rPr>
        <w:t xml:space="preserve">3. Εξοικονόμηση κόστους μέσω της χρησιμοποίησης υφιστάμενου εργαλείου ΤΠ (του Συστήματος Πληροφόρησης για την Εσωτερική Αγορά – εφεξής «IMI») σε νέους τομείς, ούτως ώστε να υπάρξουν οφέλη από τις οικονομίες κλίμακας και φάσματος (αντί για την ανάπτυξη νέου εργαλείου για τον συγκεκριμένο σκοπό). Οι αρμόδιες αρχές έχουν ήδη εγγραφεί στο IMI. </w:t>
      </w:r>
    </w:p>
    <w:p>
      <w:pPr>
        <w:pStyle w:val="ManualHeading3"/>
        <w:rPr>
          <w:bCs/>
          <w:noProof/>
          <w:szCs w:val="24"/>
        </w:rPr>
      </w:pPr>
      <w:r>
        <w:t>1.4.4.</w:t>
      </w:r>
      <w:r>
        <w:tab/>
      </w:r>
      <w:r>
        <w:rPr>
          <w:noProof/>
        </w:rPr>
        <w:t xml:space="preserve">Δείκτες αποτελεσμάτων και επιπτώσεων </w:t>
      </w:r>
    </w:p>
    <w:p>
      <w:pPr>
        <w:pStyle w:val="Text1"/>
        <w:rPr>
          <w:i/>
          <w:noProof/>
          <w:sz w:val="20"/>
        </w:rPr>
      </w:pPr>
      <w:r>
        <w:rPr>
          <w:i/>
          <w:noProof/>
          <w:sz w:val="20"/>
        </w:rPr>
        <w:t>Να προσδιοριστούν οι δείκτες για την παρακολούθηση της υλοποίησης της πρότασης/πρωτοβουλίας.</w:t>
      </w:r>
    </w:p>
    <w:p>
      <w:pPr>
        <w:pStyle w:val="Text1"/>
        <w:pBdr>
          <w:top w:val="single" w:sz="4" w:space="1" w:color="auto"/>
          <w:left w:val="single" w:sz="4" w:space="4" w:color="auto"/>
          <w:bottom w:val="single" w:sz="4" w:space="1" w:color="auto"/>
          <w:right w:val="single" w:sz="4" w:space="4" w:color="auto"/>
        </w:pBdr>
        <w:rPr>
          <w:noProof/>
        </w:rPr>
      </w:pPr>
      <w:r>
        <w:rPr>
          <w:noProof/>
        </w:rPr>
        <w:t xml:space="preserve">Η πρόταση θα συμβάλει στην αποτελεσματικότερη εφαρμογή της οδηγίας για τις υπηρεσίες, ιδίως δε για τις επιχειρηματικές και κατασκευαστικές υπηρεσίες. </w:t>
      </w:r>
    </w:p>
    <w:p>
      <w:pPr>
        <w:pStyle w:val="Text1"/>
        <w:pBdr>
          <w:top w:val="single" w:sz="4" w:space="1" w:color="auto"/>
          <w:left w:val="single" w:sz="4" w:space="4" w:color="auto"/>
          <w:bottom w:val="single" w:sz="4" w:space="1" w:color="auto"/>
          <w:right w:val="single" w:sz="4" w:space="4" w:color="auto"/>
        </w:pBdr>
        <w:rPr>
          <w:noProof/>
        </w:rPr>
      </w:pPr>
      <w:r>
        <w:rPr>
          <w:noProof/>
        </w:rPr>
        <w:t>Η άμεση επίπτωσή της μπορεί να υπολογιστεί με τη χρησιμοποίηση των ακόλουθων δεικτών:</w:t>
      </w:r>
    </w:p>
    <w:p>
      <w:pPr>
        <w:pStyle w:val="Text1"/>
        <w:pBdr>
          <w:top w:val="single" w:sz="4" w:space="1" w:color="auto"/>
          <w:left w:val="single" w:sz="4" w:space="4" w:color="auto"/>
          <w:bottom w:val="single" w:sz="4" w:space="1" w:color="auto"/>
          <w:right w:val="single" w:sz="4" w:space="4" w:color="auto"/>
        </w:pBdr>
        <w:rPr>
          <w:noProof/>
        </w:rPr>
      </w:pPr>
      <w:r>
        <w:rPr>
          <w:noProof/>
        </w:rPr>
        <w:t xml:space="preserve">- του αριθμού των παρόχων υπηρεσιών που θα κάνουν χρήση της ευρωπαϊκής ηλεκτρονικής κάρτας υπηρεσιών (και των συνοδευτικών διατυπώσεων για την απόσπαση προσωπικού ή την κυκλοφορία των αυτοαπασχολουμένων), </w:t>
      </w:r>
    </w:p>
    <w:p>
      <w:pPr>
        <w:pStyle w:val="Text1"/>
        <w:pBdr>
          <w:top w:val="single" w:sz="4" w:space="1" w:color="auto"/>
          <w:left w:val="single" w:sz="4" w:space="4" w:color="auto"/>
          <w:bottom w:val="single" w:sz="4" w:space="1" w:color="auto"/>
          <w:right w:val="single" w:sz="4" w:space="4" w:color="auto"/>
        </w:pBdr>
        <w:rPr>
          <w:noProof/>
        </w:rPr>
      </w:pPr>
      <w:r>
        <w:rPr>
          <w:noProof/>
        </w:rPr>
        <w:t>- της εμπειρίας των παρόχων υπηρεσιών σε σχέση με την ευκολία διεκπεραίωσης των παρεχόμενων ηλεκτρονικών διαδικασιών,</w:t>
      </w:r>
    </w:p>
    <w:p>
      <w:pPr>
        <w:pStyle w:val="Text1"/>
        <w:pBdr>
          <w:top w:val="single" w:sz="4" w:space="1" w:color="auto"/>
          <w:left w:val="single" w:sz="4" w:space="4" w:color="auto"/>
          <w:bottom w:val="single" w:sz="4" w:space="1" w:color="auto"/>
          <w:right w:val="single" w:sz="4" w:space="4" w:color="auto"/>
        </w:pBdr>
        <w:rPr>
          <w:noProof/>
        </w:rPr>
      </w:pPr>
      <w:r>
        <w:rPr>
          <w:noProof/>
        </w:rPr>
        <w:t>- της μέσης ταχύτητας των παρεχόμενων διαδικασιών,</w:t>
      </w:r>
    </w:p>
    <w:p>
      <w:pPr>
        <w:pStyle w:val="Text1"/>
        <w:pBdr>
          <w:top w:val="single" w:sz="4" w:space="1" w:color="auto"/>
          <w:left w:val="single" w:sz="4" w:space="4" w:color="auto"/>
          <w:bottom w:val="single" w:sz="4" w:space="1" w:color="auto"/>
          <w:right w:val="single" w:sz="4" w:space="4" w:color="auto"/>
        </w:pBdr>
        <w:rPr>
          <w:noProof/>
        </w:rPr>
      </w:pPr>
      <w:r>
        <w:rPr>
          <w:noProof/>
        </w:rPr>
        <w:t xml:space="preserve">- του αριθμού των ανταλλαγών πληροφοριών μεταξύ των κρατών μελών. </w:t>
      </w:r>
    </w:p>
    <w:p>
      <w:pPr>
        <w:pStyle w:val="Text1"/>
        <w:pBdr>
          <w:top w:val="single" w:sz="4" w:space="1" w:color="auto"/>
          <w:left w:val="single" w:sz="4" w:space="4" w:color="auto"/>
          <w:bottom w:val="single" w:sz="4" w:space="1" w:color="auto"/>
          <w:right w:val="single" w:sz="4" w:space="4" w:color="auto"/>
        </w:pBdr>
        <w:rPr>
          <w:noProof/>
        </w:rPr>
      </w:pPr>
      <w:r>
        <w:rPr>
          <w:noProof/>
        </w:rPr>
        <w:t>- της πείρας εκείνων των κρατών μελών που θα επιλέξουν να αξιοποιήσουν τη δυνατότητα που προσφέρει το άρθρο 6 παράγραφος 3 του κανονισμού σε σχέση με τα προαναφερόμενα κριτήρια</w:t>
      </w:r>
    </w:p>
    <w:p>
      <w:pPr>
        <w:pStyle w:val="ManualHeading2"/>
        <w:rPr>
          <w:bCs/>
          <w:noProof/>
          <w:szCs w:val="24"/>
        </w:rPr>
      </w:pPr>
      <w:r>
        <w:t>1.5.</w:t>
      </w:r>
      <w:r>
        <w:tab/>
      </w:r>
      <w:r>
        <w:rPr>
          <w:noProof/>
        </w:rPr>
        <w:t xml:space="preserve">Αιτιολόγηση της πρότασης/πρωτοβουλίας </w:t>
      </w:r>
    </w:p>
    <w:p>
      <w:pPr>
        <w:pStyle w:val="ManualHeading3"/>
        <w:rPr>
          <w:noProof/>
        </w:rPr>
      </w:pPr>
      <w:r>
        <w:t>1.5.1.</w:t>
      </w:r>
      <w:r>
        <w:tab/>
      </w:r>
      <w:r>
        <w:rPr>
          <w:noProof/>
        </w:rPr>
        <w:t xml:space="preserve">Βραχυπρόθεσμη ή μακροπρόθεσμη κάλυψη αναγκών </w:t>
      </w:r>
    </w:p>
    <w:p>
      <w:pPr>
        <w:pStyle w:val="Text1"/>
        <w:pBdr>
          <w:top w:val="single" w:sz="4" w:space="1" w:color="auto"/>
          <w:left w:val="single" w:sz="4" w:space="4" w:color="auto"/>
          <w:bottom w:val="single" w:sz="4" w:space="1" w:color="auto"/>
          <w:right w:val="single" w:sz="4" w:space="4" w:color="auto"/>
        </w:pBdr>
        <w:rPr>
          <w:noProof/>
        </w:rPr>
      </w:pPr>
      <w:r>
        <w:rPr>
          <w:noProof/>
        </w:rPr>
        <w:t xml:space="preserve">Η πρόταση θα μειώσει τον διοικητικό φόρτο και θα αυξήσει την ασφάλεια δικαίου για τους παρόχους υπηρεσιών που επιθυμούν να δραστηριοποιηθούν στην παροχή υπηρεσιών σε άλλο κράτος μέλος τόσο σε προσωρινή βάση όσο και μέσω δευτερεύουσας εγκατάστασης. Επιπλέον, θα ενισχύσει την εμπιστοσύνη της αγοράς </w:t>
      </w:r>
      <w:r>
        <w:rPr>
          <w:noProof/>
        </w:rPr>
        <w:lastRenderedPageBreak/>
        <w:t xml:space="preserve">στους παρόχους υπηρεσιών μέσω της αύξησης της διαφάνειας και των διαθέσιμων πληροφοριών. </w:t>
      </w:r>
    </w:p>
    <w:p>
      <w:pPr>
        <w:pStyle w:val="Text1"/>
        <w:pBdr>
          <w:top w:val="single" w:sz="4" w:space="1" w:color="auto"/>
          <w:left w:val="single" w:sz="4" w:space="4" w:color="auto"/>
          <w:bottom w:val="single" w:sz="4" w:space="1" w:color="auto"/>
          <w:right w:val="single" w:sz="4" w:space="4" w:color="auto"/>
        </w:pBdr>
        <w:rPr>
          <w:noProof/>
        </w:rPr>
      </w:pPr>
      <w:r>
        <w:rPr>
          <w:noProof/>
        </w:rPr>
        <w:t xml:space="preserve">Η ευρωπαϊκή ηλεκτρονική κάρτα υπηρεσιών θα έχει επίσης ορισμένα οφέλη για τις αρχές των κρατών μελών. Πρώτον, θα μειώσει τον φόρτο εργασίας των αρμόδιων αρχών σε αμφότερα τα κράτη μέλη καταγωγής και υποδοχής μέσω της αντικατάστασης της παραδοσιακής γραφειοκρατίας με ηλεκτρονική ροή εργασίας, η οποία θα είναι σε μεγάλο βαθμό τυποποιημένη, ενώ θα παρέχονται επίσης διευκολύνσεις αυτόματης μετάφρασης. Δεύτερον, οι διατυπώσεις θα εξορθολογιστούν υπό μία ηλεκτρονική εφαρμογή αντί να υπάρχουν αρκετές παράλληλες ροές εργασίας, όπως συμβαίνει επί του παρόντος. </w:t>
      </w:r>
    </w:p>
    <w:p>
      <w:pPr>
        <w:pStyle w:val="Text1"/>
        <w:pBdr>
          <w:top w:val="single" w:sz="4" w:space="1" w:color="auto"/>
          <w:left w:val="single" w:sz="4" w:space="4" w:color="auto"/>
          <w:bottom w:val="single" w:sz="4" w:space="1" w:color="auto"/>
          <w:right w:val="single" w:sz="4" w:space="4" w:color="auto"/>
        </w:pBdr>
        <w:rPr>
          <w:noProof/>
        </w:rPr>
      </w:pPr>
      <w:r>
        <w:rPr>
          <w:noProof/>
        </w:rPr>
        <w:t xml:space="preserve">Αυτό θα επιτευχθεί μέσω της θέσπισης μίας ενιαίας διαδικασίας σε επίπεδο ΕΕ, η οποία θα βασίζεται σε κοινή πανευρωπαϊκή πλατφόρμα ΤΠ (το σύστημα IMI). Το εν λόγω σύστημα αναπτύχθηκε από την Επιτροπή, η οποία μεριμνά εδώ και χρόνια για τη διαχείριση και τη χρηματοδότησή του. Τα κράτη μέλη είναι ήδη επαρκώς εξοικειωμένα με το IMI, καθώς περισσότερες από 5 000 αρμόδιες αρχές έχουν ήδη εγγραφεί σε αυτό από το 2011. </w:t>
      </w:r>
    </w:p>
    <w:p>
      <w:pPr>
        <w:pStyle w:val="ManualHeading3"/>
        <w:rPr>
          <w:bCs/>
          <w:noProof/>
          <w:szCs w:val="24"/>
        </w:rPr>
      </w:pPr>
      <w:r>
        <w:t>1.5.2.</w:t>
      </w:r>
      <w:r>
        <w:tab/>
      </w:r>
      <w:r>
        <w:rPr>
          <w:noProof/>
        </w:rPr>
        <w:t>Προστιθέμενη αξία παρέμβασης της ΕΕ</w:t>
      </w:r>
    </w:p>
    <w:p>
      <w:pPr>
        <w:pStyle w:val="Text1"/>
        <w:pBdr>
          <w:top w:val="single" w:sz="4" w:space="1" w:color="auto"/>
          <w:left w:val="single" w:sz="4" w:space="4" w:color="auto"/>
          <w:bottom w:val="single" w:sz="4" w:space="1" w:color="auto"/>
          <w:right w:val="single" w:sz="4" w:space="4" w:color="auto"/>
        </w:pBdr>
        <w:rPr>
          <w:noProof/>
        </w:rPr>
      </w:pPr>
      <w:r>
        <w:rPr>
          <w:noProof/>
        </w:rPr>
        <w:t>Ενδεχόμενες εθνικές ή περιφερειακές λύσεις διοικητικής απλούστευσης είναι πιθανό να παρουσιάζουν διαφορές μεταξύ των κρατών μελών από πλευράς εξοικονόμησης πόρων και αποτελεσματικότητας. Η ανάληψη δράσης σε επίπεδο ΕΕ θα συμβάλει στη μείωση της απόκλισης μεταξύ των προσεγγίσεων που ακολουθούν τα διάφορα κράτη μέλη, ωφελώντας έτσι τους παρόχους υπηρεσιών που αποφασίζουν να επεκταθούν σε διασυνοριακό επίπεδο.</w:t>
      </w:r>
    </w:p>
    <w:p>
      <w:pPr>
        <w:pStyle w:val="Text1"/>
        <w:pBdr>
          <w:top w:val="single" w:sz="4" w:space="1" w:color="auto"/>
          <w:left w:val="single" w:sz="4" w:space="4" w:color="auto"/>
          <w:bottom w:val="single" w:sz="4" w:space="1" w:color="auto"/>
          <w:right w:val="single" w:sz="4" w:space="4" w:color="auto"/>
        </w:pBdr>
        <w:rPr>
          <w:noProof/>
        </w:rPr>
      </w:pPr>
      <w:r>
        <w:rPr>
          <w:noProof/>
        </w:rPr>
        <w:t xml:space="preserve">Λόγω της φύσης του ΙΜΙ ως κεντρικού εργαλείου επικοινωνίας, το οποίο αναπτύχθηκε και φιλοξενείται από την Επιτροπή, θα είναι ευκολότερη η εισαγωγή και η εύρυθμη λειτουργία της διαδικασίας έκδοσης της ευρωπαϊκής ηλεκτρονικής κάρτας υπηρεσιών καθώς και ενός αποτελεσματικού συστήματος συνεργασίας μεταξύ των κρατών μελών. Η ευρωπαϊκή ηλεκτρονική κάρτα υπηρεσιών (βάσει του συστήματος IMI) θα συμβάλει επίσης στην άρση ορισμένων εμποδίων όπως το κόστος μετάφρασης για τις εταιρείες. Η Επιτροπή θα προσφέρει το ΙΜΙ ως δωρεάν πλατφόρμα ΤΠ στα κράτη μέλη που επιθυμούν να κάνουν χρήση της ηλεκτρονικής υποβολής προηγούμενων δηλώσεων για εργαζομένους που είναι αποσπασμένοι στο έδαφός τους. Θα καταστήσει διαθέσιμο το ΙΜΙ επίσης για εσωτερικές ανταλλαγές που συνδέονται με ευρωπαϊκές υπηρεσίες ηλεκτρονικής κάρτας, όταν το επιθυμούν τα κράτη μέλη. </w:t>
      </w:r>
    </w:p>
    <w:p>
      <w:pPr>
        <w:pStyle w:val="ManualHeading3"/>
        <w:rPr>
          <w:bCs/>
          <w:noProof/>
          <w:szCs w:val="24"/>
        </w:rPr>
      </w:pPr>
      <w:r>
        <w:t>1.5.3.</w:t>
      </w:r>
      <w:r>
        <w:tab/>
      </w:r>
      <w:r>
        <w:rPr>
          <w:noProof/>
        </w:rPr>
        <w:t>Διδάγματα που αποκομίστηκαν από ανάλογες εμπειρίες του παρελθόντος</w:t>
      </w:r>
    </w:p>
    <w:p>
      <w:pPr>
        <w:pStyle w:val="Text1"/>
        <w:pBdr>
          <w:top w:val="single" w:sz="4" w:space="1" w:color="auto"/>
          <w:left w:val="single" w:sz="4" w:space="4" w:color="auto"/>
          <w:bottom w:val="single" w:sz="4" w:space="1" w:color="auto"/>
          <w:right w:val="single" w:sz="4" w:space="4" w:color="auto"/>
        </w:pBdr>
        <w:rPr>
          <w:noProof/>
        </w:rPr>
      </w:pPr>
      <w:r>
        <w:rPr>
          <w:noProof/>
        </w:rPr>
        <w:t>Το σύστημα IMI έχει αποδειχθεί αποτελεσματικό και αξιόπιστο εργαλείο σε άλλους τομείς. Ένα καλό παράδειγμα είναι η διαδικασία της ευρωπαϊκής επαγγελματικής ταυτότητας για την αναγνώριση των επαγγελματικών προσόντων, που θεσπίστηκε το 2013 με την τροποποίηση της οδηγίας 2005/36/ΕΚ.</w:t>
      </w:r>
    </w:p>
    <w:p>
      <w:pPr>
        <w:pStyle w:val="Text1"/>
        <w:pBdr>
          <w:top w:val="single" w:sz="4" w:space="1" w:color="auto"/>
          <w:left w:val="single" w:sz="4" w:space="4" w:color="auto"/>
          <w:bottom w:val="single" w:sz="4" w:space="1" w:color="auto"/>
          <w:right w:val="single" w:sz="4" w:space="4" w:color="auto"/>
        </w:pBdr>
        <w:rPr>
          <w:noProof/>
        </w:rPr>
      </w:pPr>
      <w:r>
        <w:rPr>
          <w:noProof/>
        </w:rPr>
        <w:t xml:space="preserve">Η ευρωπαϊκή επαγγελματική ταυτότητα διευκολύνει την αναγνώριση των επαγγελματικών προσόντων για επιλεγμένες κατηγορίες επαγγελματιών. Πρόκειται για υπηρεσία που παρέχεται κεντρικά σε επίπεδο ΕΕ με σαφώς καθορισμένη διαδικασία η οποία εκτελείται μέσω του συστήματος IMI. Οι υποχρεώσεις των κρατών μελών στη ροή της διαδικασίας καθορίζονται λεπτομερώς. Με τον τρόπο </w:t>
      </w:r>
      <w:r>
        <w:rPr>
          <w:noProof/>
        </w:rPr>
        <w:lastRenderedPageBreak/>
        <w:t>αυτόν, παρακάμπτεται η ασάφεια γενικότερων κανόνων. Η ευρωπαϊκή επαγγελματική ταυτότητα είναι μια στοχευμένη λύση που βασίζεται σε συγκεκριμένους κανόνες οι οποίοι διέπουν πρακτικά ζητήματα, όπως τα έγγραφα, τις προθεσμίες επεξεργασίας αιτήσεων και τη σιωπηρή έγκριση σε περίπτωση μη εμπρόθεσμης λήψης τελικής απόφασης από τις αρχές της χώρας υποδοχής. Παρέχει έτσι έναν ευκολότερο, ταχύτερο και περισσότερο διαφανή τρόπο για την αναγνώριση των προσόντων.</w:t>
      </w:r>
    </w:p>
    <w:p>
      <w:pPr>
        <w:pStyle w:val="Text1"/>
        <w:pBdr>
          <w:top w:val="single" w:sz="4" w:space="1" w:color="auto"/>
          <w:left w:val="single" w:sz="4" w:space="4" w:color="auto"/>
          <w:bottom w:val="single" w:sz="4" w:space="1" w:color="auto"/>
          <w:right w:val="single" w:sz="4" w:space="4" w:color="auto"/>
        </w:pBdr>
        <w:rPr>
          <w:noProof/>
        </w:rPr>
      </w:pPr>
      <w:r>
        <w:rPr>
          <w:noProof/>
        </w:rPr>
        <w:t xml:space="preserve">Από τον Ιανουάριο του 2016 που κατέστη διαθέσιμη η συγκεκριμένη υπηρεσία, έχουν ήδη εκδοθεί περισσότερες από 560 ευρωπαϊκές επαγγελματικές ταυτότητες (από τις 20 Οκτωβρίου 2016). Η ανταπόκριση στην ευρωπαϊκή επαγγελματική ταυτότητα είναι σημαντική, γεγονός που καταδεικνύει την υψηλή ζήτηση που έχει μεταξύ των επαγγελματιών οι οποίοι δύνανται επί του παρόντος να ωφεληθούν από αυτήν (νοσηλευτές, φυσιοθεραπευτές, οδηγοί βουνού, κτηματομεσίτες και φαρμακοποιοί). </w:t>
      </w:r>
    </w:p>
    <w:p>
      <w:pPr>
        <w:pStyle w:val="ManualHeading3"/>
        <w:rPr>
          <w:bCs/>
          <w:noProof/>
          <w:szCs w:val="24"/>
        </w:rPr>
      </w:pPr>
      <w:r>
        <w:t>1.5.4.</w:t>
      </w:r>
      <w:r>
        <w:tab/>
      </w:r>
      <w:r>
        <w:rPr>
          <w:noProof/>
        </w:rPr>
        <w:t>Συμβατότητα και ενδεχόμενη συνέργεια με άλλα κατάλληλα μέσα</w:t>
      </w:r>
    </w:p>
    <w:p>
      <w:pPr>
        <w:pStyle w:val="Text1"/>
        <w:pBdr>
          <w:top w:val="single" w:sz="4" w:space="1" w:color="auto"/>
          <w:left w:val="single" w:sz="4" w:space="4" w:color="auto"/>
          <w:bottom w:val="single" w:sz="4" w:space="1" w:color="auto"/>
          <w:right w:val="single" w:sz="4" w:space="4" w:color="auto"/>
        </w:pBdr>
        <w:rPr>
          <w:noProof/>
        </w:rPr>
      </w:pPr>
      <w:r>
        <w:rPr>
          <w:noProof/>
        </w:rPr>
        <w:t xml:space="preserve">Επίκεινται αρκετές άλλες πρωτοβουλίες της Επιτροπής που επίσης αποσκοπούν στην εισαγωγή ηλεκτρονικών διαδικασιών ή διευκολύνσεων, για τις οποίες προβλέπεται η ανάπτυξη συνεργιών στο μέτρο του δυνατού. Τέτοιες είναι, μεταξύ άλλων, οι πρωτοβουλίες για τη διασύνδεση των μητρώων εταιρειών (BRIS), για τη διασύνδεση των μητρώων αφερεγγυότητας, καθώς και την επέκταση της μικρής μονοαπευθυντικής θυρίδας (MOSS) για τον ΦΠΑ. Το BRIS θα είναι έτοιμο προς λειτουργία από τα μέσα του 2017 και θα παρέχει ευρύτερη πρόσβαση σε δεδομένα εταιρειών. Από το 2019, θα συμπληρωθεί μάλιστα με διασύνδεση των μητρώων αφερεγγυότητας. Η μικρή μονοαπευθυντική θυρίδα (MOSS) για τον ΦΠΑ θα μειώσει μετά το 2021 το κόστος που επισύρουν για τους ξένους παρόχους υπηρεσιών οι συναφείς με τον ΦΠΑ διατυπώσεις.   </w:t>
      </w:r>
    </w:p>
    <w:p>
      <w:pPr>
        <w:pStyle w:val="Text1"/>
        <w:pBdr>
          <w:top w:val="single" w:sz="4" w:space="1" w:color="auto"/>
          <w:left w:val="single" w:sz="4" w:space="4" w:color="auto"/>
          <w:bottom w:val="single" w:sz="4" w:space="1" w:color="auto"/>
          <w:right w:val="single" w:sz="4" w:space="4" w:color="auto"/>
        </w:pBdr>
        <w:rPr>
          <w:noProof/>
        </w:rPr>
      </w:pPr>
      <w:r>
        <w:rPr>
          <w:noProof/>
        </w:rPr>
        <w:t>Όλες αυτές οι πρωτοβουλίες λειτουργούν συμπληρωματικά προς την ευρωπαϊκή ηλεκτρονική κάρτα υπηρεσιών. Επιπλέον, θα επιδιωχθεί η ανάπτυξη συνεργιών. Για παράδειγμα, οι συντονιστικές αρχές θα πρέπει να χρησιμοποιούν, εφόσον είναι τεχνικά εφικτό, τις πληροφορίες που διατίθενται μέσω του BRIS (καθώς και μέσω της διασύνδεσης των μητρώων αφερεγγυότητας) για την τελική διεκπεραίωση της αίτησης για ευρωπαϊκή ηλεκτρονική κάρτα υπηρεσιών ή για τη διασταύρωση των πληροφοριών.</w:t>
      </w:r>
    </w:p>
    <w:p>
      <w:pPr>
        <w:pStyle w:val="ManualHeading2"/>
        <w:rPr>
          <w:bCs/>
          <w:noProof/>
          <w:szCs w:val="24"/>
        </w:rPr>
      </w:pPr>
      <w:r>
        <w:rPr>
          <w:noProof/>
        </w:rPr>
        <w:br w:type="page"/>
      </w:r>
      <w:r>
        <w:lastRenderedPageBreak/>
        <w:t>1.6.</w:t>
      </w:r>
      <w:r>
        <w:tab/>
      </w:r>
      <w:r>
        <w:rPr>
          <w:noProof/>
        </w:rPr>
        <w:t xml:space="preserve">Διάρκεια και δημοσιονομικές επιπτώσεις </w:t>
      </w:r>
    </w:p>
    <w:p>
      <w:pPr>
        <w:ind w:left="850"/>
        <w:rPr>
          <w:rFonts w:eastAsia="Times New Roman"/>
          <w:noProof/>
        </w:rPr>
      </w:pPr>
      <w:r>
        <w:rPr>
          <w:rFonts w:eastAsia="Times New Roman"/>
          <w:noProof/>
        </w:rPr>
        <w:sym w:font="Wingdings" w:char="F0A8"/>
      </w:r>
      <w:r>
        <w:rPr>
          <w:b/>
          <w:i/>
          <w:noProof/>
        </w:rPr>
        <w:t xml:space="preserve"> </w:t>
      </w:r>
      <w:r>
        <w:rPr>
          <w:noProof/>
        </w:rPr>
        <w:t xml:space="preserve">Πρόταση/πρωτοβουλία </w:t>
      </w:r>
      <w:r>
        <w:rPr>
          <w:b/>
          <w:noProof/>
        </w:rPr>
        <w:t xml:space="preserve">περιορισμένης διάρκειας </w:t>
      </w:r>
    </w:p>
    <w:p>
      <w:pPr>
        <w:pStyle w:val="ListDash2"/>
        <w:rPr>
          <w:noProof/>
        </w:rPr>
      </w:pPr>
      <w:r>
        <w:rPr>
          <w:noProof/>
        </w:rPr>
        <w:sym w:font="Wingdings" w:char="F0A8"/>
      </w:r>
      <w:r>
        <w:rPr>
          <w:noProof/>
        </w:rPr>
        <w:t xml:space="preserve">Πρόταση/Πρωτοβουλία με ισχύ από την [ΗΗ/MM]ΕΕΕΕ μέχρι την [ΗΗ/MM]ΕΕΕΕ </w:t>
      </w:r>
    </w:p>
    <w:p>
      <w:pPr>
        <w:pStyle w:val="ListDash2"/>
        <w:rPr>
          <w:noProof/>
        </w:rPr>
      </w:pPr>
      <w:r>
        <w:rPr>
          <w:noProof/>
        </w:rPr>
        <w:sym w:font="Wingdings" w:char="F0A8"/>
      </w:r>
      <w:r>
        <w:rPr>
          <w:noProof/>
        </w:rPr>
        <w:t xml:space="preserve"> Δημοσιονομικές επιπτώσεις από το ΕΕΕΕ μέχρι το ΕΕΕΕ </w:t>
      </w:r>
    </w:p>
    <w:p>
      <w:pPr>
        <w:ind w:left="850"/>
        <w:rPr>
          <w:rFonts w:eastAsia="Times New Roman"/>
          <w:noProof/>
        </w:rPr>
      </w:pPr>
      <w:r>
        <w:rPr>
          <w:rFonts w:eastAsia="Times New Roman"/>
          <w:noProof/>
        </w:rPr>
        <w:sym w:font="Wingdings" w:char="F078"/>
      </w:r>
      <w:r>
        <w:rPr>
          <w:b/>
          <w:i/>
          <w:noProof/>
        </w:rPr>
        <w:t xml:space="preserve"> </w:t>
      </w:r>
      <w:r>
        <w:rPr>
          <w:noProof/>
        </w:rPr>
        <w:t xml:space="preserve">Πρόταση/πρωτοβουλία </w:t>
      </w:r>
      <w:r>
        <w:rPr>
          <w:b/>
          <w:noProof/>
        </w:rPr>
        <w:t>απεριόριστης διάρκειας</w:t>
      </w:r>
    </w:p>
    <w:p>
      <w:pPr>
        <w:tabs>
          <w:tab w:val="num" w:pos="1134"/>
        </w:tabs>
        <w:ind w:left="1134" w:hanging="283"/>
        <w:rPr>
          <w:rFonts w:eastAsia="Times New Roman"/>
          <w:noProof/>
        </w:rPr>
      </w:pPr>
      <w:r>
        <w:rPr>
          <w:noProof/>
        </w:rPr>
        <w:t>Περίοδος σταδιακής εφαρμογής από το 2018 μέχρι το 2021,</w:t>
      </w:r>
    </w:p>
    <w:p>
      <w:pPr>
        <w:tabs>
          <w:tab w:val="num" w:pos="1134"/>
        </w:tabs>
        <w:ind w:left="1134" w:hanging="283"/>
        <w:rPr>
          <w:rFonts w:eastAsia="Times New Roman"/>
          <w:noProof/>
        </w:rPr>
      </w:pPr>
      <w:r>
        <w:rPr>
          <w:noProof/>
        </w:rPr>
        <w:t>και στη συνέχεια πλήρης εφαρμογή. Οι δαπάνες φιλοξενίας, λειτουργίας και συντήρησης περιλαμβάνονται στο συναφές κόστος λειτουργίας του συστήματος IMI.</w:t>
      </w:r>
    </w:p>
    <w:p>
      <w:pPr>
        <w:pStyle w:val="ManualHeading2"/>
        <w:rPr>
          <w:bCs/>
          <w:noProof/>
          <w:szCs w:val="24"/>
        </w:rPr>
      </w:pPr>
      <w:r>
        <w:t>1.7.</w:t>
      </w:r>
      <w:r>
        <w:tab/>
      </w:r>
      <w:r>
        <w:rPr>
          <w:noProof/>
        </w:rPr>
        <w:t>Προβλεπόμενος/-οι τρόπος/-οι διαχείρισης</w:t>
      </w:r>
      <w:r>
        <w:rPr>
          <w:rStyle w:val="FootnoteReference"/>
          <w:noProof/>
        </w:rPr>
        <w:footnoteReference w:id="34"/>
      </w:r>
      <w:r>
        <w:rPr>
          <w:rStyle w:val="FootnoteReference"/>
          <w:noProof/>
        </w:rPr>
        <w:t xml:space="preserve"> </w:t>
      </w:r>
    </w:p>
    <w:p>
      <w:pPr>
        <w:pStyle w:val="Text1"/>
        <w:rPr>
          <w:noProof/>
        </w:rPr>
      </w:pPr>
      <w:r>
        <w:rPr>
          <w:noProof/>
        </w:rPr>
        <w:sym w:font="Wingdings" w:char="F078"/>
      </w:r>
      <w:r>
        <w:rPr>
          <w:i/>
          <w:noProof/>
        </w:rPr>
        <w:t xml:space="preserve"> </w:t>
      </w:r>
      <w:r>
        <w:rPr>
          <w:b/>
          <w:noProof/>
        </w:rPr>
        <w:t>Άμεση διαχείριση</w:t>
      </w:r>
      <w:r>
        <w:rPr>
          <w:noProof/>
        </w:rPr>
        <w:t xml:space="preserve"> από την Επιτροπή</w:t>
      </w:r>
    </w:p>
    <w:p>
      <w:pPr>
        <w:pStyle w:val="ListDash2"/>
        <w:rPr>
          <w:rFonts w:cs="EUAlbertina"/>
          <w:noProof/>
        </w:rPr>
      </w:pPr>
      <w:r>
        <w:rPr>
          <w:noProof/>
        </w:rPr>
        <w:sym w:font="Wingdings" w:char="F078"/>
      </w:r>
      <w:r>
        <w:rPr>
          <w:noProof/>
        </w:rPr>
        <w:tab/>
        <w:t xml:space="preserve">από τις υπηρεσίες της, συμπεριλαμβανομένου του προσωπικού της στις αντιπροσωπείες της Ένωσης· </w:t>
      </w:r>
    </w:p>
    <w:p>
      <w:pPr>
        <w:pStyle w:val="ListDash2"/>
        <w:rPr>
          <w:rFonts w:cs="EUAlbertina"/>
          <w:noProof/>
        </w:rPr>
      </w:pPr>
      <w:r>
        <w:rPr>
          <w:noProof/>
        </w:rPr>
        <w:sym w:font="Wingdings" w:char="F0A8"/>
      </w:r>
      <w:r>
        <w:rPr>
          <w:noProof/>
        </w:rPr>
        <w:tab/>
        <w:t xml:space="preserve">από τους εκτελεστικούς οργανισμούς </w:t>
      </w:r>
    </w:p>
    <w:p>
      <w:pPr>
        <w:pStyle w:val="Text1"/>
        <w:rPr>
          <w:noProof/>
        </w:rPr>
      </w:pPr>
      <w:r>
        <w:rPr>
          <w:noProof/>
        </w:rPr>
        <w:sym w:font="Wingdings" w:char="F0A8"/>
      </w:r>
      <w:r>
        <w:rPr>
          <w:b/>
          <w:i/>
          <w:noProof/>
        </w:rPr>
        <w:t xml:space="preserve"> </w:t>
      </w:r>
      <w:r>
        <w:rPr>
          <w:b/>
          <w:noProof/>
        </w:rPr>
        <w:t>Επιμερισμένη διαχείριση</w:t>
      </w:r>
      <w:r>
        <w:rPr>
          <w:noProof/>
        </w:rPr>
        <w:t xml:space="preserve"> με τα κράτη μέλη </w:t>
      </w:r>
    </w:p>
    <w:p>
      <w:pPr>
        <w:pStyle w:val="Text1"/>
        <w:rPr>
          <w:noProof/>
        </w:rPr>
      </w:pPr>
      <w:r>
        <w:rPr>
          <w:noProof/>
        </w:rPr>
        <w:sym w:font="Wingdings" w:char="F0A8"/>
      </w:r>
      <w:r>
        <w:rPr>
          <w:i/>
          <w:noProof/>
        </w:rPr>
        <w:t xml:space="preserve"> </w:t>
      </w:r>
      <w:r>
        <w:rPr>
          <w:b/>
          <w:noProof/>
        </w:rPr>
        <w:t>Έμμεση διαχείριση</w:t>
      </w:r>
      <w:r>
        <w:rPr>
          <w:noProof/>
        </w:rPr>
        <w:t xml:space="preserve"> με ανάθεση εκτελεστικών καθηκόντων σε:</w:t>
      </w:r>
    </w:p>
    <w:p>
      <w:pPr>
        <w:pStyle w:val="ListDash2"/>
        <w:rPr>
          <w:noProof/>
        </w:rPr>
      </w:pPr>
      <w:r>
        <w:rPr>
          <w:noProof/>
        </w:rPr>
        <w:sym w:font="Wingdings" w:char="F0A8"/>
      </w:r>
      <w:r>
        <w:rPr>
          <w:noProof/>
        </w:rPr>
        <w:t>τρίτες χώρες ή οργανισμούς που αυτές έχουν ορίσει,</w:t>
      </w:r>
    </w:p>
    <w:p>
      <w:pPr>
        <w:pStyle w:val="ListDash2"/>
        <w:rPr>
          <w:noProof/>
        </w:rPr>
      </w:pPr>
      <w:r>
        <w:rPr>
          <w:noProof/>
        </w:rPr>
        <w:sym w:font="Wingdings" w:char="F0A8"/>
      </w:r>
      <w:r>
        <w:rPr>
          <w:noProof/>
        </w:rPr>
        <w:t>διεθνείς οργανισμούς και τις οργανώσεις τους (να προσδιοριστούν),</w:t>
      </w:r>
    </w:p>
    <w:p>
      <w:pPr>
        <w:pStyle w:val="ListDash2"/>
        <w:rPr>
          <w:noProof/>
        </w:rPr>
      </w:pPr>
      <w:r>
        <w:rPr>
          <w:noProof/>
        </w:rPr>
        <w:sym w:font="Wingdings" w:char="F0A8"/>
      </w:r>
      <w:r>
        <w:rPr>
          <w:noProof/>
        </w:rPr>
        <w:t>την ΕΤΕπ και το Ευρωπαϊκό Ταμείο Επενδύσεων,</w:t>
      </w:r>
    </w:p>
    <w:p>
      <w:pPr>
        <w:pStyle w:val="ListDash2"/>
        <w:rPr>
          <w:noProof/>
        </w:rPr>
      </w:pPr>
      <w:r>
        <w:rPr>
          <w:noProof/>
        </w:rPr>
        <w:sym w:font="Wingdings" w:char="F0A8"/>
      </w:r>
      <w:r>
        <w:rPr>
          <w:noProof/>
        </w:rPr>
        <w:t>τους οργανισμούς που αναφέρονται στα άρθρα 208 και 209 του δημοσιονομικού κανονισμού,</w:t>
      </w:r>
    </w:p>
    <w:p>
      <w:pPr>
        <w:pStyle w:val="ListDash2"/>
        <w:rPr>
          <w:noProof/>
        </w:rPr>
      </w:pPr>
      <w:r>
        <w:rPr>
          <w:noProof/>
        </w:rPr>
        <w:sym w:font="Wingdings" w:char="F0A8"/>
      </w:r>
      <w:r>
        <w:rPr>
          <w:noProof/>
        </w:rPr>
        <w:t>οργανισμούς δημοσίου δικαίου,</w:t>
      </w:r>
    </w:p>
    <w:p>
      <w:pPr>
        <w:pStyle w:val="ListDash2"/>
        <w:rPr>
          <w:noProof/>
        </w:rPr>
      </w:pPr>
      <w:r>
        <w:rPr>
          <w:noProof/>
        </w:rPr>
        <w:sym w:font="Wingdings" w:char="F0A8"/>
      </w:r>
      <w:r>
        <w:rPr>
          <w:noProof/>
        </w:rPr>
        <w:t>οργανισμούς που διέπονται από ιδιωτικό δίκαιο με αποστολή δημόσιας υπηρεσίας στον βαθμό που προσφέρουν επαρκείς οικονομικές εγγυήσεις,</w:t>
      </w:r>
    </w:p>
    <w:p>
      <w:pPr>
        <w:pStyle w:val="ListDash2"/>
        <w:rPr>
          <w:noProof/>
        </w:rPr>
      </w:pPr>
      <w:r>
        <w:rPr>
          <w:noProof/>
        </w:rPr>
        <w:sym w:font="Wingdings" w:char="F0A8"/>
      </w:r>
      <w:r>
        <w:rPr>
          <w:noProof/>
        </w:rPr>
        <w:t>οργανισμούς που διέπονται από το ιδιωτικό δίκαιο κράτους μέλους, στους οποίους έχει ανατεθεί η εκτέλεση σύμπραξης δημόσιου και ιδιωτικού τομέα και που προσφέρουν επαρκείς οικονομικές εγγυήσεις,</w:t>
      </w:r>
    </w:p>
    <w:p>
      <w:pPr>
        <w:pStyle w:val="ListDash2"/>
        <w:rPr>
          <w:noProof/>
        </w:rPr>
        <w:sectPr>
          <w:pgSz w:w="11907" w:h="16840" w:code="9"/>
          <w:pgMar w:top="1134" w:right="1418" w:bottom="1134" w:left="1418" w:header="709" w:footer="709" w:gutter="0"/>
          <w:cols w:space="708"/>
          <w:docGrid w:linePitch="360"/>
        </w:sectPr>
      </w:pPr>
      <w:r>
        <w:rPr>
          <w:noProof/>
        </w:rPr>
        <w:sym w:font="Wingdings" w:char="F0A8"/>
      </w:r>
      <w:r>
        <w:rPr>
          <w:noProof/>
        </w:rPr>
        <w:t>πρόσωπα επιφορτισμένα με την εκτέλεση συγκεκριμένων δράσεων στην ΚΕΠΠΑ δυνάμει του τίτλου V της ΣΕΕ και προσδιορίζονται στην αντίστοιχη βασική πράξη.</w:t>
      </w:r>
    </w:p>
    <w:p>
      <w:pPr>
        <w:pStyle w:val="ManualHeading1"/>
        <w:rPr>
          <w:bCs/>
          <w:noProof/>
          <w:szCs w:val="24"/>
        </w:rPr>
      </w:pPr>
      <w:r>
        <w:lastRenderedPageBreak/>
        <w:t>2.</w:t>
      </w:r>
      <w:r>
        <w:tab/>
      </w:r>
      <w:r>
        <w:rPr>
          <w:noProof/>
        </w:rPr>
        <w:t xml:space="preserve">ΜΕΤΡΑ ΔΙΑΧΕΙΡΙΣΗΣ </w:t>
      </w:r>
    </w:p>
    <w:p>
      <w:pPr>
        <w:pStyle w:val="ManualHeading2"/>
        <w:rPr>
          <w:noProof/>
        </w:rPr>
      </w:pPr>
      <w:r>
        <w:t>2.1.</w:t>
      </w:r>
      <w:r>
        <w:tab/>
      </w:r>
      <w:r>
        <w:rPr>
          <w:noProof/>
        </w:rPr>
        <w:t xml:space="preserve">Διατάξεις στον τομέα της παρακολούθησης και της υποβολής εκθέσεων </w:t>
      </w:r>
    </w:p>
    <w:p>
      <w:pPr>
        <w:pStyle w:val="Text1"/>
        <w:rPr>
          <w:i/>
          <w:noProof/>
          <w:sz w:val="20"/>
          <w:u w:val="single"/>
        </w:rPr>
      </w:pPr>
      <w:r>
        <w:rPr>
          <w:i/>
          <w:noProof/>
          <w:sz w:val="20"/>
        </w:rPr>
        <w:t>Να προσδιοριστούν η συχνότητα και οι όροι των διατάξεων αυτών</w:t>
      </w:r>
    </w:p>
    <w:p>
      <w:pPr>
        <w:pStyle w:val="Text1"/>
        <w:pBdr>
          <w:top w:val="single" w:sz="4" w:space="1" w:color="auto"/>
          <w:left w:val="single" w:sz="4" w:space="4" w:color="auto"/>
          <w:bottom w:val="single" w:sz="4" w:space="1" w:color="auto"/>
          <w:right w:val="single" w:sz="4" w:space="4" w:color="auto"/>
        </w:pBdr>
        <w:rPr>
          <w:noProof/>
        </w:rPr>
      </w:pPr>
      <w:r>
        <w:rPr>
          <w:noProof/>
        </w:rPr>
        <w:t>Η Επιτροπή υποβάλλει εκθέσεις σχετικά με την ανάπτυξη και τις επιδόσεις του IMI μέσω του ηλεκτρονικού πίνακα αποτελεσμάτων της ενιαίας αγοράς.  Στο πλαίσιο αυτό, θα γίνεται επαρκής αναφορά στη χρήση του IMI για αιτήσεις σχετικά με την ευρωπαϊκή ηλεκτρονική κάρτα υπηρεσιών. Επιπλέον, θα υποβάλλονται στον Ευρωπαίο Επόπτη Προστασίας Δεδομένων περιοδικές εκθέσεις για ζητήματα που αφορούν την προστασία των δεδομένων του ΙΜΙ, συμπεριλαμβανομένης της ασφάλειας.</w:t>
      </w:r>
    </w:p>
    <w:p>
      <w:pPr>
        <w:pStyle w:val="Text1"/>
        <w:pBdr>
          <w:top w:val="single" w:sz="4" w:space="1" w:color="auto"/>
          <w:left w:val="single" w:sz="4" w:space="4" w:color="auto"/>
          <w:bottom w:val="single" w:sz="4" w:space="1" w:color="auto"/>
          <w:right w:val="single" w:sz="4" w:space="4" w:color="auto"/>
        </w:pBdr>
        <w:rPr>
          <w:noProof/>
        </w:rPr>
      </w:pPr>
      <w:r>
        <w:rPr>
          <w:noProof/>
        </w:rPr>
        <w:t xml:space="preserve">Προβλέπεται επίσης αναθεώρηση των μελλοντικών νομικών πράξεων μετά την πάροδο πενταετίας από τη θέσπιση της ευρωπαϊκής ηλεκτρονικής κάρτας υπηρεσιών. </w:t>
      </w:r>
    </w:p>
    <w:p>
      <w:pPr>
        <w:pStyle w:val="ManualHeading2"/>
        <w:rPr>
          <w:bCs/>
          <w:noProof/>
          <w:szCs w:val="24"/>
        </w:rPr>
      </w:pPr>
      <w:r>
        <w:t>2.2.</w:t>
      </w:r>
      <w:r>
        <w:tab/>
      </w:r>
      <w:r>
        <w:rPr>
          <w:noProof/>
        </w:rPr>
        <w:t xml:space="preserve">Σύστημα διαχείρισης και ελέγχου </w:t>
      </w:r>
    </w:p>
    <w:p>
      <w:pPr>
        <w:pStyle w:val="ManualHeading3"/>
        <w:rPr>
          <w:noProof/>
        </w:rPr>
      </w:pPr>
      <w:r>
        <w:t>2.2.1.</w:t>
      </w:r>
      <w:r>
        <w:tab/>
      </w:r>
      <w:r>
        <w:rPr>
          <w:noProof/>
        </w:rPr>
        <w:t xml:space="preserve">Κίνδυνος/-οι που έχει/-ουν εντοπιστεί </w:t>
      </w:r>
    </w:p>
    <w:p>
      <w:pPr>
        <w:pStyle w:val="Text1"/>
        <w:pBdr>
          <w:top w:val="single" w:sz="4" w:space="1" w:color="auto"/>
          <w:left w:val="single" w:sz="4" w:space="4" w:color="auto"/>
          <w:bottom w:val="single" w:sz="4" w:space="1" w:color="auto"/>
          <w:right w:val="single" w:sz="4" w:space="4" w:color="auto"/>
        </w:pBdr>
        <w:rPr>
          <w:noProof/>
        </w:rPr>
      </w:pPr>
      <w:r>
        <w:rPr>
          <w:noProof/>
        </w:rPr>
        <w:t xml:space="preserve">Ο γενικός κίνδυνος που δύναται να εντοπιστεί είναι η μη υιοθέτηση της ευρωπαϊκής ηλεκτρονικής κάρτας υπηρεσιών από τους παρόχους υπηρεσιών. Με άλλα λόγια, ο κίνδυνος να αναπτυχθεί πλήρως η ηλεκτρονική κάρτα και να είναι λειτουργική, αλλά να υπάρχει ελάχιστη ή μηδενική ζήτηση. Άλλος κίνδυνος είναι να δυσκολευτούν ενδεχομένως οι αρμόδιες αρχές στην προσαρμογή και να μην παρέχουν επαρκείς πόρους για την κατάλληλη και έγκαιρη επεξεργασία των αιτήσεων. </w:t>
      </w:r>
    </w:p>
    <w:p>
      <w:pPr>
        <w:pStyle w:val="Text1"/>
        <w:pBdr>
          <w:top w:val="single" w:sz="4" w:space="1" w:color="auto"/>
          <w:left w:val="single" w:sz="4" w:space="4" w:color="auto"/>
          <w:bottom w:val="single" w:sz="4" w:space="1" w:color="auto"/>
          <w:right w:val="single" w:sz="4" w:space="4" w:color="auto"/>
        </w:pBdr>
        <w:rPr>
          <w:noProof/>
        </w:rPr>
      </w:pPr>
      <w:r>
        <w:rPr>
          <w:noProof/>
        </w:rPr>
        <w:t>Ένα από τα κύρια χαρακτηριστικά της πρότασης είναι ότι η ευρωπαϊκή ηλεκτρονική κάρτα υπηρεσιών θα βασίζεται σε λειτουργικές δυνατότητες του ΙΜΙ. Οι γενικοί κίνδυνοι που εγκυμονεί το IMI, συμπεριλαμβανομένων των λειτουργικών κινδύνων, προσδιορίζονται στον κανονισμό (ΕΕ) αριθ. 1024/2012 («κανονισμός IMI»). Η Επιτροπή είναι ο «ιδιοκτήτης συστήματος» ΙΜΙ και υπεύθυνη για την καθημερινή λειτουργία, συντήρηση και ανάπτυξή του. Το σύστημα αναπτύσσεται και στεγάζεται από εσωτερικό προμηθευτή ο οποίος διασφαλίζει υψηλό επίπεδο συνέχειας της λειτουργίας. Η θέσπιση της ευρωπαϊκής ηλεκτρονικής κάρτας υπηρεσιών εγκυμονεί επίσης κινδύνους σε επίπεδο θεμάτων προστασίας δεδομένων.</w:t>
      </w:r>
    </w:p>
    <w:p>
      <w:pPr>
        <w:pStyle w:val="ManualHeading3"/>
        <w:rPr>
          <w:bCs/>
          <w:noProof/>
          <w:szCs w:val="24"/>
        </w:rPr>
      </w:pPr>
      <w:r>
        <w:t>2.2.2.</w:t>
      </w:r>
      <w:r>
        <w:tab/>
      </w:r>
      <w:r>
        <w:rPr>
          <w:noProof/>
        </w:rPr>
        <w:t>Πληροφορίες σχετικά με το σύστημα εσωτερικού ελέγχου που έχει καθοριστεί</w:t>
      </w:r>
    </w:p>
    <w:p>
      <w:pPr>
        <w:pStyle w:val="Text1"/>
        <w:pBdr>
          <w:top w:val="single" w:sz="4" w:space="1" w:color="auto"/>
          <w:left w:val="single" w:sz="4" w:space="4" w:color="auto"/>
          <w:bottom w:val="single" w:sz="4" w:space="1" w:color="auto"/>
          <w:right w:val="single" w:sz="4" w:space="4" w:color="auto"/>
        </w:pBdr>
        <w:rPr>
          <w:noProof/>
        </w:rPr>
      </w:pPr>
      <w:r>
        <w:rPr>
          <w:noProof/>
        </w:rPr>
        <w:t xml:space="preserve">Για την αντιμετώπιση των γενικών κινδύνων όπως προσδιορίζονται στην ενότητα 2.2.1 ανωτέρω, η Επιτροπή θα παρέχει υποστήριξη (π.χ., εργαστήρια, κ.λπ.) σε όλους τους ενδιαφερόμενους (π.χ., αρχές κρατών μελών, επαγγελματικούς φορείς, κ.λπ.) και θα προωθεί ενεργά την εισαγωγή και τη χρήση του νέου συστήματος. Τα οφέλη του προτεινόμενου εργαλείου θα κληθούν να προωθήσουν επίσης τα κράτη μέλη. </w:t>
      </w:r>
    </w:p>
    <w:p>
      <w:pPr>
        <w:pStyle w:val="Text1"/>
        <w:pBdr>
          <w:top w:val="single" w:sz="4" w:space="1" w:color="auto"/>
          <w:left w:val="single" w:sz="4" w:space="4" w:color="auto"/>
          <w:bottom w:val="single" w:sz="4" w:space="1" w:color="auto"/>
          <w:right w:val="single" w:sz="4" w:space="4" w:color="auto"/>
        </w:pBdr>
        <w:rPr>
          <w:noProof/>
        </w:rPr>
      </w:pPr>
      <w:r>
        <w:rPr>
          <w:noProof/>
        </w:rPr>
        <w:t xml:space="preserve">Οι λειτουργικές πτυχές της ευρωπαϊκής ηλεκτρονικής κάρτας υπηρεσιών, και συγκεκριμένα η δημόσια διεπαφή, η δυνατότητα λειτουργικής υποστήριξης καθώς και η λειτουργία κοινοποίησης, σχετίζονται με τη λειτουργία του IMI και πρέπει να λαμβάνονται υπόψη στο πλαίσιο της γενικής οργάνωσης του εσωτερικού ελέγχου του IMI, σύμφωνα με τα προβλεπόμενα στον κανονισμό IMI. Η διευθύνουσα επιτροπή του IMI είναι υπεύθυνη για την παρακολούθηση και τον έλεγχο υψηλού </w:t>
      </w:r>
      <w:r>
        <w:rPr>
          <w:noProof/>
        </w:rPr>
        <w:lastRenderedPageBreak/>
        <w:t>επιπέδου. Τακτικές συναντήσεις και εργαλεία υποβολής εκθέσεων διευκολύνουν τη στενή παρακολούθηση των εργασιών ανάπτυξης και συντήρησης των τεχνολογιών πληροφοριών (ΤΠ).</w:t>
      </w:r>
    </w:p>
    <w:p>
      <w:pPr>
        <w:pStyle w:val="Text1"/>
        <w:pBdr>
          <w:top w:val="single" w:sz="4" w:space="1" w:color="auto"/>
          <w:left w:val="single" w:sz="4" w:space="4" w:color="auto"/>
          <w:bottom w:val="single" w:sz="4" w:space="1" w:color="auto"/>
          <w:right w:val="single" w:sz="4" w:space="4" w:color="auto"/>
        </w:pBdr>
        <w:rPr>
          <w:noProof/>
        </w:rPr>
      </w:pPr>
      <w:r>
        <w:rPr>
          <w:noProof/>
        </w:rPr>
        <w:t>Επιπλέον, σύμφωνα με το άρθρο 21 του κανονισμού IMI, από το 2012, ο Ευρωπαίος Επόπτης Προστασίας Δεδομένων διασφαλίζει ότι η επεξεργασία προσωπικών δεδομένων από την Επιτροπή στο πλαίσιο του ΙΜΙ εκτελείται σύμφωνα με τις ισχύουσες διατάξεις. Οι εθνικές αρχές προστασίας δεδομένων θα παρακολουθούν την επεξεργασία προσωπικών δεδομένων από τις αρμόδιες αρχές σε επίπεδο κράτους μέλους.</w:t>
      </w:r>
    </w:p>
    <w:p>
      <w:pPr>
        <w:pStyle w:val="ManualHeading3"/>
        <w:rPr>
          <w:noProof/>
        </w:rPr>
      </w:pPr>
      <w:r>
        <w:t>2.2.3.</w:t>
      </w:r>
      <w:r>
        <w:tab/>
      </w:r>
      <w:r>
        <w:rPr>
          <w:noProof/>
        </w:rPr>
        <w:t xml:space="preserve">Εκτιμώμενο κόστος και όφελος των ελέγχων και αξιολόγηση του εκτιμώμενου επιπέδου κινδύνου σφάλματος </w:t>
      </w:r>
    </w:p>
    <w:p>
      <w:pPr>
        <w:pStyle w:val="Text1"/>
        <w:pBdr>
          <w:top w:val="single" w:sz="4" w:space="1" w:color="auto"/>
          <w:left w:val="single" w:sz="4" w:space="4" w:color="auto"/>
          <w:bottom w:val="single" w:sz="4" w:space="1" w:color="auto"/>
          <w:right w:val="single" w:sz="4" w:space="4" w:color="auto"/>
        </w:pBdr>
        <w:rPr>
          <w:noProof/>
        </w:rPr>
      </w:pPr>
      <w:r>
        <w:rPr>
          <w:noProof/>
        </w:rPr>
        <w:t>Οι γενικοί κίνδυνοι θα αντιμετωπιστούν μέσω των συναφών μέτρων που περιλαμβάνουν, μεταξύ άλλων, παροχή συνδρομής και πληροφόρησης στους οικείους ενδιαφερόμενους.</w:t>
      </w:r>
    </w:p>
    <w:p>
      <w:pPr>
        <w:pStyle w:val="Text1"/>
        <w:pBdr>
          <w:top w:val="single" w:sz="4" w:space="1" w:color="auto"/>
          <w:left w:val="single" w:sz="4" w:space="4" w:color="auto"/>
          <w:bottom w:val="single" w:sz="4" w:space="1" w:color="auto"/>
          <w:right w:val="single" w:sz="4" w:space="4" w:color="auto"/>
        </w:pBdr>
        <w:rPr>
          <w:noProof/>
        </w:rPr>
      </w:pPr>
      <w:r>
        <w:rPr>
          <w:noProof/>
        </w:rPr>
        <w:t>Η λειτουργία της ευρωπαϊκής ηλεκτρονικής κάρτας υπηρεσιών θα βασίζεται στις λειτουργικές δυνατότητες του IMI και θα καλύπτεται από το υφιστάμενο σύστημα διαχείρισης και ελέγχου του IMI. Εκτιμάται ότι η πρόταση δεν θα οδηγήσει σε αύξηση του κινδύνου εμφάνισης σφαλμάτων.</w:t>
      </w:r>
    </w:p>
    <w:p>
      <w:pPr>
        <w:pStyle w:val="ManualHeading2"/>
        <w:rPr>
          <w:bCs/>
          <w:noProof/>
          <w:szCs w:val="24"/>
        </w:rPr>
      </w:pPr>
      <w:r>
        <w:t>2.3.</w:t>
      </w:r>
      <w:r>
        <w:tab/>
      </w:r>
      <w:r>
        <w:rPr>
          <w:noProof/>
        </w:rPr>
        <w:t xml:space="preserve">Μέτρα για την πρόληψη περιπτώσεων απάτης και παρατυπίας </w:t>
      </w:r>
    </w:p>
    <w:p>
      <w:pPr>
        <w:pStyle w:val="Text1"/>
        <w:rPr>
          <w:i/>
          <w:noProof/>
          <w:sz w:val="20"/>
        </w:rPr>
      </w:pPr>
      <w:r>
        <w:rPr>
          <w:i/>
          <w:noProof/>
          <w:sz w:val="20"/>
        </w:rPr>
        <w:t>Να προσδιοριστούν τα ισχύοντα ή τα προβλεπόμενα μέτρα πρόληψης και προστασίας</w:t>
      </w:r>
    </w:p>
    <w:p>
      <w:pPr>
        <w:pBdr>
          <w:top w:val="single" w:sz="4" w:space="1" w:color="auto"/>
          <w:left w:val="single" w:sz="4" w:space="4" w:color="auto"/>
          <w:bottom w:val="single" w:sz="4" w:space="1" w:color="auto"/>
          <w:right w:val="single" w:sz="4" w:space="4" w:color="auto"/>
        </w:pBdr>
        <w:spacing w:before="100" w:beforeAutospacing="1" w:after="100" w:afterAutospacing="1"/>
        <w:ind w:left="851"/>
        <w:rPr>
          <w:rFonts w:eastAsia="Times New Roman"/>
          <w:noProof/>
        </w:rPr>
        <w:sectPr>
          <w:pgSz w:w="11907" w:h="16840" w:code="9"/>
          <w:pgMar w:top="1134" w:right="1418" w:bottom="1134" w:left="1418" w:header="709" w:footer="709" w:gutter="0"/>
          <w:cols w:space="708"/>
          <w:docGrid w:linePitch="360"/>
        </w:sectPr>
      </w:pPr>
      <w:r>
        <w:rPr>
          <w:noProof/>
        </w:rPr>
        <w:t>Για τους σκοπούς της καταπολέμησης της απάτης, της διαφθοράς και άλλων παράνομων δραστηριοτήτων, εφαρμόζονται στο πλαίσιο του ΙΜΙ, χωρίς κανένα περιορισμό, οι διατάξεις που εφαρμόζονται συνήθως στις δραστηριότητες της Επιτροπής, συμπεριλαμβανομένου του κανονισμού (ΕΕ, ΕΥΡΑΤΟΜ) αριθ. 883/2013 του Ευρωπαϊκού Κοινοβουλίου και του Συμβουλίου, της 11ης Σεπτεμβρίου 2013, σχετικά με τις έρευνες που πραγματοποιούνται από την Ευρωπαϊκή Υπηρεσία Καταπολέμησης της Απάτης (OLAF).</w:t>
      </w:r>
    </w:p>
    <w:p>
      <w:pPr>
        <w:pStyle w:val="ManualHeading1"/>
        <w:rPr>
          <w:bCs/>
          <w:noProof/>
          <w:szCs w:val="24"/>
        </w:rPr>
      </w:pPr>
      <w:r>
        <w:lastRenderedPageBreak/>
        <w:t>3.</w:t>
      </w:r>
      <w:r>
        <w:tab/>
      </w:r>
      <w:r>
        <w:rPr>
          <w:noProof/>
        </w:rPr>
        <w:t xml:space="preserve">ΕΚΤΙΜΩΜΕΝΕΣ ΔΗΜΟΣΙΟΝΟΜΙΚΕΣ ΕΠΙΠΤΩΣΕΙΣ ΤΗΣ ΠΡΟΤΑΣΗΣ/ΠΡΩΤΟΒΟΥΛΙΑΣ </w:t>
      </w:r>
    </w:p>
    <w:p>
      <w:pPr>
        <w:pStyle w:val="ManualHeading2"/>
        <w:rPr>
          <w:noProof/>
        </w:rPr>
      </w:pPr>
      <w:r>
        <w:t>3.1.</w:t>
      </w:r>
      <w:r>
        <w:tab/>
      </w:r>
      <w:r>
        <w:rPr>
          <w:noProof/>
        </w:rPr>
        <w:t xml:space="preserve">Τομέας/-είς του πολυετούς δημοσιονομικού πλαισίου και γραμμή/-ές δαπανών του προϋπολογισμού που επηρεάζονται </w:t>
      </w:r>
    </w:p>
    <w:p>
      <w:pPr>
        <w:pStyle w:val="ListBullet1"/>
        <w:rPr>
          <w:noProof/>
        </w:rPr>
      </w:pPr>
      <w:r>
        <w:rPr>
          <w:noProof/>
        </w:rPr>
        <w:t xml:space="preserve">Υφιστάμενες γραμμές του προϋπολογισμού </w:t>
      </w:r>
    </w:p>
    <w:p>
      <w:pPr>
        <w:pStyle w:val="Text1"/>
        <w:rPr>
          <w:noProof/>
        </w:rPr>
      </w:pPr>
      <w:r>
        <w:rPr>
          <w:noProof/>
          <w:u w:val="single"/>
        </w:rPr>
        <w:t>Σύμφωνα με τη σειρά</w:t>
      </w:r>
      <w:r>
        <w:rPr>
          <w:noProof/>
        </w:rPr>
        <w:t xml:space="preserve"> των τομέων του πολυετούς δημοσιονομικού πλαισίου και των γραμμών του προϋπολογισμού.</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Τομέας του πολυετούς δημοσιονομικού πλαισίου</w:t>
            </w:r>
          </w:p>
        </w:tc>
        <w:tc>
          <w:tcPr>
            <w:tcW w:w="3960" w:type="dxa"/>
            <w:vAlign w:val="center"/>
          </w:tcPr>
          <w:p>
            <w:pPr>
              <w:spacing w:before="60" w:after="60"/>
              <w:jc w:val="center"/>
              <w:rPr>
                <w:noProof/>
              </w:rPr>
            </w:pPr>
            <w:r>
              <w:rPr>
                <w:noProof/>
                <w:sz w:val="20"/>
              </w:rPr>
              <w:t>Γραμμή προϋπολογισμού</w:t>
            </w:r>
          </w:p>
        </w:tc>
        <w:tc>
          <w:tcPr>
            <w:tcW w:w="1080" w:type="dxa"/>
            <w:vAlign w:val="center"/>
          </w:tcPr>
          <w:p>
            <w:pPr>
              <w:spacing w:before="60" w:after="60"/>
              <w:jc w:val="center"/>
              <w:rPr>
                <w:noProof/>
              </w:rPr>
            </w:pPr>
            <w:r>
              <w:rPr>
                <w:noProof/>
              </w:rPr>
              <w:t>Είδος</w:t>
            </w:r>
            <w:r>
              <w:rPr>
                <w:noProof/>
              </w:rPr>
              <w:br/>
            </w:r>
            <w:r>
              <w:rPr>
                <w:noProof/>
                <w:sz w:val="18"/>
              </w:rPr>
              <w:t>δαπάνης</w:t>
            </w:r>
          </w:p>
        </w:tc>
        <w:tc>
          <w:tcPr>
            <w:tcW w:w="4440" w:type="dxa"/>
            <w:gridSpan w:val="4"/>
            <w:vAlign w:val="center"/>
          </w:tcPr>
          <w:p>
            <w:pPr>
              <w:spacing w:before="60" w:after="60"/>
              <w:jc w:val="center"/>
              <w:rPr>
                <w:noProof/>
              </w:rPr>
            </w:pPr>
            <w:r>
              <w:rPr>
                <w:noProof/>
                <w:sz w:val="20"/>
              </w:rPr>
              <w:t xml:space="preserve">Συμμετοχή </w:t>
            </w:r>
          </w:p>
        </w:tc>
      </w:tr>
      <w:tr>
        <w:tc>
          <w:tcPr>
            <w:tcW w:w="1080" w:type="dxa"/>
            <w:vMerge/>
            <w:vAlign w:val="center"/>
          </w:tcPr>
          <w:p>
            <w:pPr>
              <w:jc w:val="center"/>
              <w:rPr>
                <w:noProof/>
              </w:rPr>
            </w:pPr>
          </w:p>
        </w:tc>
        <w:tc>
          <w:tcPr>
            <w:tcW w:w="3960" w:type="dxa"/>
            <w:vAlign w:val="center"/>
          </w:tcPr>
          <w:p>
            <w:pPr>
              <w:rPr>
                <w:noProof/>
              </w:rPr>
            </w:pPr>
            <w:r>
              <w:rPr>
                <w:noProof/>
              </w:rPr>
              <w:t>Αριθμός</w:t>
            </w:r>
            <w:r>
              <w:rPr>
                <w:noProof/>
              </w:rPr>
              <w:br/>
            </w:r>
            <w:r>
              <w:rPr>
                <w:noProof/>
                <w:sz w:val="20"/>
              </w:rPr>
              <w:t>[Τομέας…...…]</w:t>
            </w:r>
          </w:p>
        </w:tc>
        <w:tc>
          <w:tcPr>
            <w:tcW w:w="1080" w:type="dxa"/>
            <w:vAlign w:val="center"/>
          </w:tcPr>
          <w:p>
            <w:pPr>
              <w:jc w:val="center"/>
              <w:rPr>
                <w:noProof/>
              </w:rPr>
            </w:pPr>
            <w:r>
              <w:rPr>
                <w:noProof/>
                <w:sz w:val="18"/>
              </w:rPr>
              <w:t>ΔΠ/ΜΔΠ</w:t>
            </w:r>
            <w:r>
              <w:rPr>
                <w:rStyle w:val="FootnoteReference"/>
                <w:noProof/>
                <w:sz w:val="18"/>
              </w:rPr>
              <w:footnoteReference w:id="35"/>
            </w:r>
            <w:r>
              <w:rPr>
                <w:noProof/>
              </w:rPr>
              <w:t>.</w:t>
            </w:r>
          </w:p>
        </w:tc>
        <w:tc>
          <w:tcPr>
            <w:tcW w:w="956" w:type="dxa"/>
            <w:vAlign w:val="center"/>
          </w:tcPr>
          <w:p>
            <w:pPr>
              <w:jc w:val="center"/>
              <w:rPr>
                <w:noProof/>
              </w:rPr>
            </w:pPr>
            <w:r>
              <w:rPr>
                <w:noProof/>
                <w:sz w:val="18"/>
              </w:rPr>
              <w:t>χωρών ΕΖΕΣ</w:t>
            </w:r>
            <w:r>
              <w:rPr>
                <w:rStyle w:val="FootnoteReference"/>
                <w:noProof/>
                <w:sz w:val="18"/>
              </w:rPr>
              <w:footnoteReference w:id="36"/>
            </w:r>
          </w:p>
          <w:p>
            <w:pPr>
              <w:spacing w:before="0" w:after="0"/>
              <w:jc w:val="center"/>
              <w:rPr>
                <w:b/>
                <w:noProof/>
                <w:sz w:val="18"/>
              </w:rPr>
            </w:pPr>
          </w:p>
        </w:tc>
        <w:tc>
          <w:tcPr>
            <w:tcW w:w="1080" w:type="dxa"/>
            <w:vAlign w:val="center"/>
          </w:tcPr>
          <w:p>
            <w:pPr>
              <w:jc w:val="center"/>
              <w:rPr>
                <w:noProof/>
              </w:rPr>
            </w:pPr>
            <w:r>
              <w:rPr>
                <w:noProof/>
                <w:sz w:val="18"/>
              </w:rPr>
              <w:t>υποψηφίων για ένταξη χωρών</w:t>
            </w:r>
            <w:r>
              <w:rPr>
                <w:rStyle w:val="FootnoteReference"/>
                <w:noProof/>
                <w:sz w:val="18"/>
              </w:rPr>
              <w:footnoteReference w:id="37"/>
            </w:r>
          </w:p>
          <w:p>
            <w:pPr>
              <w:spacing w:before="0" w:after="0"/>
              <w:jc w:val="center"/>
              <w:rPr>
                <w:noProof/>
                <w:sz w:val="18"/>
              </w:rPr>
            </w:pPr>
          </w:p>
        </w:tc>
        <w:tc>
          <w:tcPr>
            <w:tcW w:w="956" w:type="dxa"/>
            <w:vAlign w:val="center"/>
          </w:tcPr>
          <w:p>
            <w:pPr>
              <w:jc w:val="center"/>
              <w:rPr>
                <w:noProof/>
                <w:sz w:val="18"/>
              </w:rPr>
            </w:pPr>
            <w:r>
              <w:rPr>
                <w:noProof/>
                <w:sz w:val="18"/>
              </w:rPr>
              <w:t>τρίτων χωρών</w:t>
            </w:r>
          </w:p>
        </w:tc>
        <w:tc>
          <w:tcPr>
            <w:tcW w:w="1448" w:type="dxa"/>
            <w:vAlign w:val="center"/>
          </w:tcPr>
          <w:p>
            <w:pPr>
              <w:jc w:val="center"/>
              <w:rPr>
                <w:noProof/>
              </w:rPr>
            </w:pPr>
            <w:r>
              <w:rPr>
                <w:noProof/>
                <w:sz w:val="16"/>
              </w:rPr>
              <w:t xml:space="preserve">κατά την έννοια του άρθρου 21 παράγραφος 2 στοιχείο β) του δημοσιονομικού κανονισμού </w:t>
            </w:r>
          </w:p>
        </w:tc>
      </w:tr>
      <w:tr>
        <w:tc>
          <w:tcPr>
            <w:tcW w:w="1080" w:type="dxa"/>
            <w:vAlign w:val="center"/>
          </w:tcPr>
          <w:p>
            <w:pPr>
              <w:jc w:val="center"/>
              <w:rPr>
                <w:noProof/>
              </w:rPr>
            </w:pPr>
            <w:r>
              <w:rPr>
                <w:noProof/>
              </w:rPr>
              <w:t>1A</w:t>
            </w:r>
          </w:p>
        </w:tc>
        <w:tc>
          <w:tcPr>
            <w:tcW w:w="3960" w:type="dxa"/>
            <w:vAlign w:val="center"/>
          </w:tcPr>
          <w:p>
            <w:pPr>
              <w:spacing w:before="60"/>
              <w:jc w:val="left"/>
              <w:rPr>
                <w:noProof/>
              </w:rPr>
            </w:pPr>
            <w:r>
              <w:rPr>
                <w:noProof/>
              </w:rPr>
              <w:t>02.03.04</w:t>
            </w:r>
          </w:p>
          <w:p>
            <w:pPr>
              <w:spacing w:before="60"/>
              <w:jc w:val="left"/>
              <w:rPr>
                <w:noProof/>
              </w:rPr>
            </w:pPr>
            <w:r>
              <w:rPr>
                <w:noProof/>
              </w:rPr>
              <w:t>Μέσα διακυβέρνησης της εσωτερικής αγοράς</w:t>
            </w:r>
          </w:p>
        </w:tc>
        <w:tc>
          <w:tcPr>
            <w:tcW w:w="1080" w:type="dxa"/>
            <w:shd w:val="clear" w:color="auto" w:fill="auto"/>
            <w:vAlign w:val="center"/>
          </w:tcPr>
          <w:p>
            <w:pPr>
              <w:jc w:val="center"/>
              <w:rPr>
                <w:noProof/>
              </w:rPr>
            </w:pPr>
            <w:r>
              <w:rPr>
                <w:noProof/>
                <w:sz w:val="22"/>
              </w:rPr>
              <w:t>ΔΠ</w:t>
            </w:r>
          </w:p>
        </w:tc>
        <w:tc>
          <w:tcPr>
            <w:tcW w:w="956" w:type="dxa"/>
            <w:shd w:val="clear" w:color="auto" w:fill="auto"/>
            <w:vAlign w:val="center"/>
          </w:tcPr>
          <w:p>
            <w:pPr>
              <w:jc w:val="center"/>
              <w:rPr>
                <w:noProof/>
              </w:rPr>
            </w:pPr>
            <w:r>
              <w:rPr>
                <w:noProof/>
                <w:sz w:val="22"/>
              </w:rPr>
              <w:t>ΝΑΙ</w:t>
            </w:r>
          </w:p>
        </w:tc>
        <w:tc>
          <w:tcPr>
            <w:tcW w:w="1080" w:type="dxa"/>
            <w:shd w:val="clear" w:color="auto" w:fill="auto"/>
            <w:vAlign w:val="center"/>
          </w:tcPr>
          <w:p>
            <w:pPr>
              <w:jc w:val="center"/>
              <w:rPr>
                <w:noProof/>
              </w:rPr>
            </w:pPr>
            <w:r>
              <w:rPr>
                <w:noProof/>
                <w:sz w:val="22"/>
              </w:rPr>
              <w:t>ΌΧΙ</w:t>
            </w:r>
          </w:p>
        </w:tc>
        <w:tc>
          <w:tcPr>
            <w:tcW w:w="956" w:type="dxa"/>
            <w:shd w:val="clear" w:color="auto" w:fill="auto"/>
            <w:vAlign w:val="center"/>
          </w:tcPr>
          <w:p>
            <w:pPr>
              <w:jc w:val="center"/>
              <w:rPr>
                <w:noProof/>
              </w:rPr>
            </w:pPr>
            <w:r>
              <w:rPr>
                <w:noProof/>
                <w:sz w:val="22"/>
              </w:rPr>
              <w:t>ΌΧΙ</w:t>
            </w:r>
          </w:p>
        </w:tc>
        <w:tc>
          <w:tcPr>
            <w:tcW w:w="1448" w:type="dxa"/>
            <w:shd w:val="clear" w:color="auto" w:fill="auto"/>
            <w:vAlign w:val="center"/>
          </w:tcPr>
          <w:p>
            <w:pPr>
              <w:jc w:val="center"/>
              <w:rPr>
                <w:noProof/>
              </w:rPr>
            </w:pPr>
            <w:r>
              <w:rPr>
                <w:noProof/>
                <w:sz w:val="22"/>
              </w:rPr>
              <w:t>ΌΧΙ</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lastRenderedPageBreak/>
        <w:t>3.2.</w:t>
      </w:r>
      <w:r>
        <w:tab/>
      </w:r>
      <w:r>
        <w:rPr>
          <w:noProof/>
        </w:rPr>
        <w:t xml:space="preserve">Εκτιμώμενες επιπτώσεις στις δαπάνες </w:t>
      </w:r>
    </w:p>
    <w:p>
      <w:pPr>
        <w:pStyle w:val="Text1"/>
        <w:rPr>
          <w:noProof/>
        </w:rPr>
      </w:pPr>
      <w:r>
        <w:rPr>
          <w:noProof/>
        </w:rPr>
        <w:t>Τα κονδύλια που αναφέρονται στην παρούσα ενότητα θα προέλθουν από αναδιάταξη πόρων· δεν αναμένεται καμία δημοσιονομική επίπτωση στον προϋπολογισμό της ΕΕ πέραν των πιστώσεων που προβλέπονται ήδη στον επίσημο δημοσιονομικό προγραμματισμό της Επιτροπής.</w:t>
      </w:r>
    </w:p>
    <w:p>
      <w:pPr>
        <w:pStyle w:val="ManualHeading3"/>
        <w:rPr>
          <w:noProof/>
          <w:u w:val="single"/>
        </w:rPr>
      </w:pPr>
      <w:r>
        <w:t>3.2.1.</w:t>
      </w:r>
      <w:r>
        <w:tab/>
      </w:r>
      <w:r>
        <w:rPr>
          <w:noProof/>
        </w:rPr>
        <w:t xml:space="preserve">Συνοπτική παρουσίαση των εκτιμώμενων επιπτώσεων στις δαπάνες </w:t>
      </w:r>
    </w:p>
    <w:p>
      <w:pPr>
        <w:jc w:val="right"/>
        <w:rPr>
          <w:noProof/>
          <w:sz w:val="20"/>
        </w:rPr>
      </w:pPr>
      <w:r>
        <w:rPr>
          <w:noProof/>
          <w:sz w:val="20"/>
        </w:rPr>
        <w:t xml:space="preserve">σε EUR </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rPr>
              <w:t>Τομέας του πολυετούς δημοσιονομικού</w:t>
            </w:r>
            <w:r>
              <w:rPr>
                <w:noProof/>
                <w:sz w:val="22"/>
              </w:rPr>
              <w:br/>
            </w:r>
            <w:r>
              <w:rPr>
                <w:b/>
                <w:noProof/>
                <w:sz w:val="22"/>
              </w:rPr>
              <w:t xml:space="preserve">πλαισίου: </w:t>
            </w:r>
          </w:p>
        </w:tc>
        <w:tc>
          <w:tcPr>
            <w:tcW w:w="1080" w:type="dxa"/>
            <w:vAlign w:val="center"/>
          </w:tcPr>
          <w:p>
            <w:pPr>
              <w:spacing w:before="60" w:after="60"/>
              <w:jc w:val="center"/>
              <w:rPr>
                <w:noProof/>
                <w:sz w:val="22"/>
              </w:rPr>
            </w:pPr>
            <w:r>
              <w:rPr>
                <w:noProof/>
                <w:sz w:val="22"/>
              </w:rPr>
              <w:t>1A</w:t>
            </w:r>
          </w:p>
        </w:tc>
        <w:tc>
          <w:tcPr>
            <w:tcW w:w="7817" w:type="dxa"/>
            <w:vAlign w:val="center"/>
          </w:tcPr>
          <w:p>
            <w:pPr>
              <w:spacing w:before="60" w:after="60"/>
              <w:rPr>
                <w:noProof/>
                <w:sz w:val="22"/>
              </w:rPr>
            </w:pPr>
            <w:r>
              <w:rPr>
                <w:noProof/>
                <w:sz w:val="22"/>
              </w:rPr>
              <w:t>Ανταγωνιστικότητα για την ανάπτυξη και την απασχόληση</w:t>
            </w:r>
          </w:p>
        </w:tc>
      </w:tr>
    </w:tbl>
    <w:p>
      <w:pPr>
        <w:rPr>
          <w:noProof/>
          <w:sz w:val="16"/>
        </w:rPr>
      </w:pPr>
    </w:p>
    <w:tbl>
      <w:tblPr>
        <w:tblW w:w="146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70"/>
        <w:gridCol w:w="1843"/>
        <w:gridCol w:w="1134"/>
        <w:gridCol w:w="992"/>
        <w:gridCol w:w="1134"/>
        <w:gridCol w:w="1134"/>
        <w:gridCol w:w="2410"/>
      </w:tblGrid>
      <w:tr>
        <w:tc>
          <w:tcPr>
            <w:tcW w:w="3960" w:type="dxa"/>
            <w:vAlign w:val="center"/>
          </w:tcPr>
          <w:p>
            <w:pPr>
              <w:jc w:val="center"/>
              <w:rPr>
                <w:rFonts w:eastAsia="Times New Roman"/>
                <w:noProof/>
              </w:rPr>
            </w:pPr>
            <w:r>
              <w:rPr>
                <w:noProof/>
                <w:sz w:val="22"/>
              </w:rPr>
              <w:t>ΓΔ: GROW</w:t>
            </w:r>
          </w:p>
        </w:tc>
        <w:tc>
          <w:tcPr>
            <w:tcW w:w="2070" w:type="dxa"/>
          </w:tcPr>
          <w:p>
            <w:pPr>
              <w:rPr>
                <w:rFonts w:eastAsia="Times New Roman"/>
                <w:noProof/>
                <w:sz w:val="20"/>
              </w:rPr>
            </w:pPr>
          </w:p>
        </w:tc>
        <w:tc>
          <w:tcPr>
            <w:tcW w:w="1843" w:type="dxa"/>
          </w:tcPr>
          <w:p>
            <w:pPr>
              <w:jc w:val="center"/>
              <w:rPr>
                <w:rFonts w:eastAsia="Times New Roman"/>
                <w:noProof/>
                <w:sz w:val="20"/>
              </w:rPr>
            </w:pPr>
          </w:p>
        </w:tc>
        <w:tc>
          <w:tcPr>
            <w:tcW w:w="1134" w:type="dxa"/>
            <w:vAlign w:val="center"/>
          </w:tcPr>
          <w:p>
            <w:pPr>
              <w:jc w:val="center"/>
              <w:rPr>
                <w:rFonts w:eastAsia="Times New Roman"/>
                <w:noProof/>
                <w:sz w:val="18"/>
                <w:szCs w:val="18"/>
              </w:rPr>
            </w:pPr>
            <w:r>
              <w:rPr>
                <w:noProof/>
                <w:sz w:val="18"/>
              </w:rPr>
              <w:t>2018</w:t>
            </w:r>
          </w:p>
        </w:tc>
        <w:tc>
          <w:tcPr>
            <w:tcW w:w="992" w:type="dxa"/>
            <w:vAlign w:val="center"/>
          </w:tcPr>
          <w:p>
            <w:pPr>
              <w:jc w:val="center"/>
              <w:rPr>
                <w:rFonts w:eastAsia="Times New Roman"/>
                <w:noProof/>
                <w:sz w:val="18"/>
                <w:szCs w:val="18"/>
              </w:rPr>
            </w:pPr>
            <w:r>
              <w:rPr>
                <w:noProof/>
                <w:sz w:val="18"/>
              </w:rPr>
              <w:t>2019</w:t>
            </w:r>
          </w:p>
        </w:tc>
        <w:tc>
          <w:tcPr>
            <w:tcW w:w="1134" w:type="dxa"/>
            <w:vAlign w:val="center"/>
          </w:tcPr>
          <w:p>
            <w:pPr>
              <w:jc w:val="center"/>
              <w:rPr>
                <w:rFonts w:eastAsia="Times New Roman"/>
                <w:noProof/>
                <w:sz w:val="18"/>
                <w:szCs w:val="18"/>
              </w:rPr>
            </w:pPr>
            <w:r>
              <w:rPr>
                <w:noProof/>
                <w:sz w:val="18"/>
              </w:rPr>
              <w:t>2020</w:t>
            </w:r>
          </w:p>
        </w:tc>
        <w:tc>
          <w:tcPr>
            <w:tcW w:w="1134" w:type="dxa"/>
            <w:vAlign w:val="center"/>
          </w:tcPr>
          <w:p>
            <w:pPr>
              <w:jc w:val="center"/>
              <w:rPr>
                <w:rFonts w:eastAsia="Times New Roman"/>
                <w:noProof/>
                <w:sz w:val="18"/>
                <w:szCs w:val="18"/>
              </w:rPr>
            </w:pPr>
            <w:r>
              <w:rPr>
                <w:noProof/>
                <w:sz w:val="18"/>
              </w:rPr>
              <w:t>2021</w:t>
            </w:r>
          </w:p>
        </w:tc>
        <w:tc>
          <w:tcPr>
            <w:tcW w:w="2410" w:type="dxa"/>
            <w:vAlign w:val="center"/>
          </w:tcPr>
          <w:p>
            <w:pPr>
              <w:jc w:val="center"/>
              <w:rPr>
                <w:rFonts w:eastAsia="Times New Roman"/>
                <w:b/>
                <w:noProof/>
                <w:sz w:val="18"/>
                <w:szCs w:val="18"/>
              </w:rPr>
            </w:pPr>
            <w:r>
              <w:rPr>
                <w:b/>
                <w:noProof/>
                <w:sz w:val="18"/>
              </w:rPr>
              <w:t>ΣΥΝΟΛΟ</w:t>
            </w:r>
          </w:p>
        </w:tc>
      </w:tr>
      <w:tr>
        <w:trPr>
          <w:trHeight w:val="213"/>
        </w:trPr>
        <w:tc>
          <w:tcPr>
            <w:tcW w:w="7873" w:type="dxa"/>
            <w:gridSpan w:val="3"/>
            <w:vAlign w:val="center"/>
          </w:tcPr>
          <w:p>
            <w:pPr>
              <w:spacing w:before="20" w:after="20"/>
              <w:rPr>
                <w:rFonts w:eastAsia="Times New Roman"/>
                <w:noProof/>
                <w:sz w:val="21"/>
              </w:rPr>
            </w:pPr>
            <w:r>
              <w:rPr>
                <w:rFonts w:eastAsia="Times New Roman"/>
                <w:noProof/>
                <w:sz w:val="21"/>
              </w:rPr>
              <w:sym w:font="Wingdings" w:char="F09F"/>
            </w:r>
            <w:r>
              <w:rPr>
                <w:noProof/>
                <w:sz w:val="21"/>
              </w:rPr>
              <w:t xml:space="preserve"> Επιχειρησιακές πιστώσεις </w:t>
            </w:r>
          </w:p>
        </w:tc>
        <w:tc>
          <w:tcPr>
            <w:tcW w:w="1134" w:type="dxa"/>
            <w:vAlign w:val="center"/>
          </w:tcPr>
          <w:p>
            <w:pPr>
              <w:rPr>
                <w:rFonts w:eastAsia="Times New Roman"/>
                <w:noProof/>
                <w:sz w:val="18"/>
                <w:szCs w:val="18"/>
              </w:rPr>
            </w:pPr>
          </w:p>
        </w:tc>
        <w:tc>
          <w:tcPr>
            <w:tcW w:w="992" w:type="dxa"/>
            <w:vAlign w:val="center"/>
          </w:tcPr>
          <w:p>
            <w:pPr>
              <w:rPr>
                <w:rFonts w:eastAsia="Times New Roman"/>
                <w:noProof/>
                <w:sz w:val="18"/>
                <w:szCs w:val="18"/>
              </w:rPr>
            </w:pPr>
          </w:p>
        </w:tc>
        <w:tc>
          <w:tcPr>
            <w:tcW w:w="1134" w:type="dxa"/>
            <w:vAlign w:val="center"/>
          </w:tcPr>
          <w:p>
            <w:pPr>
              <w:rPr>
                <w:rFonts w:eastAsia="Times New Roman"/>
                <w:noProof/>
                <w:sz w:val="18"/>
                <w:szCs w:val="18"/>
              </w:rPr>
            </w:pPr>
          </w:p>
        </w:tc>
        <w:tc>
          <w:tcPr>
            <w:tcW w:w="1134" w:type="dxa"/>
            <w:vAlign w:val="center"/>
          </w:tcPr>
          <w:p>
            <w:pPr>
              <w:rPr>
                <w:rFonts w:eastAsia="Times New Roman"/>
                <w:noProof/>
                <w:sz w:val="18"/>
                <w:szCs w:val="18"/>
              </w:rPr>
            </w:pPr>
          </w:p>
        </w:tc>
        <w:tc>
          <w:tcPr>
            <w:tcW w:w="2410" w:type="dxa"/>
            <w:vAlign w:val="center"/>
          </w:tcPr>
          <w:p>
            <w:pPr>
              <w:rPr>
                <w:rFonts w:eastAsia="Times New Roman"/>
                <w:b/>
                <w:noProof/>
                <w:sz w:val="18"/>
                <w:szCs w:val="18"/>
              </w:rPr>
            </w:pPr>
          </w:p>
        </w:tc>
      </w:tr>
      <w:tr>
        <w:trPr>
          <w:trHeight w:val="277"/>
        </w:trPr>
        <w:tc>
          <w:tcPr>
            <w:tcW w:w="3960" w:type="dxa"/>
            <w:vMerge w:val="restart"/>
            <w:vAlign w:val="center"/>
          </w:tcPr>
          <w:p>
            <w:pPr>
              <w:rPr>
                <w:rFonts w:eastAsia="Times New Roman"/>
                <w:noProof/>
              </w:rPr>
            </w:pPr>
            <w:r>
              <w:rPr>
                <w:noProof/>
                <w:sz w:val="20"/>
              </w:rPr>
              <w:t>02.03.04</w:t>
            </w:r>
          </w:p>
        </w:tc>
        <w:tc>
          <w:tcPr>
            <w:tcW w:w="2070" w:type="dxa"/>
            <w:vAlign w:val="center"/>
          </w:tcPr>
          <w:p>
            <w:pPr>
              <w:spacing w:before="20" w:after="20"/>
              <w:rPr>
                <w:rFonts w:eastAsia="Times New Roman"/>
                <w:noProof/>
                <w:sz w:val="18"/>
              </w:rPr>
            </w:pPr>
            <w:r>
              <w:rPr>
                <w:noProof/>
                <w:sz w:val="18"/>
              </w:rPr>
              <w:t>Αναλήψεις υποχρεώσεων</w:t>
            </w:r>
          </w:p>
        </w:tc>
        <w:tc>
          <w:tcPr>
            <w:tcW w:w="1843" w:type="dxa"/>
            <w:vAlign w:val="center"/>
          </w:tcPr>
          <w:p>
            <w:pPr>
              <w:spacing w:before="20" w:after="20"/>
              <w:jc w:val="center"/>
              <w:rPr>
                <w:rFonts w:eastAsia="Times New Roman"/>
                <w:noProof/>
                <w:sz w:val="14"/>
              </w:rPr>
            </w:pPr>
            <w:r>
              <w:rPr>
                <w:noProof/>
                <w:sz w:val="14"/>
              </w:rPr>
              <w:t>(1)</w:t>
            </w:r>
          </w:p>
        </w:tc>
        <w:tc>
          <w:tcPr>
            <w:tcW w:w="1134" w:type="dxa"/>
            <w:vAlign w:val="center"/>
          </w:tcPr>
          <w:p>
            <w:pPr>
              <w:spacing w:before="20" w:after="20"/>
              <w:jc w:val="right"/>
              <w:rPr>
                <w:rFonts w:eastAsia="Times New Roman"/>
                <w:noProof/>
                <w:sz w:val="18"/>
                <w:szCs w:val="18"/>
              </w:rPr>
            </w:pPr>
            <w:r>
              <w:rPr>
                <w:noProof/>
                <w:sz w:val="18"/>
              </w:rPr>
              <w:t>310.000</w:t>
            </w:r>
          </w:p>
        </w:tc>
        <w:tc>
          <w:tcPr>
            <w:tcW w:w="992" w:type="dxa"/>
            <w:vAlign w:val="center"/>
          </w:tcPr>
          <w:p>
            <w:pPr>
              <w:spacing w:before="20" w:after="20"/>
              <w:jc w:val="right"/>
              <w:rPr>
                <w:rFonts w:eastAsia="Times New Roman"/>
                <w:noProof/>
                <w:sz w:val="18"/>
                <w:szCs w:val="18"/>
              </w:rPr>
            </w:pPr>
            <w:r>
              <w:rPr>
                <w:noProof/>
                <w:sz w:val="18"/>
              </w:rPr>
              <w:t>945.000</w:t>
            </w:r>
          </w:p>
        </w:tc>
        <w:tc>
          <w:tcPr>
            <w:tcW w:w="1134" w:type="dxa"/>
            <w:vAlign w:val="center"/>
          </w:tcPr>
          <w:p>
            <w:pPr>
              <w:spacing w:before="20" w:after="20"/>
              <w:jc w:val="right"/>
              <w:rPr>
                <w:rFonts w:eastAsia="Times New Roman"/>
                <w:noProof/>
                <w:sz w:val="18"/>
                <w:szCs w:val="18"/>
              </w:rPr>
            </w:pPr>
            <w:r>
              <w:rPr>
                <w:noProof/>
                <w:sz w:val="18"/>
              </w:rPr>
              <w:t>945.000</w:t>
            </w:r>
          </w:p>
        </w:tc>
        <w:tc>
          <w:tcPr>
            <w:tcW w:w="1134" w:type="dxa"/>
            <w:vAlign w:val="center"/>
          </w:tcPr>
          <w:p>
            <w:pPr>
              <w:spacing w:before="20" w:after="20"/>
              <w:jc w:val="right"/>
              <w:rPr>
                <w:rFonts w:eastAsia="Times New Roman"/>
                <w:noProof/>
                <w:sz w:val="18"/>
                <w:szCs w:val="18"/>
              </w:rPr>
            </w:pPr>
            <w:r>
              <w:rPr>
                <w:noProof/>
                <w:sz w:val="18"/>
              </w:rPr>
              <w:t>0</w:t>
            </w:r>
          </w:p>
        </w:tc>
        <w:tc>
          <w:tcPr>
            <w:tcW w:w="2410" w:type="dxa"/>
            <w:vAlign w:val="center"/>
          </w:tcPr>
          <w:p>
            <w:pPr>
              <w:spacing w:before="20" w:after="20"/>
              <w:jc w:val="right"/>
              <w:rPr>
                <w:rFonts w:eastAsia="Times New Roman"/>
                <w:b/>
                <w:noProof/>
                <w:sz w:val="18"/>
                <w:szCs w:val="18"/>
              </w:rPr>
            </w:pPr>
            <w:r>
              <w:rPr>
                <w:b/>
                <w:noProof/>
                <w:sz w:val="18"/>
              </w:rPr>
              <w:t>2.200.000</w:t>
            </w:r>
          </w:p>
        </w:tc>
      </w:tr>
      <w:tr>
        <w:tc>
          <w:tcPr>
            <w:tcW w:w="3960" w:type="dxa"/>
            <w:vMerge/>
          </w:tcPr>
          <w:p>
            <w:pPr>
              <w:jc w:val="center"/>
              <w:rPr>
                <w:rFonts w:eastAsia="Times New Roman"/>
                <w:noProof/>
                <w:sz w:val="20"/>
              </w:rPr>
            </w:pPr>
          </w:p>
        </w:tc>
        <w:tc>
          <w:tcPr>
            <w:tcW w:w="2070" w:type="dxa"/>
            <w:vAlign w:val="center"/>
          </w:tcPr>
          <w:p>
            <w:pPr>
              <w:spacing w:before="20" w:after="20"/>
              <w:rPr>
                <w:rFonts w:eastAsia="Times New Roman"/>
                <w:noProof/>
                <w:sz w:val="18"/>
              </w:rPr>
            </w:pPr>
            <w:r>
              <w:rPr>
                <w:noProof/>
                <w:sz w:val="18"/>
              </w:rPr>
              <w:t>Πληρωμές</w:t>
            </w:r>
          </w:p>
        </w:tc>
        <w:tc>
          <w:tcPr>
            <w:tcW w:w="1843" w:type="dxa"/>
            <w:vAlign w:val="center"/>
          </w:tcPr>
          <w:p>
            <w:pPr>
              <w:spacing w:before="20" w:after="20"/>
              <w:jc w:val="center"/>
              <w:rPr>
                <w:rFonts w:eastAsia="Times New Roman"/>
                <w:noProof/>
                <w:sz w:val="14"/>
              </w:rPr>
            </w:pPr>
            <w:r>
              <w:rPr>
                <w:noProof/>
                <w:sz w:val="14"/>
              </w:rPr>
              <w:t>(2)</w:t>
            </w:r>
          </w:p>
        </w:tc>
        <w:tc>
          <w:tcPr>
            <w:tcW w:w="1134" w:type="dxa"/>
            <w:vAlign w:val="center"/>
          </w:tcPr>
          <w:p>
            <w:pPr>
              <w:spacing w:before="20" w:after="20"/>
              <w:jc w:val="right"/>
              <w:rPr>
                <w:rFonts w:eastAsia="Times New Roman"/>
                <w:noProof/>
                <w:sz w:val="18"/>
                <w:szCs w:val="18"/>
              </w:rPr>
            </w:pPr>
            <w:r>
              <w:rPr>
                <w:noProof/>
                <w:sz w:val="18"/>
              </w:rPr>
              <w:t>310.000</w:t>
            </w:r>
          </w:p>
        </w:tc>
        <w:tc>
          <w:tcPr>
            <w:tcW w:w="992" w:type="dxa"/>
            <w:vAlign w:val="center"/>
          </w:tcPr>
          <w:p>
            <w:pPr>
              <w:spacing w:before="20" w:after="20"/>
              <w:jc w:val="right"/>
              <w:rPr>
                <w:rFonts w:eastAsia="Times New Roman"/>
                <w:noProof/>
                <w:sz w:val="18"/>
                <w:szCs w:val="18"/>
              </w:rPr>
            </w:pPr>
            <w:r>
              <w:rPr>
                <w:noProof/>
                <w:sz w:val="18"/>
              </w:rPr>
              <w:t>945.000</w:t>
            </w:r>
          </w:p>
        </w:tc>
        <w:tc>
          <w:tcPr>
            <w:tcW w:w="1134" w:type="dxa"/>
            <w:vAlign w:val="center"/>
          </w:tcPr>
          <w:p>
            <w:pPr>
              <w:spacing w:before="20" w:after="20"/>
              <w:jc w:val="right"/>
              <w:rPr>
                <w:rFonts w:eastAsia="Times New Roman"/>
                <w:noProof/>
                <w:sz w:val="18"/>
                <w:szCs w:val="18"/>
              </w:rPr>
            </w:pPr>
            <w:r>
              <w:rPr>
                <w:noProof/>
                <w:sz w:val="18"/>
              </w:rPr>
              <w:t>945.000</w:t>
            </w:r>
          </w:p>
        </w:tc>
        <w:tc>
          <w:tcPr>
            <w:tcW w:w="1134" w:type="dxa"/>
            <w:vAlign w:val="center"/>
          </w:tcPr>
          <w:p>
            <w:pPr>
              <w:spacing w:before="20" w:after="20"/>
              <w:jc w:val="right"/>
              <w:rPr>
                <w:rFonts w:eastAsia="Times New Roman"/>
                <w:noProof/>
                <w:sz w:val="18"/>
                <w:szCs w:val="18"/>
              </w:rPr>
            </w:pPr>
            <w:r>
              <w:rPr>
                <w:noProof/>
                <w:sz w:val="18"/>
              </w:rPr>
              <w:t>0</w:t>
            </w:r>
          </w:p>
        </w:tc>
        <w:tc>
          <w:tcPr>
            <w:tcW w:w="2410" w:type="dxa"/>
            <w:vAlign w:val="center"/>
          </w:tcPr>
          <w:p>
            <w:pPr>
              <w:spacing w:before="20" w:after="20"/>
              <w:jc w:val="right"/>
              <w:rPr>
                <w:rFonts w:eastAsia="Times New Roman"/>
                <w:b/>
                <w:noProof/>
                <w:sz w:val="18"/>
                <w:szCs w:val="18"/>
              </w:rPr>
            </w:pPr>
            <w:r>
              <w:rPr>
                <w:b/>
                <w:noProof/>
                <w:sz w:val="18"/>
              </w:rPr>
              <w:t>2.200.000</w:t>
            </w:r>
          </w:p>
        </w:tc>
      </w:tr>
      <w:tr>
        <w:tc>
          <w:tcPr>
            <w:tcW w:w="3960" w:type="dxa"/>
            <w:vMerge w:val="restart"/>
            <w:vAlign w:val="center"/>
          </w:tcPr>
          <w:p>
            <w:pPr>
              <w:rPr>
                <w:rFonts w:eastAsia="Times New Roman"/>
                <w:noProof/>
              </w:rPr>
            </w:pPr>
            <w:r>
              <w:rPr>
                <w:noProof/>
                <w:sz w:val="20"/>
              </w:rPr>
              <w:t>Αριθμός γραμμής του προϋπολογισμού</w:t>
            </w:r>
          </w:p>
        </w:tc>
        <w:tc>
          <w:tcPr>
            <w:tcW w:w="2070" w:type="dxa"/>
            <w:vAlign w:val="center"/>
          </w:tcPr>
          <w:p>
            <w:pPr>
              <w:spacing w:before="20" w:after="20"/>
              <w:rPr>
                <w:rFonts w:eastAsia="Times New Roman"/>
                <w:noProof/>
                <w:sz w:val="18"/>
              </w:rPr>
            </w:pPr>
            <w:r>
              <w:rPr>
                <w:noProof/>
                <w:sz w:val="18"/>
              </w:rPr>
              <w:t>Αναλήψεις υποχρεώσεων</w:t>
            </w:r>
          </w:p>
        </w:tc>
        <w:tc>
          <w:tcPr>
            <w:tcW w:w="1843" w:type="dxa"/>
            <w:vAlign w:val="center"/>
          </w:tcPr>
          <w:p>
            <w:pPr>
              <w:spacing w:before="20" w:after="20"/>
              <w:jc w:val="center"/>
              <w:rPr>
                <w:rFonts w:eastAsia="Times New Roman"/>
                <w:noProof/>
                <w:sz w:val="14"/>
              </w:rPr>
            </w:pPr>
            <w:r>
              <w:rPr>
                <w:noProof/>
                <w:sz w:val="14"/>
              </w:rPr>
              <w:t>(1α)</w:t>
            </w:r>
          </w:p>
        </w:tc>
        <w:tc>
          <w:tcPr>
            <w:tcW w:w="1134" w:type="dxa"/>
            <w:vAlign w:val="center"/>
          </w:tcPr>
          <w:p>
            <w:pPr>
              <w:spacing w:before="20" w:after="20"/>
              <w:jc w:val="right"/>
              <w:rPr>
                <w:rFonts w:eastAsia="Times New Roman"/>
                <w:noProof/>
                <w:sz w:val="18"/>
                <w:szCs w:val="18"/>
              </w:rPr>
            </w:pPr>
          </w:p>
        </w:tc>
        <w:tc>
          <w:tcPr>
            <w:tcW w:w="992" w:type="dxa"/>
            <w:vAlign w:val="center"/>
          </w:tcPr>
          <w:p>
            <w:pPr>
              <w:spacing w:before="20" w:after="20"/>
              <w:jc w:val="right"/>
              <w:rPr>
                <w:rFonts w:eastAsia="Times New Roman"/>
                <w:noProof/>
                <w:sz w:val="18"/>
                <w:szCs w:val="18"/>
              </w:rPr>
            </w:pPr>
          </w:p>
        </w:tc>
        <w:tc>
          <w:tcPr>
            <w:tcW w:w="1134" w:type="dxa"/>
            <w:vAlign w:val="center"/>
          </w:tcPr>
          <w:p>
            <w:pPr>
              <w:spacing w:before="20" w:after="20"/>
              <w:jc w:val="right"/>
              <w:rPr>
                <w:rFonts w:eastAsia="Times New Roman"/>
                <w:noProof/>
                <w:sz w:val="18"/>
                <w:szCs w:val="18"/>
              </w:rPr>
            </w:pPr>
          </w:p>
        </w:tc>
        <w:tc>
          <w:tcPr>
            <w:tcW w:w="1134" w:type="dxa"/>
            <w:vAlign w:val="center"/>
          </w:tcPr>
          <w:p>
            <w:pPr>
              <w:spacing w:before="20" w:after="20"/>
              <w:jc w:val="right"/>
              <w:rPr>
                <w:rFonts w:eastAsia="Times New Roman"/>
                <w:noProof/>
                <w:sz w:val="18"/>
                <w:szCs w:val="18"/>
              </w:rPr>
            </w:pPr>
          </w:p>
        </w:tc>
        <w:tc>
          <w:tcPr>
            <w:tcW w:w="2410" w:type="dxa"/>
            <w:vAlign w:val="center"/>
          </w:tcPr>
          <w:p>
            <w:pPr>
              <w:spacing w:before="20" w:after="20"/>
              <w:jc w:val="right"/>
              <w:rPr>
                <w:rFonts w:eastAsia="Times New Roman"/>
                <w:b/>
                <w:noProof/>
                <w:sz w:val="18"/>
                <w:szCs w:val="18"/>
              </w:rPr>
            </w:pPr>
          </w:p>
        </w:tc>
      </w:tr>
      <w:tr>
        <w:tc>
          <w:tcPr>
            <w:tcW w:w="3960" w:type="dxa"/>
            <w:vMerge/>
          </w:tcPr>
          <w:p>
            <w:pPr>
              <w:jc w:val="center"/>
              <w:rPr>
                <w:rFonts w:eastAsia="Times New Roman"/>
                <w:noProof/>
                <w:sz w:val="20"/>
              </w:rPr>
            </w:pPr>
          </w:p>
        </w:tc>
        <w:tc>
          <w:tcPr>
            <w:tcW w:w="2070" w:type="dxa"/>
            <w:vAlign w:val="center"/>
          </w:tcPr>
          <w:p>
            <w:pPr>
              <w:spacing w:before="20" w:after="20"/>
              <w:rPr>
                <w:rFonts w:eastAsia="Times New Roman"/>
                <w:noProof/>
                <w:sz w:val="18"/>
              </w:rPr>
            </w:pPr>
            <w:r>
              <w:rPr>
                <w:noProof/>
                <w:sz w:val="18"/>
              </w:rPr>
              <w:t>Πληρωμές</w:t>
            </w:r>
          </w:p>
        </w:tc>
        <w:tc>
          <w:tcPr>
            <w:tcW w:w="1843" w:type="dxa"/>
            <w:vAlign w:val="center"/>
          </w:tcPr>
          <w:p>
            <w:pPr>
              <w:spacing w:before="20" w:after="20"/>
              <w:jc w:val="center"/>
              <w:rPr>
                <w:rFonts w:eastAsia="Times New Roman"/>
                <w:noProof/>
                <w:sz w:val="14"/>
              </w:rPr>
            </w:pPr>
            <w:r>
              <w:rPr>
                <w:noProof/>
                <w:sz w:val="14"/>
              </w:rPr>
              <w:t>(2α)</w:t>
            </w:r>
          </w:p>
        </w:tc>
        <w:tc>
          <w:tcPr>
            <w:tcW w:w="1134" w:type="dxa"/>
            <w:vAlign w:val="center"/>
          </w:tcPr>
          <w:p>
            <w:pPr>
              <w:spacing w:before="20" w:after="20"/>
              <w:jc w:val="right"/>
              <w:rPr>
                <w:rFonts w:eastAsia="Times New Roman"/>
                <w:noProof/>
                <w:sz w:val="18"/>
                <w:szCs w:val="18"/>
              </w:rPr>
            </w:pPr>
          </w:p>
        </w:tc>
        <w:tc>
          <w:tcPr>
            <w:tcW w:w="992" w:type="dxa"/>
            <w:vAlign w:val="center"/>
          </w:tcPr>
          <w:p>
            <w:pPr>
              <w:spacing w:before="20" w:after="20"/>
              <w:jc w:val="right"/>
              <w:rPr>
                <w:rFonts w:eastAsia="Times New Roman"/>
                <w:noProof/>
                <w:sz w:val="18"/>
                <w:szCs w:val="18"/>
              </w:rPr>
            </w:pPr>
          </w:p>
        </w:tc>
        <w:tc>
          <w:tcPr>
            <w:tcW w:w="1134" w:type="dxa"/>
            <w:vAlign w:val="center"/>
          </w:tcPr>
          <w:p>
            <w:pPr>
              <w:spacing w:before="20" w:after="20"/>
              <w:jc w:val="right"/>
              <w:rPr>
                <w:rFonts w:eastAsia="Times New Roman"/>
                <w:noProof/>
                <w:sz w:val="18"/>
                <w:szCs w:val="18"/>
              </w:rPr>
            </w:pPr>
          </w:p>
        </w:tc>
        <w:tc>
          <w:tcPr>
            <w:tcW w:w="1134" w:type="dxa"/>
            <w:vAlign w:val="center"/>
          </w:tcPr>
          <w:p>
            <w:pPr>
              <w:spacing w:before="20" w:after="20"/>
              <w:jc w:val="right"/>
              <w:rPr>
                <w:rFonts w:eastAsia="Times New Roman"/>
                <w:noProof/>
                <w:sz w:val="18"/>
                <w:szCs w:val="18"/>
              </w:rPr>
            </w:pPr>
          </w:p>
        </w:tc>
        <w:tc>
          <w:tcPr>
            <w:tcW w:w="2410" w:type="dxa"/>
            <w:vAlign w:val="center"/>
          </w:tcPr>
          <w:p>
            <w:pPr>
              <w:spacing w:before="20" w:after="20"/>
              <w:jc w:val="right"/>
              <w:rPr>
                <w:rFonts w:eastAsia="Times New Roman"/>
                <w:b/>
                <w:noProof/>
                <w:sz w:val="18"/>
                <w:szCs w:val="18"/>
              </w:rPr>
            </w:pPr>
          </w:p>
        </w:tc>
      </w:tr>
      <w:tr>
        <w:trPr>
          <w:trHeight w:val="573"/>
        </w:trPr>
        <w:tc>
          <w:tcPr>
            <w:tcW w:w="7873" w:type="dxa"/>
            <w:gridSpan w:val="3"/>
            <w:vAlign w:val="center"/>
          </w:tcPr>
          <w:p>
            <w:pPr>
              <w:spacing w:before="20" w:after="20"/>
              <w:rPr>
                <w:rFonts w:eastAsia="Times New Roman"/>
                <w:noProof/>
              </w:rPr>
            </w:pPr>
            <w:r>
              <w:rPr>
                <w:noProof/>
                <w:sz w:val="21"/>
              </w:rPr>
              <w:t>Πιστώσεις διοικητικού χαρακτήρα χρηματοδοτούμενες από το κονδύλιο ειδικών προγραμμάτων</w:t>
            </w:r>
            <w:r>
              <w:rPr>
                <w:rStyle w:val="FootnoteReference"/>
                <w:noProof/>
              </w:rPr>
              <w:footnoteReference w:id="38"/>
            </w:r>
            <w:r>
              <w:rPr>
                <w:noProof/>
                <w:sz w:val="21"/>
              </w:rPr>
              <w:t xml:space="preserve"> </w:t>
            </w:r>
          </w:p>
        </w:tc>
        <w:tc>
          <w:tcPr>
            <w:tcW w:w="1134" w:type="dxa"/>
            <w:vAlign w:val="center"/>
          </w:tcPr>
          <w:p>
            <w:pPr>
              <w:jc w:val="right"/>
              <w:rPr>
                <w:rFonts w:eastAsia="Times New Roman"/>
                <w:noProof/>
                <w:sz w:val="18"/>
                <w:szCs w:val="18"/>
              </w:rPr>
            </w:pPr>
          </w:p>
        </w:tc>
        <w:tc>
          <w:tcPr>
            <w:tcW w:w="992" w:type="dxa"/>
            <w:vAlign w:val="center"/>
          </w:tcPr>
          <w:p>
            <w:pPr>
              <w:jc w:val="right"/>
              <w:rPr>
                <w:rFonts w:eastAsia="Times New Roman"/>
                <w:noProof/>
                <w:sz w:val="18"/>
                <w:szCs w:val="18"/>
              </w:rPr>
            </w:pPr>
          </w:p>
        </w:tc>
        <w:tc>
          <w:tcPr>
            <w:tcW w:w="1134" w:type="dxa"/>
            <w:vAlign w:val="center"/>
          </w:tcPr>
          <w:p>
            <w:pPr>
              <w:jc w:val="right"/>
              <w:rPr>
                <w:rFonts w:eastAsia="Times New Roman"/>
                <w:noProof/>
                <w:sz w:val="18"/>
                <w:szCs w:val="18"/>
              </w:rPr>
            </w:pPr>
          </w:p>
        </w:tc>
        <w:tc>
          <w:tcPr>
            <w:tcW w:w="1134" w:type="dxa"/>
            <w:vAlign w:val="center"/>
          </w:tcPr>
          <w:p>
            <w:pPr>
              <w:jc w:val="right"/>
              <w:rPr>
                <w:rFonts w:eastAsia="Times New Roman"/>
                <w:noProof/>
                <w:sz w:val="18"/>
                <w:szCs w:val="18"/>
              </w:rPr>
            </w:pPr>
          </w:p>
        </w:tc>
        <w:tc>
          <w:tcPr>
            <w:tcW w:w="2410" w:type="dxa"/>
            <w:vAlign w:val="center"/>
          </w:tcPr>
          <w:p>
            <w:pPr>
              <w:jc w:val="right"/>
              <w:rPr>
                <w:rFonts w:eastAsia="Times New Roman"/>
                <w:noProof/>
                <w:sz w:val="18"/>
                <w:szCs w:val="18"/>
              </w:rPr>
            </w:pPr>
          </w:p>
        </w:tc>
      </w:tr>
      <w:tr>
        <w:trPr>
          <w:trHeight w:val="319"/>
        </w:trPr>
        <w:tc>
          <w:tcPr>
            <w:tcW w:w="3960" w:type="dxa"/>
            <w:vAlign w:val="center"/>
          </w:tcPr>
          <w:p>
            <w:pPr>
              <w:spacing w:before="60" w:after="60"/>
              <w:rPr>
                <w:rFonts w:eastAsia="Times New Roman"/>
                <w:noProof/>
              </w:rPr>
            </w:pPr>
            <w:r>
              <w:rPr>
                <w:noProof/>
                <w:sz w:val="20"/>
              </w:rPr>
              <w:t>Αριθμός γραμμής του προϋπολογισμού</w:t>
            </w:r>
          </w:p>
        </w:tc>
        <w:tc>
          <w:tcPr>
            <w:tcW w:w="2070" w:type="dxa"/>
            <w:vAlign w:val="center"/>
          </w:tcPr>
          <w:p>
            <w:pPr>
              <w:spacing w:before="40" w:after="40"/>
              <w:jc w:val="right"/>
              <w:rPr>
                <w:rFonts w:eastAsia="Times New Roman"/>
                <w:noProof/>
                <w:sz w:val="18"/>
              </w:rPr>
            </w:pPr>
          </w:p>
        </w:tc>
        <w:tc>
          <w:tcPr>
            <w:tcW w:w="1843" w:type="dxa"/>
            <w:vAlign w:val="center"/>
          </w:tcPr>
          <w:p>
            <w:pPr>
              <w:spacing w:before="40" w:after="40"/>
              <w:jc w:val="center"/>
              <w:rPr>
                <w:rFonts w:eastAsia="Times New Roman"/>
                <w:noProof/>
                <w:sz w:val="14"/>
              </w:rPr>
            </w:pPr>
            <w:r>
              <w:rPr>
                <w:noProof/>
                <w:sz w:val="14"/>
              </w:rPr>
              <w:t>(3)</w:t>
            </w:r>
          </w:p>
        </w:tc>
        <w:tc>
          <w:tcPr>
            <w:tcW w:w="1134" w:type="dxa"/>
            <w:vAlign w:val="center"/>
          </w:tcPr>
          <w:p>
            <w:pPr>
              <w:spacing w:before="20" w:after="20"/>
              <w:jc w:val="right"/>
              <w:rPr>
                <w:rFonts w:eastAsia="Times New Roman"/>
                <w:noProof/>
                <w:sz w:val="18"/>
                <w:szCs w:val="18"/>
              </w:rPr>
            </w:pPr>
            <w:r>
              <w:rPr>
                <w:noProof/>
                <w:sz w:val="18"/>
              </w:rPr>
              <w:t>0</w:t>
            </w:r>
          </w:p>
        </w:tc>
        <w:tc>
          <w:tcPr>
            <w:tcW w:w="992" w:type="dxa"/>
            <w:vAlign w:val="center"/>
          </w:tcPr>
          <w:p>
            <w:pPr>
              <w:spacing w:before="20" w:after="20"/>
              <w:jc w:val="right"/>
              <w:rPr>
                <w:rFonts w:eastAsia="Times New Roman"/>
                <w:noProof/>
                <w:sz w:val="18"/>
                <w:szCs w:val="18"/>
              </w:rPr>
            </w:pPr>
            <w:r>
              <w:rPr>
                <w:noProof/>
                <w:sz w:val="18"/>
              </w:rPr>
              <w:t>0</w:t>
            </w:r>
          </w:p>
        </w:tc>
        <w:tc>
          <w:tcPr>
            <w:tcW w:w="1134" w:type="dxa"/>
            <w:vAlign w:val="center"/>
          </w:tcPr>
          <w:p>
            <w:pPr>
              <w:spacing w:before="20" w:after="20"/>
              <w:jc w:val="right"/>
              <w:rPr>
                <w:rFonts w:eastAsia="Times New Roman"/>
                <w:noProof/>
                <w:sz w:val="18"/>
                <w:szCs w:val="18"/>
              </w:rPr>
            </w:pPr>
            <w:r>
              <w:rPr>
                <w:noProof/>
                <w:sz w:val="18"/>
              </w:rPr>
              <w:t>0</w:t>
            </w:r>
          </w:p>
        </w:tc>
        <w:tc>
          <w:tcPr>
            <w:tcW w:w="1134" w:type="dxa"/>
            <w:vAlign w:val="center"/>
          </w:tcPr>
          <w:p>
            <w:pPr>
              <w:spacing w:before="20" w:after="20"/>
              <w:jc w:val="right"/>
              <w:rPr>
                <w:rFonts w:eastAsia="Times New Roman"/>
                <w:noProof/>
                <w:sz w:val="18"/>
                <w:szCs w:val="18"/>
              </w:rPr>
            </w:pPr>
            <w:r>
              <w:rPr>
                <w:noProof/>
                <w:sz w:val="18"/>
              </w:rPr>
              <w:t>0</w:t>
            </w:r>
          </w:p>
        </w:tc>
        <w:tc>
          <w:tcPr>
            <w:tcW w:w="2410" w:type="dxa"/>
            <w:vAlign w:val="center"/>
          </w:tcPr>
          <w:p>
            <w:pPr>
              <w:spacing w:before="20" w:after="20"/>
              <w:jc w:val="right"/>
              <w:rPr>
                <w:rFonts w:eastAsia="Times New Roman"/>
                <w:b/>
                <w:noProof/>
                <w:sz w:val="18"/>
                <w:szCs w:val="18"/>
              </w:rPr>
            </w:pPr>
            <w:r>
              <w:rPr>
                <w:b/>
                <w:noProof/>
                <w:sz w:val="18"/>
              </w:rPr>
              <w:t>0</w:t>
            </w:r>
          </w:p>
        </w:tc>
      </w:tr>
      <w:tr>
        <w:tc>
          <w:tcPr>
            <w:tcW w:w="3960" w:type="dxa"/>
            <w:vMerge w:val="restart"/>
            <w:vAlign w:val="center"/>
          </w:tcPr>
          <w:p>
            <w:pPr>
              <w:jc w:val="center"/>
              <w:rPr>
                <w:rFonts w:eastAsia="Times New Roman"/>
                <w:b/>
                <w:noProof/>
              </w:rPr>
            </w:pPr>
            <w:r>
              <w:rPr>
                <w:b/>
                <w:noProof/>
                <w:sz w:val="22"/>
              </w:rPr>
              <w:t>ΣΥΝΟΛΟ πιστώσεων</w:t>
            </w:r>
            <w:r>
              <w:rPr>
                <w:rFonts w:eastAsia="Times New Roman"/>
                <w:b/>
                <w:noProof/>
                <w:sz w:val="22"/>
              </w:rPr>
              <w:br/>
            </w:r>
            <w:r>
              <w:rPr>
                <w:b/>
                <w:noProof/>
                <w:sz w:val="22"/>
              </w:rPr>
              <w:t>για τη ΓΔ GROW</w:t>
            </w:r>
          </w:p>
        </w:tc>
        <w:tc>
          <w:tcPr>
            <w:tcW w:w="2070" w:type="dxa"/>
            <w:vAlign w:val="center"/>
          </w:tcPr>
          <w:p>
            <w:pPr>
              <w:rPr>
                <w:rFonts w:eastAsia="Times New Roman"/>
                <w:noProof/>
                <w:sz w:val="18"/>
              </w:rPr>
            </w:pPr>
            <w:r>
              <w:rPr>
                <w:noProof/>
                <w:sz w:val="18"/>
              </w:rPr>
              <w:t>Αναλήψεις υποχρεώσεων</w:t>
            </w:r>
          </w:p>
        </w:tc>
        <w:tc>
          <w:tcPr>
            <w:tcW w:w="1843" w:type="dxa"/>
            <w:vAlign w:val="center"/>
          </w:tcPr>
          <w:p>
            <w:pPr>
              <w:jc w:val="center"/>
              <w:rPr>
                <w:rFonts w:eastAsia="Times New Roman"/>
                <w:noProof/>
                <w:sz w:val="14"/>
              </w:rPr>
            </w:pPr>
            <w:r>
              <w:rPr>
                <w:noProof/>
                <w:sz w:val="14"/>
              </w:rPr>
              <w:t>=1+1α +3</w:t>
            </w:r>
          </w:p>
        </w:tc>
        <w:tc>
          <w:tcPr>
            <w:tcW w:w="1134" w:type="dxa"/>
            <w:vAlign w:val="center"/>
          </w:tcPr>
          <w:p>
            <w:pPr>
              <w:spacing w:before="20" w:after="20"/>
              <w:jc w:val="right"/>
              <w:rPr>
                <w:rFonts w:eastAsia="Times New Roman"/>
                <w:noProof/>
                <w:sz w:val="18"/>
                <w:szCs w:val="18"/>
              </w:rPr>
            </w:pPr>
            <w:r>
              <w:rPr>
                <w:noProof/>
                <w:sz w:val="18"/>
              </w:rPr>
              <w:t>310.000</w:t>
            </w:r>
          </w:p>
        </w:tc>
        <w:tc>
          <w:tcPr>
            <w:tcW w:w="992" w:type="dxa"/>
            <w:vAlign w:val="center"/>
          </w:tcPr>
          <w:p>
            <w:pPr>
              <w:jc w:val="right"/>
              <w:rPr>
                <w:rFonts w:eastAsia="Times New Roman"/>
                <w:noProof/>
                <w:sz w:val="18"/>
                <w:szCs w:val="18"/>
              </w:rPr>
            </w:pPr>
            <w:r>
              <w:rPr>
                <w:noProof/>
                <w:sz w:val="18"/>
              </w:rPr>
              <w:t>945.000</w:t>
            </w:r>
          </w:p>
        </w:tc>
        <w:tc>
          <w:tcPr>
            <w:tcW w:w="1134" w:type="dxa"/>
            <w:vAlign w:val="center"/>
          </w:tcPr>
          <w:p>
            <w:pPr>
              <w:jc w:val="right"/>
              <w:rPr>
                <w:rFonts w:eastAsia="Times New Roman"/>
                <w:noProof/>
                <w:sz w:val="18"/>
                <w:szCs w:val="18"/>
              </w:rPr>
            </w:pPr>
            <w:r>
              <w:rPr>
                <w:noProof/>
                <w:sz w:val="18"/>
              </w:rPr>
              <w:t>945.000</w:t>
            </w:r>
          </w:p>
        </w:tc>
        <w:tc>
          <w:tcPr>
            <w:tcW w:w="1134" w:type="dxa"/>
            <w:vAlign w:val="center"/>
          </w:tcPr>
          <w:p>
            <w:pPr>
              <w:spacing w:before="20" w:after="20"/>
              <w:jc w:val="right"/>
              <w:rPr>
                <w:rFonts w:eastAsia="Times New Roman"/>
                <w:noProof/>
                <w:sz w:val="18"/>
                <w:szCs w:val="18"/>
              </w:rPr>
            </w:pPr>
            <w:r>
              <w:rPr>
                <w:noProof/>
                <w:sz w:val="18"/>
              </w:rPr>
              <w:t>0</w:t>
            </w:r>
          </w:p>
        </w:tc>
        <w:tc>
          <w:tcPr>
            <w:tcW w:w="2410" w:type="dxa"/>
          </w:tcPr>
          <w:p>
            <w:pPr>
              <w:jc w:val="right"/>
              <w:rPr>
                <w:rFonts w:eastAsia="Times New Roman"/>
                <w:noProof/>
                <w:sz w:val="18"/>
                <w:szCs w:val="18"/>
              </w:rPr>
            </w:pPr>
            <w:r>
              <w:rPr>
                <w:b/>
                <w:noProof/>
                <w:sz w:val="18"/>
              </w:rPr>
              <w:t>2.200.000</w:t>
            </w:r>
          </w:p>
        </w:tc>
      </w:tr>
      <w:tr>
        <w:tc>
          <w:tcPr>
            <w:tcW w:w="3960" w:type="dxa"/>
            <w:vMerge/>
          </w:tcPr>
          <w:p>
            <w:pPr>
              <w:rPr>
                <w:rFonts w:eastAsia="Times New Roman"/>
                <w:noProof/>
                <w:sz w:val="20"/>
              </w:rPr>
            </w:pPr>
          </w:p>
        </w:tc>
        <w:tc>
          <w:tcPr>
            <w:tcW w:w="2070" w:type="dxa"/>
            <w:vAlign w:val="center"/>
          </w:tcPr>
          <w:p>
            <w:pPr>
              <w:rPr>
                <w:rFonts w:eastAsia="Times New Roman"/>
                <w:noProof/>
                <w:sz w:val="18"/>
              </w:rPr>
            </w:pPr>
            <w:r>
              <w:rPr>
                <w:noProof/>
                <w:sz w:val="18"/>
              </w:rPr>
              <w:t>Πληρωμές</w:t>
            </w:r>
          </w:p>
        </w:tc>
        <w:tc>
          <w:tcPr>
            <w:tcW w:w="1843" w:type="dxa"/>
            <w:vAlign w:val="center"/>
          </w:tcPr>
          <w:p>
            <w:pPr>
              <w:jc w:val="center"/>
              <w:rPr>
                <w:rFonts w:eastAsia="Times New Roman"/>
                <w:noProof/>
                <w:sz w:val="14"/>
              </w:rPr>
            </w:pPr>
            <w:r>
              <w:rPr>
                <w:noProof/>
                <w:sz w:val="14"/>
              </w:rPr>
              <w:t>=2+2α +3</w:t>
            </w:r>
          </w:p>
        </w:tc>
        <w:tc>
          <w:tcPr>
            <w:tcW w:w="1134" w:type="dxa"/>
            <w:vAlign w:val="center"/>
          </w:tcPr>
          <w:p>
            <w:pPr>
              <w:spacing w:before="20" w:after="20"/>
              <w:jc w:val="right"/>
              <w:rPr>
                <w:rFonts w:eastAsia="Times New Roman"/>
                <w:noProof/>
                <w:sz w:val="18"/>
                <w:szCs w:val="18"/>
              </w:rPr>
            </w:pPr>
            <w:r>
              <w:rPr>
                <w:noProof/>
                <w:sz w:val="18"/>
              </w:rPr>
              <w:t>310.000</w:t>
            </w:r>
          </w:p>
        </w:tc>
        <w:tc>
          <w:tcPr>
            <w:tcW w:w="992" w:type="dxa"/>
            <w:vAlign w:val="center"/>
          </w:tcPr>
          <w:p>
            <w:pPr>
              <w:jc w:val="right"/>
              <w:rPr>
                <w:rFonts w:eastAsia="Times New Roman"/>
                <w:noProof/>
                <w:sz w:val="18"/>
                <w:szCs w:val="18"/>
              </w:rPr>
            </w:pPr>
            <w:r>
              <w:rPr>
                <w:noProof/>
                <w:sz w:val="18"/>
              </w:rPr>
              <w:t>945.000</w:t>
            </w:r>
          </w:p>
        </w:tc>
        <w:tc>
          <w:tcPr>
            <w:tcW w:w="1134" w:type="dxa"/>
            <w:vAlign w:val="center"/>
          </w:tcPr>
          <w:p>
            <w:pPr>
              <w:jc w:val="right"/>
              <w:rPr>
                <w:rFonts w:eastAsia="Times New Roman"/>
                <w:noProof/>
                <w:sz w:val="18"/>
                <w:szCs w:val="18"/>
              </w:rPr>
            </w:pPr>
            <w:r>
              <w:rPr>
                <w:noProof/>
                <w:sz w:val="18"/>
              </w:rPr>
              <w:t>945.000</w:t>
            </w:r>
          </w:p>
        </w:tc>
        <w:tc>
          <w:tcPr>
            <w:tcW w:w="1134" w:type="dxa"/>
            <w:vAlign w:val="center"/>
          </w:tcPr>
          <w:p>
            <w:pPr>
              <w:spacing w:before="20" w:after="20"/>
              <w:jc w:val="right"/>
              <w:rPr>
                <w:rFonts w:eastAsia="Times New Roman"/>
                <w:noProof/>
                <w:sz w:val="18"/>
                <w:szCs w:val="18"/>
              </w:rPr>
            </w:pPr>
            <w:r>
              <w:rPr>
                <w:noProof/>
                <w:sz w:val="18"/>
              </w:rPr>
              <w:t>0</w:t>
            </w:r>
          </w:p>
        </w:tc>
        <w:tc>
          <w:tcPr>
            <w:tcW w:w="2410" w:type="dxa"/>
          </w:tcPr>
          <w:p>
            <w:pPr>
              <w:jc w:val="right"/>
              <w:rPr>
                <w:rFonts w:eastAsia="Times New Roman"/>
                <w:noProof/>
                <w:sz w:val="18"/>
                <w:szCs w:val="18"/>
              </w:rPr>
            </w:pPr>
            <w:r>
              <w:rPr>
                <w:b/>
                <w:noProof/>
                <w:sz w:val="18"/>
              </w:rPr>
              <w:t>2.200.000</w:t>
            </w:r>
          </w:p>
        </w:tc>
      </w:tr>
    </w:tbl>
    <w:p>
      <w:pPr>
        <w:spacing w:before="0" w:after="0"/>
        <w:rPr>
          <w:rFonts w:eastAsia="Times New Roman"/>
          <w:noProof/>
        </w:rPr>
      </w:pPr>
    </w:p>
    <w:tbl>
      <w:tblPr>
        <w:tblW w:w="146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70"/>
        <w:gridCol w:w="1843"/>
        <w:gridCol w:w="1134"/>
        <w:gridCol w:w="992"/>
        <w:gridCol w:w="1134"/>
        <w:gridCol w:w="1134"/>
        <w:gridCol w:w="2410"/>
      </w:tblGrid>
      <w:tr>
        <w:trPr>
          <w:trHeight w:val="277"/>
        </w:trPr>
        <w:tc>
          <w:tcPr>
            <w:tcW w:w="3960" w:type="dxa"/>
            <w:vMerge w:val="restart"/>
            <w:vAlign w:val="center"/>
          </w:tcPr>
          <w:p>
            <w:pPr>
              <w:spacing w:before="20" w:after="20"/>
              <w:rPr>
                <w:rFonts w:eastAsia="Times New Roman"/>
                <w:noProof/>
              </w:rPr>
            </w:pPr>
            <w:r>
              <w:rPr>
                <w:noProof/>
              </w:rPr>
              <w:lastRenderedPageBreak/>
              <w:br w:type="page"/>
            </w:r>
            <w:r>
              <w:rPr>
                <w:rFonts w:eastAsia="Times New Roman"/>
                <w:noProof/>
                <w:sz w:val="21"/>
              </w:rPr>
              <w:sym w:font="Wingdings" w:char="F09F"/>
            </w:r>
            <w:r>
              <w:rPr>
                <w:noProof/>
                <w:sz w:val="21"/>
              </w:rPr>
              <w:t xml:space="preserve"> ΣΥΝΟΛΟ επιχειρησιακών πιστώσεων </w:t>
            </w:r>
          </w:p>
        </w:tc>
        <w:tc>
          <w:tcPr>
            <w:tcW w:w="2070" w:type="dxa"/>
            <w:vAlign w:val="center"/>
          </w:tcPr>
          <w:p>
            <w:pPr>
              <w:spacing w:beforeLines="20" w:before="48" w:afterLines="20" w:after="48"/>
              <w:rPr>
                <w:rFonts w:eastAsia="Times New Roman"/>
                <w:noProof/>
                <w:sz w:val="18"/>
              </w:rPr>
            </w:pPr>
            <w:r>
              <w:rPr>
                <w:noProof/>
                <w:sz w:val="18"/>
              </w:rPr>
              <w:t>Αναλήψεις υποχρεώσεων</w:t>
            </w:r>
          </w:p>
        </w:tc>
        <w:tc>
          <w:tcPr>
            <w:tcW w:w="1843" w:type="dxa"/>
            <w:vAlign w:val="center"/>
          </w:tcPr>
          <w:p>
            <w:pPr>
              <w:spacing w:beforeLines="20" w:before="48" w:afterLines="20" w:after="48"/>
              <w:jc w:val="center"/>
              <w:rPr>
                <w:rFonts w:eastAsia="Times New Roman"/>
                <w:noProof/>
                <w:sz w:val="14"/>
              </w:rPr>
            </w:pPr>
            <w:r>
              <w:rPr>
                <w:noProof/>
                <w:sz w:val="14"/>
              </w:rPr>
              <w:t>(4)</w:t>
            </w:r>
          </w:p>
        </w:tc>
        <w:tc>
          <w:tcPr>
            <w:tcW w:w="1134" w:type="dxa"/>
            <w:vAlign w:val="center"/>
          </w:tcPr>
          <w:p>
            <w:pPr>
              <w:spacing w:before="20" w:after="20"/>
              <w:jc w:val="right"/>
              <w:rPr>
                <w:rFonts w:eastAsia="Times New Roman"/>
                <w:noProof/>
                <w:sz w:val="18"/>
                <w:szCs w:val="18"/>
              </w:rPr>
            </w:pPr>
            <w:r>
              <w:rPr>
                <w:noProof/>
                <w:sz w:val="18"/>
              </w:rPr>
              <w:t>310.000</w:t>
            </w:r>
          </w:p>
        </w:tc>
        <w:tc>
          <w:tcPr>
            <w:tcW w:w="992" w:type="dxa"/>
            <w:vAlign w:val="center"/>
          </w:tcPr>
          <w:p>
            <w:pPr>
              <w:spacing w:before="20" w:after="20"/>
              <w:jc w:val="right"/>
              <w:rPr>
                <w:rFonts w:eastAsia="Times New Roman"/>
                <w:noProof/>
                <w:sz w:val="18"/>
                <w:szCs w:val="18"/>
              </w:rPr>
            </w:pPr>
            <w:r>
              <w:rPr>
                <w:noProof/>
                <w:sz w:val="18"/>
              </w:rPr>
              <w:t>945.000</w:t>
            </w:r>
          </w:p>
        </w:tc>
        <w:tc>
          <w:tcPr>
            <w:tcW w:w="1134" w:type="dxa"/>
            <w:vAlign w:val="center"/>
          </w:tcPr>
          <w:p>
            <w:pPr>
              <w:spacing w:before="20" w:after="20"/>
              <w:jc w:val="right"/>
              <w:rPr>
                <w:rFonts w:eastAsia="Times New Roman"/>
                <w:noProof/>
                <w:sz w:val="18"/>
                <w:szCs w:val="18"/>
              </w:rPr>
            </w:pPr>
            <w:r>
              <w:rPr>
                <w:noProof/>
                <w:sz w:val="18"/>
              </w:rPr>
              <w:t>945.000</w:t>
            </w:r>
          </w:p>
        </w:tc>
        <w:tc>
          <w:tcPr>
            <w:tcW w:w="1134" w:type="dxa"/>
            <w:vAlign w:val="center"/>
          </w:tcPr>
          <w:p>
            <w:pPr>
              <w:spacing w:before="20" w:after="20"/>
              <w:jc w:val="right"/>
              <w:rPr>
                <w:rFonts w:eastAsia="Times New Roman"/>
                <w:noProof/>
                <w:sz w:val="18"/>
                <w:szCs w:val="18"/>
              </w:rPr>
            </w:pPr>
            <w:r>
              <w:rPr>
                <w:noProof/>
                <w:sz w:val="18"/>
              </w:rPr>
              <w:t>0</w:t>
            </w:r>
          </w:p>
        </w:tc>
        <w:tc>
          <w:tcPr>
            <w:tcW w:w="2410" w:type="dxa"/>
          </w:tcPr>
          <w:p>
            <w:pPr>
              <w:spacing w:before="20" w:after="20"/>
              <w:jc w:val="right"/>
              <w:rPr>
                <w:rFonts w:eastAsia="Times New Roman"/>
                <w:b/>
                <w:noProof/>
                <w:sz w:val="18"/>
                <w:szCs w:val="18"/>
              </w:rPr>
            </w:pPr>
            <w:r>
              <w:rPr>
                <w:b/>
                <w:noProof/>
                <w:sz w:val="18"/>
              </w:rPr>
              <w:t>2.200.000</w:t>
            </w:r>
          </w:p>
        </w:tc>
      </w:tr>
      <w:tr>
        <w:tc>
          <w:tcPr>
            <w:tcW w:w="3960" w:type="dxa"/>
            <w:vMerge/>
          </w:tcPr>
          <w:p>
            <w:pPr>
              <w:jc w:val="center"/>
              <w:rPr>
                <w:rFonts w:eastAsia="Times New Roman"/>
                <w:noProof/>
                <w:sz w:val="20"/>
              </w:rPr>
            </w:pPr>
          </w:p>
        </w:tc>
        <w:tc>
          <w:tcPr>
            <w:tcW w:w="2070" w:type="dxa"/>
            <w:vAlign w:val="center"/>
          </w:tcPr>
          <w:p>
            <w:pPr>
              <w:spacing w:beforeLines="20" w:before="48" w:afterLines="20" w:after="48"/>
              <w:rPr>
                <w:rFonts w:eastAsia="Times New Roman"/>
                <w:noProof/>
                <w:sz w:val="18"/>
              </w:rPr>
            </w:pPr>
            <w:r>
              <w:rPr>
                <w:noProof/>
                <w:sz w:val="18"/>
              </w:rPr>
              <w:t>Πληρωμές</w:t>
            </w:r>
          </w:p>
        </w:tc>
        <w:tc>
          <w:tcPr>
            <w:tcW w:w="1843" w:type="dxa"/>
            <w:vAlign w:val="center"/>
          </w:tcPr>
          <w:p>
            <w:pPr>
              <w:spacing w:beforeLines="20" w:before="48" w:afterLines="20" w:after="48"/>
              <w:jc w:val="center"/>
              <w:rPr>
                <w:rFonts w:eastAsia="Times New Roman"/>
                <w:noProof/>
                <w:sz w:val="14"/>
              </w:rPr>
            </w:pPr>
            <w:r>
              <w:rPr>
                <w:noProof/>
                <w:sz w:val="14"/>
              </w:rPr>
              <w:t>(5)</w:t>
            </w:r>
          </w:p>
        </w:tc>
        <w:tc>
          <w:tcPr>
            <w:tcW w:w="1134" w:type="dxa"/>
            <w:vAlign w:val="center"/>
          </w:tcPr>
          <w:p>
            <w:pPr>
              <w:spacing w:before="20" w:after="20"/>
              <w:jc w:val="right"/>
              <w:rPr>
                <w:rFonts w:eastAsia="Times New Roman"/>
                <w:noProof/>
                <w:sz w:val="18"/>
                <w:szCs w:val="18"/>
              </w:rPr>
            </w:pPr>
            <w:r>
              <w:rPr>
                <w:noProof/>
                <w:sz w:val="18"/>
              </w:rPr>
              <w:t>310.000</w:t>
            </w:r>
          </w:p>
        </w:tc>
        <w:tc>
          <w:tcPr>
            <w:tcW w:w="992" w:type="dxa"/>
            <w:vAlign w:val="center"/>
          </w:tcPr>
          <w:p>
            <w:pPr>
              <w:spacing w:before="20" w:after="20"/>
              <w:jc w:val="right"/>
              <w:rPr>
                <w:rFonts w:eastAsia="Times New Roman"/>
                <w:noProof/>
                <w:sz w:val="18"/>
                <w:szCs w:val="18"/>
              </w:rPr>
            </w:pPr>
            <w:r>
              <w:rPr>
                <w:noProof/>
                <w:sz w:val="18"/>
              </w:rPr>
              <w:t>945.000</w:t>
            </w:r>
          </w:p>
        </w:tc>
        <w:tc>
          <w:tcPr>
            <w:tcW w:w="1134" w:type="dxa"/>
            <w:vAlign w:val="center"/>
          </w:tcPr>
          <w:p>
            <w:pPr>
              <w:spacing w:before="20" w:after="20"/>
              <w:jc w:val="right"/>
              <w:rPr>
                <w:rFonts w:eastAsia="Times New Roman"/>
                <w:noProof/>
                <w:sz w:val="18"/>
                <w:szCs w:val="18"/>
              </w:rPr>
            </w:pPr>
            <w:r>
              <w:rPr>
                <w:noProof/>
                <w:sz w:val="18"/>
              </w:rPr>
              <w:t>945.000</w:t>
            </w:r>
          </w:p>
        </w:tc>
        <w:tc>
          <w:tcPr>
            <w:tcW w:w="1134" w:type="dxa"/>
            <w:vAlign w:val="center"/>
          </w:tcPr>
          <w:p>
            <w:pPr>
              <w:spacing w:before="20" w:after="20"/>
              <w:jc w:val="right"/>
              <w:rPr>
                <w:rFonts w:eastAsia="Times New Roman"/>
                <w:noProof/>
                <w:sz w:val="18"/>
                <w:szCs w:val="18"/>
              </w:rPr>
            </w:pPr>
            <w:r>
              <w:rPr>
                <w:noProof/>
                <w:sz w:val="18"/>
              </w:rPr>
              <w:t>0</w:t>
            </w:r>
          </w:p>
        </w:tc>
        <w:tc>
          <w:tcPr>
            <w:tcW w:w="2410" w:type="dxa"/>
            <w:vAlign w:val="center"/>
          </w:tcPr>
          <w:p>
            <w:pPr>
              <w:spacing w:before="20" w:after="20"/>
              <w:jc w:val="right"/>
              <w:rPr>
                <w:rFonts w:eastAsia="Times New Roman"/>
                <w:b/>
                <w:noProof/>
                <w:sz w:val="18"/>
                <w:szCs w:val="18"/>
              </w:rPr>
            </w:pPr>
            <w:r>
              <w:rPr>
                <w:b/>
                <w:noProof/>
                <w:sz w:val="18"/>
              </w:rPr>
              <w:t>2.200.000</w:t>
            </w:r>
          </w:p>
        </w:tc>
      </w:tr>
      <w:tr>
        <w:trPr>
          <w:trHeight w:val="533"/>
        </w:trPr>
        <w:tc>
          <w:tcPr>
            <w:tcW w:w="6030" w:type="dxa"/>
            <w:gridSpan w:val="2"/>
            <w:vAlign w:val="center"/>
          </w:tcPr>
          <w:p>
            <w:pPr>
              <w:spacing w:beforeLines="20" w:before="48" w:afterLines="20" w:after="48"/>
              <w:rPr>
                <w:rFonts w:eastAsia="Times New Roman"/>
                <w:noProof/>
              </w:rPr>
            </w:pPr>
            <w:r>
              <w:rPr>
                <w:rFonts w:eastAsia="Times New Roman"/>
                <w:noProof/>
                <w:sz w:val="21"/>
              </w:rPr>
              <w:sym w:font="Wingdings" w:char="F09F"/>
            </w:r>
            <w:r>
              <w:rPr>
                <w:noProof/>
                <w:sz w:val="21"/>
              </w:rPr>
              <w:t xml:space="preserve"> ΣΥΝΟΛΟ πιστώσεων διοικητικού χαρακτήρα χρηματοδοτούμενων από το κονδύλιο ειδικών προγραμμάτων </w:t>
            </w:r>
          </w:p>
        </w:tc>
        <w:tc>
          <w:tcPr>
            <w:tcW w:w="1843" w:type="dxa"/>
            <w:vAlign w:val="center"/>
          </w:tcPr>
          <w:p>
            <w:pPr>
              <w:spacing w:beforeLines="20" w:before="48" w:afterLines="20" w:after="48"/>
              <w:jc w:val="center"/>
              <w:rPr>
                <w:rFonts w:eastAsia="Times New Roman"/>
                <w:noProof/>
                <w:sz w:val="14"/>
              </w:rPr>
            </w:pPr>
            <w:r>
              <w:rPr>
                <w:noProof/>
                <w:sz w:val="14"/>
              </w:rPr>
              <w:t>(6)</w:t>
            </w:r>
          </w:p>
        </w:tc>
        <w:tc>
          <w:tcPr>
            <w:tcW w:w="1134" w:type="dxa"/>
            <w:vAlign w:val="center"/>
          </w:tcPr>
          <w:p>
            <w:pPr>
              <w:spacing w:before="20" w:after="20"/>
              <w:jc w:val="right"/>
              <w:rPr>
                <w:rFonts w:eastAsia="Times New Roman"/>
                <w:noProof/>
                <w:sz w:val="18"/>
                <w:szCs w:val="18"/>
              </w:rPr>
            </w:pPr>
            <w:r>
              <w:rPr>
                <w:noProof/>
                <w:sz w:val="18"/>
              </w:rPr>
              <w:t>0</w:t>
            </w:r>
          </w:p>
        </w:tc>
        <w:tc>
          <w:tcPr>
            <w:tcW w:w="992" w:type="dxa"/>
            <w:vAlign w:val="center"/>
          </w:tcPr>
          <w:p>
            <w:pPr>
              <w:spacing w:before="20" w:after="20"/>
              <w:jc w:val="right"/>
              <w:rPr>
                <w:rFonts w:eastAsia="Times New Roman"/>
                <w:noProof/>
                <w:sz w:val="18"/>
                <w:szCs w:val="18"/>
              </w:rPr>
            </w:pPr>
            <w:r>
              <w:rPr>
                <w:noProof/>
                <w:sz w:val="18"/>
              </w:rPr>
              <w:t>0</w:t>
            </w:r>
          </w:p>
        </w:tc>
        <w:tc>
          <w:tcPr>
            <w:tcW w:w="1134" w:type="dxa"/>
            <w:vAlign w:val="center"/>
          </w:tcPr>
          <w:p>
            <w:pPr>
              <w:spacing w:before="20" w:after="20"/>
              <w:jc w:val="right"/>
              <w:rPr>
                <w:rFonts w:eastAsia="Times New Roman"/>
                <w:noProof/>
                <w:sz w:val="18"/>
                <w:szCs w:val="18"/>
              </w:rPr>
            </w:pPr>
            <w:r>
              <w:rPr>
                <w:noProof/>
                <w:sz w:val="18"/>
              </w:rPr>
              <w:t>0</w:t>
            </w:r>
          </w:p>
        </w:tc>
        <w:tc>
          <w:tcPr>
            <w:tcW w:w="1134" w:type="dxa"/>
            <w:vAlign w:val="center"/>
          </w:tcPr>
          <w:p>
            <w:pPr>
              <w:spacing w:before="20" w:after="20"/>
              <w:jc w:val="right"/>
              <w:rPr>
                <w:rFonts w:eastAsia="Times New Roman"/>
                <w:noProof/>
                <w:sz w:val="18"/>
                <w:szCs w:val="18"/>
              </w:rPr>
            </w:pPr>
            <w:r>
              <w:rPr>
                <w:noProof/>
                <w:sz w:val="18"/>
              </w:rPr>
              <w:t>0</w:t>
            </w:r>
          </w:p>
        </w:tc>
        <w:tc>
          <w:tcPr>
            <w:tcW w:w="2410" w:type="dxa"/>
            <w:vAlign w:val="center"/>
          </w:tcPr>
          <w:p>
            <w:pPr>
              <w:spacing w:before="20" w:after="20"/>
              <w:jc w:val="right"/>
              <w:rPr>
                <w:rFonts w:eastAsia="Times New Roman"/>
                <w:b/>
                <w:noProof/>
                <w:sz w:val="18"/>
                <w:szCs w:val="18"/>
              </w:rPr>
            </w:pPr>
            <w:r>
              <w:rPr>
                <w:b/>
                <w:noProof/>
                <w:sz w:val="18"/>
              </w:rPr>
              <w:t>0</w:t>
            </w:r>
          </w:p>
        </w:tc>
      </w:tr>
      <w:tr>
        <w:trPr>
          <w:trHeight w:val="447"/>
        </w:trPr>
        <w:tc>
          <w:tcPr>
            <w:tcW w:w="3960" w:type="dxa"/>
            <w:vMerge w:val="restart"/>
            <w:shd w:val="thinDiagStripe" w:color="C0C0C0" w:fill="auto"/>
            <w:vAlign w:val="center"/>
          </w:tcPr>
          <w:p>
            <w:pPr>
              <w:jc w:val="center"/>
              <w:rPr>
                <w:rFonts w:eastAsia="Times New Roman"/>
                <w:b/>
                <w:noProof/>
              </w:rPr>
            </w:pPr>
            <w:r>
              <w:rPr>
                <w:b/>
                <w:noProof/>
              </w:rPr>
              <w:t>ΣΥΝΟΛΟ πιστώσεων</w:t>
            </w:r>
            <w:r>
              <w:rPr>
                <w:rFonts w:eastAsia="Times New Roman"/>
                <w:noProof/>
                <w:sz w:val="22"/>
              </w:rPr>
              <w:br/>
            </w:r>
            <w:r>
              <w:rPr>
                <w:b/>
                <w:noProof/>
                <w:sz w:val="22"/>
              </w:rPr>
              <w:t>του ΤΟΜΕΑ 1Α</w:t>
            </w:r>
            <w:r>
              <w:rPr>
                <w:rFonts w:eastAsia="Times New Roman"/>
                <w:noProof/>
                <w:sz w:val="22"/>
              </w:rPr>
              <w:br/>
            </w:r>
            <w:r>
              <w:rPr>
                <w:noProof/>
                <w:sz w:val="22"/>
              </w:rPr>
              <w:t>του πολυετούς δημοσιονομικού πλαισίου</w:t>
            </w:r>
          </w:p>
        </w:tc>
        <w:tc>
          <w:tcPr>
            <w:tcW w:w="2070" w:type="dxa"/>
            <w:vAlign w:val="center"/>
          </w:tcPr>
          <w:p>
            <w:pPr>
              <w:spacing w:beforeLines="20" w:before="48" w:afterLines="20" w:after="48"/>
              <w:rPr>
                <w:rFonts w:eastAsia="Times New Roman"/>
                <w:noProof/>
                <w:sz w:val="18"/>
              </w:rPr>
            </w:pPr>
            <w:r>
              <w:rPr>
                <w:noProof/>
                <w:sz w:val="18"/>
              </w:rPr>
              <w:t>Αναλήψεις υποχρεώσεων</w:t>
            </w:r>
          </w:p>
        </w:tc>
        <w:tc>
          <w:tcPr>
            <w:tcW w:w="1843" w:type="dxa"/>
            <w:vAlign w:val="center"/>
          </w:tcPr>
          <w:p>
            <w:pPr>
              <w:spacing w:beforeLines="20" w:before="48" w:afterLines="20" w:after="48"/>
              <w:jc w:val="center"/>
              <w:rPr>
                <w:rFonts w:eastAsia="Times New Roman"/>
                <w:noProof/>
                <w:sz w:val="14"/>
              </w:rPr>
            </w:pPr>
            <w:r>
              <w:rPr>
                <w:noProof/>
                <w:sz w:val="14"/>
              </w:rPr>
              <w:t>=4+ 6</w:t>
            </w:r>
          </w:p>
        </w:tc>
        <w:tc>
          <w:tcPr>
            <w:tcW w:w="1134" w:type="dxa"/>
            <w:vAlign w:val="center"/>
          </w:tcPr>
          <w:p>
            <w:pPr>
              <w:spacing w:beforeLines="20" w:before="48" w:afterLines="20" w:after="48"/>
              <w:jc w:val="right"/>
              <w:rPr>
                <w:rFonts w:eastAsia="Times New Roman"/>
                <w:noProof/>
                <w:sz w:val="18"/>
                <w:szCs w:val="18"/>
              </w:rPr>
            </w:pPr>
            <w:r>
              <w:rPr>
                <w:noProof/>
                <w:sz w:val="18"/>
              </w:rPr>
              <w:t>310.000</w:t>
            </w:r>
          </w:p>
        </w:tc>
        <w:tc>
          <w:tcPr>
            <w:tcW w:w="992" w:type="dxa"/>
            <w:vAlign w:val="center"/>
          </w:tcPr>
          <w:p>
            <w:pPr>
              <w:spacing w:beforeLines="20" w:before="48" w:afterLines="20" w:after="48"/>
              <w:jc w:val="right"/>
              <w:rPr>
                <w:rFonts w:eastAsia="Times New Roman"/>
                <w:noProof/>
                <w:sz w:val="18"/>
                <w:szCs w:val="18"/>
              </w:rPr>
            </w:pPr>
            <w:r>
              <w:rPr>
                <w:noProof/>
                <w:sz w:val="18"/>
              </w:rPr>
              <w:t>945.000</w:t>
            </w:r>
          </w:p>
        </w:tc>
        <w:tc>
          <w:tcPr>
            <w:tcW w:w="1134" w:type="dxa"/>
            <w:vAlign w:val="center"/>
          </w:tcPr>
          <w:p>
            <w:pPr>
              <w:spacing w:beforeLines="20" w:before="48" w:afterLines="20" w:after="48"/>
              <w:jc w:val="right"/>
              <w:rPr>
                <w:rFonts w:eastAsia="Times New Roman"/>
                <w:noProof/>
                <w:sz w:val="18"/>
                <w:szCs w:val="18"/>
              </w:rPr>
            </w:pPr>
            <w:r>
              <w:rPr>
                <w:noProof/>
                <w:sz w:val="18"/>
              </w:rPr>
              <w:t>945.000</w:t>
            </w:r>
          </w:p>
        </w:tc>
        <w:tc>
          <w:tcPr>
            <w:tcW w:w="1134" w:type="dxa"/>
            <w:vAlign w:val="center"/>
          </w:tcPr>
          <w:p>
            <w:pPr>
              <w:spacing w:beforeLines="20" w:before="48" w:afterLines="20" w:after="48"/>
              <w:jc w:val="right"/>
              <w:rPr>
                <w:rFonts w:eastAsia="Times New Roman"/>
                <w:noProof/>
                <w:sz w:val="18"/>
                <w:szCs w:val="18"/>
              </w:rPr>
            </w:pPr>
            <w:r>
              <w:rPr>
                <w:noProof/>
                <w:sz w:val="18"/>
              </w:rPr>
              <w:t>0</w:t>
            </w:r>
          </w:p>
        </w:tc>
        <w:tc>
          <w:tcPr>
            <w:tcW w:w="2410" w:type="dxa"/>
            <w:vAlign w:val="center"/>
          </w:tcPr>
          <w:p>
            <w:pPr>
              <w:spacing w:beforeLines="20" w:before="48" w:afterLines="20" w:after="48"/>
              <w:jc w:val="right"/>
              <w:rPr>
                <w:rFonts w:eastAsia="Times New Roman"/>
                <w:b/>
                <w:noProof/>
                <w:sz w:val="18"/>
                <w:szCs w:val="18"/>
              </w:rPr>
            </w:pPr>
            <w:r>
              <w:rPr>
                <w:b/>
                <w:noProof/>
                <w:sz w:val="18"/>
              </w:rPr>
              <w:t>2.200.000</w:t>
            </w:r>
          </w:p>
        </w:tc>
      </w:tr>
      <w:tr>
        <w:tc>
          <w:tcPr>
            <w:tcW w:w="3960" w:type="dxa"/>
            <w:vMerge/>
            <w:shd w:val="thinDiagStripe" w:color="C0C0C0" w:fill="auto"/>
          </w:tcPr>
          <w:p>
            <w:pPr>
              <w:rPr>
                <w:rFonts w:eastAsia="Times New Roman"/>
                <w:noProof/>
                <w:sz w:val="20"/>
              </w:rPr>
            </w:pPr>
          </w:p>
        </w:tc>
        <w:tc>
          <w:tcPr>
            <w:tcW w:w="2070" w:type="dxa"/>
            <w:vAlign w:val="center"/>
          </w:tcPr>
          <w:p>
            <w:pPr>
              <w:spacing w:beforeLines="20" w:before="48" w:afterLines="20" w:after="48"/>
              <w:rPr>
                <w:rFonts w:eastAsia="Times New Roman"/>
                <w:noProof/>
                <w:sz w:val="18"/>
              </w:rPr>
            </w:pPr>
            <w:r>
              <w:rPr>
                <w:noProof/>
                <w:sz w:val="18"/>
              </w:rPr>
              <w:t>Πληρωμές</w:t>
            </w:r>
          </w:p>
        </w:tc>
        <w:tc>
          <w:tcPr>
            <w:tcW w:w="1843" w:type="dxa"/>
            <w:vAlign w:val="center"/>
          </w:tcPr>
          <w:p>
            <w:pPr>
              <w:spacing w:beforeLines="20" w:before="48" w:afterLines="20" w:after="48"/>
              <w:jc w:val="center"/>
              <w:rPr>
                <w:rFonts w:eastAsia="Times New Roman"/>
                <w:noProof/>
                <w:sz w:val="14"/>
              </w:rPr>
            </w:pPr>
            <w:r>
              <w:rPr>
                <w:noProof/>
                <w:sz w:val="14"/>
              </w:rPr>
              <w:t>=5+ 6</w:t>
            </w:r>
          </w:p>
        </w:tc>
        <w:tc>
          <w:tcPr>
            <w:tcW w:w="1134" w:type="dxa"/>
            <w:vAlign w:val="center"/>
          </w:tcPr>
          <w:p>
            <w:pPr>
              <w:spacing w:beforeLines="20" w:before="48" w:afterLines="20" w:after="48"/>
              <w:jc w:val="right"/>
              <w:rPr>
                <w:rFonts w:eastAsia="Times New Roman"/>
                <w:noProof/>
                <w:sz w:val="18"/>
                <w:szCs w:val="18"/>
              </w:rPr>
            </w:pPr>
            <w:r>
              <w:rPr>
                <w:noProof/>
                <w:sz w:val="18"/>
              </w:rPr>
              <w:t>310.000</w:t>
            </w:r>
          </w:p>
        </w:tc>
        <w:tc>
          <w:tcPr>
            <w:tcW w:w="992" w:type="dxa"/>
            <w:vAlign w:val="center"/>
          </w:tcPr>
          <w:p>
            <w:pPr>
              <w:spacing w:beforeLines="20" w:before="48" w:afterLines="20" w:after="48"/>
              <w:jc w:val="right"/>
              <w:rPr>
                <w:rFonts w:eastAsia="Times New Roman"/>
                <w:noProof/>
                <w:sz w:val="18"/>
                <w:szCs w:val="18"/>
              </w:rPr>
            </w:pPr>
            <w:r>
              <w:rPr>
                <w:noProof/>
                <w:sz w:val="18"/>
              </w:rPr>
              <w:t>945.000</w:t>
            </w:r>
          </w:p>
        </w:tc>
        <w:tc>
          <w:tcPr>
            <w:tcW w:w="1134" w:type="dxa"/>
            <w:vAlign w:val="center"/>
          </w:tcPr>
          <w:p>
            <w:pPr>
              <w:spacing w:beforeLines="20" w:before="48" w:afterLines="20" w:after="48"/>
              <w:jc w:val="right"/>
              <w:rPr>
                <w:rFonts w:eastAsia="Times New Roman"/>
                <w:noProof/>
                <w:sz w:val="18"/>
                <w:szCs w:val="18"/>
              </w:rPr>
            </w:pPr>
            <w:r>
              <w:rPr>
                <w:noProof/>
                <w:sz w:val="18"/>
              </w:rPr>
              <w:t>945.000</w:t>
            </w:r>
          </w:p>
        </w:tc>
        <w:tc>
          <w:tcPr>
            <w:tcW w:w="1134" w:type="dxa"/>
            <w:vAlign w:val="center"/>
          </w:tcPr>
          <w:p>
            <w:pPr>
              <w:spacing w:beforeLines="20" w:before="48" w:afterLines="20" w:after="48"/>
              <w:jc w:val="right"/>
              <w:rPr>
                <w:rFonts w:eastAsia="Times New Roman"/>
                <w:noProof/>
                <w:sz w:val="18"/>
                <w:szCs w:val="18"/>
              </w:rPr>
            </w:pPr>
            <w:r>
              <w:rPr>
                <w:noProof/>
                <w:sz w:val="18"/>
              </w:rPr>
              <w:t>0</w:t>
            </w:r>
          </w:p>
        </w:tc>
        <w:tc>
          <w:tcPr>
            <w:tcW w:w="2410" w:type="dxa"/>
            <w:vAlign w:val="center"/>
          </w:tcPr>
          <w:p>
            <w:pPr>
              <w:spacing w:beforeLines="20" w:before="48" w:afterLines="20" w:after="48"/>
              <w:jc w:val="right"/>
              <w:rPr>
                <w:rFonts w:eastAsia="Times New Roman"/>
                <w:b/>
                <w:noProof/>
                <w:sz w:val="18"/>
                <w:szCs w:val="18"/>
              </w:rPr>
            </w:pPr>
            <w:r>
              <w:rPr>
                <w:b/>
                <w:noProof/>
                <w:sz w:val="18"/>
              </w:rPr>
              <w:t>2.200.000</w:t>
            </w:r>
          </w:p>
        </w:tc>
      </w:tr>
    </w:tbl>
    <w:p>
      <w:pPr>
        <w:rPr>
          <w:rFonts w:eastAsia="Times New Roman"/>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6469"/>
      </w:tblGrid>
      <w:tr>
        <w:trPr>
          <w:jc w:val="center"/>
        </w:trPr>
        <w:tc>
          <w:tcPr>
            <w:tcW w:w="4744" w:type="dxa"/>
            <w:shd w:val="thinDiagStripe" w:color="C0C0C0" w:fill="auto"/>
            <w:vAlign w:val="center"/>
          </w:tcPr>
          <w:p>
            <w:pPr>
              <w:spacing w:before="60" w:after="60"/>
              <w:jc w:val="center"/>
              <w:rPr>
                <w:rFonts w:eastAsia="Times New Roman"/>
                <w:b/>
                <w:noProof/>
              </w:rPr>
            </w:pPr>
            <w:r>
              <w:rPr>
                <w:noProof/>
              </w:rPr>
              <w:br w:type="page"/>
            </w:r>
            <w:r>
              <w:rPr>
                <w:b/>
                <w:noProof/>
              </w:rPr>
              <w:t>Τομέας του πολυετούς δημοσιονομικού</w:t>
            </w:r>
            <w:r>
              <w:rPr>
                <w:rFonts w:eastAsia="Times New Roman"/>
                <w:noProof/>
                <w:sz w:val="22"/>
              </w:rPr>
              <w:br/>
            </w:r>
            <w:r>
              <w:rPr>
                <w:b/>
                <w:noProof/>
                <w:sz w:val="22"/>
              </w:rPr>
              <w:t xml:space="preserve">πλαισίου: </w:t>
            </w:r>
          </w:p>
        </w:tc>
        <w:tc>
          <w:tcPr>
            <w:tcW w:w="1080" w:type="dxa"/>
            <w:shd w:val="thinDiagStripe" w:color="C0C0C0" w:fill="auto"/>
            <w:vAlign w:val="center"/>
          </w:tcPr>
          <w:p>
            <w:pPr>
              <w:spacing w:before="60" w:after="60"/>
              <w:jc w:val="center"/>
              <w:rPr>
                <w:rFonts w:eastAsia="Times New Roman"/>
                <w:noProof/>
              </w:rPr>
            </w:pPr>
            <w:r>
              <w:rPr>
                <w:b/>
                <w:noProof/>
                <w:sz w:val="22"/>
              </w:rPr>
              <w:t>5</w:t>
            </w:r>
          </w:p>
        </w:tc>
        <w:tc>
          <w:tcPr>
            <w:tcW w:w="6469" w:type="dxa"/>
            <w:vAlign w:val="center"/>
          </w:tcPr>
          <w:p>
            <w:pPr>
              <w:spacing w:before="60" w:after="60"/>
              <w:rPr>
                <w:rFonts w:eastAsia="Times New Roman"/>
                <w:noProof/>
              </w:rPr>
            </w:pPr>
            <w:r>
              <w:rPr>
                <w:noProof/>
                <w:sz w:val="22"/>
              </w:rPr>
              <w:t>«Διοικητικές δαπάνες»</w:t>
            </w:r>
          </w:p>
        </w:tc>
      </w:tr>
    </w:tbl>
    <w:p>
      <w:pPr>
        <w:jc w:val="right"/>
        <w:rPr>
          <w:rFonts w:eastAsia="Times New Roman"/>
          <w:noProof/>
          <w:sz w:val="20"/>
        </w:rPr>
      </w:pPr>
      <w:r>
        <w:rPr>
          <w:noProof/>
          <w:sz w:val="20"/>
        </w:rPr>
        <w:t>σε EUR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1644"/>
        <w:gridCol w:w="993"/>
        <w:gridCol w:w="1134"/>
        <w:gridCol w:w="992"/>
        <w:gridCol w:w="1134"/>
        <w:gridCol w:w="2551"/>
      </w:tblGrid>
      <w:tr>
        <w:tc>
          <w:tcPr>
            <w:tcW w:w="3960" w:type="dxa"/>
            <w:tcBorders>
              <w:top w:val="nil"/>
              <w:left w:val="nil"/>
              <w:right w:val="nil"/>
            </w:tcBorders>
            <w:vAlign w:val="center"/>
          </w:tcPr>
          <w:p>
            <w:pPr>
              <w:jc w:val="center"/>
              <w:rPr>
                <w:rFonts w:eastAsia="Times New Roman"/>
                <w:noProof/>
              </w:rPr>
            </w:pPr>
          </w:p>
        </w:tc>
        <w:tc>
          <w:tcPr>
            <w:tcW w:w="1560" w:type="dxa"/>
            <w:tcBorders>
              <w:top w:val="nil"/>
              <w:left w:val="nil"/>
              <w:right w:val="nil"/>
            </w:tcBorders>
          </w:tcPr>
          <w:p>
            <w:pPr>
              <w:rPr>
                <w:rFonts w:eastAsia="Times New Roman"/>
                <w:noProof/>
                <w:sz w:val="20"/>
              </w:rPr>
            </w:pPr>
          </w:p>
        </w:tc>
        <w:tc>
          <w:tcPr>
            <w:tcW w:w="1644" w:type="dxa"/>
            <w:tcBorders>
              <w:top w:val="nil"/>
              <w:left w:val="nil"/>
            </w:tcBorders>
          </w:tcPr>
          <w:p>
            <w:pPr>
              <w:jc w:val="center"/>
              <w:rPr>
                <w:rFonts w:eastAsia="Times New Roman"/>
                <w:noProof/>
                <w:sz w:val="20"/>
              </w:rPr>
            </w:pPr>
          </w:p>
        </w:tc>
        <w:tc>
          <w:tcPr>
            <w:tcW w:w="993" w:type="dxa"/>
            <w:vAlign w:val="center"/>
          </w:tcPr>
          <w:p>
            <w:pPr>
              <w:jc w:val="center"/>
              <w:rPr>
                <w:rFonts w:eastAsia="Times New Roman"/>
                <w:noProof/>
                <w:sz w:val="20"/>
              </w:rPr>
            </w:pPr>
            <w:r>
              <w:rPr>
                <w:noProof/>
                <w:sz w:val="20"/>
              </w:rPr>
              <w:t>2018</w:t>
            </w:r>
          </w:p>
        </w:tc>
        <w:tc>
          <w:tcPr>
            <w:tcW w:w="1134" w:type="dxa"/>
            <w:vAlign w:val="center"/>
          </w:tcPr>
          <w:p>
            <w:pPr>
              <w:jc w:val="center"/>
              <w:rPr>
                <w:rFonts w:eastAsia="Times New Roman"/>
                <w:noProof/>
                <w:sz w:val="20"/>
              </w:rPr>
            </w:pPr>
            <w:r>
              <w:rPr>
                <w:noProof/>
                <w:sz w:val="20"/>
              </w:rPr>
              <w:t>2019</w:t>
            </w:r>
          </w:p>
        </w:tc>
        <w:tc>
          <w:tcPr>
            <w:tcW w:w="992" w:type="dxa"/>
            <w:vAlign w:val="center"/>
          </w:tcPr>
          <w:p>
            <w:pPr>
              <w:jc w:val="center"/>
              <w:rPr>
                <w:rFonts w:eastAsia="Times New Roman"/>
                <w:noProof/>
                <w:sz w:val="20"/>
              </w:rPr>
            </w:pPr>
            <w:r>
              <w:rPr>
                <w:noProof/>
                <w:sz w:val="20"/>
              </w:rPr>
              <w:t>2020</w:t>
            </w:r>
          </w:p>
        </w:tc>
        <w:tc>
          <w:tcPr>
            <w:tcW w:w="1134" w:type="dxa"/>
            <w:vAlign w:val="center"/>
          </w:tcPr>
          <w:p>
            <w:pPr>
              <w:jc w:val="center"/>
              <w:rPr>
                <w:rFonts w:eastAsia="Times New Roman"/>
                <w:b/>
                <w:noProof/>
                <w:sz w:val="20"/>
                <w:szCs w:val="20"/>
              </w:rPr>
            </w:pPr>
            <w:r>
              <w:rPr>
                <w:noProof/>
                <w:sz w:val="20"/>
              </w:rPr>
              <w:t xml:space="preserve">2021 </w:t>
            </w:r>
          </w:p>
        </w:tc>
        <w:tc>
          <w:tcPr>
            <w:tcW w:w="2551" w:type="dxa"/>
            <w:vAlign w:val="center"/>
          </w:tcPr>
          <w:p>
            <w:pPr>
              <w:jc w:val="center"/>
              <w:rPr>
                <w:rFonts w:eastAsia="Times New Roman"/>
                <w:b/>
                <w:noProof/>
                <w:sz w:val="20"/>
              </w:rPr>
            </w:pPr>
            <w:r>
              <w:rPr>
                <w:b/>
                <w:noProof/>
                <w:sz w:val="20"/>
              </w:rPr>
              <w:t>ΣΥΝΟΛΟ</w:t>
            </w:r>
          </w:p>
        </w:tc>
      </w:tr>
      <w:tr>
        <w:trPr>
          <w:gridAfter w:val="7"/>
          <w:wAfter w:w="10008" w:type="dxa"/>
        </w:trPr>
        <w:tc>
          <w:tcPr>
            <w:tcW w:w="3960" w:type="dxa"/>
            <w:vAlign w:val="center"/>
          </w:tcPr>
          <w:p>
            <w:pPr>
              <w:spacing w:before="60" w:after="60"/>
              <w:jc w:val="center"/>
              <w:rPr>
                <w:rFonts w:eastAsia="Times New Roman"/>
                <w:noProof/>
              </w:rPr>
            </w:pPr>
            <w:r>
              <w:rPr>
                <w:noProof/>
                <w:sz w:val="22"/>
              </w:rPr>
              <w:t>ΓΔ: GROW</w:t>
            </w:r>
          </w:p>
        </w:tc>
      </w:tr>
      <w:tr>
        <w:trPr>
          <w:trHeight w:val="313"/>
        </w:trPr>
        <w:tc>
          <w:tcPr>
            <w:tcW w:w="7164" w:type="dxa"/>
            <w:gridSpan w:val="3"/>
            <w:vAlign w:val="center"/>
          </w:tcPr>
          <w:p>
            <w:pPr>
              <w:spacing w:before="20" w:after="20"/>
              <w:rPr>
                <w:rFonts w:eastAsia="Times New Roman"/>
                <w:noProof/>
              </w:rPr>
            </w:pPr>
            <w:r>
              <w:rPr>
                <w:rFonts w:eastAsia="Times New Roman"/>
                <w:noProof/>
                <w:sz w:val="22"/>
              </w:rPr>
              <w:sym w:font="Wingdings" w:char="F09F"/>
            </w:r>
            <w:r>
              <w:rPr>
                <w:noProof/>
                <w:sz w:val="22"/>
              </w:rPr>
              <w:t xml:space="preserve"> Ανθρώπινοι πόροι </w:t>
            </w:r>
          </w:p>
        </w:tc>
        <w:tc>
          <w:tcPr>
            <w:tcW w:w="993" w:type="dxa"/>
            <w:vAlign w:val="center"/>
          </w:tcPr>
          <w:p>
            <w:pPr>
              <w:spacing w:before="20" w:after="20"/>
              <w:jc w:val="right"/>
              <w:rPr>
                <w:rFonts w:eastAsia="Times New Roman"/>
                <w:noProof/>
                <w:color w:val="FF0000"/>
                <w:sz w:val="18"/>
                <w:szCs w:val="18"/>
              </w:rPr>
            </w:pPr>
            <w:r>
              <w:rPr>
                <w:noProof/>
                <w:color w:val="000000"/>
                <w:sz w:val="18"/>
              </w:rPr>
              <w:t>303.600</w:t>
            </w:r>
          </w:p>
        </w:tc>
        <w:tc>
          <w:tcPr>
            <w:tcW w:w="1134" w:type="dxa"/>
            <w:vAlign w:val="center"/>
          </w:tcPr>
          <w:p>
            <w:pPr>
              <w:spacing w:before="20" w:after="20"/>
              <w:jc w:val="right"/>
              <w:rPr>
                <w:rFonts w:eastAsia="Times New Roman"/>
                <w:noProof/>
                <w:color w:val="FF0000"/>
                <w:sz w:val="18"/>
                <w:szCs w:val="18"/>
              </w:rPr>
            </w:pPr>
            <w:r>
              <w:rPr>
                <w:noProof/>
                <w:color w:val="000000"/>
                <w:sz w:val="18"/>
              </w:rPr>
              <w:t>427.800</w:t>
            </w:r>
          </w:p>
        </w:tc>
        <w:tc>
          <w:tcPr>
            <w:tcW w:w="992" w:type="dxa"/>
            <w:vAlign w:val="center"/>
          </w:tcPr>
          <w:p>
            <w:pPr>
              <w:spacing w:before="20" w:after="20"/>
              <w:jc w:val="right"/>
              <w:rPr>
                <w:rFonts w:eastAsia="Times New Roman"/>
                <w:noProof/>
                <w:color w:val="FF0000"/>
                <w:sz w:val="18"/>
                <w:szCs w:val="18"/>
              </w:rPr>
            </w:pPr>
            <w:r>
              <w:rPr>
                <w:noProof/>
                <w:color w:val="000000"/>
                <w:sz w:val="18"/>
              </w:rPr>
              <w:t>427.800</w:t>
            </w:r>
          </w:p>
        </w:tc>
        <w:tc>
          <w:tcPr>
            <w:tcW w:w="1134" w:type="dxa"/>
            <w:vAlign w:val="center"/>
          </w:tcPr>
          <w:p>
            <w:pPr>
              <w:spacing w:before="20" w:after="20"/>
              <w:jc w:val="right"/>
              <w:rPr>
                <w:rFonts w:eastAsia="Times New Roman"/>
                <w:noProof/>
                <w:color w:val="FF0000"/>
                <w:sz w:val="18"/>
                <w:szCs w:val="18"/>
              </w:rPr>
            </w:pPr>
            <w:r>
              <w:rPr>
                <w:noProof/>
                <w:color w:val="000000"/>
                <w:sz w:val="18"/>
              </w:rPr>
              <w:t>358.800</w:t>
            </w:r>
          </w:p>
        </w:tc>
        <w:tc>
          <w:tcPr>
            <w:tcW w:w="2551" w:type="dxa"/>
            <w:vAlign w:val="center"/>
          </w:tcPr>
          <w:p>
            <w:pPr>
              <w:spacing w:before="20" w:after="20"/>
              <w:jc w:val="right"/>
              <w:rPr>
                <w:rFonts w:eastAsia="Times New Roman"/>
                <w:b/>
                <w:noProof/>
                <w:color w:val="FF0000"/>
                <w:sz w:val="18"/>
                <w:szCs w:val="18"/>
              </w:rPr>
            </w:pPr>
            <w:r>
              <w:rPr>
                <w:b/>
                <w:noProof/>
                <w:color w:val="000000"/>
                <w:sz w:val="18"/>
              </w:rPr>
              <w:t>1.518.000</w:t>
            </w:r>
          </w:p>
        </w:tc>
      </w:tr>
      <w:tr>
        <w:trPr>
          <w:trHeight w:val="351"/>
        </w:trPr>
        <w:tc>
          <w:tcPr>
            <w:tcW w:w="7164" w:type="dxa"/>
            <w:gridSpan w:val="3"/>
            <w:vAlign w:val="center"/>
          </w:tcPr>
          <w:p>
            <w:pPr>
              <w:spacing w:before="20" w:after="20"/>
              <w:rPr>
                <w:rFonts w:eastAsia="Times New Roman"/>
                <w:noProof/>
              </w:rPr>
            </w:pPr>
            <w:r>
              <w:rPr>
                <w:rFonts w:eastAsia="Times New Roman"/>
                <w:noProof/>
                <w:sz w:val="22"/>
              </w:rPr>
              <w:sym w:font="Wingdings" w:char="F09F"/>
            </w:r>
            <w:r>
              <w:rPr>
                <w:noProof/>
                <w:sz w:val="22"/>
              </w:rPr>
              <w:t xml:space="preserve"> Άλλες διοικητικές δαπάνες </w:t>
            </w:r>
          </w:p>
        </w:tc>
        <w:tc>
          <w:tcPr>
            <w:tcW w:w="993" w:type="dxa"/>
            <w:vAlign w:val="center"/>
          </w:tcPr>
          <w:p>
            <w:pPr>
              <w:spacing w:before="20" w:after="20"/>
              <w:jc w:val="right"/>
              <w:rPr>
                <w:rFonts w:eastAsia="Times New Roman"/>
                <w:noProof/>
                <w:sz w:val="18"/>
                <w:szCs w:val="18"/>
              </w:rPr>
            </w:pPr>
            <w:r>
              <w:rPr>
                <w:noProof/>
                <w:sz w:val="18"/>
              </w:rPr>
              <w:t>0</w:t>
            </w:r>
          </w:p>
        </w:tc>
        <w:tc>
          <w:tcPr>
            <w:tcW w:w="1134" w:type="dxa"/>
            <w:vAlign w:val="center"/>
          </w:tcPr>
          <w:p>
            <w:pPr>
              <w:spacing w:before="20" w:after="20"/>
              <w:jc w:val="right"/>
              <w:rPr>
                <w:rFonts w:eastAsia="Times New Roman"/>
                <w:noProof/>
                <w:sz w:val="18"/>
                <w:szCs w:val="18"/>
              </w:rPr>
            </w:pPr>
            <w:r>
              <w:rPr>
                <w:noProof/>
                <w:sz w:val="18"/>
              </w:rPr>
              <w:t>0</w:t>
            </w:r>
          </w:p>
        </w:tc>
        <w:tc>
          <w:tcPr>
            <w:tcW w:w="992" w:type="dxa"/>
            <w:vAlign w:val="center"/>
          </w:tcPr>
          <w:p>
            <w:pPr>
              <w:spacing w:before="20" w:after="20"/>
              <w:jc w:val="right"/>
              <w:rPr>
                <w:rFonts w:eastAsia="Times New Roman"/>
                <w:noProof/>
                <w:sz w:val="18"/>
                <w:szCs w:val="18"/>
              </w:rPr>
            </w:pPr>
            <w:r>
              <w:rPr>
                <w:noProof/>
                <w:sz w:val="18"/>
              </w:rPr>
              <w:t>0</w:t>
            </w:r>
          </w:p>
        </w:tc>
        <w:tc>
          <w:tcPr>
            <w:tcW w:w="1134" w:type="dxa"/>
            <w:vAlign w:val="center"/>
          </w:tcPr>
          <w:p>
            <w:pPr>
              <w:spacing w:before="20" w:after="20"/>
              <w:jc w:val="right"/>
              <w:rPr>
                <w:rFonts w:eastAsia="Times New Roman"/>
                <w:noProof/>
                <w:sz w:val="18"/>
                <w:szCs w:val="18"/>
              </w:rPr>
            </w:pPr>
            <w:r>
              <w:rPr>
                <w:noProof/>
                <w:sz w:val="18"/>
              </w:rPr>
              <w:t>0</w:t>
            </w:r>
          </w:p>
        </w:tc>
        <w:tc>
          <w:tcPr>
            <w:tcW w:w="2551" w:type="dxa"/>
            <w:vAlign w:val="center"/>
          </w:tcPr>
          <w:p>
            <w:pPr>
              <w:spacing w:before="20" w:after="20"/>
              <w:jc w:val="right"/>
              <w:rPr>
                <w:rFonts w:eastAsia="Times New Roman"/>
                <w:b/>
                <w:noProof/>
                <w:sz w:val="18"/>
                <w:szCs w:val="18"/>
              </w:rPr>
            </w:pPr>
            <w:r>
              <w:rPr>
                <w:b/>
                <w:noProof/>
                <w:sz w:val="18"/>
              </w:rPr>
              <w:t>0</w:t>
            </w:r>
          </w:p>
        </w:tc>
      </w:tr>
      <w:tr>
        <w:tc>
          <w:tcPr>
            <w:tcW w:w="3960" w:type="dxa"/>
            <w:vAlign w:val="center"/>
          </w:tcPr>
          <w:p>
            <w:pPr>
              <w:jc w:val="center"/>
              <w:rPr>
                <w:rFonts w:eastAsia="Times New Roman"/>
                <w:b/>
                <w:noProof/>
              </w:rPr>
            </w:pPr>
            <w:r>
              <w:rPr>
                <w:b/>
                <w:noProof/>
                <w:sz w:val="22"/>
              </w:rPr>
              <w:t>ΣΥΝΟΛΟ ΓΔ GROW</w:t>
            </w:r>
          </w:p>
        </w:tc>
        <w:tc>
          <w:tcPr>
            <w:tcW w:w="3204" w:type="dxa"/>
            <w:gridSpan w:val="2"/>
            <w:vAlign w:val="center"/>
          </w:tcPr>
          <w:p>
            <w:pPr>
              <w:rPr>
                <w:rFonts w:eastAsia="Times New Roman"/>
                <w:noProof/>
                <w:sz w:val="14"/>
              </w:rPr>
            </w:pPr>
            <w:r>
              <w:rPr>
                <w:noProof/>
                <w:sz w:val="18"/>
              </w:rPr>
              <w:t xml:space="preserve">Πιστώσεις </w:t>
            </w:r>
          </w:p>
        </w:tc>
        <w:tc>
          <w:tcPr>
            <w:tcW w:w="993" w:type="dxa"/>
            <w:vAlign w:val="center"/>
          </w:tcPr>
          <w:p>
            <w:pPr>
              <w:spacing w:before="20" w:after="20"/>
              <w:jc w:val="right"/>
              <w:rPr>
                <w:rFonts w:eastAsia="Times New Roman"/>
                <w:noProof/>
                <w:color w:val="FF0000"/>
                <w:sz w:val="18"/>
                <w:szCs w:val="18"/>
              </w:rPr>
            </w:pPr>
            <w:r>
              <w:rPr>
                <w:noProof/>
                <w:color w:val="000000"/>
                <w:sz w:val="18"/>
              </w:rPr>
              <w:t>303.600</w:t>
            </w:r>
          </w:p>
        </w:tc>
        <w:tc>
          <w:tcPr>
            <w:tcW w:w="1134" w:type="dxa"/>
            <w:vAlign w:val="center"/>
          </w:tcPr>
          <w:p>
            <w:pPr>
              <w:spacing w:before="20" w:after="20"/>
              <w:jc w:val="right"/>
              <w:rPr>
                <w:rFonts w:eastAsia="Times New Roman"/>
                <w:noProof/>
                <w:color w:val="FF0000"/>
                <w:sz w:val="18"/>
                <w:szCs w:val="18"/>
              </w:rPr>
            </w:pPr>
            <w:r>
              <w:rPr>
                <w:noProof/>
                <w:color w:val="000000"/>
                <w:sz w:val="18"/>
              </w:rPr>
              <w:t>427.800</w:t>
            </w:r>
          </w:p>
        </w:tc>
        <w:tc>
          <w:tcPr>
            <w:tcW w:w="992" w:type="dxa"/>
            <w:vAlign w:val="center"/>
          </w:tcPr>
          <w:p>
            <w:pPr>
              <w:spacing w:before="20" w:after="20"/>
              <w:jc w:val="right"/>
              <w:rPr>
                <w:rFonts w:eastAsia="Times New Roman"/>
                <w:noProof/>
                <w:color w:val="FF0000"/>
                <w:sz w:val="18"/>
                <w:szCs w:val="18"/>
              </w:rPr>
            </w:pPr>
            <w:r>
              <w:rPr>
                <w:noProof/>
                <w:color w:val="000000"/>
                <w:sz w:val="18"/>
              </w:rPr>
              <w:t>427.800</w:t>
            </w:r>
          </w:p>
        </w:tc>
        <w:tc>
          <w:tcPr>
            <w:tcW w:w="1134" w:type="dxa"/>
            <w:vAlign w:val="center"/>
          </w:tcPr>
          <w:p>
            <w:pPr>
              <w:spacing w:before="20" w:after="20"/>
              <w:jc w:val="right"/>
              <w:rPr>
                <w:rFonts w:eastAsia="Times New Roman"/>
                <w:noProof/>
                <w:color w:val="FF0000"/>
                <w:sz w:val="18"/>
                <w:szCs w:val="18"/>
              </w:rPr>
            </w:pPr>
            <w:r>
              <w:rPr>
                <w:noProof/>
                <w:color w:val="000000"/>
                <w:sz w:val="18"/>
              </w:rPr>
              <w:t>358.800</w:t>
            </w:r>
          </w:p>
        </w:tc>
        <w:tc>
          <w:tcPr>
            <w:tcW w:w="2551" w:type="dxa"/>
            <w:vAlign w:val="center"/>
          </w:tcPr>
          <w:p>
            <w:pPr>
              <w:spacing w:before="20" w:after="20"/>
              <w:jc w:val="right"/>
              <w:rPr>
                <w:rFonts w:eastAsia="Times New Roman"/>
                <w:b/>
                <w:noProof/>
                <w:color w:val="FF0000"/>
                <w:sz w:val="18"/>
                <w:szCs w:val="18"/>
              </w:rPr>
            </w:pPr>
            <w:r>
              <w:rPr>
                <w:b/>
                <w:noProof/>
                <w:color w:val="000000"/>
                <w:sz w:val="18"/>
              </w:rPr>
              <w:t>1.518.000</w:t>
            </w:r>
          </w:p>
        </w:tc>
      </w:tr>
    </w:tbl>
    <w:p>
      <w:pPr>
        <w:rPr>
          <w:rFonts w:eastAsia="Times New Roman"/>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3204"/>
        <w:gridCol w:w="993"/>
        <w:gridCol w:w="1134"/>
        <w:gridCol w:w="992"/>
        <w:gridCol w:w="1134"/>
        <w:gridCol w:w="2551"/>
      </w:tblGrid>
      <w:tr>
        <w:tc>
          <w:tcPr>
            <w:tcW w:w="3960" w:type="dxa"/>
            <w:shd w:val="thinDiagStripe" w:color="C0C0C0" w:fill="auto"/>
            <w:vAlign w:val="center"/>
          </w:tcPr>
          <w:p>
            <w:pPr>
              <w:jc w:val="center"/>
              <w:rPr>
                <w:rFonts w:eastAsia="Times New Roman"/>
                <w:b/>
                <w:noProof/>
              </w:rPr>
            </w:pPr>
            <w:r>
              <w:rPr>
                <w:b/>
                <w:noProof/>
              </w:rPr>
              <w:t>ΣΥΝΟΛΟ πιστώσεων</w:t>
            </w:r>
            <w:r>
              <w:rPr>
                <w:rFonts w:eastAsia="Times New Roman"/>
                <w:noProof/>
                <w:sz w:val="22"/>
              </w:rPr>
              <w:br/>
            </w:r>
            <w:r>
              <w:rPr>
                <w:b/>
                <w:noProof/>
                <w:sz w:val="22"/>
              </w:rPr>
              <w:t>του ΤΟΜΕΑ 5</w:t>
            </w:r>
            <w:r>
              <w:rPr>
                <w:rFonts w:eastAsia="Times New Roman"/>
                <w:noProof/>
                <w:sz w:val="22"/>
              </w:rPr>
              <w:br/>
            </w:r>
            <w:r>
              <w:rPr>
                <w:noProof/>
                <w:sz w:val="22"/>
              </w:rPr>
              <w:t>του πολυετούς δημοσιονομικού πλαισίου</w:t>
            </w:r>
            <w:r>
              <w:rPr>
                <w:b/>
                <w:noProof/>
                <w:sz w:val="22"/>
              </w:rPr>
              <w:t xml:space="preserve"> </w:t>
            </w:r>
          </w:p>
        </w:tc>
        <w:tc>
          <w:tcPr>
            <w:tcW w:w="3204" w:type="dxa"/>
            <w:vAlign w:val="center"/>
          </w:tcPr>
          <w:p>
            <w:pPr>
              <w:spacing w:before="40" w:after="40"/>
              <w:rPr>
                <w:rFonts w:eastAsia="Times New Roman"/>
                <w:noProof/>
              </w:rPr>
            </w:pPr>
            <w:r>
              <w:rPr>
                <w:noProof/>
                <w:sz w:val="18"/>
              </w:rPr>
              <w:t>(Σύνολο πιστώσεων ανάληψης υποχρεώσεων = Σύνολο πληρωμών)</w:t>
            </w:r>
          </w:p>
        </w:tc>
        <w:tc>
          <w:tcPr>
            <w:tcW w:w="993" w:type="dxa"/>
            <w:vAlign w:val="center"/>
          </w:tcPr>
          <w:p>
            <w:pPr>
              <w:spacing w:before="20" w:after="20"/>
              <w:jc w:val="right"/>
              <w:rPr>
                <w:rFonts w:eastAsia="Times New Roman"/>
                <w:noProof/>
                <w:color w:val="FF0000"/>
                <w:sz w:val="18"/>
                <w:szCs w:val="18"/>
              </w:rPr>
            </w:pPr>
            <w:r>
              <w:rPr>
                <w:noProof/>
                <w:color w:val="000000"/>
                <w:sz w:val="18"/>
              </w:rPr>
              <w:t>303.600</w:t>
            </w:r>
          </w:p>
        </w:tc>
        <w:tc>
          <w:tcPr>
            <w:tcW w:w="1134" w:type="dxa"/>
            <w:vAlign w:val="center"/>
          </w:tcPr>
          <w:p>
            <w:pPr>
              <w:spacing w:before="20" w:after="20"/>
              <w:jc w:val="right"/>
              <w:rPr>
                <w:rFonts w:eastAsia="Times New Roman"/>
                <w:noProof/>
                <w:color w:val="FF0000"/>
                <w:sz w:val="18"/>
                <w:szCs w:val="18"/>
              </w:rPr>
            </w:pPr>
            <w:r>
              <w:rPr>
                <w:noProof/>
                <w:color w:val="000000"/>
                <w:sz w:val="18"/>
              </w:rPr>
              <w:t>427.800</w:t>
            </w:r>
          </w:p>
        </w:tc>
        <w:tc>
          <w:tcPr>
            <w:tcW w:w="992" w:type="dxa"/>
            <w:vAlign w:val="center"/>
          </w:tcPr>
          <w:p>
            <w:pPr>
              <w:spacing w:before="20" w:after="20"/>
              <w:jc w:val="right"/>
              <w:rPr>
                <w:rFonts w:eastAsia="Times New Roman"/>
                <w:noProof/>
                <w:color w:val="FF0000"/>
                <w:sz w:val="18"/>
                <w:szCs w:val="18"/>
              </w:rPr>
            </w:pPr>
            <w:r>
              <w:rPr>
                <w:noProof/>
                <w:color w:val="000000"/>
                <w:sz w:val="18"/>
              </w:rPr>
              <w:t>427.800</w:t>
            </w:r>
          </w:p>
        </w:tc>
        <w:tc>
          <w:tcPr>
            <w:tcW w:w="1134" w:type="dxa"/>
            <w:vAlign w:val="center"/>
          </w:tcPr>
          <w:p>
            <w:pPr>
              <w:spacing w:before="20" w:after="20"/>
              <w:jc w:val="right"/>
              <w:rPr>
                <w:rFonts w:eastAsia="Times New Roman"/>
                <w:noProof/>
                <w:color w:val="FF0000"/>
                <w:sz w:val="18"/>
                <w:szCs w:val="18"/>
              </w:rPr>
            </w:pPr>
            <w:r>
              <w:rPr>
                <w:noProof/>
                <w:color w:val="000000"/>
                <w:sz w:val="18"/>
              </w:rPr>
              <w:t>358.800</w:t>
            </w:r>
          </w:p>
        </w:tc>
        <w:tc>
          <w:tcPr>
            <w:tcW w:w="2551" w:type="dxa"/>
            <w:vAlign w:val="center"/>
          </w:tcPr>
          <w:p>
            <w:pPr>
              <w:spacing w:before="20" w:after="20"/>
              <w:jc w:val="right"/>
              <w:rPr>
                <w:rFonts w:eastAsia="Times New Roman"/>
                <w:b/>
                <w:noProof/>
                <w:color w:val="FF0000"/>
                <w:sz w:val="18"/>
                <w:szCs w:val="18"/>
              </w:rPr>
            </w:pPr>
            <w:r>
              <w:rPr>
                <w:b/>
                <w:noProof/>
                <w:color w:val="000000"/>
                <w:sz w:val="18"/>
              </w:rPr>
              <w:t>1.518.000</w:t>
            </w:r>
          </w:p>
        </w:tc>
      </w:tr>
    </w:tbl>
    <w:p>
      <w:pPr>
        <w:jc w:val="right"/>
        <w:rPr>
          <w:rFonts w:eastAsia="Times New Roman"/>
          <w:noProof/>
          <w:sz w:val="20"/>
        </w:rPr>
      </w:pPr>
      <w:r>
        <w:rPr>
          <w:noProof/>
          <w:sz w:val="20"/>
        </w:rPr>
        <w:t>σε EUR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1644"/>
        <w:gridCol w:w="993"/>
        <w:gridCol w:w="1134"/>
        <w:gridCol w:w="992"/>
        <w:gridCol w:w="1134"/>
        <w:gridCol w:w="2551"/>
      </w:tblGrid>
      <w:tr>
        <w:tc>
          <w:tcPr>
            <w:tcW w:w="3960" w:type="dxa"/>
            <w:tcBorders>
              <w:top w:val="nil"/>
              <w:left w:val="nil"/>
              <w:right w:val="nil"/>
            </w:tcBorders>
            <w:vAlign w:val="center"/>
          </w:tcPr>
          <w:p>
            <w:pPr>
              <w:jc w:val="center"/>
              <w:rPr>
                <w:rFonts w:eastAsia="Times New Roman"/>
                <w:noProof/>
              </w:rPr>
            </w:pPr>
          </w:p>
        </w:tc>
        <w:tc>
          <w:tcPr>
            <w:tcW w:w="1560" w:type="dxa"/>
            <w:tcBorders>
              <w:top w:val="nil"/>
              <w:left w:val="nil"/>
              <w:right w:val="nil"/>
            </w:tcBorders>
          </w:tcPr>
          <w:p>
            <w:pPr>
              <w:rPr>
                <w:rFonts w:eastAsia="Times New Roman"/>
                <w:noProof/>
                <w:sz w:val="20"/>
              </w:rPr>
            </w:pPr>
          </w:p>
        </w:tc>
        <w:tc>
          <w:tcPr>
            <w:tcW w:w="1644" w:type="dxa"/>
            <w:tcBorders>
              <w:top w:val="nil"/>
              <w:left w:val="nil"/>
            </w:tcBorders>
          </w:tcPr>
          <w:p>
            <w:pPr>
              <w:jc w:val="center"/>
              <w:rPr>
                <w:rFonts w:eastAsia="Times New Roman"/>
                <w:noProof/>
                <w:sz w:val="20"/>
              </w:rPr>
            </w:pPr>
          </w:p>
        </w:tc>
        <w:tc>
          <w:tcPr>
            <w:tcW w:w="993" w:type="dxa"/>
            <w:vAlign w:val="center"/>
          </w:tcPr>
          <w:p>
            <w:pPr>
              <w:jc w:val="center"/>
              <w:rPr>
                <w:rFonts w:eastAsia="Times New Roman"/>
                <w:noProof/>
                <w:sz w:val="20"/>
              </w:rPr>
            </w:pPr>
            <w:r>
              <w:rPr>
                <w:noProof/>
                <w:sz w:val="20"/>
              </w:rPr>
              <w:t>2018</w:t>
            </w:r>
          </w:p>
        </w:tc>
        <w:tc>
          <w:tcPr>
            <w:tcW w:w="1134" w:type="dxa"/>
            <w:vAlign w:val="center"/>
          </w:tcPr>
          <w:p>
            <w:pPr>
              <w:jc w:val="center"/>
              <w:rPr>
                <w:rFonts w:eastAsia="Times New Roman"/>
                <w:noProof/>
                <w:sz w:val="20"/>
              </w:rPr>
            </w:pPr>
            <w:r>
              <w:rPr>
                <w:noProof/>
                <w:sz w:val="20"/>
              </w:rPr>
              <w:t>2019</w:t>
            </w:r>
          </w:p>
        </w:tc>
        <w:tc>
          <w:tcPr>
            <w:tcW w:w="992" w:type="dxa"/>
            <w:vAlign w:val="center"/>
          </w:tcPr>
          <w:p>
            <w:pPr>
              <w:jc w:val="center"/>
              <w:rPr>
                <w:rFonts w:eastAsia="Times New Roman"/>
                <w:noProof/>
                <w:sz w:val="20"/>
              </w:rPr>
            </w:pPr>
            <w:r>
              <w:rPr>
                <w:noProof/>
                <w:sz w:val="20"/>
              </w:rPr>
              <w:t>2020</w:t>
            </w:r>
          </w:p>
        </w:tc>
        <w:tc>
          <w:tcPr>
            <w:tcW w:w="1134" w:type="dxa"/>
            <w:vAlign w:val="center"/>
          </w:tcPr>
          <w:p>
            <w:pPr>
              <w:jc w:val="center"/>
              <w:rPr>
                <w:rFonts w:eastAsia="Times New Roman"/>
                <w:b/>
                <w:noProof/>
                <w:sz w:val="20"/>
                <w:szCs w:val="20"/>
              </w:rPr>
            </w:pPr>
            <w:r>
              <w:rPr>
                <w:noProof/>
                <w:sz w:val="20"/>
              </w:rPr>
              <w:t xml:space="preserve">2021 </w:t>
            </w:r>
          </w:p>
        </w:tc>
        <w:tc>
          <w:tcPr>
            <w:tcW w:w="2551" w:type="dxa"/>
            <w:vAlign w:val="center"/>
          </w:tcPr>
          <w:p>
            <w:pPr>
              <w:jc w:val="center"/>
              <w:rPr>
                <w:rFonts w:eastAsia="Times New Roman"/>
                <w:b/>
                <w:noProof/>
                <w:sz w:val="20"/>
              </w:rPr>
            </w:pPr>
            <w:r>
              <w:rPr>
                <w:b/>
                <w:noProof/>
                <w:sz w:val="20"/>
              </w:rPr>
              <w:t>ΣΥΝΟΛΟ</w:t>
            </w:r>
          </w:p>
        </w:tc>
      </w:tr>
      <w:tr>
        <w:tc>
          <w:tcPr>
            <w:tcW w:w="3960" w:type="dxa"/>
            <w:vMerge w:val="restart"/>
            <w:shd w:val="clear" w:color="auto" w:fill="C0C0C0"/>
            <w:vAlign w:val="center"/>
          </w:tcPr>
          <w:p>
            <w:pPr>
              <w:jc w:val="center"/>
              <w:rPr>
                <w:rFonts w:eastAsia="Times New Roman"/>
                <w:b/>
                <w:noProof/>
              </w:rPr>
            </w:pPr>
            <w:r>
              <w:rPr>
                <w:b/>
                <w:noProof/>
              </w:rPr>
              <w:lastRenderedPageBreak/>
              <w:t>ΣΥΝΟΛΟ πιστώσεων</w:t>
            </w:r>
            <w:r>
              <w:rPr>
                <w:rFonts w:eastAsia="Times New Roman"/>
                <w:noProof/>
                <w:sz w:val="22"/>
              </w:rPr>
              <w:br/>
            </w:r>
            <w:r>
              <w:rPr>
                <w:b/>
                <w:noProof/>
                <w:sz w:val="22"/>
              </w:rPr>
              <w:t>των ΤΟΜΕΩΝ 1 έως 5</w:t>
            </w:r>
            <w:r>
              <w:rPr>
                <w:rFonts w:eastAsia="Times New Roman"/>
                <w:noProof/>
                <w:sz w:val="22"/>
              </w:rPr>
              <w:br/>
            </w:r>
            <w:r>
              <w:rPr>
                <w:noProof/>
                <w:sz w:val="22"/>
              </w:rPr>
              <w:t>του πολυετούς δημοσιονομικού πλαισίου</w:t>
            </w:r>
            <w:r>
              <w:rPr>
                <w:b/>
                <w:noProof/>
                <w:sz w:val="22"/>
              </w:rPr>
              <w:t xml:space="preserve"> </w:t>
            </w:r>
          </w:p>
        </w:tc>
        <w:tc>
          <w:tcPr>
            <w:tcW w:w="3204" w:type="dxa"/>
            <w:gridSpan w:val="2"/>
            <w:vAlign w:val="center"/>
          </w:tcPr>
          <w:p>
            <w:pPr>
              <w:rPr>
                <w:rFonts w:eastAsia="Times New Roman"/>
                <w:noProof/>
                <w:sz w:val="14"/>
              </w:rPr>
            </w:pPr>
            <w:r>
              <w:rPr>
                <w:noProof/>
                <w:sz w:val="18"/>
              </w:rPr>
              <w:t>Αναλήψεις υποχρεώσεων</w:t>
            </w:r>
          </w:p>
        </w:tc>
        <w:tc>
          <w:tcPr>
            <w:tcW w:w="993" w:type="dxa"/>
            <w:vAlign w:val="bottom"/>
          </w:tcPr>
          <w:p>
            <w:pPr>
              <w:jc w:val="right"/>
              <w:rPr>
                <w:rFonts w:eastAsia="Times New Roman"/>
                <w:bCs/>
                <w:noProof/>
                <w:color w:val="000000"/>
                <w:sz w:val="18"/>
                <w:szCs w:val="18"/>
              </w:rPr>
            </w:pPr>
            <w:r>
              <w:rPr>
                <w:noProof/>
                <w:color w:val="000000"/>
                <w:sz w:val="18"/>
              </w:rPr>
              <w:t>613.600</w:t>
            </w:r>
          </w:p>
        </w:tc>
        <w:tc>
          <w:tcPr>
            <w:tcW w:w="1134" w:type="dxa"/>
            <w:vAlign w:val="bottom"/>
          </w:tcPr>
          <w:p>
            <w:pPr>
              <w:jc w:val="right"/>
              <w:rPr>
                <w:rFonts w:eastAsia="Times New Roman"/>
                <w:bCs/>
                <w:noProof/>
                <w:color w:val="000000"/>
                <w:sz w:val="18"/>
                <w:szCs w:val="18"/>
              </w:rPr>
            </w:pPr>
            <w:r>
              <w:rPr>
                <w:noProof/>
                <w:color w:val="000000"/>
                <w:sz w:val="18"/>
              </w:rPr>
              <w:t>1.372.800</w:t>
            </w:r>
          </w:p>
        </w:tc>
        <w:tc>
          <w:tcPr>
            <w:tcW w:w="992" w:type="dxa"/>
            <w:vAlign w:val="bottom"/>
          </w:tcPr>
          <w:p>
            <w:pPr>
              <w:jc w:val="right"/>
              <w:rPr>
                <w:rFonts w:eastAsia="Times New Roman"/>
                <w:bCs/>
                <w:noProof/>
                <w:color w:val="000000"/>
                <w:sz w:val="18"/>
                <w:szCs w:val="18"/>
              </w:rPr>
            </w:pPr>
            <w:r>
              <w:rPr>
                <w:noProof/>
                <w:color w:val="000000"/>
                <w:sz w:val="18"/>
              </w:rPr>
              <w:t>1.372.800</w:t>
            </w:r>
          </w:p>
        </w:tc>
        <w:tc>
          <w:tcPr>
            <w:tcW w:w="1134" w:type="dxa"/>
            <w:vAlign w:val="bottom"/>
          </w:tcPr>
          <w:p>
            <w:pPr>
              <w:jc w:val="right"/>
              <w:rPr>
                <w:rFonts w:eastAsia="Times New Roman"/>
                <w:bCs/>
                <w:noProof/>
                <w:color w:val="000000"/>
                <w:sz w:val="18"/>
                <w:szCs w:val="18"/>
              </w:rPr>
            </w:pPr>
            <w:r>
              <w:rPr>
                <w:noProof/>
                <w:color w:val="000000"/>
                <w:sz w:val="18"/>
              </w:rPr>
              <w:t>358.800</w:t>
            </w:r>
          </w:p>
        </w:tc>
        <w:tc>
          <w:tcPr>
            <w:tcW w:w="2551" w:type="dxa"/>
            <w:vAlign w:val="bottom"/>
          </w:tcPr>
          <w:p>
            <w:pPr>
              <w:jc w:val="right"/>
              <w:rPr>
                <w:rFonts w:eastAsia="Times New Roman"/>
                <w:b/>
                <w:bCs/>
                <w:noProof/>
                <w:color w:val="000000"/>
                <w:sz w:val="18"/>
                <w:szCs w:val="18"/>
              </w:rPr>
            </w:pPr>
            <w:r>
              <w:rPr>
                <w:b/>
                <w:noProof/>
                <w:color w:val="000000"/>
                <w:sz w:val="18"/>
              </w:rPr>
              <w:t>3.718.000</w:t>
            </w:r>
          </w:p>
        </w:tc>
      </w:tr>
      <w:tr>
        <w:tc>
          <w:tcPr>
            <w:tcW w:w="3960" w:type="dxa"/>
            <w:vMerge/>
            <w:shd w:val="clear" w:color="auto" w:fill="C0C0C0"/>
          </w:tcPr>
          <w:p>
            <w:pPr>
              <w:rPr>
                <w:rFonts w:eastAsia="Times New Roman"/>
                <w:noProof/>
                <w:sz w:val="20"/>
              </w:rPr>
            </w:pPr>
          </w:p>
        </w:tc>
        <w:tc>
          <w:tcPr>
            <w:tcW w:w="3204" w:type="dxa"/>
            <w:gridSpan w:val="2"/>
            <w:vAlign w:val="center"/>
          </w:tcPr>
          <w:p>
            <w:pPr>
              <w:rPr>
                <w:rFonts w:eastAsia="Times New Roman"/>
                <w:noProof/>
                <w:sz w:val="14"/>
              </w:rPr>
            </w:pPr>
            <w:r>
              <w:rPr>
                <w:noProof/>
                <w:sz w:val="18"/>
              </w:rPr>
              <w:t>Πληρωμές</w:t>
            </w:r>
          </w:p>
        </w:tc>
        <w:tc>
          <w:tcPr>
            <w:tcW w:w="993" w:type="dxa"/>
            <w:vAlign w:val="bottom"/>
          </w:tcPr>
          <w:p>
            <w:pPr>
              <w:jc w:val="right"/>
              <w:rPr>
                <w:rFonts w:eastAsia="Times New Roman"/>
                <w:bCs/>
                <w:noProof/>
                <w:color w:val="000000"/>
                <w:sz w:val="18"/>
                <w:szCs w:val="18"/>
              </w:rPr>
            </w:pPr>
            <w:r>
              <w:rPr>
                <w:noProof/>
                <w:color w:val="000000"/>
                <w:sz w:val="18"/>
              </w:rPr>
              <w:t>613.600</w:t>
            </w:r>
          </w:p>
        </w:tc>
        <w:tc>
          <w:tcPr>
            <w:tcW w:w="1134" w:type="dxa"/>
            <w:vAlign w:val="bottom"/>
          </w:tcPr>
          <w:p>
            <w:pPr>
              <w:jc w:val="right"/>
              <w:rPr>
                <w:rFonts w:eastAsia="Times New Roman"/>
                <w:bCs/>
                <w:noProof/>
                <w:color w:val="000000"/>
                <w:sz w:val="18"/>
                <w:szCs w:val="18"/>
              </w:rPr>
            </w:pPr>
            <w:r>
              <w:rPr>
                <w:noProof/>
                <w:color w:val="000000"/>
                <w:sz w:val="18"/>
              </w:rPr>
              <w:t>1.372.800</w:t>
            </w:r>
          </w:p>
        </w:tc>
        <w:tc>
          <w:tcPr>
            <w:tcW w:w="992" w:type="dxa"/>
            <w:vAlign w:val="bottom"/>
          </w:tcPr>
          <w:p>
            <w:pPr>
              <w:jc w:val="right"/>
              <w:rPr>
                <w:rFonts w:eastAsia="Times New Roman"/>
                <w:bCs/>
                <w:noProof/>
                <w:color w:val="000000"/>
                <w:sz w:val="18"/>
                <w:szCs w:val="18"/>
              </w:rPr>
            </w:pPr>
            <w:r>
              <w:rPr>
                <w:noProof/>
                <w:color w:val="000000"/>
                <w:sz w:val="18"/>
              </w:rPr>
              <w:t>1.372.800</w:t>
            </w:r>
          </w:p>
        </w:tc>
        <w:tc>
          <w:tcPr>
            <w:tcW w:w="1134" w:type="dxa"/>
            <w:vAlign w:val="bottom"/>
          </w:tcPr>
          <w:p>
            <w:pPr>
              <w:jc w:val="right"/>
              <w:rPr>
                <w:rFonts w:eastAsia="Times New Roman"/>
                <w:bCs/>
                <w:noProof/>
                <w:color w:val="000000"/>
                <w:sz w:val="18"/>
                <w:szCs w:val="18"/>
              </w:rPr>
            </w:pPr>
            <w:r>
              <w:rPr>
                <w:noProof/>
                <w:color w:val="000000"/>
                <w:sz w:val="18"/>
              </w:rPr>
              <w:t>358.800</w:t>
            </w:r>
          </w:p>
        </w:tc>
        <w:tc>
          <w:tcPr>
            <w:tcW w:w="2551" w:type="dxa"/>
            <w:vAlign w:val="bottom"/>
          </w:tcPr>
          <w:p>
            <w:pPr>
              <w:jc w:val="right"/>
              <w:rPr>
                <w:rFonts w:eastAsia="Times New Roman"/>
                <w:b/>
                <w:bCs/>
                <w:noProof/>
                <w:color w:val="000000"/>
                <w:sz w:val="18"/>
                <w:szCs w:val="18"/>
              </w:rPr>
            </w:pPr>
            <w:r>
              <w:rPr>
                <w:b/>
                <w:noProof/>
                <w:color w:val="000000"/>
                <w:sz w:val="18"/>
              </w:rPr>
              <w:t>3.718.000</w:t>
            </w:r>
          </w:p>
        </w:tc>
      </w:tr>
    </w:tbl>
    <w:p>
      <w:pPr>
        <w:jc w:val="left"/>
        <w:rPr>
          <w:rFonts w:eastAsia="Times New Roman"/>
          <w:noProof/>
          <w:szCs w:val="24"/>
        </w:rPr>
      </w:pPr>
    </w:p>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keepNext/>
        <w:outlineLvl w:val="2"/>
        <w:rPr>
          <w:rFonts w:eastAsia="Times New Roman"/>
          <w:i/>
          <w:noProof/>
          <w:szCs w:val="24"/>
        </w:rPr>
      </w:pPr>
      <w:r>
        <w:rPr>
          <w:i/>
          <w:noProof/>
        </w:rPr>
        <w:lastRenderedPageBreak/>
        <w:t xml:space="preserve">Εκτιμώμενες επιπτώσεις στις επιχειρησιακές πιστώσεις </w:t>
      </w:r>
    </w:p>
    <w:p>
      <w:pPr>
        <w:ind w:left="1134"/>
        <w:rPr>
          <w:rFonts w:eastAsia="Times New Roman"/>
          <w:noProof/>
        </w:rPr>
      </w:pPr>
      <w:r>
        <w:rPr>
          <w:rFonts w:eastAsia="Times New Roman"/>
          <w:noProof/>
        </w:rPr>
        <w:sym w:font="Wingdings" w:char="F078"/>
      </w:r>
      <w:r>
        <w:rPr>
          <w:noProof/>
        </w:rPr>
        <w:tab/>
        <w:t>Η πρόταση/πρωτοβουλία συνεπάγεται τη χρησιμοποίηση επιχειρησιακών πιστώσεων, όπως εξηγείται κατωτέρω:</w:t>
      </w:r>
    </w:p>
    <w:p>
      <w:pPr>
        <w:jc w:val="right"/>
        <w:rPr>
          <w:rFonts w:eastAsia="Times New Roman"/>
          <w:noProof/>
          <w:sz w:val="20"/>
        </w:rPr>
      </w:pPr>
      <w:r>
        <w:rPr>
          <w:noProof/>
          <w:sz w:val="20"/>
        </w:rPr>
        <w:t>Πιστώσεις ανάληψης υποχρεώσεων σε EUR</w:t>
      </w:r>
    </w:p>
    <w:tbl>
      <w:tblPr>
        <w:tblW w:w="1000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078"/>
        <w:gridCol w:w="1134"/>
        <w:gridCol w:w="142"/>
        <w:gridCol w:w="490"/>
        <w:gridCol w:w="504"/>
        <w:gridCol w:w="849"/>
        <w:gridCol w:w="411"/>
        <w:gridCol w:w="864"/>
        <w:gridCol w:w="576"/>
        <w:gridCol w:w="842"/>
        <w:gridCol w:w="709"/>
        <w:gridCol w:w="789"/>
        <w:gridCol w:w="671"/>
        <w:gridCol w:w="949"/>
      </w:tblGrid>
      <w:tr>
        <w:trPr>
          <w:jc w:val="center"/>
        </w:trPr>
        <w:tc>
          <w:tcPr>
            <w:tcW w:w="1078" w:type="dxa"/>
            <w:vMerge w:val="restart"/>
            <w:vAlign w:val="center"/>
          </w:tcPr>
          <w:p>
            <w:pPr>
              <w:ind w:right="-29"/>
              <w:jc w:val="center"/>
              <w:rPr>
                <w:rFonts w:eastAsia="Times New Roman"/>
                <w:b/>
                <w:noProof/>
                <w:sz w:val="18"/>
                <w:szCs w:val="18"/>
              </w:rPr>
            </w:pPr>
            <w:r>
              <w:rPr>
                <w:b/>
                <w:noProof/>
                <w:sz w:val="18"/>
              </w:rPr>
              <w:t xml:space="preserve">Να προσδιοριστούν οι στόχοι και τα αποτελέσματα </w:t>
            </w:r>
          </w:p>
          <w:p>
            <w:pPr>
              <w:ind w:right="-29"/>
              <w:jc w:val="center"/>
              <w:rPr>
                <w:rFonts w:eastAsia="Times New Roman"/>
                <w:b/>
                <w:noProof/>
                <w:sz w:val="18"/>
                <w:szCs w:val="18"/>
              </w:rPr>
            </w:pPr>
          </w:p>
          <w:p>
            <w:pPr>
              <w:ind w:right="-29"/>
              <w:jc w:val="center"/>
              <w:rPr>
                <w:rFonts w:eastAsia="Times New Roman"/>
                <w:noProof/>
                <w:sz w:val="18"/>
                <w:szCs w:val="18"/>
              </w:rPr>
            </w:pPr>
            <w:r>
              <w:rPr>
                <w:rFonts w:eastAsia="Times New Roman"/>
                <w:noProof/>
                <w:sz w:val="18"/>
              </w:rPr>
              <w:sym w:font="Wingdings" w:char="F0F2"/>
            </w:r>
          </w:p>
        </w:tc>
        <w:tc>
          <w:tcPr>
            <w:tcW w:w="1134" w:type="dxa"/>
            <w:vAlign w:val="center"/>
          </w:tcPr>
          <w:p>
            <w:pPr>
              <w:ind w:right="-29"/>
              <w:jc w:val="center"/>
              <w:rPr>
                <w:rFonts w:eastAsia="Times New Roman"/>
                <w:noProof/>
                <w:sz w:val="18"/>
                <w:szCs w:val="18"/>
              </w:rPr>
            </w:pPr>
          </w:p>
        </w:tc>
        <w:tc>
          <w:tcPr>
            <w:tcW w:w="632" w:type="dxa"/>
            <w:gridSpan w:val="2"/>
            <w:vAlign w:val="center"/>
          </w:tcPr>
          <w:p>
            <w:pPr>
              <w:ind w:right="-29"/>
              <w:jc w:val="center"/>
              <w:rPr>
                <w:rFonts w:eastAsia="Times New Roman"/>
                <w:noProof/>
                <w:sz w:val="18"/>
                <w:szCs w:val="18"/>
              </w:rPr>
            </w:pPr>
          </w:p>
        </w:tc>
        <w:tc>
          <w:tcPr>
            <w:tcW w:w="1353" w:type="dxa"/>
            <w:gridSpan w:val="2"/>
            <w:vAlign w:val="center"/>
          </w:tcPr>
          <w:p>
            <w:pPr>
              <w:ind w:right="-29"/>
              <w:jc w:val="center"/>
              <w:rPr>
                <w:rFonts w:eastAsia="Times New Roman"/>
                <w:noProof/>
                <w:sz w:val="18"/>
                <w:szCs w:val="18"/>
              </w:rPr>
            </w:pPr>
            <w:r>
              <w:rPr>
                <w:noProof/>
                <w:sz w:val="18"/>
              </w:rPr>
              <w:t>2018</w:t>
            </w:r>
          </w:p>
        </w:tc>
        <w:tc>
          <w:tcPr>
            <w:tcW w:w="1275" w:type="dxa"/>
            <w:gridSpan w:val="2"/>
            <w:vAlign w:val="center"/>
          </w:tcPr>
          <w:p>
            <w:pPr>
              <w:ind w:right="-29"/>
              <w:jc w:val="center"/>
              <w:rPr>
                <w:rFonts w:eastAsia="Times New Roman"/>
                <w:noProof/>
                <w:sz w:val="18"/>
                <w:szCs w:val="18"/>
              </w:rPr>
            </w:pPr>
            <w:r>
              <w:rPr>
                <w:noProof/>
                <w:sz w:val="18"/>
              </w:rPr>
              <w:t>2019</w:t>
            </w:r>
          </w:p>
        </w:tc>
        <w:tc>
          <w:tcPr>
            <w:tcW w:w="1418" w:type="dxa"/>
            <w:gridSpan w:val="2"/>
            <w:vAlign w:val="center"/>
          </w:tcPr>
          <w:p>
            <w:pPr>
              <w:ind w:right="-29"/>
              <w:jc w:val="center"/>
              <w:rPr>
                <w:rFonts w:eastAsia="Times New Roman"/>
                <w:noProof/>
                <w:sz w:val="18"/>
                <w:szCs w:val="18"/>
              </w:rPr>
            </w:pPr>
            <w:r>
              <w:rPr>
                <w:noProof/>
                <w:sz w:val="18"/>
              </w:rPr>
              <w:t>2020</w:t>
            </w:r>
          </w:p>
        </w:tc>
        <w:tc>
          <w:tcPr>
            <w:tcW w:w="1498" w:type="dxa"/>
            <w:gridSpan w:val="2"/>
            <w:vAlign w:val="center"/>
          </w:tcPr>
          <w:p>
            <w:pPr>
              <w:ind w:right="-29"/>
              <w:jc w:val="center"/>
              <w:rPr>
                <w:rFonts w:eastAsia="Times New Roman"/>
                <w:noProof/>
                <w:sz w:val="18"/>
                <w:szCs w:val="18"/>
              </w:rPr>
            </w:pPr>
            <w:r>
              <w:rPr>
                <w:noProof/>
                <w:sz w:val="18"/>
              </w:rPr>
              <w:t>2021</w:t>
            </w:r>
          </w:p>
        </w:tc>
        <w:tc>
          <w:tcPr>
            <w:tcW w:w="1620" w:type="dxa"/>
            <w:gridSpan w:val="2"/>
            <w:vAlign w:val="center"/>
          </w:tcPr>
          <w:p>
            <w:pPr>
              <w:ind w:right="-29"/>
              <w:jc w:val="center"/>
              <w:rPr>
                <w:rFonts w:eastAsia="Times New Roman"/>
                <w:noProof/>
                <w:sz w:val="18"/>
                <w:szCs w:val="18"/>
              </w:rPr>
            </w:pPr>
            <w:r>
              <w:rPr>
                <w:b/>
                <w:noProof/>
                <w:sz w:val="18"/>
              </w:rPr>
              <w:t>ΣΥΝΟΛΟ</w:t>
            </w:r>
          </w:p>
        </w:tc>
      </w:tr>
      <w:tr>
        <w:trPr>
          <w:gridAfter w:val="13"/>
          <w:wAfter w:w="8930" w:type="dxa"/>
          <w:trHeight w:val="465"/>
          <w:jc w:val="center"/>
        </w:trPr>
        <w:tc>
          <w:tcPr>
            <w:tcW w:w="1078" w:type="dxa"/>
            <w:vMerge/>
            <w:vAlign w:val="center"/>
          </w:tcPr>
          <w:p>
            <w:pPr>
              <w:ind w:right="-29"/>
              <w:jc w:val="center"/>
              <w:rPr>
                <w:rFonts w:eastAsia="Times New Roman"/>
                <w:noProof/>
                <w:sz w:val="18"/>
                <w:szCs w:val="18"/>
              </w:rPr>
            </w:pPr>
          </w:p>
        </w:tc>
      </w:tr>
      <w:tr>
        <w:trPr>
          <w:cantSplit/>
          <w:trHeight w:val="1134"/>
          <w:jc w:val="center"/>
        </w:trPr>
        <w:tc>
          <w:tcPr>
            <w:tcW w:w="1078" w:type="dxa"/>
            <w:vMerge/>
            <w:vAlign w:val="center"/>
          </w:tcPr>
          <w:p>
            <w:pPr>
              <w:rPr>
                <w:rFonts w:eastAsia="Times New Roman"/>
                <w:noProof/>
                <w:sz w:val="18"/>
                <w:szCs w:val="18"/>
              </w:rPr>
            </w:pPr>
          </w:p>
        </w:tc>
        <w:tc>
          <w:tcPr>
            <w:tcW w:w="1134" w:type="dxa"/>
            <w:vAlign w:val="center"/>
          </w:tcPr>
          <w:p>
            <w:pPr>
              <w:jc w:val="center"/>
              <w:rPr>
                <w:rFonts w:eastAsia="Times New Roman"/>
                <w:noProof/>
                <w:sz w:val="18"/>
                <w:szCs w:val="18"/>
              </w:rPr>
            </w:pPr>
            <w:r>
              <w:rPr>
                <w:noProof/>
                <w:sz w:val="18"/>
              </w:rPr>
              <w:t>Είδος</w:t>
            </w:r>
            <w:r>
              <w:rPr>
                <w:rStyle w:val="FootnoteReference"/>
                <w:noProof/>
              </w:rPr>
              <w:footnoteReference w:id="39"/>
            </w:r>
          </w:p>
          <w:p>
            <w:pPr>
              <w:spacing w:before="0" w:after="0"/>
              <w:jc w:val="center"/>
              <w:rPr>
                <w:rFonts w:eastAsia="Times New Roman"/>
                <w:noProof/>
                <w:sz w:val="18"/>
                <w:szCs w:val="18"/>
              </w:rPr>
            </w:pPr>
          </w:p>
        </w:tc>
        <w:tc>
          <w:tcPr>
            <w:tcW w:w="632" w:type="dxa"/>
            <w:gridSpan w:val="2"/>
            <w:vAlign w:val="center"/>
          </w:tcPr>
          <w:p>
            <w:pPr>
              <w:jc w:val="center"/>
              <w:rPr>
                <w:rFonts w:eastAsia="Times New Roman"/>
                <w:noProof/>
                <w:sz w:val="18"/>
                <w:szCs w:val="18"/>
              </w:rPr>
            </w:pPr>
            <w:r>
              <w:rPr>
                <w:noProof/>
                <w:sz w:val="18"/>
              </w:rPr>
              <w:t>Μέσο κόστος</w:t>
            </w:r>
          </w:p>
        </w:tc>
        <w:tc>
          <w:tcPr>
            <w:tcW w:w="504" w:type="dxa"/>
            <w:tcBorders>
              <w:bottom w:val="single" w:sz="8" w:space="0" w:color="auto"/>
            </w:tcBorders>
            <w:shd w:val="pct10" w:color="auto" w:fill="auto"/>
            <w:textDirection w:val="btLr"/>
            <w:vAlign w:val="center"/>
          </w:tcPr>
          <w:p>
            <w:pPr>
              <w:ind w:left="113" w:right="113"/>
              <w:jc w:val="center"/>
              <w:rPr>
                <w:rFonts w:eastAsia="Times New Roman"/>
                <w:noProof/>
                <w:sz w:val="18"/>
                <w:szCs w:val="18"/>
              </w:rPr>
            </w:pPr>
            <w:r>
              <w:rPr>
                <w:noProof/>
                <w:sz w:val="18"/>
              </w:rPr>
              <w:t>Αριθμός</w:t>
            </w:r>
          </w:p>
        </w:tc>
        <w:tc>
          <w:tcPr>
            <w:tcW w:w="849" w:type="dxa"/>
            <w:tcBorders>
              <w:bottom w:val="single" w:sz="8" w:space="0" w:color="auto"/>
            </w:tcBorders>
            <w:shd w:val="pct10" w:color="auto" w:fill="auto"/>
            <w:vAlign w:val="center"/>
          </w:tcPr>
          <w:p>
            <w:pPr>
              <w:jc w:val="center"/>
              <w:rPr>
                <w:rFonts w:eastAsia="Times New Roman"/>
                <w:noProof/>
                <w:sz w:val="18"/>
                <w:szCs w:val="18"/>
              </w:rPr>
            </w:pPr>
            <w:r>
              <w:rPr>
                <w:noProof/>
                <w:sz w:val="18"/>
              </w:rPr>
              <w:t>Κόστος</w:t>
            </w:r>
          </w:p>
        </w:tc>
        <w:tc>
          <w:tcPr>
            <w:tcW w:w="411" w:type="dxa"/>
            <w:tcBorders>
              <w:bottom w:val="single" w:sz="8" w:space="0" w:color="auto"/>
            </w:tcBorders>
            <w:shd w:val="pct10" w:color="auto" w:fill="auto"/>
            <w:textDirection w:val="btLr"/>
            <w:vAlign w:val="center"/>
          </w:tcPr>
          <w:p>
            <w:pPr>
              <w:ind w:left="113" w:right="113"/>
              <w:jc w:val="center"/>
              <w:rPr>
                <w:rFonts w:eastAsia="Times New Roman"/>
                <w:noProof/>
                <w:sz w:val="18"/>
                <w:szCs w:val="18"/>
              </w:rPr>
            </w:pPr>
            <w:r>
              <w:rPr>
                <w:noProof/>
                <w:sz w:val="18"/>
              </w:rPr>
              <w:t>Αριθμός</w:t>
            </w:r>
          </w:p>
        </w:tc>
        <w:tc>
          <w:tcPr>
            <w:tcW w:w="864" w:type="dxa"/>
            <w:tcBorders>
              <w:bottom w:val="single" w:sz="8" w:space="0" w:color="auto"/>
            </w:tcBorders>
            <w:shd w:val="pct10" w:color="auto" w:fill="auto"/>
            <w:vAlign w:val="center"/>
          </w:tcPr>
          <w:p>
            <w:pPr>
              <w:jc w:val="center"/>
              <w:rPr>
                <w:rFonts w:eastAsia="Times New Roman"/>
                <w:noProof/>
                <w:sz w:val="18"/>
                <w:szCs w:val="18"/>
              </w:rPr>
            </w:pPr>
            <w:r>
              <w:rPr>
                <w:noProof/>
                <w:sz w:val="18"/>
              </w:rPr>
              <w:t>Κόστος</w:t>
            </w:r>
          </w:p>
        </w:tc>
        <w:tc>
          <w:tcPr>
            <w:tcW w:w="576" w:type="dxa"/>
            <w:tcBorders>
              <w:bottom w:val="single" w:sz="8" w:space="0" w:color="auto"/>
            </w:tcBorders>
            <w:shd w:val="pct10" w:color="auto" w:fill="auto"/>
            <w:textDirection w:val="btLr"/>
            <w:vAlign w:val="center"/>
          </w:tcPr>
          <w:p>
            <w:pPr>
              <w:ind w:left="113" w:right="113"/>
              <w:jc w:val="center"/>
              <w:rPr>
                <w:rFonts w:eastAsia="Times New Roman"/>
                <w:noProof/>
                <w:sz w:val="18"/>
                <w:szCs w:val="18"/>
              </w:rPr>
            </w:pPr>
            <w:r>
              <w:rPr>
                <w:noProof/>
                <w:sz w:val="18"/>
              </w:rPr>
              <w:t>Αριθμός</w:t>
            </w:r>
          </w:p>
        </w:tc>
        <w:tc>
          <w:tcPr>
            <w:tcW w:w="842" w:type="dxa"/>
            <w:tcBorders>
              <w:bottom w:val="single" w:sz="8" w:space="0" w:color="auto"/>
            </w:tcBorders>
            <w:shd w:val="pct10" w:color="auto" w:fill="auto"/>
            <w:vAlign w:val="center"/>
          </w:tcPr>
          <w:p>
            <w:pPr>
              <w:jc w:val="center"/>
              <w:rPr>
                <w:rFonts w:eastAsia="Times New Roman"/>
                <w:noProof/>
                <w:sz w:val="18"/>
                <w:szCs w:val="18"/>
              </w:rPr>
            </w:pPr>
            <w:r>
              <w:rPr>
                <w:noProof/>
                <w:sz w:val="18"/>
              </w:rPr>
              <w:t>Κόστος</w:t>
            </w:r>
          </w:p>
        </w:tc>
        <w:tc>
          <w:tcPr>
            <w:tcW w:w="709" w:type="dxa"/>
            <w:tcBorders>
              <w:bottom w:val="single" w:sz="8" w:space="0" w:color="auto"/>
            </w:tcBorders>
            <w:shd w:val="pct10" w:color="auto" w:fill="auto"/>
            <w:textDirection w:val="btLr"/>
            <w:vAlign w:val="center"/>
          </w:tcPr>
          <w:p>
            <w:pPr>
              <w:ind w:left="113" w:right="113"/>
              <w:jc w:val="center"/>
              <w:rPr>
                <w:rFonts w:eastAsia="Times New Roman"/>
                <w:noProof/>
                <w:sz w:val="18"/>
                <w:szCs w:val="18"/>
              </w:rPr>
            </w:pPr>
            <w:r>
              <w:rPr>
                <w:noProof/>
                <w:sz w:val="18"/>
              </w:rPr>
              <w:t>Αριθμός</w:t>
            </w:r>
          </w:p>
        </w:tc>
        <w:tc>
          <w:tcPr>
            <w:tcW w:w="789" w:type="dxa"/>
            <w:tcBorders>
              <w:bottom w:val="single" w:sz="8" w:space="0" w:color="auto"/>
            </w:tcBorders>
            <w:shd w:val="pct10" w:color="auto" w:fill="auto"/>
            <w:vAlign w:val="center"/>
          </w:tcPr>
          <w:p>
            <w:pPr>
              <w:jc w:val="center"/>
              <w:rPr>
                <w:rFonts w:eastAsia="Times New Roman"/>
                <w:noProof/>
                <w:sz w:val="18"/>
                <w:szCs w:val="18"/>
              </w:rPr>
            </w:pPr>
            <w:r>
              <w:rPr>
                <w:noProof/>
                <w:sz w:val="18"/>
              </w:rPr>
              <w:t>Κόστος</w:t>
            </w:r>
          </w:p>
        </w:tc>
        <w:tc>
          <w:tcPr>
            <w:tcW w:w="671" w:type="dxa"/>
            <w:tcBorders>
              <w:bottom w:val="single" w:sz="8" w:space="0" w:color="auto"/>
            </w:tcBorders>
            <w:shd w:val="pct10" w:color="auto" w:fill="auto"/>
            <w:vAlign w:val="center"/>
          </w:tcPr>
          <w:p>
            <w:pPr>
              <w:jc w:val="center"/>
              <w:rPr>
                <w:rFonts w:eastAsia="Times New Roman"/>
                <w:noProof/>
                <w:sz w:val="18"/>
                <w:szCs w:val="18"/>
              </w:rPr>
            </w:pPr>
            <w:r>
              <w:rPr>
                <w:noProof/>
                <w:sz w:val="18"/>
              </w:rPr>
              <w:t>Συνολικός αριθμός</w:t>
            </w:r>
          </w:p>
        </w:tc>
        <w:tc>
          <w:tcPr>
            <w:tcW w:w="949" w:type="dxa"/>
            <w:tcBorders>
              <w:bottom w:val="single" w:sz="8" w:space="0" w:color="auto"/>
            </w:tcBorders>
            <w:shd w:val="pct10" w:color="auto" w:fill="auto"/>
            <w:vAlign w:val="center"/>
          </w:tcPr>
          <w:p>
            <w:pPr>
              <w:jc w:val="center"/>
              <w:rPr>
                <w:rFonts w:eastAsia="Times New Roman"/>
                <w:noProof/>
                <w:sz w:val="18"/>
                <w:szCs w:val="18"/>
              </w:rPr>
            </w:pPr>
            <w:r>
              <w:rPr>
                <w:noProof/>
                <w:sz w:val="18"/>
              </w:rPr>
              <w:t>Συνολικό κόστος</w:t>
            </w:r>
          </w:p>
        </w:tc>
      </w:tr>
      <w:tr>
        <w:trPr>
          <w:jc w:val="center"/>
        </w:trPr>
        <w:tc>
          <w:tcPr>
            <w:tcW w:w="2844" w:type="dxa"/>
            <w:gridSpan w:val="4"/>
            <w:vAlign w:val="center"/>
          </w:tcPr>
          <w:p>
            <w:pPr>
              <w:spacing w:before="60" w:after="60"/>
              <w:ind w:right="-29"/>
              <w:jc w:val="center"/>
              <w:rPr>
                <w:rFonts w:eastAsia="Times New Roman"/>
                <w:noProof/>
                <w:sz w:val="18"/>
              </w:rPr>
            </w:pPr>
            <w:r>
              <w:rPr>
                <w:noProof/>
                <w:sz w:val="18"/>
              </w:rPr>
              <w:t>ΕΙΔΙΚΟΣ ΣΤΟΧΟΣ αριθ. 1</w:t>
            </w:r>
            <w:r>
              <w:rPr>
                <w:rStyle w:val="FootnoteReference"/>
                <w:noProof/>
              </w:rPr>
              <w:footnoteReference w:id="40"/>
            </w:r>
            <w:r>
              <w:rPr>
                <w:noProof/>
                <w:sz w:val="18"/>
              </w:rPr>
              <w:t xml:space="preserve"> </w:t>
            </w:r>
          </w:p>
          <w:p>
            <w:pPr>
              <w:spacing w:before="60" w:after="60"/>
              <w:ind w:right="-29"/>
              <w:jc w:val="center"/>
              <w:rPr>
                <w:rFonts w:eastAsia="Times New Roman"/>
                <w:noProof/>
                <w:sz w:val="18"/>
                <w:szCs w:val="18"/>
              </w:rPr>
            </w:pPr>
            <w:r>
              <w:rPr>
                <w:noProof/>
                <w:sz w:val="18"/>
              </w:rPr>
              <w:t>Μείωση του διοικητικού φόρτου</w:t>
            </w:r>
          </w:p>
        </w:tc>
        <w:tc>
          <w:tcPr>
            <w:tcW w:w="7164" w:type="dxa"/>
            <w:gridSpan w:val="10"/>
            <w:tcBorders>
              <w:right w:val="nil"/>
            </w:tcBorders>
          </w:tcPr>
          <w:p>
            <w:pPr>
              <w:spacing w:before="60" w:after="60"/>
              <w:ind w:right="-29"/>
              <w:jc w:val="center"/>
              <w:rPr>
                <w:rFonts w:eastAsia="Times New Roman"/>
                <w:noProof/>
                <w:sz w:val="18"/>
                <w:szCs w:val="18"/>
              </w:rPr>
            </w:pPr>
          </w:p>
        </w:tc>
      </w:tr>
      <w:tr>
        <w:trPr>
          <w:trHeight w:hRule="exact" w:val="735"/>
          <w:jc w:val="center"/>
        </w:trPr>
        <w:tc>
          <w:tcPr>
            <w:tcW w:w="1078" w:type="dxa"/>
          </w:tcPr>
          <w:p>
            <w:pPr>
              <w:ind w:right="-29"/>
              <w:jc w:val="center"/>
              <w:rPr>
                <w:rFonts w:eastAsia="Times New Roman"/>
                <w:noProof/>
                <w:sz w:val="18"/>
                <w:szCs w:val="18"/>
              </w:rPr>
            </w:pPr>
            <w:r>
              <w:rPr>
                <w:noProof/>
                <w:sz w:val="18"/>
              </w:rPr>
              <w:t>- Αποτέλεσμα</w:t>
            </w:r>
          </w:p>
        </w:tc>
        <w:tc>
          <w:tcPr>
            <w:tcW w:w="1134" w:type="dxa"/>
          </w:tcPr>
          <w:p>
            <w:pPr>
              <w:ind w:right="-29"/>
              <w:jc w:val="center"/>
              <w:rPr>
                <w:rFonts w:eastAsia="Times New Roman"/>
                <w:noProof/>
                <w:sz w:val="18"/>
                <w:szCs w:val="18"/>
              </w:rPr>
            </w:pPr>
            <w:r>
              <w:rPr>
                <w:noProof/>
                <w:sz w:val="18"/>
              </w:rPr>
              <w:t>Δημόσια διεπαφή</w:t>
            </w:r>
          </w:p>
        </w:tc>
        <w:tc>
          <w:tcPr>
            <w:tcW w:w="632" w:type="dxa"/>
            <w:gridSpan w:val="2"/>
          </w:tcPr>
          <w:p>
            <w:pPr>
              <w:ind w:right="-29"/>
              <w:jc w:val="center"/>
              <w:rPr>
                <w:rFonts w:eastAsia="Times New Roman"/>
                <w:noProof/>
                <w:sz w:val="18"/>
                <w:szCs w:val="18"/>
              </w:rPr>
            </w:pPr>
          </w:p>
        </w:tc>
        <w:tc>
          <w:tcPr>
            <w:tcW w:w="504" w:type="dxa"/>
          </w:tcPr>
          <w:p>
            <w:pPr>
              <w:ind w:right="-29"/>
              <w:jc w:val="center"/>
              <w:rPr>
                <w:rFonts w:eastAsia="Times New Roman"/>
                <w:noProof/>
                <w:sz w:val="18"/>
                <w:szCs w:val="18"/>
              </w:rPr>
            </w:pPr>
          </w:p>
        </w:tc>
        <w:tc>
          <w:tcPr>
            <w:tcW w:w="849" w:type="dxa"/>
          </w:tcPr>
          <w:p>
            <w:pPr>
              <w:spacing w:before="60" w:after="60"/>
              <w:ind w:right="-29"/>
              <w:jc w:val="center"/>
              <w:rPr>
                <w:rFonts w:eastAsia="Times New Roman"/>
                <w:noProof/>
                <w:sz w:val="18"/>
                <w:szCs w:val="18"/>
              </w:rPr>
            </w:pPr>
            <w:r>
              <w:rPr>
                <w:noProof/>
                <w:sz w:val="18"/>
              </w:rPr>
              <w:t>200.000</w:t>
            </w:r>
          </w:p>
        </w:tc>
        <w:tc>
          <w:tcPr>
            <w:tcW w:w="411" w:type="dxa"/>
          </w:tcPr>
          <w:p>
            <w:pPr>
              <w:spacing w:before="60" w:after="60"/>
              <w:ind w:right="-29"/>
              <w:jc w:val="center"/>
              <w:rPr>
                <w:rFonts w:eastAsia="Times New Roman"/>
                <w:noProof/>
                <w:sz w:val="18"/>
                <w:szCs w:val="18"/>
              </w:rPr>
            </w:pPr>
          </w:p>
        </w:tc>
        <w:tc>
          <w:tcPr>
            <w:tcW w:w="864" w:type="dxa"/>
          </w:tcPr>
          <w:p>
            <w:pPr>
              <w:spacing w:before="60" w:after="60"/>
              <w:ind w:right="-29"/>
              <w:jc w:val="center"/>
              <w:rPr>
                <w:rFonts w:eastAsia="Times New Roman"/>
                <w:noProof/>
                <w:sz w:val="18"/>
                <w:szCs w:val="18"/>
              </w:rPr>
            </w:pPr>
            <w:r>
              <w:rPr>
                <w:noProof/>
                <w:sz w:val="18"/>
              </w:rPr>
              <w:t>600.000</w:t>
            </w:r>
          </w:p>
        </w:tc>
        <w:tc>
          <w:tcPr>
            <w:tcW w:w="576" w:type="dxa"/>
          </w:tcPr>
          <w:p>
            <w:pPr>
              <w:spacing w:before="60" w:after="60"/>
              <w:ind w:right="-29"/>
              <w:jc w:val="center"/>
              <w:rPr>
                <w:rFonts w:eastAsia="Times New Roman"/>
                <w:noProof/>
                <w:sz w:val="18"/>
                <w:szCs w:val="18"/>
              </w:rPr>
            </w:pPr>
          </w:p>
        </w:tc>
        <w:tc>
          <w:tcPr>
            <w:tcW w:w="842" w:type="dxa"/>
          </w:tcPr>
          <w:p>
            <w:pPr>
              <w:spacing w:before="60" w:after="60"/>
              <w:ind w:right="-29"/>
              <w:jc w:val="center"/>
              <w:rPr>
                <w:rFonts w:eastAsia="Times New Roman"/>
                <w:noProof/>
                <w:sz w:val="18"/>
                <w:szCs w:val="18"/>
              </w:rPr>
            </w:pPr>
            <w:r>
              <w:rPr>
                <w:noProof/>
                <w:sz w:val="18"/>
              </w:rPr>
              <w:t>600.000</w:t>
            </w:r>
          </w:p>
        </w:tc>
        <w:tc>
          <w:tcPr>
            <w:tcW w:w="709" w:type="dxa"/>
          </w:tcPr>
          <w:p>
            <w:pPr>
              <w:spacing w:before="60" w:after="60"/>
              <w:ind w:right="-29"/>
              <w:jc w:val="center"/>
              <w:rPr>
                <w:rFonts w:eastAsia="Times New Roman"/>
                <w:noProof/>
                <w:sz w:val="18"/>
                <w:szCs w:val="18"/>
              </w:rPr>
            </w:pPr>
          </w:p>
        </w:tc>
        <w:tc>
          <w:tcPr>
            <w:tcW w:w="789" w:type="dxa"/>
          </w:tcPr>
          <w:p>
            <w:pPr>
              <w:spacing w:before="60" w:after="60"/>
              <w:ind w:right="-29"/>
              <w:jc w:val="center"/>
              <w:rPr>
                <w:rFonts w:eastAsia="Times New Roman"/>
                <w:noProof/>
                <w:sz w:val="18"/>
                <w:szCs w:val="18"/>
              </w:rPr>
            </w:pPr>
            <w:r>
              <w:rPr>
                <w:noProof/>
                <w:sz w:val="18"/>
              </w:rPr>
              <w:t>0</w:t>
            </w:r>
          </w:p>
        </w:tc>
        <w:tc>
          <w:tcPr>
            <w:tcW w:w="671" w:type="dxa"/>
          </w:tcPr>
          <w:p>
            <w:pPr>
              <w:ind w:right="-29"/>
              <w:jc w:val="center"/>
              <w:rPr>
                <w:rFonts w:eastAsia="Times New Roman"/>
                <w:noProof/>
                <w:sz w:val="18"/>
                <w:szCs w:val="18"/>
              </w:rPr>
            </w:pPr>
          </w:p>
        </w:tc>
        <w:tc>
          <w:tcPr>
            <w:tcW w:w="949" w:type="dxa"/>
          </w:tcPr>
          <w:p>
            <w:pPr>
              <w:ind w:right="-29"/>
              <w:jc w:val="center"/>
              <w:rPr>
                <w:rFonts w:eastAsia="Times New Roman"/>
                <w:b/>
                <w:noProof/>
                <w:sz w:val="18"/>
                <w:szCs w:val="18"/>
              </w:rPr>
            </w:pPr>
            <w:r>
              <w:rPr>
                <w:b/>
                <w:noProof/>
                <w:sz w:val="18"/>
              </w:rPr>
              <w:t>1.400.000</w:t>
            </w:r>
          </w:p>
        </w:tc>
      </w:tr>
      <w:tr>
        <w:trPr>
          <w:jc w:val="center"/>
        </w:trPr>
        <w:tc>
          <w:tcPr>
            <w:tcW w:w="2844" w:type="dxa"/>
            <w:gridSpan w:val="4"/>
            <w:vAlign w:val="center"/>
          </w:tcPr>
          <w:p>
            <w:pPr>
              <w:ind w:right="-29"/>
              <w:jc w:val="center"/>
              <w:rPr>
                <w:rFonts w:eastAsia="Times New Roman"/>
                <w:noProof/>
                <w:sz w:val="18"/>
                <w:szCs w:val="18"/>
              </w:rPr>
            </w:pPr>
            <w:r>
              <w:rPr>
                <w:noProof/>
                <w:sz w:val="18"/>
              </w:rPr>
              <w:t>Μερικό σύνολο για τον ειδικό στόχο αριθ. 1</w:t>
            </w:r>
          </w:p>
        </w:tc>
        <w:tc>
          <w:tcPr>
            <w:tcW w:w="504" w:type="dxa"/>
          </w:tcPr>
          <w:p>
            <w:pPr>
              <w:ind w:right="-29"/>
              <w:jc w:val="center"/>
              <w:rPr>
                <w:rFonts w:eastAsia="Times New Roman"/>
                <w:noProof/>
                <w:sz w:val="18"/>
                <w:szCs w:val="18"/>
              </w:rPr>
            </w:pPr>
          </w:p>
        </w:tc>
        <w:tc>
          <w:tcPr>
            <w:tcW w:w="849" w:type="dxa"/>
          </w:tcPr>
          <w:p>
            <w:pPr>
              <w:spacing w:before="60" w:after="60"/>
              <w:ind w:right="-29"/>
              <w:jc w:val="center"/>
              <w:rPr>
                <w:rFonts w:eastAsia="Times New Roman"/>
                <w:noProof/>
                <w:sz w:val="18"/>
                <w:szCs w:val="18"/>
              </w:rPr>
            </w:pPr>
            <w:r>
              <w:rPr>
                <w:noProof/>
                <w:sz w:val="18"/>
              </w:rPr>
              <w:t>200.000</w:t>
            </w:r>
          </w:p>
        </w:tc>
        <w:tc>
          <w:tcPr>
            <w:tcW w:w="411" w:type="dxa"/>
          </w:tcPr>
          <w:p>
            <w:pPr>
              <w:spacing w:before="60" w:after="60"/>
              <w:ind w:right="-29"/>
              <w:jc w:val="center"/>
              <w:rPr>
                <w:rFonts w:eastAsia="Times New Roman"/>
                <w:noProof/>
                <w:sz w:val="18"/>
                <w:szCs w:val="18"/>
              </w:rPr>
            </w:pPr>
          </w:p>
        </w:tc>
        <w:tc>
          <w:tcPr>
            <w:tcW w:w="864" w:type="dxa"/>
          </w:tcPr>
          <w:p>
            <w:pPr>
              <w:spacing w:before="60" w:after="60"/>
              <w:ind w:right="-29"/>
              <w:jc w:val="center"/>
              <w:rPr>
                <w:rFonts w:eastAsia="Times New Roman"/>
                <w:noProof/>
                <w:sz w:val="18"/>
                <w:szCs w:val="18"/>
              </w:rPr>
            </w:pPr>
            <w:r>
              <w:rPr>
                <w:noProof/>
                <w:sz w:val="18"/>
              </w:rPr>
              <w:t>600.000</w:t>
            </w:r>
          </w:p>
        </w:tc>
        <w:tc>
          <w:tcPr>
            <w:tcW w:w="576" w:type="dxa"/>
          </w:tcPr>
          <w:p>
            <w:pPr>
              <w:spacing w:before="60" w:after="60"/>
              <w:ind w:right="-29"/>
              <w:jc w:val="center"/>
              <w:rPr>
                <w:rFonts w:eastAsia="Times New Roman"/>
                <w:noProof/>
                <w:sz w:val="18"/>
                <w:szCs w:val="18"/>
              </w:rPr>
            </w:pPr>
          </w:p>
        </w:tc>
        <w:tc>
          <w:tcPr>
            <w:tcW w:w="842" w:type="dxa"/>
          </w:tcPr>
          <w:p>
            <w:pPr>
              <w:spacing w:before="60" w:after="60"/>
              <w:ind w:right="-29"/>
              <w:jc w:val="center"/>
              <w:rPr>
                <w:rFonts w:eastAsia="Times New Roman"/>
                <w:noProof/>
                <w:sz w:val="18"/>
                <w:szCs w:val="18"/>
              </w:rPr>
            </w:pPr>
            <w:r>
              <w:rPr>
                <w:noProof/>
                <w:sz w:val="18"/>
              </w:rPr>
              <w:t>600.000</w:t>
            </w:r>
          </w:p>
        </w:tc>
        <w:tc>
          <w:tcPr>
            <w:tcW w:w="709" w:type="dxa"/>
          </w:tcPr>
          <w:p>
            <w:pPr>
              <w:spacing w:before="60" w:after="60"/>
              <w:ind w:right="-29"/>
              <w:jc w:val="center"/>
              <w:rPr>
                <w:rFonts w:eastAsia="Times New Roman"/>
                <w:noProof/>
                <w:sz w:val="18"/>
                <w:szCs w:val="18"/>
              </w:rPr>
            </w:pPr>
          </w:p>
        </w:tc>
        <w:tc>
          <w:tcPr>
            <w:tcW w:w="789" w:type="dxa"/>
          </w:tcPr>
          <w:p>
            <w:pPr>
              <w:spacing w:before="60" w:after="60"/>
              <w:ind w:right="-29"/>
              <w:jc w:val="center"/>
              <w:rPr>
                <w:rFonts w:eastAsia="Times New Roman"/>
                <w:noProof/>
                <w:sz w:val="18"/>
                <w:szCs w:val="18"/>
              </w:rPr>
            </w:pPr>
            <w:r>
              <w:rPr>
                <w:noProof/>
                <w:sz w:val="18"/>
              </w:rPr>
              <w:t>0</w:t>
            </w:r>
          </w:p>
        </w:tc>
        <w:tc>
          <w:tcPr>
            <w:tcW w:w="671" w:type="dxa"/>
          </w:tcPr>
          <w:p>
            <w:pPr>
              <w:ind w:right="-29"/>
              <w:jc w:val="center"/>
              <w:rPr>
                <w:rFonts w:eastAsia="Times New Roman"/>
                <w:noProof/>
                <w:sz w:val="18"/>
                <w:szCs w:val="18"/>
              </w:rPr>
            </w:pPr>
          </w:p>
        </w:tc>
        <w:tc>
          <w:tcPr>
            <w:tcW w:w="949" w:type="dxa"/>
          </w:tcPr>
          <w:p>
            <w:pPr>
              <w:ind w:right="-29"/>
              <w:jc w:val="center"/>
              <w:rPr>
                <w:rFonts w:eastAsia="Times New Roman"/>
                <w:b/>
                <w:noProof/>
                <w:sz w:val="18"/>
                <w:szCs w:val="18"/>
              </w:rPr>
            </w:pPr>
            <w:r>
              <w:rPr>
                <w:b/>
                <w:noProof/>
                <w:sz w:val="18"/>
              </w:rPr>
              <w:t>1.400.000</w:t>
            </w:r>
          </w:p>
        </w:tc>
      </w:tr>
      <w:tr>
        <w:trPr>
          <w:gridAfter w:val="10"/>
          <w:wAfter w:w="7164" w:type="dxa"/>
          <w:jc w:val="center"/>
        </w:trPr>
        <w:tc>
          <w:tcPr>
            <w:tcW w:w="2844" w:type="dxa"/>
            <w:gridSpan w:val="4"/>
            <w:vAlign w:val="center"/>
          </w:tcPr>
          <w:p>
            <w:pPr>
              <w:spacing w:before="60" w:after="60"/>
              <w:ind w:right="-29"/>
              <w:jc w:val="center"/>
              <w:rPr>
                <w:rFonts w:eastAsia="Times New Roman"/>
                <w:noProof/>
                <w:sz w:val="18"/>
              </w:rPr>
            </w:pPr>
            <w:r>
              <w:rPr>
                <w:noProof/>
                <w:sz w:val="18"/>
              </w:rPr>
              <w:t>ΕΙΔΙΚΟΣ ΣΤΟΧΟΣ αριθ. 2</w:t>
            </w:r>
          </w:p>
          <w:p>
            <w:pPr>
              <w:jc w:val="center"/>
              <w:rPr>
                <w:rFonts w:eastAsia="Times New Roman"/>
                <w:noProof/>
                <w:sz w:val="18"/>
              </w:rPr>
            </w:pPr>
            <w:r>
              <w:rPr>
                <w:noProof/>
                <w:sz w:val="18"/>
              </w:rPr>
              <w:t>Δυνατότητα λειτουργικής υποστήριξης</w:t>
            </w:r>
          </w:p>
        </w:tc>
      </w:tr>
      <w:tr>
        <w:trPr>
          <w:jc w:val="center"/>
        </w:trPr>
        <w:tc>
          <w:tcPr>
            <w:tcW w:w="1078" w:type="dxa"/>
          </w:tcPr>
          <w:p>
            <w:pPr>
              <w:ind w:right="-29"/>
              <w:jc w:val="center"/>
              <w:rPr>
                <w:rFonts w:eastAsia="Times New Roman"/>
                <w:noProof/>
                <w:sz w:val="18"/>
                <w:szCs w:val="18"/>
              </w:rPr>
            </w:pPr>
            <w:r>
              <w:rPr>
                <w:noProof/>
                <w:sz w:val="18"/>
              </w:rPr>
              <w:t>- Αποτέλεσμ</w:t>
            </w:r>
            <w:r>
              <w:rPr>
                <w:noProof/>
                <w:sz w:val="18"/>
              </w:rPr>
              <w:lastRenderedPageBreak/>
              <w:t>α</w:t>
            </w:r>
          </w:p>
        </w:tc>
        <w:tc>
          <w:tcPr>
            <w:tcW w:w="1276" w:type="dxa"/>
            <w:gridSpan w:val="2"/>
          </w:tcPr>
          <w:p>
            <w:pPr>
              <w:ind w:right="-29"/>
              <w:jc w:val="center"/>
              <w:rPr>
                <w:rFonts w:eastAsia="Times New Roman"/>
                <w:noProof/>
                <w:sz w:val="18"/>
                <w:szCs w:val="18"/>
              </w:rPr>
            </w:pPr>
            <w:r>
              <w:rPr>
                <w:noProof/>
                <w:sz w:val="18"/>
              </w:rPr>
              <w:lastRenderedPageBreak/>
              <w:t xml:space="preserve">Δυνατότητα λειτουργικής </w:t>
            </w:r>
            <w:r>
              <w:rPr>
                <w:noProof/>
                <w:sz w:val="18"/>
              </w:rPr>
              <w:lastRenderedPageBreak/>
              <w:t>υποστήριξης</w:t>
            </w:r>
          </w:p>
        </w:tc>
        <w:tc>
          <w:tcPr>
            <w:tcW w:w="490" w:type="dxa"/>
          </w:tcPr>
          <w:p>
            <w:pPr>
              <w:ind w:right="-29"/>
              <w:jc w:val="center"/>
              <w:rPr>
                <w:rFonts w:eastAsia="Times New Roman"/>
                <w:noProof/>
                <w:sz w:val="18"/>
                <w:szCs w:val="18"/>
              </w:rPr>
            </w:pPr>
          </w:p>
        </w:tc>
        <w:tc>
          <w:tcPr>
            <w:tcW w:w="504" w:type="dxa"/>
          </w:tcPr>
          <w:p>
            <w:pPr>
              <w:ind w:right="-29"/>
              <w:jc w:val="center"/>
              <w:rPr>
                <w:rFonts w:eastAsia="Times New Roman"/>
                <w:noProof/>
                <w:sz w:val="18"/>
                <w:szCs w:val="18"/>
              </w:rPr>
            </w:pPr>
          </w:p>
        </w:tc>
        <w:tc>
          <w:tcPr>
            <w:tcW w:w="849" w:type="dxa"/>
          </w:tcPr>
          <w:p>
            <w:pPr>
              <w:ind w:right="-29"/>
              <w:jc w:val="center"/>
              <w:rPr>
                <w:rFonts w:eastAsia="Times New Roman"/>
                <w:noProof/>
                <w:sz w:val="18"/>
                <w:szCs w:val="18"/>
              </w:rPr>
            </w:pPr>
            <w:r>
              <w:rPr>
                <w:noProof/>
                <w:sz w:val="18"/>
              </w:rPr>
              <w:t>110.000</w:t>
            </w:r>
          </w:p>
        </w:tc>
        <w:tc>
          <w:tcPr>
            <w:tcW w:w="411" w:type="dxa"/>
          </w:tcPr>
          <w:p>
            <w:pPr>
              <w:ind w:right="-29"/>
              <w:jc w:val="center"/>
              <w:rPr>
                <w:rFonts w:eastAsia="Times New Roman"/>
                <w:noProof/>
                <w:sz w:val="18"/>
                <w:szCs w:val="18"/>
              </w:rPr>
            </w:pPr>
          </w:p>
        </w:tc>
        <w:tc>
          <w:tcPr>
            <w:tcW w:w="864" w:type="dxa"/>
          </w:tcPr>
          <w:p>
            <w:pPr>
              <w:ind w:right="-29"/>
              <w:jc w:val="center"/>
              <w:rPr>
                <w:rFonts w:eastAsia="Times New Roman"/>
                <w:noProof/>
                <w:sz w:val="18"/>
                <w:szCs w:val="18"/>
              </w:rPr>
            </w:pPr>
            <w:r>
              <w:rPr>
                <w:noProof/>
                <w:sz w:val="18"/>
              </w:rPr>
              <w:t>345.000</w:t>
            </w:r>
          </w:p>
        </w:tc>
        <w:tc>
          <w:tcPr>
            <w:tcW w:w="576" w:type="dxa"/>
          </w:tcPr>
          <w:p>
            <w:pPr>
              <w:ind w:right="-29"/>
              <w:jc w:val="center"/>
              <w:rPr>
                <w:rFonts w:eastAsia="Times New Roman"/>
                <w:noProof/>
                <w:sz w:val="18"/>
                <w:szCs w:val="18"/>
              </w:rPr>
            </w:pPr>
          </w:p>
        </w:tc>
        <w:tc>
          <w:tcPr>
            <w:tcW w:w="842" w:type="dxa"/>
          </w:tcPr>
          <w:p>
            <w:pPr>
              <w:ind w:right="-29"/>
              <w:jc w:val="center"/>
              <w:rPr>
                <w:rFonts w:eastAsia="Times New Roman"/>
                <w:noProof/>
                <w:sz w:val="18"/>
                <w:szCs w:val="18"/>
              </w:rPr>
            </w:pPr>
            <w:r>
              <w:rPr>
                <w:noProof/>
                <w:sz w:val="18"/>
              </w:rPr>
              <w:t>345.000</w:t>
            </w:r>
          </w:p>
        </w:tc>
        <w:tc>
          <w:tcPr>
            <w:tcW w:w="709" w:type="dxa"/>
          </w:tcPr>
          <w:p>
            <w:pPr>
              <w:ind w:right="-29"/>
              <w:jc w:val="center"/>
              <w:rPr>
                <w:rFonts w:eastAsia="Times New Roman"/>
                <w:noProof/>
                <w:sz w:val="18"/>
                <w:szCs w:val="18"/>
              </w:rPr>
            </w:pPr>
          </w:p>
        </w:tc>
        <w:tc>
          <w:tcPr>
            <w:tcW w:w="789" w:type="dxa"/>
          </w:tcPr>
          <w:p>
            <w:pPr>
              <w:ind w:right="-29"/>
              <w:jc w:val="center"/>
              <w:rPr>
                <w:rFonts w:eastAsia="Times New Roman"/>
                <w:noProof/>
                <w:sz w:val="18"/>
                <w:szCs w:val="18"/>
              </w:rPr>
            </w:pPr>
            <w:r>
              <w:rPr>
                <w:noProof/>
                <w:sz w:val="18"/>
              </w:rPr>
              <w:t>0</w:t>
            </w:r>
          </w:p>
        </w:tc>
        <w:tc>
          <w:tcPr>
            <w:tcW w:w="671" w:type="dxa"/>
          </w:tcPr>
          <w:p>
            <w:pPr>
              <w:ind w:right="-29"/>
              <w:jc w:val="center"/>
              <w:rPr>
                <w:rFonts w:eastAsia="Times New Roman"/>
                <w:noProof/>
                <w:sz w:val="18"/>
                <w:szCs w:val="18"/>
              </w:rPr>
            </w:pPr>
          </w:p>
        </w:tc>
        <w:tc>
          <w:tcPr>
            <w:tcW w:w="949" w:type="dxa"/>
          </w:tcPr>
          <w:p>
            <w:pPr>
              <w:ind w:right="-29"/>
              <w:jc w:val="center"/>
              <w:rPr>
                <w:rFonts w:eastAsia="Times New Roman"/>
                <w:b/>
                <w:noProof/>
                <w:sz w:val="18"/>
                <w:szCs w:val="18"/>
              </w:rPr>
            </w:pPr>
            <w:r>
              <w:rPr>
                <w:b/>
                <w:noProof/>
                <w:sz w:val="18"/>
              </w:rPr>
              <w:t>800.000</w:t>
            </w:r>
          </w:p>
        </w:tc>
      </w:tr>
      <w:tr>
        <w:trPr>
          <w:jc w:val="center"/>
        </w:trPr>
        <w:tc>
          <w:tcPr>
            <w:tcW w:w="2844" w:type="dxa"/>
            <w:gridSpan w:val="4"/>
            <w:vAlign w:val="center"/>
          </w:tcPr>
          <w:p>
            <w:pPr>
              <w:jc w:val="center"/>
              <w:rPr>
                <w:rFonts w:eastAsia="Times New Roman"/>
                <w:noProof/>
                <w:sz w:val="18"/>
                <w:szCs w:val="18"/>
              </w:rPr>
            </w:pPr>
            <w:r>
              <w:rPr>
                <w:noProof/>
                <w:sz w:val="18"/>
              </w:rPr>
              <w:lastRenderedPageBreak/>
              <w:t>Μερικό σύνολο για τον ειδικό στόχο αριθ. 2</w:t>
            </w:r>
          </w:p>
        </w:tc>
        <w:tc>
          <w:tcPr>
            <w:tcW w:w="504" w:type="dxa"/>
          </w:tcPr>
          <w:p>
            <w:pPr>
              <w:ind w:right="-29"/>
              <w:jc w:val="center"/>
              <w:rPr>
                <w:rFonts w:eastAsia="Times New Roman"/>
                <w:noProof/>
                <w:sz w:val="18"/>
                <w:szCs w:val="18"/>
              </w:rPr>
            </w:pPr>
          </w:p>
        </w:tc>
        <w:tc>
          <w:tcPr>
            <w:tcW w:w="849" w:type="dxa"/>
          </w:tcPr>
          <w:p>
            <w:pPr>
              <w:ind w:right="-29"/>
              <w:jc w:val="center"/>
              <w:rPr>
                <w:rFonts w:eastAsia="Times New Roman"/>
                <w:noProof/>
                <w:sz w:val="18"/>
                <w:szCs w:val="18"/>
              </w:rPr>
            </w:pPr>
            <w:r>
              <w:rPr>
                <w:noProof/>
                <w:sz w:val="18"/>
              </w:rPr>
              <w:t>110.000</w:t>
            </w:r>
          </w:p>
        </w:tc>
        <w:tc>
          <w:tcPr>
            <w:tcW w:w="411" w:type="dxa"/>
          </w:tcPr>
          <w:p>
            <w:pPr>
              <w:ind w:right="-29"/>
              <w:jc w:val="center"/>
              <w:rPr>
                <w:rFonts w:eastAsia="Times New Roman"/>
                <w:noProof/>
                <w:sz w:val="18"/>
                <w:szCs w:val="18"/>
              </w:rPr>
            </w:pPr>
          </w:p>
        </w:tc>
        <w:tc>
          <w:tcPr>
            <w:tcW w:w="864" w:type="dxa"/>
          </w:tcPr>
          <w:p>
            <w:pPr>
              <w:ind w:right="-29"/>
              <w:jc w:val="center"/>
              <w:rPr>
                <w:rFonts w:eastAsia="Times New Roman"/>
                <w:noProof/>
                <w:sz w:val="18"/>
                <w:szCs w:val="18"/>
              </w:rPr>
            </w:pPr>
            <w:r>
              <w:rPr>
                <w:noProof/>
                <w:sz w:val="18"/>
              </w:rPr>
              <w:t>345.000</w:t>
            </w:r>
          </w:p>
        </w:tc>
        <w:tc>
          <w:tcPr>
            <w:tcW w:w="576" w:type="dxa"/>
          </w:tcPr>
          <w:p>
            <w:pPr>
              <w:ind w:right="-29"/>
              <w:jc w:val="center"/>
              <w:rPr>
                <w:rFonts w:eastAsia="Times New Roman"/>
                <w:noProof/>
                <w:sz w:val="18"/>
                <w:szCs w:val="18"/>
              </w:rPr>
            </w:pPr>
          </w:p>
        </w:tc>
        <w:tc>
          <w:tcPr>
            <w:tcW w:w="842" w:type="dxa"/>
          </w:tcPr>
          <w:p>
            <w:pPr>
              <w:ind w:right="-29"/>
              <w:jc w:val="center"/>
              <w:rPr>
                <w:rFonts w:eastAsia="Times New Roman"/>
                <w:noProof/>
                <w:sz w:val="18"/>
                <w:szCs w:val="18"/>
              </w:rPr>
            </w:pPr>
            <w:r>
              <w:rPr>
                <w:noProof/>
                <w:sz w:val="18"/>
              </w:rPr>
              <w:t>345.000</w:t>
            </w:r>
          </w:p>
        </w:tc>
        <w:tc>
          <w:tcPr>
            <w:tcW w:w="709" w:type="dxa"/>
          </w:tcPr>
          <w:p>
            <w:pPr>
              <w:ind w:right="-29"/>
              <w:jc w:val="center"/>
              <w:rPr>
                <w:rFonts w:eastAsia="Times New Roman"/>
                <w:noProof/>
                <w:sz w:val="18"/>
                <w:szCs w:val="18"/>
              </w:rPr>
            </w:pPr>
          </w:p>
        </w:tc>
        <w:tc>
          <w:tcPr>
            <w:tcW w:w="789" w:type="dxa"/>
          </w:tcPr>
          <w:p>
            <w:pPr>
              <w:ind w:right="-29"/>
              <w:jc w:val="center"/>
              <w:rPr>
                <w:rFonts w:eastAsia="Times New Roman"/>
                <w:noProof/>
                <w:sz w:val="18"/>
                <w:szCs w:val="18"/>
              </w:rPr>
            </w:pPr>
            <w:r>
              <w:rPr>
                <w:noProof/>
                <w:sz w:val="18"/>
              </w:rPr>
              <w:t>0</w:t>
            </w:r>
          </w:p>
        </w:tc>
        <w:tc>
          <w:tcPr>
            <w:tcW w:w="671" w:type="dxa"/>
          </w:tcPr>
          <w:p>
            <w:pPr>
              <w:ind w:right="-29"/>
              <w:jc w:val="center"/>
              <w:rPr>
                <w:rFonts w:eastAsia="Times New Roman"/>
                <w:noProof/>
                <w:sz w:val="18"/>
                <w:szCs w:val="18"/>
              </w:rPr>
            </w:pPr>
          </w:p>
        </w:tc>
        <w:tc>
          <w:tcPr>
            <w:tcW w:w="949" w:type="dxa"/>
          </w:tcPr>
          <w:p>
            <w:pPr>
              <w:ind w:right="-29"/>
              <w:jc w:val="center"/>
              <w:rPr>
                <w:rFonts w:eastAsia="Times New Roman"/>
                <w:b/>
                <w:noProof/>
                <w:sz w:val="18"/>
                <w:szCs w:val="18"/>
              </w:rPr>
            </w:pPr>
            <w:r>
              <w:rPr>
                <w:b/>
                <w:noProof/>
                <w:sz w:val="18"/>
              </w:rPr>
              <w:t>800.000</w:t>
            </w:r>
          </w:p>
        </w:tc>
      </w:tr>
      <w:tr>
        <w:trPr>
          <w:jc w:val="center"/>
        </w:trPr>
        <w:tc>
          <w:tcPr>
            <w:tcW w:w="2844" w:type="dxa"/>
            <w:gridSpan w:val="4"/>
            <w:vAlign w:val="center"/>
          </w:tcPr>
          <w:p>
            <w:pPr>
              <w:ind w:right="-29"/>
              <w:jc w:val="center"/>
              <w:rPr>
                <w:rFonts w:eastAsia="Times New Roman"/>
                <w:noProof/>
                <w:sz w:val="18"/>
                <w:szCs w:val="18"/>
              </w:rPr>
            </w:pPr>
            <w:r>
              <w:rPr>
                <w:b/>
                <w:noProof/>
                <w:sz w:val="18"/>
              </w:rPr>
              <w:t>ΣΥΝΟΛΙΚΟ ΚΟΣΤΟΣ</w:t>
            </w:r>
          </w:p>
        </w:tc>
        <w:tc>
          <w:tcPr>
            <w:tcW w:w="504" w:type="dxa"/>
          </w:tcPr>
          <w:p>
            <w:pPr>
              <w:spacing w:before="180" w:after="180"/>
              <w:ind w:right="-29"/>
              <w:jc w:val="center"/>
              <w:rPr>
                <w:rFonts w:eastAsia="Times New Roman"/>
                <w:noProof/>
                <w:sz w:val="18"/>
                <w:szCs w:val="18"/>
              </w:rPr>
            </w:pPr>
          </w:p>
        </w:tc>
        <w:tc>
          <w:tcPr>
            <w:tcW w:w="849" w:type="dxa"/>
          </w:tcPr>
          <w:p>
            <w:pPr>
              <w:spacing w:before="180" w:after="180"/>
              <w:ind w:right="-29"/>
              <w:jc w:val="center"/>
              <w:rPr>
                <w:rFonts w:eastAsia="Times New Roman"/>
                <w:b/>
                <w:noProof/>
                <w:sz w:val="18"/>
                <w:szCs w:val="18"/>
              </w:rPr>
            </w:pPr>
            <w:r>
              <w:rPr>
                <w:b/>
                <w:noProof/>
                <w:sz w:val="18"/>
              </w:rPr>
              <w:t>310.000</w:t>
            </w:r>
          </w:p>
        </w:tc>
        <w:tc>
          <w:tcPr>
            <w:tcW w:w="411" w:type="dxa"/>
          </w:tcPr>
          <w:p>
            <w:pPr>
              <w:spacing w:before="180" w:after="180"/>
              <w:ind w:right="-29"/>
              <w:jc w:val="center"/>
              <w:rPr>
                <w:rFonts w:eastAsia="Times New Roman"/>
                <w:b/>
                <w:noProof/>
                <w:sz w:val="18"/>
                <w:szCs w:val="18"/>
              </w:rPr>
            </w:pPr>
          </w:p>
        </w:tc>
        <w:tc>
          <w:tcPr>
            <w:tcW w:w="864" w:type="dxa"/>
          </w:tcPr>
          <w:p>
            <w:pPr>
              <w:spacing w:before="180" w:after="180"/>
              <w:ind w:right="-29"/>
              <w:jc w:val="center"/>
              <w:rPr>
                <w:rFonts w:eastAsia="Times New Roman"/>
                <w:b/>
                <w:noProof/>
                <w:sz w:val="18"/>
                <w:szCs w:val="18"/>
              </w:rPr>
            </w:pPr>
            <w:r>
              <w:rPr>
                <w:b/>
                <w:noProof/>
                <w:sz w:val="18"/>
              </w:rPr>
              <w:t>945.000</w:t>
            </w:r>
          </w:p>
        </w:tc>
        <w:tc>
          <w:tcPr>
            <w:tcW w:w="576" w:type="dxa"/>
          </w:tcPr>
          <w:p>
            <w:pPr>
              <w:spacing w:before="180" w:after="180"/>
              <w:ind w:right="-29"/>
              <w:jc w:val="center"/>
              <w:rPr>
                <w:rFonts w:eastAsia="Times New Roman"/>
                <w:b/>
                <w:noProof/>
                <w:sz w:val="18"/>
                <w:szCs w:val="18"/>
              </w:rPr>
            </w:pPr>
          </w:p>
        </w:tc>
        <w:tc>
          <w:tcPr>
            <w:tcW w:w="842" w:type="dxa"/>
          </w:tcPr>
          <w:p>
            <w:pPr>
              <w:spacing w:before="180" w:after="180"/>
              <w:ind w:right="-29"/>
              <w:jc w:val="center"/>
              <w:rPr>
                <w:rFonts w:eastAsia="Times New Roman"/>
                <w:b/>
                <w:noProof/>
                <w:sz w:val="18"/>
                <w:szCs w:val="18"/>
              </w:rPr>
            </w:pPr>
            <w:r>
              <w:rPr>
                <w:b/>
                <w:noProof/>
                <w:sz w:val="18"/>
              </w:rPr>
              <w:t>945.000</w:t>
            </w:r>
          </w:p>
        </w:tc>
        <w:tc>
          <w:tcPr>
            <w:tcW w:w="709" w:type="dxa"/>
          </w:tcPr>
          <w:p>
            <w:pPr>
              <w:spacing w:before="180" w:after="180"/>
              <w:ind w:right="-29"/>
              <w:jc w:val="center"/>
              <w:rPr>
                <w:rFonts w:eastAsia="Times New Roman"/>
                <w:b/>
                <w:noProof/>
                <w:sz w:val="18"/>
                <w:szCs w:val="18"/>
              </w:rPr>
            </w:pPr>
          </w:p>
        </w:tc>
        <w:tc>
          <w:tcPr>
            <w:tcW w:w="789" w:type="dxa"/>
          </w:tcPr>
          <w:p>
            <w:pPr>
              <w:spacing w:before="180" w:after="180"/>
              <w:ind w:right="-29"/>
              <w:jc w:val="center"/>
              <w:rPr>
                <w:rFonts w:eastAsia="Times New Roman"/>
                <w:b/>
                <w:noProof/>
                <w:sz w:val="18"/>
                <w:szCs w:val="18"/>
              </w:rPr>
            </w:pPr>
            <w:r>
              <w:rPr>
                <w:b/>
                <w:noProof/>
                <w:sz w:val="18"/>
              </w:rPr>
              <w:t>0</w:t>
            </w:r>
          </w:p>
        </w:tc>
        <w:tc>
          <w:tcPr>
            <w:tcW w:w="671" w:type="dxa"/>
          </w:tcPr>
          <w:p>
            <w:pPr>
              <w:spacing w:before="180" w:after="180"/>
              <w:ind w:right="-29"/>
              <w:jc w:val="center"/>
              <w:rPr>
                <w:rFonts w:eastAsia="Times New Roman"/>
                <w:noProof/>
                <w:sz w:val="18"/>
                <w:szCs w:val="18"/>
              </w:rPr>
            </w:pPr>
          </w:p>
        </w:tc>
        <w:tc>
          <w:tcPr>
            <w:tcW w:w="949" w:type="dxa"/>
          </w:tcPr>
          <w:p>
            <w:pPr>
              <w:spacing w:before="180" w:after="180"/>
              <w:ind w:right="-29"/>
              <w:jc w:val="center"/>
              <w:rPr>
                <w:rFonts w:eastAsia="Times New Roman"/>
                <w:b/>
                <w:noProof/>
                <w:sz w:val="18"/>
                <w:szCs w:val="18"/>
              </w:rPr>
            </w:pPr>
            <w:r>
              <w:rPr>
                <w:b/>
                <w:noProof/>
                <w:sz w:val="18"/>
              </w:rPr>
              <w:t>2.200.000</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lastRenderedPageBreak/>
        <w:t>3.2.2.</w:t>
      </w:r>
      <w:r>
        <w:tab/>
      </w:r>
      <w:r>
        <w:rPr>
          <w:noProof/>
        </w:rPr>
        <w:t>Εκτιμώμενες επιπτώσεις στις πιστώσεις διοικητικού χαρακτήρα</w:t>
      </w:r>
    </w:p>
    <w:p>
      <w:pPr>
        <w:pStyle w:val="ManualHeading4"/>
        <w:rPr>
          <w:noProof/>
        </w:rPr>
      </w:pPr>
      <w:r>
        <w:t>3.2.2.1.</w:t>
      </w:r>
      <w:r>
        <w:tab/>
      </w:r>
      <w:r>
        <w:rPr>
          <w:noProof/>
        </w:rPr>
        <w:t xml:space="preserve">Συνοπτική παρουσίαση </w:t>
      </w:r>
    </w:p>
    <w:p>
      <w:pPr>
        <w:pStyle w:val="ListDash1"/>
        <w:rPr>
          <w:noProof/>
        </w:rPr>
      </w:pPr>
      <w:r>
        <w:rPr>
          <w:noProof/>
        </w:rPr>
        <w:sym w:font="Wingdings" w:char="F078"/>
      </w:r>
      <w:r>
        <w:rPr>
          <w:noProof/>
        </w:rPr>
        <w:tab/>
        <w:t>Η πρόταση/πρωτοβουλία συνεπάγεται τη χρησιμοποίηση πιστώσεων διοικητικού χαρακτήρα, όπως εξηγείται κατωτέρω:</w:t>
      </w:r>
    </w:p>
    <w:p>
      <w:pPr>
        <w:rPr>
          <w:noProof/>
          <w:sz w:val="20"/>
        </w:rPr>
      </w:pPr>
      <w:r>
        <w:rPr>
          <w:noProof/>
          <w:sz w:val="20"/>
        </w:rPr>
        <w:t xml:space="preserve">σε EUR </w:t>
      </w:r>
    </w:p>
    <w:tbl>
      <w:tblPr>
        <w:tblW w:w="9792"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406"/>
        <w:gridCol w:w="992"/>
        <w:gridCol w:w="992"/>
        <w:gridCol w:w="993"/>
        <w:gridCol w:w="992"/>
        <w:gridCol w:w="1417"/>
      </w:tblGrid>
      <w:tr>
        <w:trPr>
          <w:trHeight w:val="585"/>
        </w:trPr>
        <w:tc>
          <w:tcPr>
            <w:tcW w:w="4406" w:type="dxa"/>
          </w:tcPr>
          <w:p>
            <w:pPr>
              <w:spacing w:before="60" w:after="60" w:line="200" w:lineRule="exact"/>
              <w:rPr>
                <w:rFonts w:eastAsia="Times New Roman"/>
                <w:noProof/>
                <w:sz w:val="16"/>
                <w:szCs w:val="16"/>
              </w:rPr>
            </w:pPr>
          </w:p>
        </w:tc>
        <w:tc>
          <w:tcPr>
            <w:tcW w:w="992" w:type="dxa"/>
            <w:vAlign w:val="center"/>
          </w:tcPr>
          <w:p>
            <w:pPr>
              <w:spacing w:before="60" w:after="60" w:line="200" w:lineRule="exact"/>
              <w:jc w:val="center"/>
              <w:rPr>
                <w:rFonts w:eastAsia="Times New Roman"/>
                <w:noProof/>
                <w:sz w:val="16"/>
                <w:szCs w:val="16"/>
              </w:rPr>
            </w:pPr>
            <w:r>
              <w:rPr>
                <w:noProof/>
                <w:sz w:val="16"/>
              </w:rPr>
              <w:t>2018</w:t>
            </w:r>
          </w:p>
        </w:tc>
        <w:tc>
          <w:tcPr>
            <w:tcW w:w="992" w:type="dxa"/>
            <w:vAlign w:val="center"/>
          </w:tcPr>
          <w:p>
            <w:pPr>
              <w:spacing w:before="60" w:after="60" w:line="200" w:lineRule="exact"/>
              <w:jc w:val="center"/>
              <w:rPr>
                <w:rFonts w:eastAsia="Times New Roman"/>
                <w:noProof/>
                <w:sz w:val="16"/>
                <w:szCs w:val="16"/>
              </w:rPr>
            </w:pPr>
            <w:r>
              <w:rPr>
                <w:noProof/>
                <w:sz w:val="16"/>
              </w:rPr>
              <w:t>2019</w:t>
            </w:r>
          </w:p>
        </w:tc>
        <w:tc>
          <w:tcPr>
            <w:tcW w:w="993" w:type="dxa"/>
            <w:vAlign w:val="center"/>
          </w:tcPr>
          <w:p>
            <w:pPr>
              <w:spacing w:before="60" w:after="60" w:line="200" w:lineRule="exact"/>
              <w:jc w:val="center"/>
              <w:rPr>
                <w:rFonts w:eastAsia="Times New Roman"/>
                <w:noProof/>
                <w:sz w:val="16"/>
                <w:szCs w:val="16"/>
              </w:rPr>
            </w:pPr>
            <w:r>
              <w:rPr>
                <w:noProof/>
                <w:sz w:val="16"/>
              </w:rPr>
              <w:t>2020</w:t>
            </w:r>
          </w:p>
        </w:tc>
        <w:tc>
          <w:tcPr>
            <w:tcW w:w="992" w:type="dxa"/>
            <w:vAlign w:val="center"/>
          </w:tcPr>
          <w:p>
            <w:pPr>
              <w:spacing w:before="60" w:after="60" w:line="200" w:lineRule="exact"/>
              <w:jc w:val="center"/>
              <w:rPr>
                <w:rFonts w:eastAsia="Times New Roman"/>
                <w:noProof/>
                <w:sz w:val="16"/>
                <w:szCs w:val="16"/>
              </w:rPr>
            </w:pPr>
            <w:r>
              <w:rPr>
                <w:noProof/>
                <w:sz w:val="16"/>
              </w:rPr>
              <w:t>2021</w:t>
            </w:r>
          </w:p>
        </w:tc>
        <w:tc>
          <w:tcPr>
            <w:tcW w:w="1417" w:type="dxa"/>
            <w:vAlign w:val="center"/>
          </w:tcPr>
          <w:p>
            <w:pPr>
              <w:spacing w:before="60" w:after="60" w:line="200" w:lineRule="exact"/>
              <w:jc w:val="center"/>
              <w:rPr>
                <w:rFonts w:eastAsia="Times New Roman"/>
                <w:b/>
                <w:noProof/>
                <w:sz w:val="16"/>
                <w:szCs w:val="16"/>
              </w:rPr>
            </w:pPr>
            <w:r>
              <w:rPr>
                <w:b/>
                <w:noProof/>
                <w:sz w:val="16"/>
              </w:rPr>
              <w:t>ΣΥΝΟΛΟ</w:t>
            </w:r>
          </w:p>
        </w:tc>
      </w:tr>
    </w:tbl>
    <w:p>
      <w:pPr>
        <w:spacing w:line="200" w:lineRule="exact"/>
        <w:rPr>
          <w:rFonts w:eastAsia="Times New Roman"/>
          <w:noProof/>
          <w:sz w:val="16"/>
          <w:szCs w:val="16"/>
        </w:rPr>
      </w:pPr>
    </w:p>
    <w:tbl>
      <w:tblPr>
        <w:tblW w:w="9792"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406"/>
        <w:gridCol w:w="992"/>
        <w:gridCol w:w="992"/>
        <w:gridCol w:w="993"/>
        <w:gridCol w:w="992"/>
        <w:gridCol w:w="1417"/>
      </w:tblGrid>
      <w:tr>
        <w:trPr>
          <w:trHeight w:val="585"/>
        </w:trPr>
        <w:tc>
          <w:tcPr>
            <w:tcW w:w="4406" w:type="dxa"/>
            <w:shd w:val="clear" w:color="auto" w:fill="CCCCCC"/>
            <w:vAlign w:val="center"/>
          </w:tcPr>
          <w:p>
            <w:pPr>
              <w:spacing w:before="60" w:after="60" w:line="200" w:lineRule="exact"/>
              <w:jc w:val="center"/>
              <w:rPr>
                <w:rFonts w:eastAsia="Times New Roman"/>
                <w:b/>
                <w:noProof/>
                <w:sz w:val="16"/>
                <w:szCs w:val="16"/>
              </w:rPr>
            </w:pPr>
            <w:r>
              <w:rPr>
                <w:b/>
                <w:noProof/>
              </w:rPr>
              <w:t>ΤΟΜΕΑΣ 5</w:t>
            </w:r>
            <w:r>
              <w:rPr>
                <w:noProof/>
              </w:rPr>
              <w:br/>
            </w:r>
            <w:r>
              <w:rPr>
                <w:b/>
                <w:noProof/>
                <w:sz w:val="16"/>
              </w:rPr>
              <w:t>του πολυετούς δημοσιονομικού πλαισίου</w:t>
            </w:r>
          </w:p>
        </w:tc>
        <w:tc>
          <w:tcPr>
            <w:tcW w:w="992" w:type="dxa"/>
            <w:vAlign w:val="center"/>
          </w:tcPr>
          <w:p>
            <w:pPr>
              <w:spacing w:before="60" w:after="60" w:line="200" w:lineRule="exact"/>
              <w:jc w:val="right"/>
              <w:rPr>
                <w:rFonts w:eastAsia="Times New Roman"/>
                <w:noProof/>
                <w:sz w:val="16"/>
                <w:szCs w:val="16"/>
              </w:rPr>
            </w:pPr>
          </w:p>
        </w:tc>
        <w:tc>
          <w:tcPr>
            <w:tcW w:w="992" w:type="dxa"/>
            <w:vAlign w:val="center"/>
          </w:tcPr>
          <w:p>
            <w:pPr>
              <w:spacing w:before="60" w:after="60" w:line="200" w:lineRule="exact"/>
              <w:jc w:val="right"/>
              <w:rPr>
                <w:rFonts w:eastAsia="Times New Roman"/>
                <w:noProof/>
                <w:sz w:val="16"/>
                <w:szCs w:val="16"/>
              </w:rPr>
            </w:pPr>
          </w:p>
        </w:tc>
        <w:tc>
          <w:tcPr>
            <w:tcW w:w="993" w:type="dxa"/>
            <w:vAlign w:val="center"/>
          </w:tcPr>
          <w:p>
            <w:pPr>
              <w:spacing w:before="60" w:after="60" w:line="200" w:lineRule="exact"/>
              <w:jc w:val="right"/>
              <w:rPr>
                <w:rFonts w:eastAsia="Times New Roman"/>
                <w:noProof/>
                <w:sz w:val="16"/>
                <w:szCs w:val="16"/>
              </w:rPr>
            </w:pPr>
          </w:p>
        </w:tc>
        <w:tc>
          <w:tcPr>
            <w:tcW w:w="992" w:type="dxa"/>
            <w:vAlign w:val="center"/>
          </w:tcPr>
          <w:p>
            <w:pPr>
              <w:spacing w:before="60" w:after="60" w:line="200" w:lineRule="exact"/>
              <w:jc w:val="right"/>
              <w:rPr>
                <w:rFonts w:eastAsia="Times New Roman"/>
                <w:noProof/>
                <w:sz w:val="16"/>
                <w:szCs w:val="16"/>
              </w:rPr>
            </w:pPr>
          </w:p>
        </w:tc>
        <w:tc>
          <w:tcPr>
            <w:tcW w:w="1417" w:type="dxa"/>
            <w:vAlign w:val="center"/>
          </w:tcPr>
          <w:p>
            <w:pPr>
              <w:spacing w:before="60" w:after="60" w:line="200" w:lineRule="exact"/>
              <w:jc w:val="right"/>
              <w:rPr>
                <w:rFonts w:eastAsia="Times New Roman"/>
                <w:b/>
                <w:noProof/>
                <w:sz w:val="16"/>
                <w:szCs w:val="16"/>
              </w:rPr>
            </w:pPr>
          </w:p>
        </w:tc>
      </w:tr>
      <w:tr>
        <w:trPr>
          <w:trHeight w:val="585"/>
        </w:trPr>
        <w:tc>
          <w:tcPr>
            <w:tcW w:w="4406" w:type="dxa"/>
            <w:vAlign w:val="center"/>
          </w:tcPr>
          <w:p>
            <w:pPr>
              <w:spacing w:before="60" w:after="60" w:line="200" w:lineRule="exact"/>
              <w:ind w:left="72"/>
              <w:jc w:val="left"/>
              <w:rPr>
                <w:rFonts w:eastAsia="Times New Roman"/>
                <w:noProof/>
                <w:sz w:val="16"/>
                <w:szCs w:val="16"/>
              </w:rPr>
            </w:pPr>
            <w:r>
              <w:rPr>
                <w:noProof/>
                <w:sz w:val="16"/>
              </w:rPr>
              <w:t xml:space="preserve">Ανθρώπινοι πόροι </w:t>
            </w:r>
          </w:p>
        </w:tc>
        <w:tc>
          <w:tcPr>
            <w:tcW w:w="992" w:type="dxa"/>
            <w:vAlign w:val="center"/>
          </w:tcPr>
          <w:p>
            <w:pPr>
              <w:spacing w:before="20" w:after="20"/>
              <w:jc w:val="right"/>
              <w:rPr>
                <w:rFonts w:eastAsia="Times New Roman"/>
                <w:noProof/>
                <w:color w:val="FF0000"/>
                <w:sz w:val="20"/>
              </w:rPr>
            </w:pPr>
            <w:r>
              <w:rPr>
                <w:noProof/>
                <w:color w:val="000000"/>
                <w:sz w:val="20"/>
              </w:rPr>
              <w:t>303.600</w:t>
            </w:r>
          </w:p>
        </w:tc>
        <w:tc>
          <w:tcPr>
            <w:tcW w:w="992" w:type="dxa"/>
            <w:vAlign w:val="center"/>
          </w:tcPr>
          <w:p>
            <w:pPr>
              <w:spacing w:before="20" w:after="20"/>
              <w:jc w:val="right"/>
              <w:rPr>
                <w:rFonts w:eastAsia="Times New Roman"/>
                <w:noProof/>
                <w:color w:val="FF0000"/>
                <w:sz w:val="20"/>
              </w:rPr>
            </w:pPr>
            <w:r>
              <w:rPr>
                <w:noProof/>
                <w:color w:val="000000"/>
                <w:sz w:val="20"/>
              </w:rPr>
              <w:t>427.800</w:t>
            </w:r>
          </w:p>
        </w:tc>
        <w:tc>
          <w:tcPr>
            <w:tcW w:w="993" w:type="dxa"/>
            <w:vAlign w:val="center"/>
          </w:tcPr>
          <w:p>
            <w:pPr>
              <w:spacing w:before="20" w:after="20"/>
              <w:jc w:val="right"/>
              <w:rPr>
                <w:rFonts w:eastAsia="Times New Roman"/>
                <w:noProof/>
                <w:color w:val="FF0000"/>
                <w:sz w:val="20"/>
              </w:rPr>
            </w:pPr>
            <w:r>
              <w:rPr>
                <w:noProof/>
                <w:color w:val="000000"/>
                <w:sz w:val="20"/>
              </w:rPr>
              <w:t>427.800</w:t>
            </w:r>
          </w:p>
        </w:tc>
        <w:tc>
          <w:tcPr>
            <w:tcW w:w="992" w:type="dxa"/>
            <w:vAlign w:val="center"/>
          </w:tcPr>
          <w:p>
            <w:pPr>
              <w:spacing w:before="20" w:after="20"/>
              <w:jc w:val="right"/>
              <w:rPr>
                <w:rFonts w:eastAsia="Times New Roman"/>
                <w:noProof/>
                <w:color w:val="FF0000"/>
                <w:sz w:val="20"/>
              </w:rPr>
            </w:pPr>
            <w:r>
              <w:rPr>
                <w:noProof/>
                <w:color w:val="000000"/>
                <w:sz w:val="20"/>
              </w:rPr>
              <w:t>358.800</w:t>
            </w:r>
          </w:p>
        </w:tc>
        <w:tc>
          <w:tcPr>
            <w:tcW w:w="1417" w:type="dxa"/>
            <w:vAlign w:val="center"/>
          </w:tcPr>
          <w:p>
            <w:pPr>
              <w:spacing w:before="20" w:after="20"/>
              <w:jc w:val="right"/>
              <w:rPr>
                <w:rFonts w:eastAsia="Times New Roman"/>
                <w:b/>
                <w:noProof/>
                <w:color w:val="FF0000"/>
                <w:sz w:val="20"/>
              </w:rPr>
            </w:pPr>
            <w:r>
              <w:rPr>
                <w:b/>
                <w:noProof/>
                <w:color w:val="000000"/>
                <w:sz w:val="20"/>
              </w:rPr>
              <w:t>1.518.000</w:t>
            </w:r>
          </w:p>
        </w:tc>
      </w:tr>
      <w:tr>
        <w:trPr>
          <w:trHeight w:val="585"/>
        </w:trPr>
        <w:tc>
          <w:tcPr>
            <w:tcW w:w="4406" w:type="dxa"/>
            <w:vAlign w:val="center"/>
          </w:tcPr>
          <w:p>
            <w:pPr>
              <w:spacing w:before="60" w:after="60" w:line="200" w:lineRule="exact"/>
              <w:ind w:left="72"/>
              <w:jc w:val="left"/>
              <w:rPr>
                <w:rFonts w:eastAsia="Times New Roman"/>
                <w:noProof/>
                <w:sz w:val="16"/>
                <w:szCs w:val="16"/>
              </w:rPr>
            </w:pPr>
            <w:r>
              <w:rPr>
                <w:noProof/>
                <w:sz w:val="16"/>
              </w:rPr>
              <w:t xml:space="preserve">Άλλες διοικητικές δαπάνες </w:t>
            </w:r>
          </w:p>
        </w:tc>
        <w:tc>
          <w:tcPr>
            <w:tcW w:w="992" w:type="dxa"/>
            <w:vAlign w:val="center"/>
          </w:tcPr>
          <w:p>
            <w:pPr>
              <w:spacing w:before="60" w:after="60" w:line="200" w:lineRule="exact"/>
              <w:jc w:val="right"/>
              <w:rPr>
                <w:rFonts w:eastAsia="Times New Roman"/>
                <w:noProof/>
                <w:sz w:val="16"/>
                <w:szCs w:val="16"/>
              </w:rPr>
            </w:pPr>
          </w:p>
        </w:tc>
        <w:tc>
          <w:tcPr>
            <w:tcW w:w="992" w:type="dxa"/>
            <w:vAlign w:val="center"/>
          </w:tcPr>
          <w:p>
            <w:pPr>
              <w:spacing w:before="60" w:after="60" w:line="200" w:lineRule="exact"/>
              <w:jc w:val="right"/>
              <w:rPr>
                <w:rFonts w:eastAsia="Times New Roman"/>
                <w:noProof/>
                <w:sz w:val="16"/>
                <w:szCs w:val="16"/>
              </w:rPr>
            </w:pPr>
          </w:p>
        </w:tc>
        <w:tc>
          <w:tcPr>
            <w:tcW w:w="993" w:type="dxa"/>
            <w:vAlign w:val="center"/>
          </w:tcPr>
          <w:p>
            <w:pPr>
              <w:spacing w:before="60" w:after="60" w:line="200" w:lineRule="exact"/>
              <w:jc w:val="right"/>
              <w:rPr>
                <w:rFonts w:eastAsia="Times New Roman"/>
                <w:noProof/>
                <w:sz w:val="16"/>
                <w:szCs w:val="16"/>
              </w:rPr>
            </w:pPr>
          </w:p>
        </w:tc>
        <w:tc>
          <w:tcPr>
            <w:tcW w:w="992" w:type="dxa"/>
            <w:vAlign w:val="center"/>
          </w:tcPr>
          <w:p>
            <w:pPr>
              <w:spacing w:before="60" w:after="60" w:line="200" w:lineRule="exact"/>
              <w:jc w:val="right"/>
              <w:rPr>
                <w:rFonts w:eastAsia="Times New Roman"/>
                <w:noProof/>
                <w:sz w:val="16"/>
                <w:szCs w:val="16"/>
              </w:rPr>
            </w:pPr>
          </w:p>
        </w:tc>
        <w:tc>
          <w:tcPr>
            <w:tcW w:w="1417" w:type="dxa"/>
            <w:vAlign w:val="center"/>
          </w:tcPr>
          <w:p>
            <w:pPr>
              <w:spacing w:before="60" w:after="60" w:line="200" w:lineRule="exact"/>
              <w:jc w:val="right"/>
              <w:rPr>
                <w:rFonts w:eastAsia="Times New Roman"/>
                <w:b/>
                <w:noProof/>
                <w:sz w:val="16"/>
                <w:szCs w:val="16"/>
              </w:rPr>
            </w:pPr>
          </w:p>
        </w:tc>
      </w:tr>
      <w:tr>
        <w:trPr>
          <w:trHeight w:val="585"/>
        </w:trPr>
        <w:tc>
          <w:tcPr>
            <w:tcW w:w="4406" w:type="dxa"/>
            <w:shd w:val="clear" w:color="auto" w:fill="CCCCCC"/>
            <w:vAlign w:val="center"/>
          </w:tcPr>
          <w:p>
            <w:pPr>
              <w:spacing w:before="60" w:after="60" w:line="200" w:lineRule="exact"/>
              <w:jc w:val="center"/>
              <w:rPr>
                <w:rFonts w:eastAsia="Times New Roman"/>
                <w:b/>
                <w:noProof/>
                <w:sz w:val="16"/>
                <w:szCs w:val="16"/>
              </w:rPr>
            </w:pPr>
            <w:r>
              <w:rPr>
                <w:b/>
                <w:noProof/>
              </w:rPr>
              <w:t>Μερικό σύνολο του ΤΟΜΕΑ 5</w:t>
            </w:r>
            <w:r>
              <w:rPr>
                <w:noProof/>
              </w:rPr>
              <w:br/>
            </w:r>
            <w:r>
              <w:rPr>
                <w:b/>
                <w:noProof/>
                <w:sz w:val="16"/>
              </w:rPr>
              <w:t xml:space="preserve">του πολυετούς δημοσιονομικού πλαισίου </w:t>
            </w:r>
          </w:p>
        </w:tc>
        <w:tc>
          <w:tcPr>
            <w:tcW w:w="992" w:type="dxa"/>
            <w:vAlign w:val="center"/>
          </w:tcPr>
          <w:p>
            <w:pPr>
              <w:spacing w:before="20" w:after="20"/>
              <w:jc w:val="right"/>
              <w:rPr>
                <w:rFonts w:eastAsia="Times New Roman"/>
                <w:noProof/>
                <w:color w:val="FF0000"/>
                <w:sz w:val="20"/>
              </w:rPr>
            </w:pPr>
            <w:r>
              <w:rPr>
                <w:noProof/>
                <w:color w:val="000000"/>
                <w:sz w:val="20"/>
              </w:rPr>
              <w:t>303.600</w:t>
            </w:r>
          </w:p>
        </w:tc>
        <w:tc>
          <w:tcPr>
            <w:tcW w:w="992" w:type="dxa"/>
            <w:vAlign w:val="center"/>
          </w:tcPr>
          <w:p>
            <w:pPr>
              <w:spacing w:before="20" w:after="20"/>
              <w:jc w:val="right"/>
              <w:rPr>
                <w:rFonts w:eastAsia="Times New Roman"/>
                <w:noProof/>
                <w:color w:val="FF0000"/>
                <w:sz w:val="20"/>
              </w:rPr>
            </w:pPr>
            <w:r>
              <w:rPr>
                <w:noProof/>
                <w:color w:val="000000"/>
                <w:sz w:val="20"/>
              </w:rPr>
              <w:t>427.800</w:t>
            </w:r>
          </w:p>
        </w:tc>
        <w:tc>
          <w:tcPr>
            <w:tcW w:w="993" w:type="dxa"/>
            <w:vAlign w:val="center"/>
          </w:tcPr>
          <w:p>
            <w:pPr>
              <w:spacing w:before="20" w:after="20"/>
              <w:jc w:val="right"/>
              <w:rPr>
                <w:rFonts w:eastAsia="Times New Roman"/>
                <w:noProof/>
                <w:color w:val="FF0000"/>
                <w:sz w:val="20"/>
              </w:rPr>
            </w:pPr>
            <w:r>
              <w:rPr>
                <w:noProof/>
                <w:color w:val="000000"/>
                <w:sz w:val="20"/>
              </w:rPr>
              <w:t>427.800</w:t>
            </w:r>
          </w:p>
        </w:tc>
        <w:tc>
          <w:tcPr>
            <w:tcW w:w="992" w:type="dxa"/>
            <w:vAlign w:val="center"/>
          </w:tcPr>
          <w:p>
            <w:pPr>
              <w:spacing w:before="20" w:after="20"/>
              <w:jc w:val="right"/>
              <w:rPr>
                <w:rFonts w:eastAsia="Times New Roman"/>
                <w:noProof/>
                <w:color w:val="FF0000"/>
                <w:sz w:val="20"/>
              </w:rPr>
            </w:pPr>
            <w:r>
              <w:rPr>
                <w:noProof/>
                <w:color w:val="000000"/>
                <w:sz w:val="20"/>
              </w:rPr>
              <w:t>358.800</w:t>
            </w:r>
          </w:p>
        </w:tc>
        <w:tc>
          <w:tcPr>
            <w:tcW w:w="1417" w:type="dxa"/>
            <w:vAlign w:val="center"/>
          </w:tcPr>
          <w:p>
            <w:pPr>
              <w:spacing w:before="20" w:after="20"/>
              <w:jc w:val="right"/>
              <w:rPr>
                <w:rFonts w:eastAsia="Times New Roman"/>
                <w:b/>
                <w:noProof/>
                <w:color w:val="FF0000"/>
                <w:sz w:val="20"/>
              </w:rPr>
            </w:pPr>
            <w:r>
              <w:rPr>
                <w:b/>
                <w:noProof/>
                <w:color w:val="000000"/>
                <w:sz w:val="20"/>
              </w:rPr>
              <w:t>1.518.000</w:t>
            </w:r>
          </w:p>
        </w:tc>
      </w:tr>
    </w:tbl>
    <w:p>
      <w:pPr>
        <w:spacing w:line="200" w:lineRule="exact"/>
        <w:rPr>
          <w:rFonts w:eastAsia="Times New Roman"/>
          <w:noProof/>
          <w:sz w:val="16"/>
          <w:szCs w:val="16"/>
        </w:rPr>
      </w:pPr>
    </w:p>
    <w:tbl>
      <w:tblPr>
        <w:tblW w:w="9792"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406"/>
        <w:gridCol w:w="992"/>
        <w:gridCol w:w="992"/>
        <w:gridCol w:w="993"/>
        <w:gridCol w:w="992"/>
        <w:gridCol w:w="1417"/>
      </w:tblGrid>
      <w:tr>
        <w:trPr>
          <w:trHeight w:val="585"/>
        </w:trPr>
        <w:tc>
          <w:tcPr>
            <w:tcW w:w="4406" w:type="dxa"/>
            <w:shd w:val="clear" w:color="auto" w:fill="CCCCCC"/>
            <w:vAlign w:val="center"/>
          </w:tcPr>
          <w:p>
            <w:pPr>
              <w:spacing w:before="60" w:after="60" w:line="200" w:lineRule="exact"/>
              <w:jc w:val="center"/>
              <w:rPr>
                <w:rFonts w:eastAsia="Times New Roman"/>
                <w:noProof/>
                <w:sz w:val="16"/>
                <w:szCs w:val="16"/>
              </w:rPr>
            </w:pPr>
            <w:r>
              <w:rPr>
                <w:b/>
                <w:noProof/>
              </w:rPr>
              <w:t>εκτός του ΤΟΜΕΑ 5</w:t>
            </w:r>
            <w:r>
              <w:rPr>
                <w:rStyle w:val="FootnoteReference"/>
                <w:noProof/>
              </w:rPr>
              <w:footnoteReference w:id="41"/>
            </w:r>
            <w:r>
              <w:rPr>
                <w:noProof/>
              </w:rPr>
              <w:br/>
            </w:r>
            <w:r>
              <w:rPr>
                <w:b/>
                <w:noProof/>
                <w:sz w:val="16"/>
              </w:rPr>
              <w:t xml:space="preserve">του πολυετούς δημοσιονομικού πλαισίου </w:t>
            </w:r>
          </w:p>
          <w:p>
            <w:pPr>
              <w:spacing w:before="0" w:after="0" w:line="200" w:lineRule="exact"/>
              <w:jc w:val="center"/>
              <w:rPr>
                <w:rFonts w:eastAsia="Times New Roman"/>
                <w:b/>
                <w:noProof/>
                <w:sz w:val="16"/>
                <w:szCs w:val="16"/>
              </w:rPr>
            </w:pPr>
          </w:p>
        </w:tc>
        <w:tc>
          <w:tcPr>
            <w:tcW w:w="992" w:type="dxa"/>
            <w:vAlign w:val="center"/>
          </w:tcPr>
          <w:p>
            <w:pPr>
              <w:spacing w:before="60" w:after="60" w:line="200" w:lineRule="exact"/>
              <w:jc w:val="right"/>
              <w:rPr>
                <w:rFonts w:eastAsia="Times New Roman"/>
                <w:noProof/>
                <w:sz w:val="16"/>
                <w:szCs w:val="16"/>
              </w:rPr>
            </w:pPr>
          </w:p>
        </w:tc>
        <w:tc>
          <w:tcPr>
            <w:tcW w:w="992" w:type="dxa"/>
            <w:vAlign w:val="center"/>
          </w:tcPr>
          <w:p>
            <w:pPr>
              <w:spacing w:before="60" w:after="60" w:line="200" w:lineRule="exact"/>
              <w:jc w:val="right"/>
              <w:rPr>
                <w:rFonts w:eastAsia="Times New Roman"/>
                <w:noProof/>
                <w:sz w:val="16"/>
                <w:szCs w:val="16"/>
              </w:rPr>
            </w:pPr>
          </w:p>
        </w:tc>
        <w:tc>
          <w:tcPr>
            <w:tcW w:w="993" w:type="dxa"/>
            <w:vAlign w:val="center"/>
          </w:tcPr>
          <w:p>
            <w:pPr>
              <w:spacing w:before="60" w:after="60" w:line="200" w:lineRule="exact"/>
              <w:jc w:val="right"/>
              <w:rPr>
                <w:rFonts w:eastAsia="Times New Roman"/>
                <w:noProof/>
                <w:sz w:val="16"/>
                <w:szCs w:val="16"/>
              </w:rPr>
            </w:pPr>
          </w:p>
        </w:tc>
        <w:tc>
          <w:tcPr>
            <w:tcW w:w="992" w:type="dxa"/>
            <w:vAlign w:val="center"/>
          </w:tcPr>
          <w:p>
            <w:pPr>
              <w:spacing w:before="60" w:after="60" w:line="200" w:lineRule="exact"/>
              <w:jc w:val="right"/>
              <w:rPr>
                <w:rFonts w:eastAsia="Times New Roman"/>
                <w:noProof/>
                <w:sz w:val="16"/>
                <w:szCs w:val="16"/>
              </w:rPr>
            </w:pPr>
          </w:p>
        </w:tc>
        <w:tc>
          <w:tcPr>
            <w:tcW w:w="1417" w:type="dxa"/>
            <w:vAlign w:val="center"/>
          </w:tcPr>
          <w:p>
            <w:pPr>
              <w:spacing w:before="60" w:after="60" w:line="200" w:lineRule="exact"/>
              <w:jc w:val="right"/>
              <w:rPr>
                <w:rFonts w:eastAsia="Times New Roman"/>
                <w:b/>
                <w:noProof/>
                <w:sz w:val="16"/>
                <w:szCs w:val="16"/>
              </w:rPr>
            </w:pPr>
          </w:p>
        </w:tc>
      </w:tr>
      <w:tr>
        <w:trPr>
          <w:trHeight w:val="585"/>
        </w:trPr>
        <w:tc>
          <w:tcPr>
            <w:tcW w:w="4406" w:type="dxa"/>
            <w:vAlign w:val="center"/>
          </w:tcPr>
          <w:p>
            <w:pPr>
              <w:spacing w:before="60" w:after="60" w:line="200" w:lineRule="exact"/>
              <w:ind w:left="72"/>
              <w:jc w:val="left"/>
              <w:rPr>
                <w:rFonts w:eastAsia="Times New Roman"/>
                <w:noProof/>
                <w:sz w:val="16"/>
                <w:szCs w:val="16"/>
              </w:rPr>
            </w:pPr>
            <w:r>
              <w:rPr>
                <w:noProof/>
                <w:sz w:val="16"/>
              </w:rPr>
              <w:t xml:space="preserve">Ανθρώπινοι πόροι </w:t>
            </w:r>
          </w:p>
        </w:tc>
        <w:tc>
          <w:tcPr>
            <w:tcW w:w="992" w:type="dxa"/>
            <w:vAlign w:val="center"/>
          </w:tcPr>
          <w:p>
            <w:pPr>
              <w:spacing w:before="60" w:after="60" w:line="200" w:lineRule="exact"/>
              <w:jc w:val="right"/>
              <w:rPr>
                <w:rFonts w:eastAsia="Times New Roman"/>
                <w:noProof/>
                <w:sz w:val="16"/>
                <w:szCs w:val="16"/>
              </w:rPr>
            </w:pPr>
          </w:p>
        </w:tc>
        <w:tc>
          <w:tcPr>
            <w:tcW w:w="992" w:type="dxa"/>
            <w:vAlign w:val="center"/>
          </w:tcPr>
          <w:p>
            <w:pPr>
              <w:spacing w:before="60" w:after="60" w:line="200" w:lineRule="exact"/>
              <w:jc w:val="right"/>
              <w:rPr>
                <w:rFonts w:eastAsia="Times New Roman"/>
                <w:noProof/>
                <w:sz w:val="16"/>
                <w:szCs w:val="16"/>
              </w:rPr>
            </w:pPr>
          </w:p>
        </w:tc>
        <w:tc>
          <w:tcPr>
            <w:tcW w:w="993" w:type="dxa"/>
            <w:vAlign w:val="center"/>
          </w:tcPr>
          <w:p>
            <w:pPr>
              <w:spacing w:before="60" w:after="60" w:line="200" w:lineRule="exact"/>
              <w:jc w:val="right"/>
              <w:rPr>
                <w:rFonts w:eastAsia="Times New Roman"/>
                <w:noProof/>
                <w:sz w:val="16"/>
                <w:szCs w:val="16"/>
              </w:rPr>
            </w:pPr>
          </w:p>
        </w:tc>
        <w:tc>
          <w:tcPr>
            <w:tcW w:w="992" w:type="dxa"/>
            <w:vAlign w:val="center"/>
          </w:tcPr>
          <w:p>
            <w:pPr>
              <w:spacing w:before="60" w:after="60" w:line="200" w:lineRule="exact"/>
              <w:jc w:val="right"/>
              <w:rPr>
                <w:rFonts w:eastAsia="Times New Roman"/>
                <w:noProof/>
                <w:sz w:val="16"/>
                <w:szCs w:val="16"/>
              </w:rPr>
            </w:pPr>
          </w:p>
        </w:tc>
        <w:tc>
          <w:tcPr>
            <w:tcW w:w="1417" w:type="dxa"/>
            <w:vAlign w:val="center"/>
          </w:tcPr>
          <w:p>
            <w:pPr>
              <w:spacing w:before="60" w:after="60" w:line="200" w:lineRule="exact"/>
              <w:jc w:val="right"/>
              <w:rPr>
                <w:rFonts w:eastAsia="Times New Roman"/>
                <w:b/>
                <w:noProof/>
                <w:sz w:val="16"/>
                <w:szCs w:val="16"/>
              </w:rPr>
            </w:pPr>
          </w:p>
        </w:tc>
      </w:tr>
      <w:tr>
        <w:trPr>
          <w:trHeight w:val="585"/>
        </w:trPr>
        <w:tc>
          <w:tcPr>
            <w:tcW w:w="4406" w:type="dxa"/>
            <w:vAlign w:val="center"/>
          </w:tcPr>
          <w:p>
            <w:pPr>
              <w:spacing w:before="60" w:after="60" w:line="200" w:lineRule="exact"/>
              <w:ind w:left="72"/>
              <w:jc w:val="left"/>
              <w:rPr>
                <w:rFonts w:eastAsia="Times New Roman"/>
                <w:noProof/>
                <w:sz w:val="16"/>
                <w:szCs w:val="16"/>
              </w:rPr>
            </w:pPr>
            <w:r>
              <w:rPr>
                <w:noProof/>
              </w:rPr>
              <w:t>Άλλες δαπάνες</w:t>
            </w:r>
            <w:r>
              <w:rPr>
                <w:noProof/>
              </w:rPr>
              <w:br/>
            </w:r>
            <w:r>
              <w:rPr>
                <w:noProof/>
                <w:sz w:val="16"/>
              </w:rPr>
              <w:t>διοικητικού χαρακτήρα</w:t>
            </w:r>
          </w:p>
        </w:tc>
        <w:tc>
          <w:tcPr>
            <w:tcW w:w="992" w:type="dxa"/>
            <w:vAlign w:val="center"/>
          </w:tcPr>
          <w:p>
            <w:pPr>
              <w:spacing w:before="60" w:after="60" w:line="200" w:lineRule="exact"/>
              <w:jc w:val="right"/>
              <w:rPr>
                <w:rFonts w:eastAsia="Times New Roman"/>
                <w:noProof/>
                <w:sz w:val="16"/>
                <w:szCs w:val="16"/>
              </w:rPr>
            </w:pPr>
          </w:p>
        </w:tc>
        <w:tc>
          <w:tcPr>
            <w:tcW w:w="992" w:type="dxa"/>
            <w:vAlign w:val="center"/>
          </w:tcPr>
          <w:p>
            <w:pPr>
              <w:spacing w:before="60" w:after="60" w:line="200" w:lineRule="exact"/>
              <w:jc w:val="right"/>
              <w:rPr>
                <w:rFonts w:eastAsia="Times New Roman"/>
                <w:noProof/>
                <w:sz w:val="16"/>
                <w:szCs w:val="16"/>
              </w:rPr>
            </w:pPr>
          </w:p>
        </w:tc>
        <w:tc>
          <w:tcPr>
            <w:tcW w:w="993" w:type="dxa"/>
            <w:vAlign w:val="center"/>
          </w:tcPr>
          <w:p>
            <w:pPr>
              <w:spacing w:before="60" w:after="60" w:line="200" w:lineRule="exact"/>
              <w:jc w:val="right"/>
              <w:rPr>
                <w:rFonts w:eastAsia="Times New Roman"/>
                <w:noProof/>
                <w:sz w:val="16"/>
                <w:szCs w:val="16"/>
              </w:rPr>
            </w:pPr>
          </w:p>
        </w:tc>
        <w:tc>
          <w:tcPr>
            <w:tcW w:w="992" w:type="dxa"/>
            <w:vAlign w:val="center"/>
          </w:tcPr>
          <w:p>
            <w:pPr>
              <w:spacing w:before="60" w:after="60" w:line="200" w:lineRule="exact"/>
              <w:jc w:val="right"/>
              <w:rPr>
                <w:rFonts w:eastAsia="Times New Roman"/>
                <w:noProof/>
                <w:sz w:val="16"/>
                <w:szCs w:val="16"/>
              </w:rPr>
            </w:pPr>
          </w:p>
        </w:tc>
        <w:tc>
          <w:tcPr>
            <w:tcW w:w="1417" w:type="dxa"/>
            <w:vAlign w:val="center"/>
          </w:tcPr>
          <w:p>
            <w:pPr>
              <w:spacing w:before="60" w:after="60" w:line="200" w:lineRule="exact"/>
              <w:jc w:val="right"/>
              <w:rPr>
                <w:rFonts w:eastAsia="Times New Roman"/>
                <w:b/>
                <w:noProof/>
                <w:sz w:val="16"/>
                <w:szCs w:val="16"/>
              </w:rPr>
            </w:pPr>
          </w:p>
        </w:tc>
      </w:tr>
      <w:tr>
        <w:trPr>
          <w:trHeight w:val="585"/>
        </w:trPr>
        <w:tc>
          <w:tcPr>
            <w:tcW w:w="4406" w:type="dxa"/>
            <w:shd w:val="clear" w:color="auto" w:fill="CCCCCC"/>
            <w:vAlign w:val="center"/>
          </w:tcPr>
          <w:p>
            <w:pPr>
              <w:spacing w:before="60" w:after="60" w:line="200" w:lineRule="exact"/>
              <w:jc w:val="center"/>
              <w:rPr>
                <w:rFonts w:eastAsia="Times New Roman"/>
                <w:b/>
                <w:noProof/>
                <w:sz w:val="16"/>
                <w:szCs w:val="16"/>
              </w:rPr>
            </w:pPr>
            <w:r>
              <w:rPr>
                <w:b/>
                <w:noProof/>
              </w:rPr>
              <w:t>Μερικό σύνολο</w:t>
            </w:r>
            <w:r>
              <w:rPr>
                <w:noProof/>
              </w:rPr>
              <w:br/>
            </w:r>
            <w:r>
              <w:rPr>
                <w:b/>
                <w:noProof/>
              </w:rPr>
              <w:t>εκτός του ΤΟΜΕΑ 5</w:t>
            </w:r>
            <w:r>
              <w:rPr>
                <w:noProof/>
              </w:rPr>
              <w:br/>
            </w:r>
            <w:r>
              <w:rPr>
                <w:b/>
                <w:noProof/>
                <w:sz w:val="16"/>
              </w:rPr>
              <w:t xml:space="preserve">του πολυετούς δημοσιονομικού πλαισίου </w:t>
            </w:r>
          </w:p>
        </w:tc>
        <w:tc>
          <w:tcPr>
            <w:tcW w:w="992" w:type="dxa"/>
            <w:vAlign w:val="center"/>
          </w:tcPr>
          <w:p>
            <w:pPr>
              <w:spacing w:before="60" w:after="60" w:line="200" w:lineRule="exact"/>
              <w:jc w:val="right"/>
              <w:rPr>
                <w:rFonts w:eastAsia="Times New Roman"/>
                <w:noProof/>
                <w:sz w:val="16"/>
                <w:szCs w:val="16"/>
              </w:rPr>
            </w:pPr>
          </w:p>
        </w:tc>
        <w:tc>
          <w:tcPr>
            <w:tcW w:w="992" w:type="dxa"/>
            <w:vAlign w:val="center"/>
          </w:tcPr>
          <w:p>
            <w:pPr>
              <w:spacing w:before="60" w:after="60" w:line="200" w:lineRule="exact"/>
              <w:jc w:val="right"/>
              <w:rPr>
                <w:rFonts w:eastAsia="Times New Roman"/>
                <w:noProof/>
                <w:sz w:val="16"/>
                <w:szCs w:val="16"/>
              </w:rPr>
            </w:pPr>
          </w:p>
        </w:tc>
        <w:tc>
          <w:tcPr>
            <w:tcW w:w="993" w:type="dxa"/>
            <w:vAlign w:val="center"/>
          </w:tcPr>
          <w:p>
            <w:pPr>
              <w:spacing w:before="60" w:after="60" w:line="200" w:lineRule="exact"/>
              <w:jc w:val="right"/>
              <w:rPr>
                <w:rFonts w:eastAsia="Times New Roman"/>
                <w:noProof/>
                <w:sz w:val="16"/>
                <w:szCs w:val="16"/>
              </w:rPr>
            </w:pPr>
          </w:p>
        </w:tc>
        <w:tc>
          <w:tcPr>
            <w:tcW w:w="992" w:type="dxa"/>
            <w:vAlign w:val="center"/>
          </w:tcPr>
          <w:p>
            <w:pPr>
              <w:spacing w:before="60" w:after="60" w:line="200" w:lineRule="exact"/>
              <w:jc w:val="right"/>
              <w:rPr>
                <w:rFonts w:eastAsia="Times New Roman"/>
                <w:noProof/>
                <w:sz w:val="16"/>
                <w:szCs w:val="16"/>
              </w:rPr>
            </w:pPr>
          </w:p>
        </w:tc>
        <w:tc>
          <w:tcPr>
            <w:tcW w:w="1417" w:type="dxa"/>
            <w:vAlign w:val="center"/>
          </w:tcPr>
          <w:p>
            <w:pPr>
              <w:spacing w:before="60" w:after="60" w:line="200" w:lineRule="exact"/>
              <w:jc w:val="right"/>
              <w:rPr>
                <w:rFonts w:eastAsia="Times New Roman"/>
                <w:b/>
                <w:noProof/>
                <w:sz w:val="16"/>
                <w:szCs w:val="16"/>
              </w:rPr>
            </w:pPr>
          </w:p>
        </w:tc>
      </w:tr>
    </w:tbl>
    <w:p>
      <w:pPr>
        <w:spacing w:line="200" w:lineRule="exact"/>
        <w:rPr>
          <w:rFonts w:eastAsia="Times New Roman"/>
          <w:noProof/>
          <w:sz w:val="16"/>
          <w:szCs w:val="16"/>
        </w:rPr>
      </w:pPr>
    </w:p>
    <w:tbl>
      <w:tblPr>
        <w:tblW w:w="9792" w:type="dxa"/>
        <w:tblInd w:w="-612" w:type="dxa"/>
        <w:tblLayout w:type="fixed"/>
        <w:tblLook w:val="01E0" w:firstRow="1" w:lastRow="1" w:firstColumn="1" w:lastColumn="1" w:noHBand="0" w:noVBand="0"/>
      </w:tblPr>
      <w:tblGrid>
        <w:gridCol w:w="4406"/>
        <w:gridCol w:w="992"/>
        <w:gridCol w:w="992"/>
        <w:gridCol w:w="993"/>
        <w:gridCol w:w="992"/>
        <w:gridCol w:w="1417"/>
      </w:tblGrid>
      <w:tr>
        <w:trPr>
          <w:trHeight w:val="585"/>
        </w:trPr>
        <w:tc>
          <w:tcPr>
            <w:tcW w:w="4406"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rFonts w:eastAsia="Times New Roman"/>
                <w:noProof/>
                <w:sz w:val="16"/>
                <w:szCs w:val="16"/>
              </w:rPr>
            </w:pPr>
            <w:r>
              <w:rPr>
                <w:b/>
                <w:noProof/>
                <w:sz w:val="16"/>
              </w:rPr>
              <w:t>ΣΥΝΟΛΟ</w:t>
            </w:r>
          </w:p>
        </w:tc>
        <w:tc>
          <w:tcPr>
            <w:tcW w:w="992"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rFonts w:eastAsia="Times New Roman"/>
                <w:noProof/>
                <w:color w:val="FF0000"/>
                <w:sz w:val="20"/>
              </w:rPr>
            </w:pPr>
            <w:r>
              <w:rPr>
                <w:noProof/>
                <w:color w:val="000000"/>
                <w:sz w:val="20"/>
              </w:rPr>
              <w:t>303.600</w:t>
            </w:r>
          </w:p>
        </w:tc>
        <w:tc>
          <w:tcPr>
            <w:tcW w:w="992"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rFonts w:eastAsia="Times New Roman"/>
                <w:noProof/>
                <w:color w:val="FF0000"/>
                <w:sz w:val="20"/>
              </w:rPr>
            </w:pPr>
            <w:r>
              <w:rPr>
                <w:noProof/>
                <w:color w:val="000000"/>
                <w:sz w:val="20"/>
              </w:rPr>
              <w:t>427.800</w:t>
            </w:r>
          </w:p>
        </w:tc>
        <w:tc>
          <w:tcPr>
            <w:tcW w:w="993"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rFonts w:eastAsia="Times New Roman"/>
                <w:noProof/>
                <w:color w:val="FF0000"/>
                <w:sz w:val="20"/>
              </w:rPr>
            </w:pPr>
            <w:r>
              <w:rPr>
                <w:noProof/>
                <w:color w:val="000000"/>
                <w:sz w:val="20"/>
              </w:rPr>
              <w:t>427.800</w:t>
            </w:r>
          </w:p>
        </w:tc>
        <w:tc>
          <w:tcPr>
            <w:tcW w:w="992"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rFonts w:eastAsia="Times New Roman"/>
                <w:noProof/>
                <w:color w:val="FF0000"/>
                <w:sz w:val="20"/>
              </w:rPr>
            </w:pPr>
            <w:r>
              <w:rPr>
                <w:noProof/>
                <w:color w:val="000000"/>
                <w:sz w:val="20"/>
              </w:rPr>
              <w:t>358.800</w:t>
            </w:r>
          </w:p>
        </w:tc>
        <w:tc>
          <w:tcPr>
            <w:tcW w:w="1417" w:type="dxa"/>
            <w:tcBorders>
              <w:top w:val="single" w:sz="12" w:space="0" w:color="auto"/>
              <w:left w:val="single" w:sz="2" w:space="0" w:color="auto"/>
              <w:bottom w:val="single" w:sz="12" w:space="0" w:color="auto"/>
              <w:right w:val="single" w:sz="12" w:space="0" w:color="auto"/>
            </w:tcBorders>
            <w:vAlign w:val="center"/>
          </w:tcPr>
          <w:p>
            <w:pPr>
              <w:spacing w:before="20" w:after="20"/>
              <w:jc w:val="right"/>
              <w:rPr>
                <w:rFonts w:eastAsia="Times New Roman"/>
                <w:b/>
                <w:noProof/>
                <w:color w:val="FF0000"/>
                <w:sz w:val="20"/>
              </w:rPr>
            </w:pPr>
            <w:r>
              <w:rPr>
                <w:b/>
                <w:noProof/>
                <w:color w:val="000000"/>
                <w:sz w:val="20"/>
              </w:rPr>
              <w:t>1.518.000</w:t>
            </w:r>
          </w:p>
        </w:tc>
      </w:tr>
    </w:tbl>
    <w:p>
      <w:pPr>
        <w:rPr>
          <w:rFonts w:eastAsia="Times New Roman"/>
          <w:noProof/>
          <w:sz w:val="18"/>
        </w:rPr>
      </w:pPr>
      <w:r>
        <w:rPr>
          <w:noProof/>
          <w:sz w:val="18"/>
        </w:rPr>
        <w:t>Οι ανάγκες σε ανθρώπινους πόρους θα καλυφθούν από το προσωπικό της ΓΔ που έχει ήδη διατεθεί για τη διαχείριση της δράσης και/ή έχει ανακατανεμηθεί στο εσωτερικό της ΓΔ. Τυχόν αντίκτυπος της εφαρμογής των προτεινόμενων αποφάσεων στον αριθμό του προσωπικού ή στο ύψος των πιστώσεων θα καλυφθεί μέσω αναδιάταξης των υφιστάμενων πόρων.</w:t>
      </w:r>
    </w:p>
    <w:p>
      <w:pPr>
        <w:pStyle w:val="ManualHeading4"/>
        <w:rPr>
          <w:bCs/>
          <w:noProof/>
          <w:szCs w:val="24"/>
        </w:rPr>
      </w:pPr>
      <w:r>
        <w:t>3.2.2.2.</w:t>
      </w:r>
      <w:r>
        <w:tab/>
      </w:r>
      <w:r>
        <w:rPr>
          <w:noProof/>
        </w:rPr>
        <w:t>Εκτιμώμενες ανάγκες σε ανθρώπινους πόρους</w:t>
      </w:r>
    </w:p>
    <w:p>
      <w:pPr>
        <w:pStyle w:val="ListDash1"/>
        <w:rPr>
          <w:noProof/>
        </w:rPr>
      </w:pPr>
      <w:r>
        <w:rPr>
          <w:noProof/>
        </w:rPr>
        <w:sym w:font="Wingdings" w:char="F0A8"/>
      </w:r>
      <w:r>
        <w:rPr>
          <w:noProof/>
        </w:rPr>
        <w:tab/>
        <w:t xml:space="preserve">Η πρόταση/πρωτοβουλία δεν συνεπάγεται τη χρησιμοποίηση ανθρώπινων πόρων. </w:t>
      </w:r>
    </w:p>
    <w:p>
      <w:pPr>
        <w:pStyle w:val="ListDash1"/>
        <w:rPr>
          <w:noProof/>
        </w:rPr>
      </w:pPr>
      <w:r>
        <w:rPr>
          <w:noProof/>
        </w:rPr>
        <w:sym w:font="Wingdings" w:char="F078"/>
      </w:r>
      <w:r>
        <w:rPr>
          <w:noProof/>
        </w:rPr>
        <w:tab/>
        <w:t>Η πρόταση/πρωτοβουλία συνεπάγεται τη χρησιμοποίηση ανθρώπινων πόρων, όπως εξηγείται κατωτέρω:</w:t>
      </w:r>
    </w:p>
    <w:p>
      <w:pPr>
        <w:pStyle w:val="ListDash1"/>
        <w:rPr>
          <w:noProof/>
        </w:rPr>
      </w:pPr>
      <w:r>
        <w:rPr>
          <w:noProof/>
        </w:rPr>
        <w:lastRenderedPageBreak/>
        <w:t>Εκτίμηση η οποία πρέπει να εκφράζεται σε μονάδες ισοδυνάμων πλήρους απασχόλησης</w:t>
      </w:r>
    </w:p>
    <w:tbl>
      <w:tblPr>
        <w:tblW w:w="3621" w:type="pct"/>
        <w:jc w:val="center"/>
        <w:tblInd w:w="-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46"/>
        <w:gridCol w:w="1953"/>
        <w:gridCol w:w="654"/>
        <w:gridCol w:w="654"/>
        <w:gridCol w:w="634"/>
        <w:gridCol w:w="685"/>
      </w:tblGrid>
      <w:tr>
        <w:trPr>
          <w:trHeight w:val="289"/>
          <w:jc w:val="center"/>
        </w:trPr>
        <w:tc>
          <w:tcPr>
            <w:tcW w:w="3048" w:type="pct"/>
            <w:gridSpan w:val="2"/>
            <w:shd w:val="clear" w:color="auto" w:fill="auto"/>
          </w:tcPr>
          <w:p>
            <w:pPr>
              <w:pStyle w:val="Text1"/>
              <w:spacing w:before="40" w:after="40"/>
              <w:ind w:left="0"/>
              <w:jc w:val="center"/>
              <w:rPr>
                <w:i/>
                <w:noProof/>
                <w:sz w:val="16"/>
                <w:szCs w:val="16"/>
              </w:rPr>
            </w:pPr>
          </w:p>
        </w:tc>
        <w:tc>
          <w:tcPr>
            <w:tcW w:w="486" w:type="pct"/>
            <w:shd w:val="clear" w:color="auto" w:fill="auto"/>
            <w:vAlign w:val="center"/>
          </w:tcPr>
          <w:p>
            <w:pPr>
              <w:spacing w:before="60" w:after="60" w:line="200" w:lineRule="exact"/>
              <w:jc w:val="center"/>
              <w:rPr>
                <w:noProof/>
                <w:sz w:val="16"/>
                <w:szCs w:val="16"/>
              </w:rPr>
            </w:pPr>
            <w:r>
              <w:rPr>
                <w:noProof/>
                <w:sz w:val="16"/>
              </w:rPr>
              <w:t>2018</w:t>
            </w:r>
          </w:p>
        </w:tc>
        <w:tc>
          <w:tcPr>
            <w:tcW w:w="486" w:type="pct"/>
            <w:shd w:val="clear" w:color="auto" w:fill="auto"/>
            <w:vAlign w:val="center"/>
          </w:tcPr>
          <w:p>
            <w:pPr>
              <w:spacing w:before="60" w:after="60" w:line="200" w:lineRule="exact"/>
              <w:jc w:val="center"/>
              <w:rPr>
                <w:noProof/>
                <w:sz w:val="16"/>
                <w:szCs w:val="16"/>
              </w:rPr>
            </w:pPr>
            <w:r>
              <w:rPr>
                <w:noProof/>
                <w:sz w:val="16"/>
              </w:rPr>
              <w:t>2019</w:t>
            </w:r>
          </w:p>
        </w:tc>
        <w:tc>
          <w:tcPr>
            <w:tcW w:w="471" w:type="pct"/>
            <w:shd w:val="clear" w:color="auto" w:fill="auto"/>
            <w:vAlign w:val="center"/>
          </w:tcPr>
          <w:p>
            <w:pPr>
              <w:spacing w:before="60" w:after="60" w:line="200" w:lineRule="exact"/>
              <w:jc w:val="center"/>
              <w:rPr>
                <w:noProof/>
                <w:sz w:val="16"/>
                <w:szCs w:val="16"/>
              </w:rPr>
            </w:pPr>
            <w:r>
              <w:rPr>
                <w:noProof/>
                <w:sz w:val="16"/>
              </w:rPr>
              <w:t>2020</w:t>
            </w:r>
          </w:p>
        </w:tc>
        <w:tc>
          <w:tcPr>
            <w:tcW w:w="509" w:type="pct"/>
            <w:tcBorders>
              <w:right w:val="single" w:sz="6" w:space="0" w:color="auto"/>
            </w:tcBorders>
            <w:shd w:val="clear" w:color="auto" w:fill="auto"/>
            <w:vAlign w:val="center"/>
          </w:tcPr>
          <w:p>
            <w:pPr>
              <w:spacing w:before="60" w:after="60" w:line="200" w:lineRule="exact"/>
              <w:jc w:val="center"/>
              <w:rPr>
                <w:noProof/>
                <w:sz w:val="16"/>
                <w:szCs w:val="16"/>
              </w:rPr>
            </w:pPr>
            <w:r>
              <w:rPr>
                <w:noProof/>
                <w:sz w:val="16"/>
              </w:rPr>
              <w:t>2021</w:t>
            </w:r>
          </w:p>
        </w:tc>
      </w:tr>
      <w:tr>
        <w:trPr>
          <w:trHeight w:val="289"/>
          <w:jc w:val="center"/>
        </w:trPr>
        <w:tc>
          <w:tcPr>
            <w:tcW w:w="5000" w:type="pct"/>
            <w:gridSpan w:val="6"/>
            <w:tcBorders>
              <w:right w:val="single" w:sz="6" w:space="0" w:color="auto"/>
            </w:tcBorders>
            <w:shd w:val="clear" w:color="auto" w:fill="auto"/>
          </w:tcPr>
          <w:p>
            <w:pPr>
              <w:spacing w:before="60" w:after="60"/>
              <w:jc w:val="left"/>
              <w:rPr>
                <w:noProof/>
                <w:sz w:val="16"/>
                <w:szCs w:val="16"/>
              </w:rPr>
            </w:pPr>
            <w:r>
              <w:rPr>
                <w:b/>
                <w:noProof/>
                <w:sz w:val="16"/>
              </w:rPr>
              <w:sym w:font="Wingdings" w:char="F09F"/>
            </w:r>
            <w:r>
              <w:rPr>
                <w:b/>
                <w:noProof/>
                <w:sz w:val="16"/>
              </w:rPr>
              <w:t>Θέσεις απασχόλησης του πίνακα προσωπικού (θέσεις μόνιμων και έκτακτων υπαλλήλων)</w:t>
            </w:r>
          </w:p>
        </w:tc>
      </w:tr>
      <w:tr>
        <w:trPr>
          <w:trHeight w:val="289"/>
          <w:jc w:val="center"/>
        </w:trPr>
        <w:tc>
          <w:tcPr>
            <w:tcW w:w="3048"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ΧΧ 01 01 01 (έδρα και γραφεία αντιπροσωπείας της Επιτροπής)</w:t>
            </w:r>
          </w:p>
        </w:tc>
        <w:tc>
          <w:tcPr>
            <w:tcW w:w="486" w:type="pct"/>
            <w:shd w:val="clear" w:color="auto" w:fill="auto"/>
            <w:vAlign w:val="center"/>
          </w:tcPr>
          <w:p>
            <w:pPr>
              <w:spacing w:beforeLines="20" w:before="48" w:afterLines="20" w:after="48"/>
              <w:jc w:val="center"/>
              <w:rPr>
                <w:noProof/>
                <w:sz w:val="16"/>
                <w:szCs w:val="16"/>
              </w:rPr>
            </w:pPr>
            <w:r>
              <w:rPr>
                <w:noProof/>
                <w:sz w:val="16"/>
              </w:rPr>
              <w:t>2,2</w:t>
            </w:r>
          </w:p>
        </w:tc>
        <w:tc>
          <w:tcPr>
            <w:tcW w:w="486" w:type="pct"/>
            <w:shd w:val="clear" w:color="auto" w:fill="auto"/>
            <w:vAlign w:val="center"/>
          </w:tcPr>
          <w:p>
            <w:pPr>
              <w:spacing w:beforeLines="20" w:before="48" w:afterLines="20" w:after="48"/>
              <w:jc w:val="center"/>
              <w:rPr>
                <w:noProof/>
                <w:sz w:val="16"/>
                <w:szCs w:val="16"/>
              </w:rPr>
            </w:pPr>
            <w:r>
              <w:rPr>
                <w:noProof/>
                <w:sz w:val="16"/>
              </w:rPr>
              <w:t>3,1</w:t>
            </w:r>
          </w:p>
        </w:tc>
        <w:tc>
          <w:tcPr>
            <w:tcW w:w="471" w:type="pct"/>
            <w:shd w:val="clear" w:color="auto" w:fill="auto"/>
            <w:vAlign w:val="center"/>
          </w:tcPr>
          <w:p>
            <w:pPr>
              <w:spacing w:beforeLines="20" w:before="48" w:afterLines="20" w:after="48"/>
              <w:jc w:val="center"/>
              <w:rPr>
                <w:noProof/>
                <w:sz w:val="16"/>
                <w:szCs w:val="16"/>
              </w:rPr>
            </w:pPr>
            <w:r>
              <w:rPr>
                <w:noProof/>
                <w:sz w:val="16"/>
              </w:rPr>
              <w:t>3,1</w:t>
            </w:r>
          </w:p>
        </w:tc>
        <w:tc>
          <w:tcPr>
            <w:tcW w:w="509" w:type="pct"/>
            <w:tcBorders>
              <w:right w:val="single" w:sz="6" w:space="0" w:color="auto"/>
            </w:tcBorders>
            <w:shd w:val="clear" w:color="auto" w:fill="auto"/>
            <w:vAlign w:val="center"/>
          </w:tcPr>
          <w:p>
            <w:pPr>
              <w:spacing w:beforeLines="20" w:before="48" w:afterLines="20" w:after="48"/>
              <w:jc w:val="center"/>
              <w:rPr>
                <w:noProof/>
                <w:sz w:val="16"/>
                <w:szCs w:val="16"/>
              </w:rPr>
            </w:pPr>
            <w:r>
              <w:rPr>
                <w:noProof/>
                <w:sz w:val="16"/>
              </w:rPr>
              <w:t>2,6</w:t>
            </w:r>
          </w:p>
        </w:tc>
      </w:tr>
      <w:tr>
        <w:trPr>
          <w:trHeight w:val="289"/>
          <w:jc w:val="center"/>
        </w:trPr>
        <w:tc>
          <w:tcPr>
            <w:tcW w:w="3048"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(σε αντιπροσωπεία)</w:t>
            </w:r>
          </w:p>
        </w:tc>
        <w:tc>
          <w:tcPr>
            <w:tcW w:w="486" w:type="pct"/>
            <w:shd w:val="clear" w:color="auto" w:fill="auto"/>
            <w:vAlign w:val="center"/>
          </w:tcPr>
          <w:p>
            <w:pPr>
              <w:spacing w:beforeLines="20" w:before="48" w:afterLines="20" w:after="48"/>
              <w:jc w:val="center"/>
              <w:rPr>
                <w:noProof/>
                <w:sz w:val="16"/>
                <w:szCs w:val="16"/>
              </w:rPr>
            </w:pPr>
          </w:p>
        </w:tc>
        <w:tc>
          <w:tcPr>
            <w:tcW w:w="486" w:type="pct"/>
            <w:shd w:val="clear" w:color="auto" w:fill="auto"/>
            <w:vAlign w:val="center"/>
          </w:tcPr>
          <w:p>
            <w:pPr>
              <w:spacing w:beforeLines="20" w:before="48" w:afterLines="20" w:after="48"/>
              <w:jc w:val="center"/>
              <w:rPr>
                <w:noProof/>
                <w:sz w:val="16"/>
                <w:szCs w:val="16"/>
              </w:rPr>
            </w:pPr>
          </w:p>
        </w:tc>
        <w:tc>
          <w:tcPr>
            <w:tcW w:w="471" w:type="pct"/>
            <w:shd w:val="clear" w:color="auto" w:fill="auto"/>
            <w:vAlign w:val="center"/>
          </w:tcPr>
          <w:p>
            <w:pPr>
              <w:spacing w:beforeLines="20" w:before="48" w:afterLines="20" w:after="48"/>
              <w:jc w:val="center"/>
              <w:rPr>
                <w:noProof/>
                <w:sz w:val="16"/>
                <w:szCs w:val="16"/>
              </w:rPr>
            </w:pPr>
          </w:p>
        </w:tc>
        <w:tc>
          <w:tcPr>
            <w:tcW w:w="509" w:type="pct"/>
            <w:tcBorders>
              <w:right w:val="single" w:sz="6"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3048"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(έμμεση έρευνα)</w:t>
            </w:r>
          </w:p>
        </w:tc>
        <w:tc>
          <w:tcPr>
            <w:tcW w:w="486" w:type="pct"/>
            <w:shd w:val="clear" w:color="auto" w:fill="auto"/>
            <w:vAlign w:val="center"/>
          </w:tcPr>
          <w:p>
            <w:pPr>
              <w:spacing w:beforeLines="20" w:before="48" w:afterLines="20" w:after="48"/>
              <w:jc w:val="center"/>
              <w:rPr>
                <w:noProof/>
                <w:sz w:val="16"/>
                <w:szCs w:val="16"/>
              </w:rPr>
            </w:pPr>
          </w:p>
        </w:tc>
        <w:tc>
          <w:tcPr>
            <w:tcW w:w="486" w:type="pct"/>
            <w:shd w:val="clear" w:color="auto" w:fill="auto"/>
            <w:vAlign w:val="center"/>
          </w:tcPr>
          <w:p>
            <w:pPr>
              <w:spacing w:beforeLines="20" w:before="48" w:afterLines="20" w:after="48"/>
              <w:jc w:val="center"/>
              <w:rPr>
                <w:noProof/>
                <w:sz w:val="16"/>
                <w:szCs w:val="16"/>
              </w:rPr>
            </w:pPr>
          </w:p>
        </w:tc>
        <w:tc>
          <w:tcPr>
            <w:tcW w:w="471" w:type="pct"/>
            <w:shd w:val="clear" w:color="auto" w:fill="auto"/>
            <w:vAlign w:val="center"/>
          </w:tcPr>
          <w:p>
            <w:pPr>
              <w:spacing w:beforeLines="20" w:before="48" w:afterLines="20" w:after="48"/>
              <w:jc w:val="center"/>
              <w:rPr>
                <w:noProof/>
                <w:sz w:val="16"/>
                <w:szCs w:val="16"/>
              </w:rPr>
            </w:pPr>
          </w:p>
        </w:tc>
        <w:tc>
          <w:tcPr>
            <w:tcW w:w="509" w:type="pct"/>
            <w:tcBorders>
              <w:right w:val="single" w:sz="6"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3048"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(άμεση έρευνα)</w:t>
            </w:r>
          </w:p>
        </w:tc>
        <w:tc>
          <w:tcPr>
            <w:tcW w:w="486" w:type="pct"/>
            <w:shd w:val="clear" w:color="auto" w:fill="auto"/>
            <w:vAlign w:val="center"/>
          </w:tcPr>
          <w:p>
            <w:pPr>
              <w:spacing w:beforeLines="20" w:before="48" w:afterLines="20" w:after="48"/>
              <w:jc w:val="center"/>
              <w:rPr>
                <w:noProof/>
                <w:sz w:val="16"/>
                <w:szCs w:val="16"/>
              </w:rPr>
            </w:pPr>
          </w:p>
        </w:tc>
        <w:tc>
          <w:tcPr>
            <w:tcW w:w="486" w:type="pct"/>
            <w:shd w:val="clear" w:color="auto" w:fill="auto"/>
            <w:vAlign w:val="center"/>
          </w:tcPr>
          <w:p>
            <w:pPr>
              <w:spacing w:beforeLines="20" w:before="48" w:afterLines="20" w:after="48"/>
              <w:jc w:val="center"/>
              <w:rPr>
                <w:noProof/>
                <w:sz w:val="16"/>
                <w:szCs w:val="16"/>
              </w:rPr>
            </w:pPr>
          </w:p>
        </w:tc>
        <w:tc>
          <w:tcPr>
            <w:tcW w:w="471" w:type="pct"/>
            <w:shd w:val="clear" w:color="auto" w:fill="auto"/>
            <w:vAlign w:val="center"/>
          </w:tcPr>
          <w:p>
            <w:pPr>
              <w:spacing w:beforeLines="20" w:before="48" w:afterLines="20" w:after="48"/>
              <w:jc w:val="center"/>
              <w:rPr>
                <w:noProof/>
                <w:sz w:val="16"/>
                <w:szCs w:val="16"/>
              </w:rPr>
            </w:pPr>
          </w:p>
        </w:tc>
        <w:tc>
          <w:tcPr>
            <w:tcW w:w="509" w:type="pct"/>
            <w:tcBorders>
              <w:right w:val="single" w:sz="6" w:space="0" w:color="auto"/>
            </w:tcBorders>
            <w:shd w:val="clear" w:color="auto" w:fill="auto"/>
            <w:vAlign w:val="center"/>
          </w:tcPr>
          <w:p>
            <w:pPr>
              <w:spacing w:beforeLines="20" w:before="48" w:afterLines="20" w:after="48"/>
              <w:jc w:val="center"/>
              <w:rPr>
                <w:noProof/>
                <w:sz w:val="16"/>
                <w:szCs w:val="16"/>
              </w:rPr>
            </w:pPr>
          </w:p>
        </w:tc>
      </w:tr>
      <w:tr>
        <w:trPr>
          <w:trHeight w:val="248"/>
          <w:jc w:val="center"/>
        </w:trPr>
        <w:tc>
          <w:tcPr>
            <w:tcW w:w="5000" w:type="pct"/>
            <w:gridSpan w:val="6"/>
            <w:tcBorders>
              <w:right w:val="single" w:sz="6" w:space="0" w:color="auto"/>
            </w:tcBorders>
            <w:shd w:val="clear" w:color="auto" w:fill="auto"/>
            <w:vAlign w:val="center"/>
          </w:tcPr>
          <w:p>
            <w:pPr>
              <w:pStyle w:val="Text1"/>
              <w:spacing w:before="60" w:after="60"/>
              <w:ind w:left="0"/>
              <w:jc w:val="left"/>
              <w:rPr>
                <w:noProof/>
                <w:sz w:val="16"/>
                <w:szCs w:val="16"/>
              </w:rPr>
            </w:pPr>
            <w:r>
              <w:rPr>
                <w:b/>
                <w:noProof/>
                <w:sz w:val="16"/>
              </w:rPr>
              <w:sym w:font="Wingdings" w:char="F09F"/>
            </w:r>
            <w:r>
              <w:rPr>
                <w:b/>
                <w:noProof/>
                <w:sz w:val="16"/>
              </w:rPr>
              <w:t>Εξωτερικό προσωπικό (σε μονάδα ισοδυνάμου πλήρους απασχόλησης - ΙΠΑ)</w:t>
            </w:r>
            <w:r>
              <w:rPr>
                <w:rStyle w:val="FootnoteReference"/>
                <w:b/>
                <w:noProof/>
                <w:sz w:val="16"/>
              </w:rPr>
              <w:footnoteReference w:id="42"/>
            </w:r>
          </w:p>
        </w:tc>
      </w:tr>
      <w:tr>
        <w:trPr>
          <w:trHeight w:val="289"/>
          <w:jc w:val="center"/>
        </w:trPr>
        <w:tc>
          <w:tcPr>
            <w:tcW w:w="3048"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INT από το συνολικό κονδύλιο)</w:t>
            </w:r>
          </w:p>
        </w:tc>
        <w:tc>
          <w:tcPr>
            <w:tcW w:w="486" w:type="pct"/>
            <w:shd w:val="clear" w:color="auto" w:fill="auto"/>
            <w:vAlign w:val="center"/>
          </w:tcPr>
          <w:p>
            <w:pPr>
              <w:spacing w:beforeLines="20" w:before="48" w:afterLines="20" w:after="48"/>
              <w:jc w:val="center"/>
              <w:rPr>
                <w:noProof/>
                <w:sz w:val="16"/>
                <w:szCs w:val="16"/>
              </w:rPr>
            </w:pPr>
          </w:p>
        </w:tc>
        <w:tc>
          <w:tcPr>
            <w:tcW w:w="486" w:type="pct"/>
            <w:shd w:val="clear" w:color="auto" w:fill="auto"/>
            <w:vAlign w:val="center"/>
          </w:tcPr>
          <w:p>
            <w:pPr>
              <w:spacing w:beforeLines="20" w:before="48" w:afterLines="20" w:after="48"/>
              <w:jc w:val="center"/>
              <w:rPr>
                <w:noProof/>
                <w:sz w:val="16"/>
                <w:szCs w:val="16"/>
              </w:rPr>
            </w:pPr>
          </w:p>
        </w:tc>
        <w:tc>
          <w:tcPr>
            <w:tcW w:w="471" w:type="pct"/>
            <w:shd w:val="clear" w:color="auto" w:fill="auto"/>
            <w:vAlign w:val="center"/>
          </w:tcPr>
          <w:p>
            <w:pPr>
              <w:spacing w:beforeLines="20" w:before="48" w:afterLines="20" w:after="48"/>
              <w:jc w:val="center"/>
              <w:rPr>
                <w:noProof/>
                <w:sz w:val="16"/>
                <w:szCs w:val="16"/>
              </w:rPr>
            </w:pPr>
          </w:p>
        </w:tc>
        <w:tc>
          <w:tcPr>
            <w:tcW w:w="509" w:type="pct"/>
            <w:tcBorders>
              <w:right w:val="single" w:sz="6"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3048"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και JED στις αντιπροσωπείες)</w:t>
            </w:r>
          </w:p>
        </w:tc>
        <w:tc>
          <w:tcPr>
            <w:tcW w:w="486" w:type="pct"/>
            <w:shd w:val="clear" w:color="auto" w:fill="auto"/>
            <w:vAlign w:val="center"/>
          </w:tcPr>
          <w:p>
            <w:pPr>
              <w:spacing w:beforeLines="20" w:before="48" w:afterLines="20" w:after="48"/>
              <w:jc w:val="center"/>
              <w:rPr>
                <w:noProof/>
                <w:sz w:val="16"/>
                <w:szCs w:val="16"/>
              </w:rPr>
            </w:pPr>
          </w:p>
        </w:tc>
        <w:tc>
          <w:tcPr>
            <w:tcW w:w="486" w:type="pct"/>
            <w:shd w:val="clear" w:color="auto" w:fill="auto"/>
            <w:vAlign w:val="center"/>
          </w:tcPr>
          <w:p>
            <w:pPr>
              <w:spacing w:beforeLines="20" w:before="48" w:afterLines="20" w:after="48"/>
              <w:jc w:val="center"/>
              <w:rPr>
                <w:noProof/>
                <w:sz w:val="16"/>
                <w:szCs w:val="16"/>
              </w:rPr>
            </w:pPr>
          </w:p>
        </w:tc>
        <w:tc>
          <w:tcPr>
            <w:tcW w:w="471" w:type="pct"/>
            <w:shd w:val="clear" w:color="auto" w:fill="auto"/>
            <w:vAlign w:val="center"/>
          </w:tcPr>
          <w:p>
            <w:pPr>
              <w:spacing w:beforeLines="20" w:before="48" w:afterLines="20" w:after="48"/>
              <w:jc w:val="center"/>
              <w:rPr>
                <w:noProof/>
                <w:sz w:val="16"/>
                <w:szCs w:val="16"/>
              </w:rPr>
            </w:pPr>
          </w:p>
        </w:tc>
        <w:tc>
          <w:tcPr>
            <w:tcW w:w="509" w:type="pct"/>
            <w:tcBorders>
              <w:right w:val="single" w:sz="6"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1596"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43"/>
            </w:r>
          </w:p>
          <w:p>
            <w:pPr>
              <w:pStyle w:val="Text1"/>
              <w:spacing w:beforeLines="20" w:before="48" w:afterLines="20" w:after="48"/>
              <w:ind w:left="136"/>
              <w:jc w:val="left"/>
              <w:rPr>
                <w:b/>
                <w:noProof/>
                <w:sz w:val="16"/>
                <w:szCs w:val="16"/>
              </w:rPr>
            </w:pPr>
          </w:p>
        </w:tc>
        <w:tc>
          <w:tcPr>
            <w:tcW w:w="1452" w:type="pct"/>
            <w:shd w:val="clear" w:color="auto" w:fill="auto"/>
            <w:vAlign w:val="center"/>
          </w:tcPr>
          <w:p>
            <w:pPr>
              <w:pStyle w:val="Text1"/>
              <w:spacing w:beforeLines="20" w:before="48" w:afterLines="20" w:after="48"/>
              <w:ind w:left="136"/>
              <w:jc w:val="left"/>
              <w:rPr>
                <w:b/>
                <w:noProof/>
                <w:sz w:val="16"/>
                <w:szCs w:val="16"/>
              </w:rPr>
            </w:pPr>
            <w:r>
              <w:rPr>
                <w:noProof/>
                <w:sz w:val="16"/>
              </w:rPr>
              <w:t>- στην έδρα</w:t>
            </w:r>
          </w:p>
          <w:p>
            <w:pPr>
              <w:pStyle w:val="Text1"/>
              <w:spacing w:beforeLines="20" w:before="48" w:afterLines="20" w:after="48"/>
              <w:ind w:left="136"/>
              <w:jc w:val="left"/>
              <w:rPr>
                <w:b/>
                <w:noProof/>
                <w:sz w:val="16"/>
                <w:szCs w:val="16"/>
              </w:rPr>
            </w:pPr>
          </w:p>
        </w:tc>
        <w:tc>
          <w:tcPr>
            <w:tcW w:w="486" w:type="pct"/>
            <w:shd w:val="clear" w:color="auto" w:fill="auto"/>
            <w:vAlign w:val="center"/>
          </w:tcPr>
          <w:p>
            <w:pPr>
              <w:pStyle w:val="Text1"/>
              <w:spacing w:beforeLines="20" w:before="48" w:afterLines="20" w:after="48"/>
              <w:ind w:left="0"/>
              <w:rPr>
                <w:noProof/>
                <w:sz w:val="16"/>
                <w:szCs w:val="16"/>
              </w:rPr>
            </w:pPr>
          </w:p>
        </w:tc>
        <w:tc>
          <w:tcPr>
            <w:tcW w:w="486" w:type="pct"/>
            <w:shd w:val="clear" w:color="auto" w:fill="auto"/>
            <w:vAlign w:val="center"/>
          </w:tcPr>
          <w:p>
            <w:pPr>
              <w:spacing w:beforeLines="20" w:before="48" w:afterLines="20" w:after="48"/>
              <w:jc w:val="center"/>
              <w:rPr>
                <w:noProof/>
                <w:sz w:val="16"/>
                <w:szCs w:val="16"/>
              </w:rPr>
            </w:pPr>
          </w:p>
        </w:tc>
        <w:tc>
          <w:tcPr>
            <w:tcW w:w="471" w:type="pct"/>
            <w:shd w:val="clear" w:color="auto" w:fill="auto"/>
            <w:vAlign w:val="center"/>
          </w:tcPr>
          <w:p>
            <w:pPr>
              <w:spacing w:beforeLines="20" w:before="48" w:afterLines="20" w:after="48"/>
              <w:jc w:val="center"/>
              <w:rPr>
                <w:noProof/>
                <w:sz w:val="16"/>
                <w:szCs w:val="16"/>
              </w:rPr>
            </w:pPr>
          </w:p>
        </w:tc>
        <w:tc>
          <w:tcPr>
            <w:tcW w:w="509" w:type="pct"/>
            <w:tcBorders>
              <w:right w:val="single" w:sz="6"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1596" w:type="pct"/>
            <w:vMerge/>
            <w:shd w:val="clear" w:color="auto" w:fill="auto"/>
            <w:vAlign w:val="center"/>
          </w:tcPr>
          <w:p>
            <w:pPr>
              <w:pStyle w:val="Text1"/>
              <w:spacing w:beforeLines="20" w:before="48" w:afterLines="20" w:after="48"/>
              <w:ind w:left="136"/>
              <w:jc w:val="left"/>
              <w:rPr>
                <w:b/>
                <w:noProof/>
                <w:sz w:val="16"/>
                <w:szCs w:val="16"/>
              </w:rPr>
            </w:pPr>
          </w:p>
        </w:tc>
        <w:tc>
          <w:tcPr>
            <w:tcW w:w="1452"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σε αντιπροσωπείες </w:t>
            </w:r>
          </w:p>
        </w:tc>
        <w:tc>
          <w:tcPr>
            <w:tcW w:w="486" w:type="pct"/>
            <w:shd w:val="clear" w:color="auto" w:fill="auto"/>
            <w:vAlign w:val="center"/>
          </w:tcPr>
          <w:p>
            <w:pPr>
              <w:pStyle w:val="Text1"/>
              <w:spacing w:beforeLines="20" w:before="48" w:afterLines="20" w:after="48"/>
              <w:ind w:left="0"/>
              <w:rPr>
                <w:noProof/>
                <w:sz w:val="16"/>
                <w:szCs w:val="16"/>
              </w:rPr>
            </w:pPr>
          </w:p>
        </w:tc>
        <w:tc>
          <w:tcPr>
            <w:tcW w:w="486" w:type="pct"/>
            <w:shd w:val="clear" w:color="auto" w:fill="auto"/>
            <w:vAlign w:val="center"/>
          </w:tcPr>
          <w:p>
            <w:pPr>
              <w:spacing w:beforeLines="20" w:before="48" w:afterLines="20" w:after="48"/>
              <w:jc w:val="center"/>
              <w:rPr>
                <w:noProof/>
                <w:sz w:val="16"/>
                <w:szCs w:val="16"/>
              </w:rPr>
            </w:pPr>
          </w:p>
        </w:tc>
        <w:tc>
          <w:tcPr>
            <w:tcW w:w="471" w:type="pct"/>
            <w:shd w:val="clear" w:color="auto" w:fill="auto"/>
            <w:vAlign w:val="center"/>
          </w:tcPr>
          <w:p>
            <w:pPr>
              <w:spacing w:beforeLines="20" w:before="48" w:afterLines="20" w:after="48"/>
              <w:jc w:val="center"/>
              <w:rPr>
                <w:noProof/>
                <w:sz w:val="16"/>
                <w:szCs w:val="16"/>
              </w:rPr>
            </w:pPr>
          </w:p>
        </w:tc>
        <w:tc>
          <w:tcPr>
            <w:tcW w:w="509" w:type="pct"/>
            <w:tcBorders>
              <w:right w:val="single" w:sz="6"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3048"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(AC, END, INT - έμμεση έρευνα)</w:t>
            </w:r>
          </w:p>
        </w:tc>
        <w:tc>
          <w:tcPr>
            <w:tcW w:w="486" w:type="pct"/>
            <w:shd w:val="clear" w:color="auto" w:fill="auto"/>
            <w:vAlign w:val="center"/>
          </w:tcPr>
          <w:p>
            <w:pPr>
              <w:spacing w:beforeLines="20" w:before="48" w:afterLines="20" w:after="48"/>
              <w:jc w:val="center"/>
              <w:rPr>
                <w:noProof/>
                <w:sz w:val="16"/>
                <w:szCs w:val="16"/>
              </w:rPr>
            </w:pPr>
          </w:p>
        </w:tc>
        <w:tc>
          <w:tcPr>
            <w:tcW w:w="486" w:type="pct"/>
            <w:shd w:val="clear" w:color="auto" w:fill="auto"/>
            <w:vAlign w:val="center"/>
          </w:tcPr>
          <w:p>
            <w:pPr>
              <w:spacing w:beforeLines="20" w:before="48" w:afterLines="20" w:after="48"/>
              <w:jc w:val="center"/>
              <w:rPr>
                <w:noProof/>
                <w:sz w:val="16"/>
                <w:szCs w:val="16"/>
              </w:rPr>
            </w:pPr>
          </w:p>
        </w:tc>
        <w:tc>
          <w:tcPr>
            <w:tcW w:w="471" w:type="pct"/>
            <w:shd w:val="clear" w:color="auto" w:fill="auto"/>
            <w:vAlign w:val="center"/>
          </w:tcPr>
          <w:p>
            <w:pPr>
              <w:spacing w:beforeLines="20" w:before="48" w:afterLines="20" w:after="48"/>
              <w:jc w:val="center"/>
              <w:rPr>
                <w:noProof/>
                <w:sz w:val="16"/>
                <w:szCs w:val="16"/>
              </w:rPr>
            </w:pPr>
          </w:p>
        </w:tc>
        <w:tc>
          <w:tcPr>
            <w:tcW w:w="509" w:type="pct"/>
            <w:tcBorders>
              <w:right w:val="single" w:sz="6"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3048"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END, INT - άμεση έρευνα)</w:t>
            </w:r>
          </w:p>
        </w:tc>
        <w:tc>
          <w:tcPr>
            <w:tcW w:w="486" w:type="pct"/>
            <w:shd w:val="clear" w:color="auto" w:fill="auto"/>
            <w:vAlign w:val="center"/>
          </w:tcPr>
          <w:p>
            <w:pPr>
              <w:spacing w:beforeLines="20" w:before="48" w:afterLines="20" w:after="48"/>
              <w:jc w:val="center"/>
              <w:rPr>
                <w:noProof/>
                <w:sz w:val="16"/>
                <w:szCs w:val="16"/>
              </w:rPr>
            </w:pPr>
          </w:p>
        </w:tc>
        <w:tc>
          <w:tcPr>
            <w:tcW w:w="486" w:type="pct"/>
            <w:shd w:val="clear" w:color="auto" w:fill="auto"/>
            <w:vAlign w:val="center"/>
          </w:tcPr>
          <w:p>
            <w:pPr>
              <w:spacing w:beforeLines="20" w:before="48" w:afterLines="20" w:after="48"/>
              <w:jc w:val="center"/>
              <w:rPr>
                <w:noProof/>
                <w:sz w:val="16"/>
                <w:szCs w:val="16"/>
              </w:rPr>
            </w:pPr>
          </w:p>
        </w:tc>
        <w:tc>
          <w:tcPr>
            <w:tcW w:w="471" w:type="pct"/>
            <w:shd w:val="clear" w:color="auto" w:fill="auto"/>
            <w:vAlign w:val="center"/>
          </w:tcPr>
          <w:p>
            <w:pPr>
              <w:spacing w:beforeLines="20" w:before="48" w:afterLines="20" w:after="48"/>
              <w:jc w:val="center"/>
              <w:rPr>
                <w:noProof/>
                <w:sz w:val="16"/>
                <w:szCs w:val="16"/>
              </w:rPr>
            </w:pPr>
          </w:p>
        </w:tc>
        <w:tc>
          <w:tcPr>
            <w:tcW w:w="509" w:type="pct"/>
            <w:tcBorders>
              <w:right w:val="single" w:sz="6"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3048" w:type="pct"/>
            <w:gridSpan w:val="2"/>
            <w:tcBorders>
              <w:bottom w:val="single" w:sz="6"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Άλλες γραμμές του προϋπολογισμού (να προσδιοριστούν)</w:t>
            </w:r>
          </w:p>
        </w:tc>
        <w:tc>
          <w:tcPr>
            <w:tcW w:w="486" w:type="pct"/>
            <w:tcBorders>
              <w:bottom w:val="single" w:sz="6" w:space="0" w:color="auto"/>
            </w:tcBorders>
            <w:shd w:val="clear" w:color="auto" w:fill="auto"/>
            <w:vAlign w:val="center"/>
          </w:tcPr>
          <w:p>
            <w:pPr>
              <w:spacing w:beforeLines="20" w:before="48" w:afterLines="20" w:after="48"/>
              <w:jc w:val="center"/>
              <w:rPr>
                <w:noProof/>
                <w:sz w:val="16"/>
                <w:szCs w:val="16"/>
              </w:rPr>
            </w:pPr>
          </w:p>
        </w:tc>
        <w:tc>
          <w:tcPr>
            <w:tcW w:w="486" w:type="pct"/>
            <w:tcBorders>
              <w:bottom w:val="single" w:sz="6" w:space="0" w:color="auto"/>
            </w:tcBorders>
            <w:shd w:val="clear" w:color="auto" w:fill="auto"/>
            <w:vAlign w:val="center"/>
          </w:tcPr>
          <w:p>
            <w:pPr>
              <w:spacing w:beforeLines="20" w:before="48" w:afterLines="20" w:after="48"/>
              <w:jc w:val="center"/>
              <w:rPr>
                <w:noProof/>
                <w:sz w:val="16"/>
                <w:szCs w:val="16"/>
              </w:rPr>
            </w:pPr>
          </w:p>
        </w:tc>
        <w:tc>
          <w:tcPr>
            <w:tcW w:w="471" w:type="pct"/>
            <w:tcBorders>
              <w:bottom w:val="single" w:sz="6" w:space="0" w:color="auto"/>
            </w:tcBorders>
            <w:shd w:val="clear" w:color="auto" w:fill="auto"/>
            <w:vAlign w:val="center"/>
          </w:tcPr>
          <w:p>
            <w:pPr>
              <w:spacing w:beforeLines="20" w:before="48" w:afterLines="20" w:after="48"/>
              <w:jc w:val="center"/>
              <w:rPr>
                <w:noProof/>
                <w:sz w:val="16"/>
                <w:szCs w:val="16"/>
              </w:rPr>
            </w:pPr>
          </w:p>
        </w:tc>
        <w:tc>
          <w:tcPr>
            <w:tcW w:w="509" w:type="pct"/>
            <w:tcBorders>
              <w:bottom w:val="single" w:sz="6" w:space="0" w:color="auto"/>
              <w:right w:val="single" w:sz="6"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3048" w:type="pct"/>
            <w:gridSpan w:val="2"/>
            <w:tcBorders>
              <w:top w:val="single" w:sz="6"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ΣΥΝΟΛΟ</w:t>
            </w:r>
          </w:p>
        </w:tc>
        <w:tc>
          <w:tcPr>
            <w:tcW w:w="486" w:type="pct"/>
            <w:tcBorders>
              <w:top w:val="single" w:sz="6" w:space="0" w:color="auto"/>
            </w:tcBorders>
            <w:shd w:val="clear" w:color="auto" w:fill="auto"/>
            <w:vAlign w:val="center"/>
          </w:tcPr>
          <w:p>
            <w:pPr>
              <w:spacing w:beforeLines="20" w:before="48" w:afterLines="20" w:after="48"/>
              <w:jc w:val="center"/>
              <w:rPr>
                <w:noProof/>
                <w:sz w:val="16"/>
                <w:szCs w:val="16"/>
              </w:rPr>
            </w:pPr>
            <w:r>
              <w:rPr>
                <w:noProof/>
                <w:sz w:val="16"/>
              </w:rPr>
              <w:t>2,2</w:t>
            </w:r>
          </w:p>
        </w:tc>
        <w:tc>
          <w:tcPr>
            <w:tcW w:w="486" w:type="pct"/>
            <w:tcBorders>
              <w:top w:val="single" w:sz="6" w:space="0" w:color="auto"/>
            </w:tcBorders>
            <w:shd w:val="clear" w:color="auto" w:fill="auto"/>
            <w:vAlign w:val="center"/>
          </w:tcPr>
          <w:p>
            <w:pPr>
              <w:spacing w:beforeLines="20" w:before="48" w:afterLines="20" w:after="48"/>
              <w:jc w:val="center"/>
              <w:rPr>
                <w:noProof/>
                <w:sz w:val="16"/>
                <w:szCs w:val="16"/>
              </w:rPr>
            </w:pPr>
            <w:r>
              <w:rPr>
                <w:noProof/>
                <w:sz w:val="16"/>
              </w:rPr>
              <w:t>3,1</w:t>
            </w:r>
          </w:p>
        </w:tc>
        <w:tc>
          <w:tcPr>
            <w:tcW w:w="471" w:type="pct"/>
            <w:tcBorders>
              <w:top w:val="single" w:sz="6" w:space="0" w:color="auto"/>
            </w:tcBorders>
            <w:shd w:val="clear" w:color="auto" w:fill="auto"/>
            <w:vAlign w:val="center"/>
          </w:tcPr>
          <w:p>
            <w:pPr>
              <w:spacing w:beforeLines="20" w:before="48" w:afterLines="20" w:after="48"/>
              <w:jc w:val="center"/>
              <w:rPr>
                <w:noProof/>
                <w:sz w:val="16"/>
                <w:szCs w:val="16"/>
              </w:rPr>
            </w:pPr>
            <w:r>
              <w:rPr>
                <w:noProof/>
                <w:sz w:val="16"/>
              </w:rPr>
              <w:t>3,1</w:t>
            </w:r>
          </w:p>
        </w:tc>
        <w:tc>
          <w:tcPr>
            <w:tcW w:w="509" w:type="pct"/>
            <w:tcBorders>
              <w:top w:val="single" w:sz="6" w:space="0" w:color="auto"/>
              <w:right w:val="single" w:sz="6" w:space="0" w:color="auto"/>
            </w:tcBorders>
            <w:shd w:val="clear" w:color="auto" w:fill="auto"/>
            <w:vAlign w:val="center"/>
          </w:tcPr>
          <w:p>
            <w:pPr>
              <w:spacing w:beforeLines="20" w:before="48" w:afterLines="20" w:after="48"/>
              <w:jc w:val="center"/>
              <w:rPr>
                <w:noProof/>
                <w:sz w:val="16"/>
                <w:szCs w:val="16"/>
              </w:rPr>
            </w:pPr>
            <w:r>
              <w:rPr>
                <w:noProof/>
                <w:sz w:val="16"/>
              </w:rPr>
              <w:t>2,6</w:t>
            </w:r>
          </w:p>
        </w:tc>
      </w:tr>
    </w:tbl>
    <w:p>
      <w:pPr>
        <w:pStyle w:val="ListDash1"/>
        <w:rPr>
          <w:noProof/>
        </w:rPr>
      </w:pPr>
      <w:r>
        <w:rPr>
          <w:b/>
          <w:noProof/>
        </w:rPr>
        <w:t>XX</w:t>
      </w:r>
      <w:r>
        <w:rPr>
          <w:noProof/>
        </w:rPr>
        <w:t xml:space="preserve"> είναι ο σχετικός τομέας πολιτικής ή ο σχετικός τίτλος του προϋπολογισμού.</w:t>
      </w:r>
    </w:p>
    <w:p>
      <w:pPr>
        <w:rPr>
          <w:noProof/>
        </w:rPr>
      </w:pPr>
      <w:r>
        <w:rPr>
          <w:noProof/>
        </w:rPr>
        <w:t>Οι ανάγκες σε ανθρώπινους πόρους θα καλυφθούν από το προσωπικό της ΓΔ που έχει ήδη διατεθεί για τη διαχείριση της δράσης και/ή έχει ανακατανεμηθεί στο εσωτερικό της ΓΔ. Τυχόν αντίκτυπος της εφαρμογής των προτεινόμενων αποφάσεων στον αριθμό του προσωπικού ή στο ύψος των πιστώσεων θα καλυφθεί μέσω αναδιάταξης των υφιστάμενων πόρων.</w:t>
      </w:r>
    </w:p>
    <w:p>
      <w:pPr>
        <w:rPr>
          <w:noProof/>
        </w:rPr>
      </w:pPr>
      <w:r>
        <w:rPr>
          <w:noProof/>
        </w:rPr>
        <w:t>Περιγραφή των προς εκτέλεση καθηκόντων:</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Μόνιμοι και έκτακτοι υπάλληλοι</w:t>
            </w:r>
          </w:p>
        </w:tc>
        <w:tc>
          <w:tcPr>
            <w:tcW w:w="7200" w:type="dxa"/>
          </w:tcPr>
          <w:p>
            <w:pPr>
              <w:rPr>
                <w:noProof/>
                <w:sz w:val="20"/>
              </w:rPr>
            </w:pPr>
            <w:r>
              <w:rPr>
                <w:rFonts w:ascii="Arial Narrow" w:hAnsi="Arial Narrow"/>
                <w:noProof/>
                <w:sz w:val="20"/>
                <w:u w:val="single"/>
              </w:rPr>
              <w:t xml:space="preserve">Στήριξη της έκδοσης συναφών εκτελεστικών πράξεων, διαχείριση έργου, επιχειρηματική ανάλυση και δραστηριότητες στήριξης της υλοποίησης  </w:t>
            </w:r>
          </w:p>
        </w:tc>
      </w:tr>
      <w:tr>
        <w:tc>
          <w:tcPr>
            <w:tcW w:w="3240" w:type="dxa"/>
          </w:tcPr>
          <w:p>
            <w:pPr>
              <w:spacing w:before="60" w:after="60"/>
              <w:rPr>
                <w:noProof/>
                <w:sz w:val="20"/>
              </w:rPr>
            </w:pPr>
            <w:r>
              <w:rPr>
                <w:noProof/>
                <w:sz w:val="20"/>
              </w:rPr>
              <w:t>Εξωτερικό προσωπικό</w:t>
            </w:r>
          </w:p>
        </w:tc>
        <w:tc>
          <w:tcPr>
            <w:tcW w:w="7200" w:type="dxa"/>
          </w:tcPr>
          <w:p>
            <w:pPr>
              <w:rPr>
                <w:noProof/>
                <w:sz w:val="20"/>
              </w:rPr>
            </w:pPr>
          </w:p>
        </w:tc>
      </w:tr>
    </w:tbl>
    <w:p>
      <w:pPr>
        <w:pStyle w:val="ListDash1"/>
        <w:rPr>
          <w:noProof/>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pPr>
        <w:pStyle w:val="ManualHeading3"/>
        <w:rPr>
          <w:bCs/>
          <w:noProof/>
          <w:szCs w:val="24"/>
        </w:rPr>
      </w:pPr>
      <w:r>
        <w:lastRenderedPageBreak/>
        <w:t>3.2.3.</w:t>
      </w:r>
      <w:r>
        <w:tab/>
      </w:r>
      <w:r>
        <w:rPr>
          <w:noProof/>
        </w:rPr>
        <w:t xml:space="preserve">Συμβατότητα με το ισχύον πολυετές δημοσιονομικό πλαίσιο </w:t>
      </w:r>
    </w:p>
    <w:p>
      <w:pPr>
        <w:pStyle w:val="ListDash1"/>
        <w:rPr>
          <w:noProof/>
        </w:rPr>
      </w:pPr>
      <w:r>
        <w:rPr>
          <w:noProof/>
        </w:rPr>
        <w:sym w:font="Wingdings" w:char="F078"/>
      </w:r>
      <w:r>
        <w:rPr>
          <w:noProof/>
        </w:rPr>
        <w:tab/>
        <w:t>Η πρόταση/πρωτοβουλία είναι συμβατή με τον ισχύον πολυετές δημοσιονομικό πλαίσιο.</w:t>
      </w:r>
    </w:p>
    <w:p>
      <w:pPr>
        <w:pStyle w:val="ListDash1"/>
        <w:rPr>
          <w:noProof/>
        </w:rPr>
      </w:pPr>
      <w:r>
        <w:rPr>
          <w:noProof/>
        </w:rPr>
        <w:sym w:font="Wingdings" w:char="F0A8"/>
      </w:r>
      <w:r>
        <w:rPr>
          <w:noProof/>
        </w:rPr>
        <w:tab/>
        <w:t>Η πρόταση/πρωτοβουλία απαιτεί αναπρογραμματισμό του σχετικού τομέα του πολυετούς δημοσιονομικού πλαισίου.</w:t>
      </w:r>
    </w:p>
    <w:p>
      <w:pPr>
        <w:pStyle w:val="ListDash1"/>
        <w:rPr>
          <w:noProof/>
        </w:rPr>
      </w:pPr>
      <w:r>
        <w:rPr>
          <w:noProof/>
        </w:rPr>
        <w:sym w:font="Wingdings" w:char="F0A8"/>
      </w:r>
      <w:r>
        <w:rPr>
          <w:noProof/>
        </w:rPr>
        <w:tab/>
        <w:t>Η πρόταση/πρωτοβουλία απαιτεί τη χρησιμοποίηση του μέσου ευελιξίας ή την αναθεώρηση του πολυετούς δημοσιονομικού πλαισίου.</w:t>
      </w:r>
    </w:p>
    <w:p>
      <w:pPr>
        <w:pStyle w:val="ManualHeading3"/>
        <w:rPr>
          <w:bCs/>
          <w:noProof/>
          <w:szCs w:val="24"/>
        </w:rPr>
      </w:pPr>
      <w:r>
        <w:t>3.2.4.</w:t>
      </w:r>
      <w:r>
        <w:tab/>
      </w:r>
      <w:r>
        <w:rPr>
          <w:noProof/>
        </w:rPr>
        <w:t xml:space="preserve">Συμμετοχή τρίτων μερών στη χρηματοδότηση </w:t>
      </w:r>
    </w:p>
    <w:p>
      <w:pPr>
        <w:pStyle w:val="ListDash1"/>
        <w:rPr>
          <w:noProof/>
        </w:rPr>
      </w:pPr>
      <w:r>
        <w:rPr>
          <w:noProof/>
        </w:rPr>
        <w:sym w:font="Wingdings" w:char="F078"/>
      </w:r>
      <w:r>
        <w:rPr>
          <w:noProof/>
        </w:rPr>
        <w:tab/>
        <w:t xml:space="preserve">Η πρόταση/πρωτοβουλία δεν προβλέπει συγχρηματοδότηση από τρίτα μέρη. </w:t>
      </w:r>
    </w:p>
    <w:p>
      <w:pPr>
        <w:pStyle w:val="ListDash1"/>
        <w:rPr>
          <w:noProof/>
        </w:rPr>
      </w:pPr>
      <w:r>
        <w:rPr>
          <w:noProof/>
        </w:rPr>
        <w:sym w:font="Wingdings" w:char="F0A8"/>
      </w:r>
      <w:r>
        <w:rPr>
          <w:noProof/>
        </w:rPr>
        <w:tab/>
        <w:t>Η πρόταση/πρωτοβουλία προβλέπει τη συγχρηματοδότηση που εκτιμάται παρακάτω:</w:t>
      </w:r>
    </w:p>
    <w:p>
      <w:pPr>
        <w:pStyle w:val="ManualHeading2"/>
        <w:rPr>
          <w:bCs/>
          <w:noProof/>
          <w:szCs w:val="24"/>
        </w:rPr>
      </w:pPr>
      <w:r>
        <w:t>3.3.</w:t>
      </w:r>
      <w:r>
        <w:tab/>
      </w:r>
      <w:r>
        <w:rPr>
          <w:noProof/>
        </w:rPr>
        <w:t xml:space="preserve">Εκτιμώμενες επιπτώσεις στα έσοδα </w:t>
      </w:r>
    </w:p>
    <w:p>
      <w:pPr>
        <w:pStyle w:val="ListDash1"/>
        <w:rPr>
          <w:noProof/>
        </w:rPr>
      </w:pPr>
      <w:r>
        <w:rPr>
          <w:noProof/>
        </w:rPr>
        <w:sym w:font="Wingdings" w:char="F078"/>
      </w:r>
      <w:r>
        <w:rPr>
          <w:noProof/>
        </w:rPr>
        <w:tab/>
        <w:t>Η πρόταση/πρωτοβουλία δεν έχει δημοσιονομικές επιπτώσεις στα έσοδα.</w:t>
      </w:r>
    </w:p>
    <w:p>
      <w:pPr>
        <w:pStyle w:val="ListDash1"/>
        <w:rPr>
          <w:noProof/>
        </w:rPr>
      </w:pPr>
      <w:r>
        <w:rPr>
          <w:noProof/>
        </w:rPr>
        <w:sym w:font="Wingdings" w:char="F0A8"/>
      </w:r>
      <w:r>
        <w:rPr>
          <w:noProof/>
        </w:rPr>
        <w:tab/>
        <w:t>Η πρόταση/πρωτοβουλία έχει τις δημοσιονομικές επιπτώσεις που περιγράφονται κατωτέρω:</w:t>
      </w:r>
    </w:p>
    <w:p>
      <w:pPr>
        <w:pStyle w:val="ListNumberLevel3"/>
        <w:rPr>
          <w:noProof/>
        </w:rPr>
      </w:pPr>
      <w:r>
        <w:rPr>
          <w:noProof/>
        </w:rPr>
        <w:sym w:font="Wingdings" w:char="F0A8"/>
      </w:r>
      <w:r>
        <w:rPr>
          <w:noProof/>
        </w:rPr>
        <w:tab/>
        <w:t xml:space="preserve">στους ιδίους πόρους </w:t>
      </w:r>
    </w:p>
    <w:p>
      <w:pPr>
        <w:pStyle w:val="ListNumberLevel3"/>
        <w:rPr>
          <w:noProof/>
        </w:rPr>
      </w:pPr>
      <w:r>
        <w:rPr>
          <w:noProof/>
        </w:rPr>
        <w:sym w:font="Wingdings" w:char="F0A8"/>
      </w:r>
      <w:r>
        <w:rPr>
          <w:noProof/>
        </w:rPr>
        <w:tab/>
        <w:t xml:space="preserve">στα διάφορα έσοδα </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FUIText-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40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55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58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Ευρωπαϊκή Επιτροπή, «Επικαιροποίηση της μελέτης σχετικά με τον οικονομικό αντίκτυπο της οδηγίας για τις υπηρεσίες», 2015.</w:t>
      </w:r>
    </w:p>
  </w:footnote>
  <w:footnote w:id="3">
    <w:p>
      <w:pPr>
        <w:pStyle w:val="FootnoteText"/>
      </w:pPr>
      <w:r>
        <w:rPr>
          <w:rStyle w:val="FootnoteReference"/>
        </w:rPr>
        <w:footnoteRef/>
      </w:r>
      <w:r>
        <w:tab/>
        <w:t>Συμπεράσματα του Ευρωπαϊκού Συμβουλίου, 28 Ιουνίου 2016.</w:t>
      </w:r>
    </w:p>
  </w:footnote>
  <w:footnote w:id="4">
    <w:p>
      <w:pPr>
        <w:pStyle w:val="FootnoteText"/>
      </w:pPr>
      <w:r>
        <w:rPr>
          <w:rStyle w:val="FootnoteReference"/>
        </w:rPr>
        <w:footnoteRef/>
      </w:r>
      <w:r>
        <w:tab/>
        <w:t>Ανακοίνωση της Επιτροπής με τίτλο «Αναβάθμιση της ενιαίας αγοράς: περισσότερες ευκαιρίες για τους πολίτες και τις επιχειρήσεις, 28 Οκτωβρίου 2015.</w:t>
      </w:r>
    </w:p>
  </w:footnote>
  <w:footnote w:id="5">
    <w:p>
      <w:pPr>
        <w:pStyle w:val="FootnoteText"/>
      </w:pPr>
      <w:r>
        <w:rPr>
          <w:rStyle w:val="FootnoteReference"/>
        </w:rPr>
        <w:footnoteRef/>
      </w:r>
      <w:r>
        <w:tab/>
        <w:t>Μεταξύ άλλων, εννέα εργαστήρια που οργάνωσε η Επιτροπή με παρόχους υπηρεσιών σε διασυνοριακές περιοχές.</w:t>
      </w:r>
    </w:p>
  </w:footnote>
  <w:footnote w:id="6">
    <w:p>
      <w:pPr>
        <w:pStyle w:val="FootnoteText"/>
      </w:pPr>
      <w:r>
        <w:rPr>
          <w:rStyle w:val="FootnoteReference"/>
        </w:rPr>
        <w:footnoteRef/>
      </w:r>
      <w:r>
        <w:tab/>
        <w:t>Έγγραφο εργασίας των υπηρεσιών της Επιτροπής με τίτλο «Εκτίμηση επιπτώσεων της πρότασης κανονισμού του Ευρωπαϊκού Κοινοβουλίου και του Συμβουλίου για τη θέσπιση ευρωπαϊκής ηλεκτρονικής κάρτας υπηρεσιών και συναφών διοικητικών διευκολύνσεων», 2017.</w:t>
      </w:r>
    </w:p>
  </w:footnote>
  <w:footnote w:id="7">
    <w:p>
      <w:pPr>
        <w:pStyle w:val="FootnoteText"/>
      </w:pPr>
      <w:r>
        <w:rPr>
          <w:rStyle w:val="FootnoteReference"/>
        </w:rPr>
        <w:footnoteRef/>
      </w:r>
      <w:r>
        <w:tab/>
        <w:t>Κανονισμός (EE) αριθ. 1024/2012 του Ευρωπαϊκού Κοινοβουλίου και του Συμβουλίου, της 25ης Οκτωβρίου 2012, σχετικά με τη διοικητική συνεργασία μέσω του Συστήματος Πληροφόρησης για την Εσωτερική Αγορά και την κατάργηση της απόφασης 2008/49/ΕΚ («κανονισμός ΙΜΙ») (ΕΕ L 316 της 14.11.2012, σ. 1).</w:t>
      </w:r>
    </w:p>
  </w:footnote>
  <w:footnote w:id="8">
    <w:p>
      <w:pPr>
        <w:pStyle w:val="FootnoteText"/>
      </w:pPr>
      <w:r>
        <w:rPr>
          <w:rStyle w:val="FootnoteReference"/>
        </w:rPr>
        <w:footnoteRef/>
      </w:r>
      <w:r>
        <w:tab/>
        <w:t>Αμφότεροι καλύπτουν περίπου το 20% του ΑΕΠ και της απασχόλησης στην ΕΕ - Eurostat</w:t>
      </w:r>
    </w:p>
  </w:footnote>
  <w:footnote w:id="9">
    <w:p>
      <w:r>
        <w:rPr>
          <w:rStyle w:val="FootnoteReference"/>
        </w:rPr>
        <w:footnoteRef/>
      </w:r>
      <w:r>
        <w:tab/>
      </w:r>
      <w:r>
        <w:rPr>
          <w:sz w:val="20"/>
        </w:rPr>
        <w:t>Σχέδιο δράσης της ΕΕ για την ηλεκτρονική διακυβέρνηση 2016-2020 – Επιτάχυνση του ψηφιακού μετασχηματισμού της διακυβέρνησης - COM(2016)179.</w:t>
      </w:r>
    </w:p>
    <w:p>
      <w:pPr>
        <w:pStyle w:val="FootnoteText"/>
      </w:pPr>
    </w:p>
  </w:footnote>
  <w:footnote w:id="10">
    <w:p>
      <w:pPr>
        <w:pStyle w:val="FootnoteText"/>
      </w:pPr>
      <w:r>
        <w:rPr>
          <w:rStyle w:val="FootnoteReference"/>
        </w:rPr>
        <w:footnoteRef/>
      </w:r>
      <w:r>
        <w:tab/>
        <w:t>Κανονισμός (EE) αριθ. 1024/2012 του Ευρωπαϊκού Κοινοβουλίου και του Συμβουλίου, της 25ης Οκτωβρίου 2012, σχετικά με τη διοικητική συνεργασία μέσω του Συστήματος Πληροφόρησης για την Εσωτερική Αγορά και την κατάργηση της απόφασης 2008/49/ΕΚ («κανονισμός ΙΜΙ») (ΕΕ L 316 της 14.11.2012, σ. 1).</w:t>
      </w:r>
    </w:p>
  </w:footnote>
  <w:footnote w:id="11">
    <w:p>
      <w:pPr>
        <w:pStyle w:val="FootnoteText"/>
      </w:pPr>
      <w:r>
        <w:rPr>
          <w:rStyle w:val="FootnoteReference"/>
        </w:rPr>
        <w:footnoteRef/>
      </w:r>
      <w:r>
        <w:tab/>
        <w:t>Κανονισμός (EE) 2016/1191 του Ευρωπαϊκού Κοινοβουλίου και του Συμβουλίου, της 6ης Ιουλίου 2016, για την προώθηση της ελεύθερης κυκλοφορίας των πολιτών μέσω της απλούστευσης των απαιτήσεων για την υποβολή ορισμένων δημόσιων εγγράφων στην Ευρωπαϊκή Ένωση και την τροποποίηση του κανονισμού (ΕΕ) αριθ. 1024/2012 (ΕΕ L 200 της 26.07.2016, σ.1)</w:t>
      </w:r>
    </w:p>
  </w:footnote>
  <w:footnote w:id="12">
    <w:p>
      <w:pPr>
        <w:pStyle w:val="FootnoteText"/>
      </w:pPr>
      <w:r>
        <w:rPr>
          <w:rStyle w:val="FootnoteReference"/>
        </w:rPr>
        <w:footnoteRef/>
      </w:r>
      <w:r>
        <w:tab/>
      </w:r>
      <w:hyperlink r:id="rId1">
        <w:r>
          <w:rPr>
            <w:rStyle w:val="Hyperlink"/>
          </w:rPr>
          <w:t>Συμπεράσματα του Συμβουλίου σχετικά με τη «Στρατηγική για την ενιαία αγορά υπηρεσιών και αγαθών», 29 Φεβρουαρίου 2016</w:t>
        </w:r>
      </w:hyperlink>
      <w:r>
        <w:t>.</w:t>
      </w:r>
    </w:p>
  </w:footnote>
  <w:footnote w:id="13">
    <w:p>
      <w:pPr>
        <w:pStyle w:val="FootnoteText"/>
      </w:pPr>
      <w:r>
        <w:rPr>
          <w:rStyle w:val="FootnoteReference"/>
        </w:rPr>
        <w:footnoteRef/>
      </w:r>
      <w:r>
        <w:tab/>
      </w:r>
      <w:hyperlink r:id="rId2">
        <w:r>
          <w:rPr>
            <w:rStyle w:val="Hyperlink"/>
          </w:rPr>
          <w:t>Συμπεράσματα του Ευρωπαϊκού Συμβουλίου, 28 Ιουνίου 2016</w:t>
        </w:r>
      </w:hyperlink>
      <w:r>
        <w:t>.</w:t>
      </w:r>
    </w:p>
  </w:footnote>
  <w:footnote w:id="14">
    <w:p>
      <w:pPr>
        <w:pStyle w:val="FootnoteText"/>
      </w:pPr>
      <w:r>
        <w:rPr>
          <w:rStyle w:val="FootnoteReference"/>
        </w:rPr>
        <w:footnoteRef/>
      </w:r>
      <w:r>
        <w:tab/>
      </w:r>
      <w:hyperlink r:id="rId3">
        <w:r>
          <w:rPr>
            <w:rStyle w:val="Hyperlink"/>
          </w:rPr>
          <w:t>Ψήφισμα του Ευρωπαϊκού Κοινοβουλίου της 26ης Μαΐου 2016 σχετικά με τη στρατηγική για την ενιαία αγορά</w:t>
        </w:r>
      </w:hyperlink>
      <w:r>
        <w:t>.</w:t>
      </w:r>
    </w:p>
  </w:footnote>
  <w:footnote w:id="15">
    <w:p>
      <w:pPr>
        <w:pStyle w:val="FootnoteText"/>
      </w:pPr>
      <w:r>
        <w:rPr>
          <w:rStyle w:val="FootnoteReference"/>
        </w:rPr>
        <w:footnoteRef/>
      </w:r>
      <w:r>
        <w:tab/>
        <w:t xml:space="preserve">Οι βασικές συστάσεις της επιτροπής στην αρχική γνωμοδότηση που εξέδωσε για την εκτίμηση επιπτώσεων ήταν η διατύπωση καλύτερου ορισμού του προβλήματος, η επανεξέταση του σχεδιασμού και της διάρθρωσης των διαφόρων επιλογών, καθώς και η παροχή περισσότερων πληροφοριών σχετικά με το κόστος που ενδέχεται να προκύψει για τα κράτη μέλη και σχετικά με τις απόψεις των ενδιαφερομένων.   </w:t>
      </w:r>
    </w:p>
  </w:footnote>
  <w:footnote w:id="16">
    <w:p>
      <w:pPr>
        <w:pStyle w:val="FootnoteText"/>
      </w:pPr>
      <w:r>
        <w:rPr>
          <w:rStyle w:val="FootnoteReference"/>
        </w:rPr>
        <w:footnoteRef/>
      </w:r>
      <w:r>
        <w:tab/>
      </w:r>
      <w:hyperlink r:id="rId4">
        <w:r>
          <w:rPr>
            <w:rStyle w:val="Hyperlink"/>
          </w:rPr>
          <w:t>http://ec.europa.eu/smart-regulation/impact/ia_carried_out/cia_2016_en.htm</w:t>
        </w:r>
      </w:hyperlink>
    </w:p>
  </w:footnote>
  <w:footnote w:id="17">
    <w:p>
      <w:pPr>
        <w:pStyle w:val="FootnoteText"/>
      </w:pPr>
      <w:r>
        <w:rPr>
          <w:rStyle w:val="FootnoteReference"/>
        </w:rPr>
        <w:footnoteRef/>
      </w:r>
      <w:r>
        <w:tab/>
        <w:t>ΕΕ C  της , σ. .</w:t>
      </w:r>
    </w:p>
  </w:footnote>
  <w:footnote w:id="18">
    <w:p>
      <w:pPr>
        <w:pStyle w:val="FootnoteText"/>
      </w:pPr>
      <w:r>
        <w:rPr>
          <w:rStyle w:val="FootnoteReference"/>
        </w:rPr>
        <w:footnoteRef/>
      </w:r>
      <w:r>
        <w:tab/>
        <w:t>ΕΕ C  της , σ. .</w:t>
      </w:r>
    </w:p>
  </w:footnote>
  <w:footnote w:id="19">
    <w:p>
      <w:pPr>
        <w:pStyle w:val="FootnoteText"/>
      </w:pPr>
      <w:r>
        <w:rPr>
          <w:rStyle w:val="FootnoteReference"/>
        </w:rPr>
        <w:footnoteRef/>
      </w:r>
      <w:r>
        <w:tab/>
        <w:t>Οδηγία 2006/123/ΕΚ του Ευρωπαϊκού Κοινοβουλίου και του Συμβουλίου, της 12ης Δεκεμβρίου 2006, σχετικά με τις υπηρεσίες στην εσωτερική αγορά (ΕΕ L 376 της 27.12.2006, σ. 36).</w:t>
      </w:r>
    </w:p>
  </w:footnote>
  <w:footnote w:id="20">
    <w:p>
      <w:pPr>
        <w:pStyle w:val="FootnoteText"/>
        <w:ind w:left="0" w:hanging="11"/>
      </w:pPr>
      <w:r>
        <w:rPr>
          <w:rStyle w:val="FootnoteReference"/>
        </w:rPr>
        <w:footnoteRef/>
      </w:r>
      <w:r>
        <w:tab/>
        <w:t>Οδηγία 2000/31/ΕΚ του Ευρωπαϊκού Κοινοβουλίου και του Συμβουλίου, της 8ης Ιουνίου 2000, για ορισμένες νομικές πτυχές των υπηρεσιών της κοινωνίας της πληροφορίας, ιδίως του ηλεκτρονικού εμπορίου, στην εσωτερική αγορά (ΕΕ L 178 της 17.7.2000, σ. 1).</w:t>
      </w:r>
    </w:p>
  </w:footnote>
  <w:footnote w:id="21">
    <w:p>
      <w:pPr>
        <w:pStyle w:val="NoSpacing"/>
      </w:pPr>
      <w:r>
        <w:rPr>
          <w:rStyle w:val="FootnoteReference"/>
        </w:rPr>
        <w:footnoteRef/>
      </w:r>
      <w:r>
        <w:tab/>
      </w:r>
      <w:r>
        <w:rPr>
          <w:sz w:val="20"/>
        </w:rPr>
        <w:t>Οδηγία 96/71/ΕΚ του Ευρωπαϊκού Κοινοβουλίου και του Συμβουλίου, της 16ης Δεκεμβρίου 1996, σχετικά με την απόσπαση εργαζόμενων στο πλαίσιο παροχής υπηρεσιών (ΕΕ L 18 της 21.1.1997, σ. 1).</w:t>
      </w:r>
    </w:p>
  </w:footnote>
  <w:footnote w:id="22">
    <w:p>
      <w:pPr>
        <w:pStyle w:val="FootnoteText"/>
      </w:pPr>
      <w:r>
        <w:rPr>
          <w:rStyle w:val="FootnoteReference"/>
        </w:rPr>
        <w:footnoteRef/>
      </w:r>
      <w:r>
        <w:tab/>
        <w:t>Οδηγία 2014/67/ΕΕ του Ευρωπαϊκού Κοινοβουλίου και του Συμβουλίου, της 15ης Μαΐου 2014, για την εφαρμογή της οδηγίας 96/71/ΕΚ σχετικά με την απόσπαση εργαζομένων στο πλαίσιο παροχής υπηρεσιών και την τροποποίηση του κανονισμού (ΕΕ) αριθ. 1024/2012 σχετικά με τη διοικητική συνεργασία μέσω του Συστήματος Πληροφόρησης για την εσωτερική αγορά («κανονισμός ΙΜΙ») (ΕΕ L 159 της 28.5.2014, σ. 11).</w:t>
      </w:r>
    </w:p>
  </w:footnote>
  <w:footnote w:id="23">
    <w:p>
      <w:pPr>
        <w:pStyle w:val="FootnoteText"/>
      </w:pPr>
      <w:r>
        <w:rPr>
          <w:rStyle w:val="FootnoteReference"/>
        </w:rPr>
        <w:footnoteRef/>
      </w:r>
      <w:r>
        <w:tab/>
        <w:t>Κανονισμός (EE) αριθ. 1024/2012 του Ευρωπαϊκού Κοινοβουλίου και του Συμβουλίου, της 25ης Οκτωβρίου 2012, σχετικά με τη διοικητική συνεργασία μέσω του Συστήματος Πληροφόρησης για την Εσωτερική Αγορά και την κατάργηση της απόφασης 2008/49/ΕΚ («κανονισμός ΙΜΙ») (ΕΕ L 316 της 14.11.2012, σ. 1).</w:t>
      </w:r>
    </w:p>
  </w:footnote>
  <w:footnote w:id="24">
    <w:p>
      <w:pPr>
        <w:pStyle w:val="FootnoteText"/>
      </w:pPr>
      <w:r>
        <w:rPr>
          <w:rStyle w:val="FootnoteReference"/>
        </w:rPr>
        <w:footnoteRef/>
      </w:r>
      <w:r>
        <w:tab/>
        <w:t>Κανονισμός (ΕΕ) αριθ. 182/2011 του Ευρωπαϊκού Κοινοβουλίου και του Συμβουλίου, της 16ης Φεβρουαρίου 2011, για τη θέσπιση κανόνων και γενικών αρχών σχετικά με τους τρόπους ελέγχου από τα κράτη μέλη της άσκησης των εκτελεστικών αρμοδιοτήτων από την Επιτροπή (ΕΕ L 55 της 28.2.2011, σ. 13).</w:t>
      </w:r>
    </w:p>
  </w:footnote>
  <w:footnote w:id="25">
    <w:p>
      <w:pPr>
        <w:pStyle w:val="FootnoteText"/>
      </w:pPr>
      <w:r>
        <w:rPr>
          <w:rStyle w:val="FootnoteReference"/>
        </w:rPr>
        <w:footnoteRef/>
      </w:r>
      <w:r>
        <w:tab/>
        <w:t>Οδηγία 2005/36/EK του Ευρωπαϊκού Κοινοβουλίου και του Συμβουλίου, της 7ης Σεπτεμβρίου 2005, σχετικά με την αναγνώριση των επαγγελματικών προσόντων (ΕΕ L 255 της 30.9.2005).</w:t>
      </w:r>
    </w:p>
  </w:footnote>
  <w:footnote w:id="26">
    <w:p>
      <w:pPr>
        <w:pStyle w:val="FootnoteText"/>
      </w:pPr>
      <w:r>
        <w:rPr>
          <w:rStyle w:val="FootnoteReference"/>
        </w:rPr>
        <w:footnoteRef/>
      </w:r>
      <w:r>
        <w:tab/>
        <w:t>Οδηγία 2014/67/ΕΕ του Ευρωπαϊκού Κοινοβουλίου και του Συμβουλίου, της 15ης Μαΐου 2014, για την εφαρμογή της οδηγίας 96/71/ΕΚ σχετικά με την απόσπαση εργαζομένων στο πλαίσιο παροχής υπηρεσιών και την τροποποίηση του κανονισμού (ΕΕ) αριθ. 1024/2012 σχετικά με τη διοικητική συνεργασία μέσω του Συστήματος Πληροφόρησης για την εσωτερική αγορά («κανονισμός ΙΜΙ») (ΕΕ L 159 της 28.5.2014, σ. 11).</w:t>
      </w:r>
    </w:p>
  </w:footnote>
  <w:footnote w:id="27">
    <w:p>
      <w:pPr>
        <w:pStyle w:val="FootnoteText"/>
      </w:pPr>
      <w:r>
        <w:rPr>
          <w:rStyle w:val="FootnoteReference"/>
        </w:rPr>
        <w:footnoteRef/>
      </w:r>
      <w:r>
        <w:tab/>
      </w:r>
      <w:r>
        <w:rPr>
          <w:color w:val="000000"/>
        </w:rPr>
        <w:t>Οδηγία 2009/101/ΕΚ του Ευρωπαϊκού Κοινοβουλίου και του Συμβουλίου, της 16ης Σεπτεμβρίου 2009, περί συντονισμού των εγγυήσεων που απαιτούνται στα κράτη μέλη εκ μέρους των εταιρειών, κατά την έννοια του άρθρου 48 δεύτερο εδάφιο της Συνθήκης, για την προστασία των συμφερόντων των εταίρων και των τρίτων, με σκοπό να καταστούν οι εγγυήσεις αυτές ισοδύναμες (ΕΕ L 258 της 1.10.2009, σ. 11).</w:t>
      </w:r>
    </w:p>
  </w:footnote>
  <w:footnote w:id="28">
    <w:p>
      <w:pPr>
        <w:pStyle w:val="FootnoteText"/>
      </w:pPr>
      <w:r>
        <w:rPr>
          <w:rStyle w:val="FootnoteReference"/>
        </w:rPr>
        <w:footnoteRef/>
      </w:r>
      <w:r>
        <w:tab/>
      </w:r>
      <w:r>
        <w:rPr>
          <w:rStyle w:val="Strong"/>
          <w:b w:val="0"/>
        </w:rPr>
        <w:t>Κανονισμός (EE) 2015/848 του Ευρωπαϊκού Κοινοβουλίου και του Συμβουλίου, της 20ής Μαΐου 2015, περί των διαδικασιών αφερεγγυότητας (ΕΕ L 141 της 5.6.2015, σ. 19).</w:t>
      </w:r>
    </w:p>
  </w:footnote>
  <w:footnote w:id="29">
    <w:p>
      <w:pPr>
        <w:pStyle w:val="NoSpacing"/>
      </w:pPr>
      <w:r>
        <w:rPr>
          <w:rStyle w:val="FootnoteReference"/>
        </w:rPr>
        <w:footnoteRef/>
      </w:r>
      <w:r>
        <w:tab/>
      </w:r>
      <w:r>
        <w:rPr>
          <w:sz w:val="20"/>
        </w:rPr>
        <w:t>Κανονισμός (ΕΚ) αριθ. 45/2001 του Ευρωπαϊκού Κοινοβουλίου και του Συμβουλίου, της 18ης Δεκεμβρίου 2000,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(ΕΕ L 8 της 12.1.2001, σ. 1).</w:t>
      </w:r>
    </w:p>
  </w:footnote>
  <w:footnote w:id="30">
    <w:p>
      <w:pPr>
        <w:pStyle w:val="NoSpacing"/>
      </w:pPr>
      <w:r>
        <w:rPr>
          <w:rStyle w:val="FootnoteReference"/>
        </w:rPr>
        <w:footnoteRef/>
      </w:r>
      <w:r>
        <w:tab/>
      </w:r>
      <w:r>
        <w:rPr>
          <w:sz w:val="20"/>
        </w:rPr>
        <w:t>Κανονισμός (ΕΕ) αριθ. 910/2014 του Ευρωπαϊκού Κοινοβουλίου και του Συμβουλίου, της 23ης Ιουλίου 2014, σχετικά με την ηλεκτρονική ταυτοποίηση και τις υπηρεσίες εμπιστοσύνης για τις ηλεκτρονικές συναλλαγές στην εσωτερική αγορά και την κατάργηση της οδηγίας 1999/93/ΕΚ (ΕΕ L 257 της 28.8.2014, σ. 73).</w:t>
      </w:r>
    </w:p>
  </w:footnote>
  <w:footnote w:id="31">
    <w:p>
      <w:pPr>
        <w:pStyle w:val="NoSpacing"/>
      </w:pPr>
      <w:r>
        <w:rPr>
          <w:rStyle w:val="FootnoteReference"/>
        </w:rPr>
        <w:footnoteRef/>
      </w:r>
      <w:r>
        <w:tab/>
      </w:r>
      <w:r>
        <w:rPr>
          <w:sz w:val="20"/>
        </w:rPr>
        <w:t>Οδηγία (EE) 2016/97 του Ευρωπαϊκού Κοινοβουλίου και του Συμβουλίου, της 20ής Ιανουαρίου 2016, σχετικά με τη διανομή ασφαλιστικών προϊόντων (αναδιατύπωση) (ΕΕ L 26 της 2.2.2016, σ. 19).</w:t>
      </w:r>
    </w:p>
  </w:footnote>
  <w:footnote w:id="32">
    <w:p>
      <w:pPr>
        <w:pStyle w:val="FootnoteText"/>
        <w:rPr>
          <w:szCs w:val="24"/>
        </w:rPr>
      </w:pPr>
      <w:r>
        <w:rPr>
          <w:rStyle w:val="FootnoteReference"/>
        </w:rPr>
        <w:footnoteRef/>
      </w:r>
      <w:r>
        <w:tab/>
        <w:t>ΔΒΔ: διαχείριση βάσει δραστηριοτήτων· ΠΒΔ: προϋπολογισμός βάσει δραστηριοτήτων.</w:t>
      </w:r>
    </w:p>
  </w:footnote>
  <w:footnote w:id="33">
    <w:p>
      <w:pPr>
        <w:pStyle w:val="FootnoteText"/>
        <w:rPr>
          <w:szCs w:val="24"/>
        </w:rPr>
      </w:pPr>
      <w:r>
        <w:rPr>
          <w:rStyle w:val="FootnoteReference"/>
        </w:rPr>
        <w:footnoteRef/>
      </w:r>
      <w:r>
        <w:tab/>
        <w:t>Αναφερόμενα στο άρθρο 54 παράγραφος 2 στοιχείο α) ή β) του δημοσιονομικού κανονισμού.</w:t>
      </w:r>
    </w:p>
  </w:footnote>
  <w:footnote w:id="34">
    <w:p>
      <w:pPr>
        <w:pStyle w:val="FootnoteText"/>
        <w:rPr>
          <w:szCs w:val="24"/>
        </w:rPr>
      </w:pPr>
      <w:r>
        <w:rPr>
          <w:rStyle w:val="FootnoteReference"/>
        </w:rPr>
        <w:footnoteRef/>
      </w:r>
      <w:r>
        <w:tab/>
        <w:t xml:space="preserve">Οι λεπτομέρειες σχετικά με τους τρόπους διαχείρισης, καθώς και οι παραπομπές στον δημοσιονομικό κανονισμό είναι διαθέσιμες στον δικτυακό τόπο BudgWeb: </w:t>
      </w:r>
      <w:hyperlink r:id="rId5">
        <w:r>
          <w:rPr>
            <w:rStyle w:val="Hyperlink"/>
            <w:sz w:val="18"/>
          </w:rPr>
          <w:t>http://www.cc.cec/budg/man/budgmanag/budgmanag_en.html</w:t>
        </w:r>
      </w:hyperlink>
    </w:p>
  </w:footnote>
  <w:footnote w:id="35">
    <w:p>
      <w:pPr>
        <w:pStyle w:val="FootnoteText"/>
        <w:rPr>
          <w:szCs w:val="24"/>
        </w:rPr>
      </w:pPr>
      <w:r>
        <w:rPr>
          <w:rStyle w:val="FootnoteReference"/>
        </w:rPr>
        <w:footnoteRef/>
      </w:r>
      <w:r>
        <w:tab/>
        <w:t>ΔΠ = Διαχωριζόμενες πιστώσεις / ΜΔΠ = Μη διαχωριζόμενες πιστώσεις.</w:t>
      </w:r>
    </w:p>
  </w:footnote>
  <w:footnote w:id="36">
    <w:p>
      <w:pPr>
        <w:pStyle w:val="FootnoteText"/>
        <w:rPr>
          <w:szCs w:val="24"/>
        </w:rPr>
      </w:pPr>
      <w:r>
        <w:rPr>
          <w:rStyle w:val="FootnoteReference"/>
        </w:rPr>
        <w:footnoteRef/>
      </w:r>
      <w:r>
        <w:tab/>
        <w:t xml:space="preserve">ΕΖΕΣ: Ευρωπαϊκή Ζώνη Ελεύθερων Συναλλαγών. </w:t>
      </w:r>
    </w:p>
  </w:footnote>
  <w:footnote w:id="37">
    <w:p>
      <w:pPr>
        <w:pStyle w:val="FootnoteText"/>
        <w:rPr>
          <w:szCs w:val="24"/>
        </w:rPr>
      </w:pPr>
      <w:r>
        <w:rPr>
          <w:rStyle w:val="FootnoteReference"/>
        </w:rPr>
        <w:footnoteRef/>
      </w:r>
      <w:r>
        <w:tab/>
        <w:t>Υποψήφιες χώρες και, κατά περίπτωση, δυνητικά υποψήφιες χώρες των Δυτικών Βαλκανίων.</w:t>
      </w:r>
    </w:p>
  </w:footnote>
  <w:footnote w:id="38">
    <w:p>
      <w:pPr>
        <w:pStyle w:val="FootnoteText"/>
        <w:rPr>
          <w:szCs w:val="24"/>
        </w:rPr>
      </w:pPr>
      <w:r>
        <w:rPr>
          <w:rStyle w:val="FootnoteReference"/>
        </w:rPr>
        <w:footnoteRef/>
      </w:r>
      <w:r>
        <w:tab/>
        <w:t>Τεχνική και/ή διοικητική βοήθεια και δαπάνες στήριξης της εφαρμογής προγραμμάτων και/ή δράσεων της ΕΕ (πρώην γραμμές «BA»), έμμεση έρευνα, άμεση έρευνα.</w:t>
      </w:r>
    </w:p>
  </w:footnote>
  <w:footnote w:id="39">
    <w:p>
      <w:pPr>
        <w:pStyle w:val="FootnoteText"/>
        <w:rPr>
          <w:szCs w:val="24"/>
        </w:rPr>
      </w:pPr>
      <w:r>
        <w:rPr>
          <w:rStyle w:val="FootnoteReference"/>
        </w:rPr>
        <w:footnoteRef/>
      </w:r>
      <w:r>
        <w:tab/>
        <w:t>Αποτελέσματα θα είναι τα προϊόντα και οι υπηρεσίες που θα παρασχεθούν (παράδειγμα: αριθμός ανταλλαγών σπουδαστών που θα χρηματοδοτηθούν, αριθμός χλμ οδών που θα κατασκευαστούν, κ.λπ.).</w:t>
      </w:r>
    </w:p>
  </w:footnote>
  <w:footnote w:id="40">
    <w:p>
      <w:pPr>
        <w:pStyle w:val="FootnoteText"/>
        <w:rPr>
          <w:szCs w:val="24"/>
        </w:rPr>
      </w:pPr>
      <w:r>
        <w:rPr>
          <w:rStyle w:val="FootnoteReference"/>
        </w:rPr>
        <w:footnoteRef/>
      </w:r>
      <w:r>
        <w:tab/>
        <w:t xml:space="preserve">Όπως περιγράφεται στο σημείο 1.4.2. «Ειδικός/-οί στόχος/-οι…». </w:t>
      </w:r>
    </w:p>
  </w:footnote>
  <w:footnote w:id="41">
    <w:p>
      <w:pPr>
        <w:pStyle w:val="FootnoteText"/>
        <w:rPr>
          <w:szCs w:val="24"/>
        </w:rPr>
      </w:pPr>
      <w:r>
        <w:rPr>
          <w:rStyle w:val="FootnoteReference"/>
        </w:rPr>
        <w:footnoteRef/>
      </w:r>
      <w:r>
        <w:tab/>
        <w:t>Τεχνική και/ή διοικητική βοήθεια και δαπάνες στήριξης της εφαρμογής προγραμμάτων και/ή δράσεων της ΕΕ (πρώην γραμμές «BA»), έμμεση έρευνα, άμεση έρευνα.</w:t>
      </w:r>
    </w:p>
  </w:footnote>
  <w:footnote w:id="42">
    <w:p>
      <w:pPr>
        <w:pStyle w:val="FootnoteText"/>
        <w:rPr>
          <w:szCs w:val="24"/>
        </w:rPr>
      </w:pPr>
      <w:r>
        <w:rPr>
          <w:rStyle w:val="FootnoteReference"/>
        </w:rPr>
        <w:footnoteRef/>
      </w:r>
      <w:r>
        <w:tab/>
        <w:t xml:space="preserve">AC = συμβασιούχος υπάλληλος· AL = τοπικός υπάλληλος· END = αποσπασμένος εθνικός εμπειρογνώμονας· INT = προσωρινό προσωπικό· JED = νέος εμπειρογνώμονας σε αντιπροσωπεία. </w:t>
      </w:r>
    </w:p>
  </w:footnote>
  <w:footnote w:id="43">
    <w:p>
      <w:pPr>
        <w:pStyle w:val="FootnoteText"/>
        <w:rPr>
          <w:szCs w:val="24"/>
        </w:rPr>
      </w:pPr>
      <w:r>
        <w:rPr>
          <w:rStyle w:val="FootnoteReference"/>
        </w:rPr>
        <w:footnoteRef/>
      </w:r>
      <w:r>
        <w:tab/>
        <w:t>Επιμέρους ανώτατο όριο εξωτερικού προσωπικού που καλύπτεται από επιχειρησιακές πιστώσεις (πρώην γραμμές «BA»)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D3AA5A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B54AF18"/>
    <w:lvl w:ilvl="0">
      <w:start w:val="1"/>
      <w:numFmt w:val="decimal"/>
      <w:pStyle w:val="ListNumber3"/>
      <w:lvlText w:val="%1."/>
      <w:lvlJc w:val="left"/>
      <w:pPr>
        <w:tabs>
          <w:tab w:val="num" w:pos="926"/>
        </w:tabs>
        <w:ind w:left="926" w:hanging="360"/>
      </w:pPr>
    </w:lvl>
  </w:abstractNum>
  <w:abstractNum w:abstractNumId="2">
    <w:nsid w:val="FFFFFF7F"/>
    <w:multiLevelType w:val="singleLevel"/>
    <w:tmpl w:val="9E8C0C5C"/>
    <w:lvl w:ilvl="0">
      <w:start w:val="1"/>
      <w:numFmt w:val="decimal"/>
      <w:pStyle w:val="ListNumber2"/>
      <w:lvlText w:val="%1."/>
      <w:lvlJc w:val="left"/>
      <w:pPr>
        <w:tabs>
          <w:tab w:val="num" w:pos="643"/>
        </w:tabs>
        <w:ind w:left="643" w:hanging="360"/>
      </w:pPr>
    </w:lvl>
  </w:abstractNum>
  <w:abstractNum w:abstractNumId="3">
    <w:nsid w:val="FFFFFF81"/>
    <w:multiLevelType w:val="singleLevel"/>
    <w:tmpl w:val="BE7E9E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1B8EC5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24"/>
    <w:lvlOverride w:ilvl="0">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0"/>
  </w:num>
  <w:num w:numId="30">
    <w:abstractNumId w:val="21"/>
  </w:num>
  <w:num w:numId="31">
    <w:abstractNumId w:val="9"/>
  </w:num>
  <w:num w:numId="32">
    <w:abstractNumId w:val="11"/>
  </w:num>
  <w:num w:numId="33">
    <w:abstractNumId w:val="7"/>
  </w:num>
  <w:num w:numId="34">
    <w:abstractNumId w:val="20"/>
  </w:num>
  <w:num w:numId="35">
    <w:abstractNumId w:val="6"/>
  </w:num>
  <w:num w:numId="36">
    <w:abstractNumId w:val="12"/>
  </w:num>
  <w:num w:numId="37">
    <w:abstractNumId w:val="16"/>
  </w:num>
  <w:num w:numId="38">
    <w:abstractNumId w:val="17"/>
  </w:num>
  <w:num w:numId="39">
    <w:abstractNumId w:val="8"/>
  </w:num>
  <w:num w:numId="40">
    <w:abstractNumId w:val="15"/>
  </w:num>
  <w:num w:numId="41">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2"/>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20 13:48:5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25"/>
    <w:docVar w:name="DQCResult_UnknownFonts" w:val="0;0"/>
    <w:docVar w:name="DQCResult_UnknownStyles" w:val="0;5"/>
    <w:docVar w:name="DQCStatus" w:val="Green"/>
    <w:docVar w:name="DQCVersion" w:val="3"/>
    <w:docVar w:name="DQCWithWarnings" w:val="0"/>
    <w:docVar w:name="LW_CONFIDENCE" w:val=" "/>
    <w:docVar w:name="LW_CONST_RESTREINT_UE" w:val="RESTREINT UE"/>
    <w:docVar w:name="LW_CORRIGENDUM" w:val="&lt;UNUSED&gt;"/>
    <w:docVar w:name="LW_COVERPAGE_GUID" w:val="EDF8C2D631BE4339A34C45115900944F"/>
    <w:docVar w:name="LW_CROSSREFERENCE" w:val="{SWD(2016) 439 final}_x000b_{SWD(2016) 442 final}"/>
    <w:docVar w:name="LW_DocType" w:val="COM"/>
    <w:docVar w:name="LW_EMISSION" w:val="10.1.2017"/>
    <w:docVar w:name="LW_EMISSION_ISODATE" w:val="2017-01-10"/>
    <w:docVar w:name="LW_EMISSION_LOCATION" w:val="BRX"/>
    <w:docVar w:name="LW_EMISSION_PREFIX" w:val="Βρυξέλλες, "/>
    <w:docVar w:name="LW_EMISSION_SUFFIX" w:val=" "/>
    <w:docVar w:name="LW_ID_DOCMODEL" w:val="SJ-023"/>
    <w:docVar w:name="LW_ID_DOCSIGNATURE" w:val="SJ-023"/>
    <w:docVar w:name="LW_ID_DOCSTRUCTURE" w:val="COM/PL/ORG"/>
    <w:docVar w:name="LW_ID_DOCTYPE" w:val="SJ-023"/>
    <w:docVar w:name="LW_ID_STATUT" w:val="SJ-023"/>
    <w:docVar w:name="LW_INTERETEEE.CP" w:val="(\u922?\u949?\u943?\u956?\u949?\u957?\u959? \u960?\u959?\u965? \u960?\u945?\u961?\u959?\u965?\u963?\u953?\u940?\u950?\u949?\u953? \u949?\u957?\u948?\u953?\u945?\u966?\u941?\u961?\u959?\u957? \u947?\u953?\u945? \u964?\u959?\u957? \u917?\u927?\u935?)"/>
    <w:docVar w:name="LW_LANGUE" w:val="EL"/>
    <w:docVar w:name="LW_MARKING" w:val="&lt;UNUSED&g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403"/>
    <w:docVar w:name="LW_REF.II.NEW.CP_YEAR" w:val="2016"/>
    <w:docVar w:name="LW_REF.INST.NEW" w:val="COM"/>
    <w:docVar w:name="LW_REF.INST.NEW_ADOPTED" w:val="final"/>
    <w:docVar w:name="LW_REF.INST.NEW_TEXT" w:val="(2016) 824"/>
    <w:docVar w:name="LW_REF.INTERNE" w:val="&lt;UNUSED&gt;"/>
    <w:docVar w:name="LW_SOUS.TITRE.OBJ.CP" w:val="&lt;UNUSED&gt;"/>
    <w:docVar w:name="LW_STATUT.CP" w:val="\u928?\u961?\u972?\u964?\u945?\u963?\u951?"/>
    <w:docVar w:name="LW_SUPERTITRE" w:val="&lt;UNUSED&gt;"/>
    <w:docVar w:name="LW_TITRE.OBJ.CP" w:val="\u947?\u953?\u945? \u964?\u951? \u952?\u941?\u963?\u960?\u953?\u963?\u951? \u949?\u965?\u961?\u969?\u960?\u945?\u970?\u954?\u942?\u962? \u951?\u955?\u949?\u954?\u964?\u961?\u959?\u957?\u953?\u954?\u942?\u962? \u954?\u940?\u961?\u964?\u945?\u962? \u965?\u960?\u951?\u961?\u949?\u963?\u953?\u974?\u957? \u954?\u945?\u953? \u963?\u965?\u957?\u945?\u966?\u974?\u957? \u948?\u953?\u959?\u953?\u954?\u951?\u964?\u953?\u954?\u974?\u957? \u948?\u953?\u949?\u965?\u954?\u959?\u955?\u973?\u957?\u963?\u949?\u969?\u957?"/>
    <w:docVar w:name="LW_TYPE.DOC.CP" w:val="\u922?\u913?\u925?\u927?\u925?\u921?\u931?\u924?\u927?\u931?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character" w:styleId="Strong">
    <w:name w:val="Strong"/>
    <w:basedOn w:val="DefaultParagraphFont"/>
    <w:uiPriority w:val="22"/>
    <w:qFormat/>
    <w:rPr>
      <w:b/>
      <w:bCs/>
    </w:rPr>
  </w:style>
  <w:style w:type="paragraph" w:customStyle="1" w:styleId="CM1">
    <w:name w:val="CM1"/>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character" w:customStyle="1" w:styleId="st1">
    <w:name w:val="st1"/>
    <w:basedOn w:val="DefaultParagraphFont"/>
  </w:style>
  <w:style w:type="character" w:customStyle="1" w:styleId="italic1">
    <w:name w:val="italic1"/>
    <w:rPr>
      <w:i/>
      <w:iCs/>
    </w:rPr>
  </w:style>
  <w:style w:type="paragraph" w:styleId="PlainText">
    <w:name w:val="Plain Text"/>
    <w:basedOn w:val="Normal"/>
    <w:link w:val="PlainTextChar"/>
    <w:uiPriority w:val="99"/>
    <w:unhideWhenUsed/>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val="el-GR"/>
    </w:rPr>
  </w:style>
  <w:style w:type="character" w:customStyle="1" w:styleId="s1">
    <w:name w:val="s1"/>
    <w:basedOn w:val="DefaultParagraphFont"/>
    <w:rPr>
      <w:rFonts w:ascii=".SFUIText-Regular" w:hAnsi=".SFUIText-Regular" w:hint="default"/>
      <w:b w:val="0"/>
      <w:bCs w:val="0"/>
      <w:i w:val="0"/>
      <w:iCs w:val="0"/>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character" w:styleId="Strong">
    <w:name w:val="Strong"/>
    <w:basedOn w:val="DefaultParagraphFont"/>
    <w:uiPriority w:val="22"/>
    <w:qFormat/>
    <w:rPr>
      <w:b/>
      <w:bCs/>
    </w:rPr>
  </w:style>
  <w:style w:type="paragraph" w:customStyle="1" w:styleId="CM1">
    <w:name w:val="CM1"/>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character" w:customStyle="1" w:styleId="st1">
    <w:name w:val="st1"/>
    <w:basedOn w:val="DefaultParagraphFont"/>
  </w:style>
  <w:style w:type="character" w:customStyle="1" w:styleId="italic1">
    <w:name w:val="italic1"/>
    <w:rPr>
      <w:i/>
      <w:iCs/>
    </w:rPr>
  </w:style>
  <w:style w:type="paragraph" w:styleId="PlainText">
    <w:name w:val="Plain Text"/>
    <w:basedOn w:val="Normal"/>
    <w:link w:val="PlainTextChar"/>
    <w:uiPriority w:val="99"/>
    <w:unhideWhenUsed/>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val="el-GR"/>
    </w:rPr>
  </w:style>
  <w:style w:type="character" w:customStyle="1" w:styleId="s1">
    <w:name w:val="s1"/>
    <w:basedOn w:val="DefaultParagraphFont"/>
    <w:rPr>
      <w:rFonts w:ascii=".SFUIText-Regular" w:hAnsi=".SFUIText-Regular" w:hint="default"/>
      <w:b w:val="0"/>
      <w:bCs w:val="0"/>
      <w:i w:val="0"/>
      <w:iCs w:val="0"/>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88756">
      <w:bodyDiv w:val="1"/>
      <w:marLeft w:val="0"/>
      <w:marRight w:val="0"/>
      <w:marTop w:val="0"/>
      <w:marBottom w:val="0"/>
      <w:divBdr>
        <w:top w:val="none" w:sz="0" w:space="0" w:color="auto"/>
        <w:left w:val="none" w:sz="0" w:space="0" w:color="auto"/>
        <w:bottom w:val="none" w:sz="0" w:space="0" w:color="auto"/>
        <w:right w:val="none" w:sz="0" w:space="0" w:color="auto"/>
      </w:divBdr>
    </w:div>
    <w:div w:id="591626166">
      <w:bodyDiv w:val="1"/>
      <w:marLeft w:val="0"/>
      <w:marRight w:val="0"/>
      <w:marTop w:val="0"/>
      <w:marBottom w:val="0"/>
      <w:divBdr>
        <w:top w:val="none" w:sz="0" w:space="0" w:color="auto"/>
        <w:left w:val="none" w:sz="0" w:space="0" w:color="auto"/>
        <w:bottom w:val="none" w:sz="0" w:space="0" w:color="auto"/>
        <w:right w:val="none" w:sz="0" w:space="0" w:color="auto"/>
      </w:divBdr>
    </w:div>
    <w:div w:id="729309315">
      <w:bodyDiv w:val="1"/>
      <w:marLeft w:val="0"/>
      <w:marRight w:val="0"/>
      <w:marTop w:val="0"/>
      <w:marBottom w:val="0"/>
      <w:divBdr>
        <w:top w:val="none" w:sz="0" w:space="0" w:color="auto"/>
        <w:left w:val="none" w:sz="0" w:space="0" w:color="auto"/>
        <w:bottom w:val="none" w:sz="0" w:space="0" w:color="auto"/>
        <w:right w:val="none" w:sz="0" w:space="0" w:color="auto"/>
      </w:divBdr>
    </w:div>
    <w:div w:id="770049840">
      <w:bodyDiv w:val="1"/>
      <w:marLeft w:val="0"/>
      <w:marRight w:val="0"/>
      <w:marTop w:val="0"/>
      <w:marBottom w:val="0"/>
      <w:divBdr>
        <w:top w:val="none" w:sz="0" w:space="0" w:color="auto"/>
        <w:left w:val="none" w:sz="0" w:space="0" w:color="auto"/>
        <w:bottom w:val="none" w:sz="0" w:space="0" w:color="auto"/>
        <w:right w:val="none" w:sz="0" w:space="0" w:color="auto"/>
      </w:divBdr>
    </w:div>
    <w:div w:id="869801754">
      <w:bodyDiv w:val="1"/>
      <w:marLeft w:val="0"/>
      <w:marRight w:val="0"/>
      <w:marTop w:val="0"/>
      <w:marBottom w:val="0"/>
      <w:divBdr>
        <w:top w:val="none" w:sz="0" w:space="0" w:color="auto"/>
        <w:left w:val="none" w:sz="0" w:space="0" w:color="auto"/>
        <w:bottom w:val="none" w:sz="0" w:space="0" w:color="auto"/>
        <w:right w:val="none" w:sz="0" w:space="0" w:color="auto"/>
      </w:divBdr>
    </w:div>
    <w:div w:id="1341002709">
      <w:bodyDiv w:val="1"/>
      <w:marLeft w:val="0"/>
      <w:marRight w:val="0"/>
      <w:marTop w:val="0"/>
      <w:marBottom w:val="0"/>
      <w:divBdr>
        <w:top w:val="none" w:sz="0" w:space="0" w:color="auto"/>
        <w:left w:val="none" w:sz="0" w:space="0" w:color="auto"/>
        <w:bottom w:val="none" w:sz="0" w:space="0" w:color="auto"/>
        <w:right w:val="none" w:sz="0" w:space="0" w:color="auto"/>
      </w:divBdr>
    </w:div>
    <w:div w:id="1347828044">
      <w:bodyDiv w:val="1"/>
      <w:marLeft w:val="0"/>
      <w:marRight w:val="0"/>
      <w:marTop w:val="0"/>
      <w:marBottom w:val="0"/>
      <w:divBdr>
        <w:top w:val="none" w:sz="0" w:space="0" w:color="auto"/>
        <w:left w:val="none" w:sz="0" w:space="0" w:color="auto"/>
        <w:bottom w:val="none" w:sz="0" w:space="0" w:color="auto"/>
        <w:right w:val="none" w:sz="0" w:space="0" w:color="auto"/>
      </w:divBdr>
    </w:div>
    <w:div w:id="1435249340">
      <w:bodyDiv w:val="1"/>
      <w:marLeft w:val="0"/>
      <w:marRight w:val="0"/>
      <w:marTop w:val="0"/>
      <w:marBottom w:val="0"/>
      <w:divBdr>
        <w:top w:val="none" w:sz="0" w:space="0" w:color="auto"/>
        <w:left w:val="none" w:sz="0" w:space="0" w:color="auto"/>
        <w:bottom w:val="none" w:sz="0" w:space="0" w:color="auto"/>
        <w:right w:val="none" w:sz="0" w:space="0" w:color="auto"/>
      </w:divBdr>
    </w:div>
    <w:div w:id="1481002672">
      <w:bodyDiv w:val="1"/>
      <w:marLeft w:val="0"/>
      <w:marRight w:val="0"/>
      <w:marTop w:val="0"/>
      <w:marBottom w:val="0"/>
      <w:divBdr>
        <w:top w:val="none" w:sz="0" w:space="0" w:color="auto"/>
        <w:left w:val="none" w:sz="0" w:space="0" w:color="auto"/>
        <w:bottom w:val="none" w:sz="0" w:space="0" w:color="auto"/>
        <w:right w:val="none" w:sz="0" w:space="0" w:color="auto"/>
      </w:divBdr>
    </w:div>
    <w:div w:id="1519076855">
      <w:bodyDiv w:val="1"/>
      <w:marLeft w:val="0"/>
      <w:marRight w:val="0"/>
      <w:marTop w:val="0"/>
      <w:marBottom w:val="0"/>
      <w:divBdr>
        <w:top w:val="none" w:sz="0" w:space="0" w:color="auto"/>
        <w:left w:val="none" w:sz="0" w:space="0" w:color="auto"/>
        <w:bottom w:val="none" w:sz="0" w:space="0" w:color="auto"/>
        <w:right w:val="none" w:sz="0" w:space="0" w:color="auto"/>
      </w:divBdr>
    </w:div>
    <w:div w:id="1533764740">
      <w:bodyDiv w:val="1"/>
      <w:marLeft w:val="0"/>
      <w:marRight w:val="0"/>
      <w:marTop w:val="0"/>
      <w:marBottom w:val="0"/>
      <w:divBdr>
        <w:top w:val="none" w:sz="0" w:space="0" w:color="auto"/>
        <w:left w:val="none" w:sz="0" w:space="0" w:color="auto"/>
        <w:bottom w:val="none" w:sz="0" w:space="0" w:color="auto"/>
        <w:right w:val="none" w:sz="0" w:space="0" w:color="auto"/>
      </w:divBdr>
    </w:div>
    <w:div w:id="1557474556">
      <w:bodyDiv w:val="1"/>
      <w:marLeft w:val="0"/>
      <w:marRight w:val="0"/>
      <w:marTop w:val="0"/>
      <w:marBottom w:val="0"/>
      <w:divBdr>
        <w:top w:val="none" w:sz="0" w:space="0" w:color="auto"/>
        <w:left w:val="none" w:sz="0" w:space="0" w:color="auto"/>
        <w:bottom w:val="none" w:sz="0" w:space="0" w:color="auto"/>
        <w:right w:val="none" w:sz="0" w:space="0" w:color="auto"/>
      </w:divBdr>
    </w:div>
    <w:div w:id="1620717691">
      <w:bodyDiv w:val="1"/>
      <w:marLeft w:val="0"/>
      <w:marRight w:val="0"/>
      <w:marTop w:val="0"/>
      <w:marBottom w:val="0"/>
      <w:divBdr>
        <w:top w:val="none" w:sz="0" w:space="0" w:color="auto"/>
        <w:left w:val="none" w:sz="0" w:space="0" w:color="auto"/>
        <w:bottom w:val="none" w:sz="0" w:space="0" w:color="auto"/>
        <w:right w:val="none" w:sz="0" w:space="0" w:color="auto"/>
      </w:divBdr>
    </w:div>
    <w:div w:id="1812673314">
      <w:bodyDiv w:val="1"/>
      <w:marLeft w:val="0"/>
      <w:marRight w:val="0"/>
      <w:marTop w:val="0"/>
      <w:marBottom w:val="0"/>
      <w:divBdr>
        <w:top w:val="none" w:sz="0" w:space="0" w:color="auto"/>
        <w:left w:val="none" w:sz="0" w:space="0" w:color="auto"/>
        <w:bottom w:val="none" w:sz="0" w:space="0" w:color="auto"/>
        <w:right w:val="none" w:sz="0" w:space="0" w:color="auto"/>
      </w:divBdr>
    </w:div>
    <w:div w:id="1877960903">
      <w:bodyDiv w:val="1"/>
      <w:marLeft w:val="0"/>
      <w:marRight w:val="0"/>
      <w:marTop w:val="0"/>
      <w:marBottom w:val="0"/>
      <w:divBdr>
        <w:top w:val="none" w:sz="0" w:space="0" w:color="auto"/>
        <w:left w:val="none" w:sz="0" w:space="0" w:color="auto"/>
        <w:bottom w:val="none" w:sz="0" w:space="0" w:color="auto"/>
        <w:right w:val="none" w:sz="0" w:space="0" w:color="auto"/>
      </w:divBdr>
    </w:div>
    <w:div w:id="2079403476">
      <w:bodyDiv w:val="1"/>
      <w:marLeft w:val="0"/>
      <w:marRight w:val="0"/>
      <w:marTop w:val="0"/>
      <w:marBottom w:val="0"/>
      <w:divBdr>
        <w:top w:val="none" w:sz="0" w:space="0" w:color="auto"/>
        <w:left w:val="none" w:sz="0" w:space="0" w:color="auto"/>
        <w:bottom w:val="none" w:sz="0" w:space="0" w:color="auto"/>
        <w:right w:val="none" w:sz="0" w:space="0" w:color="auto"/>
      </w:divBdr>
    </w:div>
    <w:div w:id="213879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uroparl.europa.eu/sides/getDoc.do?pubRef=-//EP//TEXT+TA+P8-TA-2016-0237+0+DOC+XML+V0//EL" TargetMode="External"/><Relationship Id="rId2" Type="http://schemas.openxmlformats.org/officeDocument/2006/relationships/hyperlink" Target="http://www.consilium.europa.eu/el/press/press-releases/2016/06/28-euco-conclusions/" TargetMode="External"/><Relationship Id="rId1" Type="http://schemas.openxmlformats.org/officeDocument/2006/relationships/hyperlink" Target="http://data.consilium.europa.eu/doc/document/ST-6622-2016-INIT/el/pdf" TargetMode="External"/><Relationship Id="rId5" Type="http://schemas.openxmlformats.org/officeDocument/2006/relationships/hyperlink" Target="http://www.cc.cec/budg/man/budgmanag/budgmanag_en.html" TargetMode="External"/><Relationship Id="rId4" Type="http://schemas.openxmlformats.org/officeDocument/2006/relationships/hyperlink" Target="http://ec.europa.eu/smart-regulation/impact/ia_carried_out/cia_2016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7819B-566C-462A-8CAF-AA4514BD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58</Pages>
  <Words>18757</Words>
  <Characters>114234</Characters>
  <Application>Microsoft Office Word</Application>
  <DocSecurity>0</DocSecurity>
  <Lines>2430</Lines>
  <Paragraphs>863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2017-01-16T09:29:00Z</dcterms:created>
  <dcterms:modified xsi:type="dcterms:W3CDTF">2017-01-20T12:48:00Z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Green (DQC version 03)</vt:lpwstr>
  </property>
</Properties>
</file>