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ACB" w:rsidRDefault="00A0107A" w:rsidP="00A0107A">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C936DC98F2E045DBA8078483DB34F56E" style="width:450.75pt;height:541.5pt">
            <v:imagedata r:id="rId12" o:title=""/>
          </v:shape>
        </w:pict>
      </w:r>
    </w:p>
    <w:bookmarkEnd w:id="0"/>
    <w:p w:rsidR="00E34ACB" w:rsidRDefault="00E34ACB">
      <w:pPr>
        <w:rPr>
          <w:noProof/>
        </w:rPr>
        <w:sectPr w:rsidR="00E34ACB" w:rsidSect="00A0107A">
          <w:headerReference w:type="even" r:id="rId13"/>
          <w:headerReference w:type="default" r:id="rId14"/>
          <w:footerReference w:type="even" r:id="rId15"/>
          <w:footerReference w:type="default" r:id="rId16"/>
          <w:headerReference w:type="first" r:id="rId17"/>
          <w:footerReference w:type="first" r:id="rId18"/>
          <w:pgSz w:w="11906" w:h="16838" w:code="9"/>
          <w:pgMar w:top="1134" w:right="1417" w:bottom="1134" w:left="1417" w:header="709" w:footer="709" w:gutter="0"/>
          <w:pgNumType w:start="1"/>
          <w:cols w:space="720"/>
          <w:docGrid w:linePitch="360"/>
        </w:sectPr>
      </w:pPr>
    </w:p>
    <w:tbl>
      <w:tblPr>
        <w:tblStyle w:val="TableGrid"/>
        <w:tblW w:w="10188" w:type="dxa"/>
        <w:tblLook w:val="01E0" w:firstRow="1" w:lastRow="1" w:firstColumn="1" w:lastColumn="1" w:noHBand="0" w:noVBand="0"/>
      </w:tblPr>
      <w:tblGrid>
        <w:gridCol w:w="10188"/>
      </w:tblGrid>
      <w:tr w:rsidR="00E34ACB">
        <w:tc>
          <w:tcPr>
            <w:tcW w:w="10188" w:type="dxa"/>
            <w:tcBorders>
              <w:bottom w:val="single" w:sz="4" w:space="0" w:color="auto"/>
            </w:tcBorders>
            <w:shd w:val="clear" w:color="auto" w:fill="CCCCCC"/>
          </w:tcPr>
          <w:p w:rsidR="00E34ACB" w:rsidRDefault="00A0107A">
            <w:pPr>
              <w:spacing w:before="60" w:after="60"/>
              <w:jc w:val="center"/>
              <w:rPr>
                <w:rFonts w:ascii="Tahoma" w:hAnsi="Tahoma" w:cs="Tahoma"/>
                <w:b/>
                <w:noProof/>
                <w:sz w:val="22"/>
                <w:szCs w:val="22"/>
              </w:rPr>
            </w:pPr>
            <w:bookmarkStart w:id="1" w:name="_GoBack"/>
            <w:bookmarkEnd w:id="1"/>
            <w:r>
              <w:rPr>
                <w:rFonts w:ascii="Tahoma" w:hAnsi="Tahoma"/>
                <w:b/>
                <w:noProof/>
                <w:sz w:val="22"/>
              </w:rPr>
              <w:lastRenderedPageBreak/>
              <w:t>Kopsavilkums</w:t>
            </w:r>
          </w:p>
        </w:tc>
      </w:tr>
      <w:tr w:rsidR="00E34ACB">
        <w:tc>
          <w:tcPr>
            <w:tcW w:w="10188" w:type="dxa"/>
            <w:tcBorders>
              <w:top w:val="single" w:sz="4" w:space="0" w:color="auto"/>
              <w:left w:val="single" w:sz="4" w:space="0" w:color="auto"/>
              <w:bottom w:val="single" w:sz="4" w:space="0" w:color="auto"/>
              <w:right w:val="single" w:sz="4" w:space="0" w:color="auto"/>
            </w:tcBorders>
            <w:shd w:val="clear" w:color="auto" w:fill="4F81BD" w:themeFill="accent1"/>
          </w:tcPr>
          <w:p w:rsidR="00E34ACB" w:rsidRDefault="00A0107A">
            <w:pPr>
              <w:spacing w:before="120" w:after="120"/>
              <w:jc w:val="both"/>
              <w:rPr>
                <w:rFonts w:ascii="Tahoma" w:hAnsi="Tahoma" w:cs="Tahoma"/>
                <w:noProof/>
                <w:sz w:val="20"/>
                <w:szCs w:val="20"/>
              </w:rPr>
            </w:pPr>
            <w:r>
              <w:rPr>
                <w:rFonts w:ascii="Tahoma" w:hAnsi="Tahoma"/>
                <w:noProof/>
                <w:color w:val="EBEBEB" w:themeColor="background1"/>
                <w:sz w:val="20"/>
              </w:rPr>
              <w:t>Ietekmes novērtējums par priekšlikumiem, ar kuriem groza Regulu (ES) Nr. 575/2013 par prudenciālajām prasībām attiecībā uz kredītiestādēm un ieguldījumu brokeru sabiedrībām, Direktīvu 2013/36/ES par piekļuvi kredītiestāžu darbībai un kredītiestāžu un iegul</w:t>
            </w:r>
            <w:r>
              <w:rPr>
                <w:rFonts w:ascii="Tahoma" w:hAnsi="Tahoma"/>
                <w:noProof/>
                <w:color w:val="EBEBEB" w:themeColor="background1"/>
                <w:sz w:val="20"/>
              </w:rPr>
              <w:t xml:space="preserve">dījumu brokeru sabiedrību prudenciālo uzraudzību, Direktīvu 2014/59/ES, ar ko izveido kredītiestāžu un ieguldījumu brokeru sabiedrību atveseļošanas un noregulējuma režīmu, Eiropas Parlamenta un Padomes 2014. gada 15. jūlija Regulu (ES) Nr. 806/2014, ar ko </w:t>
            </w:r>
            <w:r>
              <w:rPr>
                <w:rFonts w:ascii="Tahoma" w:hAnsi="Tahoma"/>
                <w:noProof/>
                <w:color w:val="EBEBEB" w:themeColor="background1"/>
                <w:sz w:val="20"/>
              </w:rPr>
              <w:t xml:space="preserve">izveido vienādus noteikumus un vienotu procedūru kredītiestāžu un noteiktu ieguldījumu brokeru sabiedrību noregulējumam, izmantojot vienotu noregulējuma mehānismu un vienotu noregulējuma fondu  </w:t>
            </w:r>
          </w:p>
        </w:tc>
      </w:tr>
      <w:tr w:rsidR="00E34ACB">
        <w:tc>
          <w:tcPr>
            <w:tcW w:w="10188" w:type="dxa"/>
            <w:tcBorders>
              <w:bottom w:val="single" w:sz="4" w:space="0" w:color="auto"/>
            </w:tcBorders>
            <w:shd w:val="clear" w:color="auto" w:fill="CCCCCC"/>
          </w:tcPr>
          <w:p w:rsidR="00E34ACB" w:rsidRDefault="00A0107A">
            <w:pPr>
              <w:spacing w:before="60" w:after="60"/>
              <w:jc w:val="center"/>
              <w:rPr>
                <w:rFonts w:ascii="Tahoma" w:hAnsi="Tahoma" w:cs="Tahoma"/>
                <w:b/>
                <w:noProof/>
                <w:sz w:val="22"/>
                <w:szCs w:val="22"/>
              </w:rPr>
            </w:pPr>
            <w:r>
              <w:rPr>
                <w:rFonts w:ascii="Tahoma" w:hAnsi="Tahoma"/>
                <w:b/>
                <w:noProof/>
                <w:sz w:val="22"/>
              </w:rPr>
              <w:t>A. Rīcības nepieciešamība</w:t>
            </w:r>
          </w:p>
        </w:tc>
      </w:tr>
      <w:tr w:rsidR="00E34ACB">
        <w:tc>
          <w:tcPr>
            <w:tcW w:w="10188" w:type="dxa"/>
            <w:tcBorders>
              <w:bottom w:val="single" w:sz="4" w:space="0" w:color="auto"/>
            </w:tcBorders>
            <w:shd w:val="clear" w:color="auto" w:fill="E0E0E0"/>
          </w:tcPr>
          <w:p w:rsidR="00E34ACB" w:rsidRDefault="00A0107A">
            <w:pPr>
              <w:spacing w:before="60" w:after="60"/>
              <w:jc w:val="both"/>
              <w:rPr>
                <w:rFonts w:ascii="Tahoma" w:hAnsi="Tahoma" w:cs="Tahoma"/>
                <w:noProof/>
                <w:sz w:val="20"/>
                <w:szCs w:val="20"/>
              </w:rPr>
            </w:pPr>
            <w:r>
              <w:rPr>
                <w:rFonts w:ascii="Tahoma" w:hAnsi="Tahoma"/>
                <w:b/>
                <w:noProof/>
                <w:sz w:val="20"/>
              </w:rPr>
              <w:t>Šādas izvēles iemesli. Risināmā p</w:t>
            </w:r>
            <w:r>
              <w:rPr>
                <w:rFonts w:ascii="Tahoma" w:hAnsi="Tahoma"/>
                <w:b/>
                <w:noProof/>
                <w:sz w:val="20"/>
              </w:rPr>
              <w:t xml:space="preserve">roblēma </w:t>
            </w:r>
            <w:r>
              <w:rPr>
                <w:rFonts w:ascii="Tahoma" w:hAnsi="Tahoma"/>
                <w:noProof/>
                <w:sz w:val="20"/>
                <w:u w:val="single"/>
              </w:rPr>
              <w:t>Ne vairāk kā 11 rindiņas</w:t>
            </w:r>
          </w:p>
        </w:tc>
      </w:tr>
      <w:tr w:rsidR="00E34ACB">
        <w:tc>
          <w:tcPr>
            <w:tcW w:w="10188" w:type="dxa"/>
            <w:tcBorders>
              <w:bottom w:val="single" w:sz="4" w:space="0" w:color="auto"/>
            </w:tcBorders>
            <w:shd w:val="clear" w:color="auto" w:fill="auto"/>
          </w:tcPr>
          <w:p w:rsidR="00E34ACB" w:rsidRDefault="00A0107A">
            <w:pPr>
              <w:autoSpaceDE w:val="0"/>
              <w:autoSpaceDN w:val="0"/>
              <w:adjustRightInd w:val="0"/>
              <w:jc w:val="both"/>
              <w:rPr>
                <w:rFonts w:ascii="Arial" w:hAnsi="Arial" w:cs="Arial"/>
                <w:noProof/>
                <w:color w:val="000000"/>
                <w:sz w:val="20"/>
              </w:rPr>
            </w:pPr>
            <w:r>
              <w:rPr>
                <w:rFonts w:ascii="Arial" w:hAnsi="Arial"/>
                <w:noProof/>
                <w:color w:val="000000"/>
                <w:sz w:val="20"/>
              </w:rPr>
              <w:t>Finanšu stabilitātes un Komisijas nodarbinātības un izaugsmes programmas interesēs, ir ļoti nepieciešams: risināt vairākus trūkumus esošajā regulatīvajā satvarā, īstenot vairākus pēckrīzes starptautiskus pasākumus un steidzami pabeigt banku savienības inic</w:t>
            </w:r>
            <w:r>
              <w:rPr>
                <w:rFonts w:ascii="Arial" w:hAnsi="Arial"/>
                <w:noProof/>
                <w:color w:val="000000"/>
                <w:sz w:val="20"/>
              </w:rPr>
              <w:t>iatīvas.  Konkrētāk, patlaban finanšu stabilitāti apdraud būtiski riski, un bažas rada tas, ka nav ilgtspējīga ekonomikas banku finansējuma. Turklāt ir jādara vairāk, lai nodrošinātu, ka nodokļu maksātājam nākotnē nebūtu jāuzņemas grūtībās nonākušas iestād</w:t>
            </w:r>
            <w:r>
              <w:rPr>
                <w:rFonts w:ascii="Arial" w:hAnsi="Arial"/>
                <w:noProof/>
                <w:color w:val="000000"/>
                <w:sz w:val="20"/>
              </w:rPr>
              <w:t xml:space="preserve">es, par kuru tiek uzskatīts, ka tā ir "pārāk liela, lai bankrotētu”, slogs. Ir arī svarīgi mēģināt un, ja iespējams, samazināt neproporcionālo regulatīvo un ar prasību izpildi saistīto slogu. </w:t>
            </w:r>
          </w:p>
          <w:p w:rsidR="00E34ACB" w:rsidRDefault="00E34ACB">
            <w:pPr>
              <w:jc w:val="both"/>
              <w:rPr>
                <w:rFonts w:ascii="Arial" w:hAnsi="Arial" w:cs="Arial"/>
                <w:noProof/>
                <w:sz w:val="20"/>
                <w:szCs w:val="20"/>
              </w:rPr>
            </w:pPr>
          </w:p>
          <w:p w:rsidR="00E34ACB" w:rsidRDefault="00A0107A">
            <w:pPr>
              <w:jc w:val="both"/>
              <w:rPr>
                <w:rFonts w:ascii="Arial" w:hAnsi="Arial" w:cs="Arial"/>
                <w:noProof/>
                <w:sz w:val="20"/>
                <w:szCs w:val="20"/>
              </w:rPr>
            </w:pPr>
            <w:r>
              <w:rPr>
                <w:rFonts w:ascii="Arial" w:hAnsi="Arial"/>
                <w:noProof/>
                <w:sz w:val="20"/>
              </w:rPr>
              <w:t xml:space="preserve">Šos jautājumus daļēji var saistīt ar šādiem faktoriem: </w:t>
            </w:r>
          </w:p>
          <w:p w:rsidR="00E34ACB" w:rsidRDefault="00A0107A">
            <w:pPr>
              <w:pStyle w:val="ListParagraph"/>
              <w:numPr>
                <w:ilvl w:val="0"/>
                <w:numId w:val="11"/>
              </w:numPr>
              <w:jc w:val="both"/>
              <w:rPr>
                <w:rFonts w:ascii="Arial" w:hAnsi="Arial" w:cs="Arial"/>
                <w:noProof/>
                <w:sz w:val="20"/>
                <w:szCs w:val="20"/>
              </w:rPr>
            </w:pPr>
            <w:r>
              <w:rPr>
                <w:rFonts w:ascii="Arial" w:hAnsi="Arial"/>
                <w:noProof/>
                <w:sz w:val="20"/>
              </w:rPr>
              <w:t xml:space="preserve">risks saistībā ar pārmērīgu paļaušanos uz īstermiņa finansējumu ilgtermiņa darbību finansēšanai, </w:t>
            </w:r>
          </w:p>
          <w:p w:rsidR="00E34ACB" w:rsidRDefault="00A0107A">
            <w:pPr>
              <w:pStyle w:val="ListParagraph"/>
              <w:numPr>
                <w:ilvl w:val="0"/>
                <w:numId w:val="6"/>
              </w:numPr>
              <w:jc w:val="both"/>
              <w:rPr>
                <w:rFonts w:ascii="Arial" w:hAnsi="Arial" w:cs="Arial"/>
                <w:noProof/>
                <w:sz w:val="20"/>
                <w:szCs w:val="20"/>
              </w:rPr>
            </w:pPr>
            <w:r>
              <w:rPr>
                <w:rFonts w:ascii="Arial" w:hAnsi="Arial"/>
                <w:noProof/>
                <w:sz w:val="20"/>
              </w:rPr>
              <w:t>iestāžu pārmērīgas sviras risks,</w:t>
            </w:r>
          </w:p>
          <w:p w:rsidR="00E34ACB" w:rsidRDefault="00A0107A">
            <w:pPr>
              <w:pStyle w:val="ListParagraph"/>
              <w:numPr>
                <w:ilvl w:val="0"/>
                <w:numId w:val="6"/>
              </w:numPr>
              <w:jc w:val="both"/>
              <w:rPr>
                <w:rFonts w:ascii="Arial" w:hAnsi="Arial" w:cs="Arial"/>
                <w:noProof/>
                <w:sz w:val="20"/>
                <w:szCs w:val="20"/>
              </w:rPr>
            </w:pPr>
            <w:r>
              <w:rPr>
                <w:rFonts w:ascii="Arial" w:hAnsi="Arial"/>
                <w:noProof/>
                <w:sz w:val="20"/>
              </w:rPr>
              <w:t>neoptimālas kapitāla prasības MVU riska darījumiem,</w:t>
            </w:r>
          </w:p>
          <w:p w:rsidR="00E34ACB" w:rsidRDefault="00A0107A">
            <w:pPr>
              <w:pStyle w:val="ListParagraph"/>
              <w:numPr>
                <w:ilvl w:val="0"/>
                <w:numId w:val="6"/>
              </w:numPr>
              <w:jc w:val="both"/>
              <w:rPr>
                <w:rFonts w:ascii="Arial" w:hAnsi="Arial" w:cs="Arial"/>
                <w:noProof/>
                <w:sz w:val="20"/>
                <w:szCs w:val="20"/>
              </w:rPr>
            </w:pPr>
            <w:r>
              <w:rPr>
                <w:rFonts w:ascii="Arial" w:hAnsi="Arial"/>
                <w:noProof/>
                <w:sz w:val="20"/>
              </w:rPr>
              <w:t>sistēmiski nozīmīgu iestāžu haotiska bankrota risks,</w:t>
            </w:r>
          </w:p>
          <w:p w:rsidR="00E34ACB" w:rsidRDefault="00A0107A">
            <w:pPr>
              <w:pStyle w:val="ListParagraph"/>
              <w:numPr>
                <w:ilvl w:val="0"/>
                <w:numId w:val="6"/>
              </w:numPr>
              <w:jc w:val="both"/>
              <w:rPr>
                <w:rFonts w:ascii="Arial" w:hAnsi="Arial" w:cs="Arial"/>
                <w:noProof/>
                <w:sz w:val="20"/>
                <w:szCs w:val="20"/>
              </w:rPr>
            </w:pPr>
            <w:r>
              <w:rPr>
                <w:rFonts w:ascii="Arial" w:hAnsi="Arial"/>
                <w:noProof/>
                <w:sz w:val="20"/>
              </w:rPr>
              <w:t xml:space="preserve">iespējams bankrots, </w:t>
            </w:r>
            <w:r>
              <w:rPr>
                <w:rFonts w:ascii="Arial" w:hAnsi="Arial"/>
                <w:noProof/>
                <w:sz w:val="20"/>
              </w:rPr>
              <w:t>ko rada neatbilstīgas kapitāla prasības iestādēm, kā arī</w:t>
            </w:r>
          </w:p>
          <w:p w:rsidR="00E34ACB" w:rsidRDefault="00A0107A">
            <w:pPr>
              <w:pStyle w:val="ListParagraph"/>
              <w:numPr>
                <w:ilvl w:val="0"/>
                <w:numId w:val="6"/>
              </w:numPr>
              <w:jc w:val="both"/>
              <w:rPr>
                <w:rFonts w:ascii="Arial" w:hAnsi="Arial" w:cs="Arial"/>
                <w:noProof/>
                <w:sz w:val="20"/>
                <w:szCs w:val="20"/>
              </w:rPr>
            </w:pPr>
            <w:r>
              <w:rPr>
                <w:rFonts w:ascii="Arial" w:hAnsi="Arial"/>
                <w:noProof/>
                <w:sz w:val="20"/>
              </w:rPr>
              <w:t xml:space="preserve">konkrētu noregulējuma noteikumu nepietiekama saskaņošana (piemēram, noteikumi par maksātnespējas hierarhiju un moratoriju). </w:t>
            </w:r>
          </w:p>
          <w:p w:rsidR="00E34ACB" w:rsidRDefault="00E34ACB">
            <w:pPr>
              <w:jc w:val="both"/>
              <w:rPr>
                <w:rFonts w:ascii="Arial" w:hAnsi="Arial" w:cs="Arial"/>
                <w:noProof/>
                <w:sz w:val="20"/>
                <w:szCs w:val="20"/>
              </w:rPr>
            </w:pPr>
          </w:p>
        </w:tc>
      </w:tr>
      <w:tr w:rsidR="00E34ACB">
        <w:tc>
          <w:tcPr>
            <w:tcW w:w="10188" w:type="dxa"/>
            <w:tcBorders>
              <w:bottom w:val="single" w:sz="4" w:space="0" w:color="auto"/>
            </w:tcBorders>
            <w:shd w:val="clear" w:color="auto" w:fill="E6E6E6"/>
          </w:tcPr>
          <w:p w:rsidR="00E34ACB" w:rsidRDefault="00A0107A">
            <w:pPr>
              <w:spacing w:before="60" w:after="60"/>
              <w:jc w:val="both"/>
              <w:rPr>
                <w:rFonts w:ascii="Tahoma" w:hAnsi="Tahoma" w:cs="Tahoma"/>
                <w:noProof/>
                <w:sz w:val="20"/>
                <w:szCs w:val="20"/>
              </w:rPr>
            </w:pPr>
            <w:r>
              <w:rPr>
                <w:rFonts w:ascii="Tahoma" w:hAnsi="Tahoma"/>
                <w:b/>
                <w:noProof/>
                <w:sz w:val="20"/>
              </w:rPr>
              <w:t xml:space="preserve">Iniciatīvas mērķi </w:t>
            </w:r>
            <w:r>
              <w:rPr>
                <w:rFonts w:ascii="Tahoma" w:hAnsi="Tahoma"/>
                <w:noProof/>
                <w:sz w:val="20"/>
                <w:u w:val="single"/>
              </w:rPr>
              <w:t>Ne vairāk kā 8 rindiņas</w:t>
            </w:r>
          </w:p>
        </w:tc>
      </w:tr>
      <w:tr w:rsidR="00E34ACB">
        <w:tc>
          <w:tcPr>
            <w:tcW w:w="10188" w:type="dxa"/>
            <w:tcBorders>
              <w:bottom w:val="single" w:sz="4" w:space="0" w:color="auto"/>
            </w:tcBorders>
            <w:shd w:val="clear" w:color="auto" w:fill="auto"/>
          </w:tcPr>
          <w:p w:rsidR="00E34ACB" w:rsidRDefault="00A0107A">
            <w:pPr>
              <w:pStyle w:val="Text2"/>
              <w:spacing w:after="0"/>
              <w:ind w:left="0"/>
              <w:rPr>
                <w:rFonts w:ascii="Arial" w:hAnsi="Arial" w:cs="Arial"/>
                <w:noProof/>
                <w:sz w:val="20"/>
              </w:rPr>
            </w:pPr>
            <w:r>
              <w:rPr>
                <w:rFonts w:ascii="Arial" w:hAnsi="Arial"/>
                <w:noProof/>
                <w:sz w:val="20"/>
              </w:rPr>
              <w:t>Šīs iniciatīvas mērķis, pirmkārt, ir risināt jau iepriekš minētos jautājumus. Paralēli tā arī uzlabos riska apzināšanu un riska pakāpi prudenciālā regulējuma ietvarā, uzlabos G-SNB zaudējumu absorbcijas spēju un rekapitalizāciju un palielinās proporcionali</w:t>
            </w:r>
            <w:r>
              <w:rPr>
                <w:rFonts w:ascii="Arial" w:hAnsi="Arial"/>
                <w:noProof/>
                <w:sz w:val="20"/>
              </w:rPr>
              <w:t xml:space="preserve">tāti. Turklāt mēs paredzam, ka šī iniciatīva samazinās administratīvo slogu, atbilstības izmaksas un riska arbitrāžas iespējas, vienlaikus uzlabojot vienlīdzīgus konkurences apstākļus un ieviešot lielāku juridisko noteiktību un saskaņotību. </w:t>
            </w:r>
          </w:p>
        </w:tc>
      </w:tr>
      <w:tr w:rsidR="00E34ACB">
        <w:tc>
          <w:tcPr>
            <w:tcW w:w="10188" w:type="dxa"/>
            <w:tcBorders>
              <w:bottom w:val="single" w:sz="4" w:space="0" w:color="auto"/>
            </w:tcBorders>
            <w:shd w:val="clear" w:color="auto" w:fill="E6E6E6"/>
          </w:tcPr>
          <w:p w:rsidR="00E34ACB" w:rsidRDefault="00A0107A">
            <w:pPr>
              <w:spacing w:before="60" w:after="60"/>
              <w:jc w:val="both"/>
              <w:rPr>
                <w:rFonts w:ascii="Tahoma" w:hAnsi="Tahoma" w:cs="Tahoma"/>
                <w:noProof/>
                <w:sz w:val="20"/>
                <w:szCs w:val="20"/>
              </w:rPr>
            </w:pPr>
            <w:r>
              <w:rPr>
                <w:rFonts w:ascii="Tahoma" w:hAnsi="Tahoma"/>
                <w:b/>
                <w:noProof/>
                <w:sz w:val="20"/>
              </w:rPr>
              <w:t>ES mēroga rīc</w:t>
            </w:r>
            <w:r>
              <w:rPr>
                <w:rFonts w:ascii="Tahoma" w:hAnsi="Tahoma"/>
                <w:b/>
                <w:noProof/>
                <w:sz w:val="20"/>
              </w:rPr>
              <w:t>ības pievienotā vērtība</w:t>
            </w:r>
            <w:r>
              <w:rPr>
                <w:rFonts w:ascii="Tahoma" w:hAnsi="Tahoma"/>
                <w:noProof/>
                <w:sz w:val="20"/>
              </w:rPr>
              <w:t xml:space="preserve"> </w:t>
            </w:r>
            <w:r>
              <w:rPr>
                <w:rFonts w:ascii="Tahoma" w:hAnsi="Tahoma"/>
                <w:noProof/>
                <w:sz w:val="20"/>
                <w:u w:val="single"/>
              </w:rPr>
              <w:t>Ne vairāk kā 7 rindiņas</w:t>
            </w:r>
            <w:r>
              <w:rPr>
                <w:rFonts w:ascii="Tahoma" w:hAnsi="Tahoma"/>
                <w:noProof/>
                <w:sz w:val="20"/>
              </w:rPr>
              <w:t xml:space="preserve"> </w:t>
            </w:r>
          </w:p>
        </w:tc>
      </w:tr>
      <w:tr w:rsidR="00E34ACB">
        <w:tc>
          <w:tcPr>
            <w:tcW w:w="10188" w:type="dxa"/>
            <w:tcBorders>
              <w:bottom w:val="single" w:sz="4" w:space="0" w:color="auto"/>
            </w:tcBorders>
            <w:shd w:val="clear" w:color="auto" w:fill="auto"/>
          </w:tcPr>
          <w:p w:rsidR="00E34ACB" w:rsidRDefault="00A0107A">
            <w:pPr>
              <w:jc w:val="both"/>
              <w:rPr>
                <w:rFonts w:ascii="Arial" w:hAnsi="Arial" w:cs="Arial"/>
                <w:noProof/>
                <w:sz w:val="20"/>
                <w:szCs w:val="20"/>
              </w:rPr>
            </w:pPr>
            <w:r>
              <w:rPr>
                <w:rFonts w:ascii="Arial" w:hAnsi="Arial"/>
                <w:noProof/>
                <w:sz w:val="20"/>
              </w:rPr>
              <w:t>Ir nepieciešama darbība ES mērogā, jo iestādēm paredzētās prudenciālās prasības jau izskata ES līmenī. Tādēļ par vislabāko alternatīvu uzskata grozījumus KPR, KPD un BAND juridiskajos instrumentos (attiecīb</w:t>
            </w:r>
            <w:r>
              <w:rPr>
                <w:rFonts w:ascii="Arial" w:hAnsi="Arial"/>
                <w:noProof/>
                <w:sz w:val="20"/>
              </w:rPr>
              <w:t>ā uz juridisko pamatu KPR un BAND gadījumā skatīt LESD 114. pantu un KPD gadījumā – LESD 53. panta 1. punktu). Turpmāka rīcība ES līmenī veicinātu regulatīvo standartu vienādu piemērošanu un uzraudzības prakšu konverģenci. Tā arī nodrošinātu vienlīdzīgus k</w:t>
            </w:r>
            <w:r>
              <w:rPr>
                <w:rFonts w:ascii="Arial" w:hAnsi="Arial"/>
                <w:noProof/>
                <w:sz w:val="20"/>
              </w:rPr>
              <w:t>onkurences apstākļus visā ES, kas ir svarīgi, jo bankas, arī ja tās atšķiras pēc ģeogrāfiskā tvēruma, darbojas tirgos ar plašāku ģeogrāfisko tvērumu un var sniegt pakalpojumus un veikt uzņēmējdarbību citās dalībvalstīs. Dalībvalstis un valstu kompetentās i</w:t>
            </w:r>
            <w:r>
              <w:rPr>
                <w:rFonts w:ascii="Arial" w:hAnsi="Arial"/>
                <w:noProof/>
                <w:sz w:val="20"/>
              </w:rPr>
              <w:t>estādes tomēr saglabātu esošās pilnvaras risināt konkrētus valsts ekonomikas un finanšu jautājumus (makroprudenciālā politika un sistēmiskā riska rezerves).</w:t>
            </w:r>
          </w:p>
        </w:tc>
      </w:tr>
      <w:tr w:rsidR="00E34ACB">
        <w:tc>
          <w:tcPr>
            <w:tcW w:w="10188" w:type="dxa"/>
            <w:tcBorders>
              <w:bottom w:val="single" w:sz="4" w:space="0" w:color="auto"/>
            </w:tcBorders>
            <w:shd w:val="clear" w:color="auto" w:fill="CCCCCC"/>
          </w:tcPr>
          <w:p w:rsidR="00E34ACB" w:rsidRDefault="00A0107A">
            <w:pPr>
              <w:spacing w:before="60" w:after="60"/>
              <w:jc w:val="center"/>
              <w:rPr>
                <w:rFonts w:ascii="Tahoma" w:hAnsi="Tahoma" w:cs="Tahoma"/>
                <w:b/>
                <w:noProof/>
                <w:sz w:val="22"/>
                <w:szCs w:val="22"/>
              </w:rPr>
            </w:pPr>
            <w:r>
              <w:rPr>
                <w:rFonts w:ascii="Tahoma" w:hAnsi="Tahoma"/>
                <w:b/>
                <w:noProof/>
                <w:sz w:val="22"/>
              </w:rPr>
              <w:t>B. Risinājuma varianti</w:t>
            </w:r>
          </w:p>
        </w:tc>
      </w:tr>
      <w:tr w:rsidR="00E34ACB">
        <w:tc>
          <w:tcPr>
            <w:tcW w:w="10188" w:type="dxa"/>
            <w:tcBorders>
              <w:bottom w:val="single" w:sz="4" w:space="0" w:color="auto"/>
            </w:tcBorders>
            <w:shd w:val="clear" w:color="auto" w:fill="E6E6E6"/>
          </w:tcPr>
          <w:p w:rsidR="00E34ACB" w:rsidRDefault="00A0107A">
            <w:pPr>
              <w:spacing w:before="60"/>
              <w:jc w:val="both"/>
              <w:rPr>
                <w:rFonts w:ascii="Tahoma" w:hAnsi="Tahoma" w:cs="Tahoma"/>
                <w:noProof/>
                <w:sz w:val="20"/>
                <w:szCs w:val="20"/>
              </w:rPr>
            </w:pPr>
            <w:r>
              <w:rPr>
                <w:rFonts w:ascii="Tahoma" w:hAnsi="Tahoma"/>
                <w:b/>
                <w:noProof/>
                <w:sz w:val="20"/>
              </w:rPr>
              <w:t>Līdz šim apsvērtie politikas risinājuma varianti (likumdošana un citi).</w:t>
            </w:r>
            <w:r>
              <w:rPr>
                <w:rFonts w:ascii="Tahoma" w:hAnsi="Tahoma"/>
                <w:noProof/>
                <w:sz w:val="20"/>
              </w:rPr>
              <w:t xml:space="preserve"> </w:t>
            </w:r>
            <w:r>
              <w:rPr>
                <w:rFonts w:ascii="Tahoma" w:hAnsi="Tahoma"/>
                <w:b/>
                <w:noProof/>
                <w:sz w:val="20"/>
              </w:rPr>
              <w:t xml:space="preserve">Vēlamais risinājuma variants (ja ir). Šādas izvēles iemesli </w:t>
            </w:r>
            <w:r>
              <w:rPr>
                <w:rFonts w:ascii="Tahoma" w:hAnsi="Tahoma"/>
                <w:noProof/>
                <w:sz w:val="20"/>
                <w:u w:val="single"/>
              </w:rPr>
              <w:t>Ne vairāk kā 14 rindiņas</w:t>
            </w:r>
            <w:r>
              <w:rPr>
                <w:rFonts w:ascii="Tahoma" w:hAnsi="Tahoma"/>
                <w:noProof/>
                <w:sz w:val="20"/>
              </w:rPr>
              <w:t xml:space="preserve"> </w:t>
            </w:r>
          </w:p>
        </w:tc>
      </w:tr>
      <w:tr w:rsidR="00E34ACB">
        <w:tc>
          <w:tcPr>
            <w:tcW w:w="10188" w:type="dxa"/>
            <w:tcBorders>
              <w:bottom w:val="single" w:sz="4" w:space="0" w:color="auto"/>
            </w:tcBorders>
            <w:shd w:val="clear" w:color="auto" w:fill="auto"/>
          </w:tcPr>
          <w:p w:rsidR="00E34ACB" w:rsidRDefault="00A0107A">
            <w:pPr>
              <w:spacing w:before="240"/>
              <w:jc w:val="both"/>
              <w:rPr>
                <w:rFonts w:ascii="Arial" w:hAnsi="Arial" w:cs="Arial"/>
                <w:noProof/>
                <w:color w:val="000000"/>
                <w:sz w:val="20"/>
                <w:szCs w:val="20"/>
              </w:rPr>
            </w:pPr>
            <w:r>
              <w:rPr>
                <w:rFonts w:ascii="Arial" w:hAnsi="Arial"/>
                <w:noProof/>
                <w:color w:val="000000"/>
                <w:sz w:val="20"/>
              </w:rPr>
              <w:t xml:space="preserve">Attiecībā uz visiem priekšlikumu aspektiem tika izskatīti ar likumdošanu saistīti un nesaistīti varianti. Tomēr juridiskās noteiktības interesēs un lai nodrošinātu </w:t>
            </w:r>
            <w:r>
              <w:rPr>
                <w:rFonts w:ascii="Arial" w:hAnsi="Arial"/>
                <w:noProof/>
                <w:color w:val="000000"/>
                <w:sz w:val="20"/>
              </w:rPr>
              <w:t>vienlīdzīgus konkurences apstākļus ES un globālā līmenī, būs nepieciešams īstenot priekšlikumus kā likumdošanas politikas risinājumus, jo īpaši lai īstenotu Bāzeles Banku uzraudzības komitejas (BBUK) un Finanšu stabilitātes padomes (FSP) starptautiskos sta</w:t>
            </w:r>
            <w:r>
              <w:rPr>
                <w:rFonts w:ascii="Arial" w:hAnsi="Arial"/>
                <w:noProof/>
                <w:color w:val="000000"/>
                <w:sz w:val="20"/>
              </w:rPr>
              <w:t>ndartus.</w:t>
            </w:r>
          </w:p>
          <w:p w:rsidR="00E34ACB" w:rsidRDefault="00A0107A">
            <w:pPr>
              <w:spacing w:before="240"/>
              <w:jc w:val="both"/>
              <w:rPr>
                <w:rFonts w:ascii="Arial" w:hAnsi="Arial" w:cs="Arial"/>
                <w:noProof/>
                <w:sz w:val="20"/>
                <w:szCs w:val="20"/>
              </w:rPr>
            </w:pPr>
            <w:r>
              <w:rPr>
                <w:rFonts w:ascii="Arial" w:hAnsi="Arial"/>
                <w:noProof/>
                <w:color w:val="000000"/>
                <w:sz w:val="20"/>
              </w:rPr>
              <w:t>Līdzīgi, riska darījumiem ar MVU paredzēto kapitāla prasību rekalibrēšanu, kas atbalsta Komisijas mērķi izaugsmei un nodarbinātībai, varētu panākt, vienīgi izdarot grozījumus KPR.</w:t>
            </w:r>
            <w:r>
              <w:rPr>
                <w:rFonts w:ascii="Arial" w:hAnsi="Arial"/>
                <w:noProof/>
                <w:sz w:val="20"/>
              </w:rPr>
              <w:t xml:space="preserve"> </w:t>
            </w:r>
          </w:p>
          <w:p w:rsidR="00E34ACB" w:rsidRDefault="00E34ACB">
            <w:pPr>
              <w:jc w:val="both"/>
              <w:rPr>
                <w:rFonts w:ascii="Arial" w:hAnsi="Arial" w:cs="Arial"/>
                <w:noProof/>
                <w:color w:val="000000"/>
                <w:sz w:val="20"/>
                <w:szCs w:val="20"/>
              </w:rPr>
            </w:pPr>
          </w:p>
          <w:p w:rsidR="00E34ACB" w:rsidRDefault="00A0107A">
            <w:pPr>
              <w:jc w:val="both"/>
              <w:rPr>
                <w:rFonts w:ascii="Arial" w:hAnsi="Arial" w:cs="Arial"/>
                <w:noProof/>
                <w:sz w:val="20"/>
                <w:szCs w:val="20"/>
              </w:rPr>
            </w:pPr>
            <w:r>
              <w:rPr>
                <w:rFonts w:ascii="Arial" w:hAnsi="Arial"/>
                <w:noProof/>
                <w:sz w:val="20"/>
              </w:rPr>
              <w:t>Turklāt attiecībā uz proporcionalitātes mērķi, būtu obligāti jāve</w:t>
            </w:r>
            <w:r>
              <w:rPr>
                <w:rFonts w:ascii="Arial" w:hAnsi="Arial"/>
                <w:noProof/>
                <w:sz w:val="20"/>
              </w:rPr>
              <w:t xml:space="preserve">ic izmaiņas juridiskajā tekstā. Tās ietver vai nu dažu pienākumu atcelšanu esošajos tiesību aktos (piem., dažu prasību par informācijas atklāšanu samazināšanu attiecībā uz mazāk nozīmīgām iestādēm, dažu atalgojuma prasību atcelšanu mazākām un </w:t>
            </w:r>
            <w:r>
              <w:rPr>
                <w:rFonts w:ascii="Arial" w:hAnsi="Arial"/>
                <w:noProof/>
                <w:sz w:val="20"/>
              </w:rPr>
              <w:lastRenderedPageBreak/>
              <w:t xml:space="preserve">nesarežģītām </w:t>
            </w:r>
            <w:r>
              <w:rPr>
                <w:rFonts w:ascii="Arial" w:hAnsi="Arial"/>
                <w:noProof/>
                <w:sz w:val="20"/>
              </w:rPr>
              <w:t xml:space="preserve">iestādēm), vai arī juridisko prasību neieviešanu attiecībā uz dažām iestādēm (piem., </w:t>
            </w:r>
            <w:r>
              <w:rPr>
                <w:rFonts w:ascii="Arial" w:hAnsi="Arial"/>
                <w:i/>
                <w:noProof/>
                <w:sz w:val="20"/>
              </w:rPr>
              <w:t>TLAC</w:t>
            </w:r>
            <w:r>
              <w:rPr>
                <w:rFonts w:ascii="Arial" w:hAnsi="Arial"/>
                <w:noProof/>
                <w:sz w:val="20"/>
              </w:rPr>
              <w:t xml:space="preserve"> prasības attiecināšana tikai uz globāli sistēmiski nozīmīgām iestādēm (G-SNI) vai sviras rādītāja prasības nepiemērošana valsts attīstības bankām).</w:t>
            </w:r>
          </w:p>
          <w:p w:rsidR="00E34ACB" w:rsidRDefault="00E34ACB">
            <w:pPr>
              <w:jc w:val="both"/>
              <w:rPr>
                <w:rFonts w:ascii="Arial" w:hAnsi="Arial" w:cs="Arial"/>
                <w:noProof/>
                <w:sz w:val="20"/>
                <w:szCs w:val="20"/>
              </w:rPr>
            </w:pPr>
          </w:p>
          <w:p w:rsidR="00E34ACB" w:rsidRDefault="00A0107A">
            <w:pPr>
              <w:jc w:val="both"/>
              <w:rPr>
                <w:rFonts w:ascii="Arial" w:hAnsi="Arial" w:cs="Arial"/>
                <w:noProof/>
                <w:sz w:val="20"/>
                <w:szCs w:val="20"/>
              </w:rPr>
            </w:pPr>
            <w:r>
              <w:rPr>
                <w:rFonts w:ascii="Arial" w:hAnsi="Arial"/>
                <w:noProof/>
                <w:sz w:val="20"/>
              </w:rPr>
              <w:t>Turklāt ir nepiec</w:t>
            </w:r>
            <w:r>
              <w:rPr>
                <w:rFonts w:ascii="Arial" w:hAnsi="Arial"/>
                <w:noProof/>
                <w:sz w:val="20"/>
              </w:rPr>
              <w:t>iešams risināt saskaņošanas trūkumu noregulējuma noteikumos, un to var sasniegt, tikai ieviešot risinājumus, kas veicina lielāku saskaņotību moratorija instrumentu piemērošanā, un uzlabojot iestāžu kreditoru maksātnespējas hierarhiju.</w:t>
            </w:r>
          </w:p>
          <w:p w:rsidR="00E34ACB" w:rsidRDefault="00E34ACB">
            <w:pPr>
              <w:jc w:val="both"/>
              <w:rPr>
                <w:rFonts w:ascii="Arial" w:hAnsi="Arial" w:cs="Arial"/>
                <w:noProof/>
                <w:sz w:val="20"/>
                <w:szCs w:val="20"/>
              </w:rPr>
            </w:pPr>
          </w:p>
        </w:tc>
      </w:tr>
      <w:tr w:rsidR="00E34ACB">
        <w:tc>
          <w:tcPr>
            <w:tcW w:w="10188" w:type="dxa"/>
            <w:shd w:val="clear" w:color="auto" w:fill="CCCCCC"/>
          </w:tcPr>
          <w:p w:rsidR="00E34ACB" w:rsidRDefault="00A0107A">
            <w:pPr>
              <w:spacing w:before="60"/>
              <w:jc w:val="both"/>
              <w:rPr>
                <w:rFonts w:ascii="Tahoma" w:hAnsi="Tahoma" w:cs="Tahoma"/>
                <w:noProof/>
                <w:sz w:val="20"/>
                <w:szCs w:val="20"/>
              </w:rPr>
            </w:pPr>
            <w:r>
              <w:rPr>
                <w:rFonts w:ascii="Tahoma" w:hAnsi="Tahoma"/>
                <w:b/>
                <w:noProof/>
                <w:sz w:val="20"/>
              </w:rPr>
              <w:lastRenderedPageBreak/>
              <w:t xml:space="preserve">Risinājuma variantu atbalstītāji </w:t>
            </w:r>
            <w:r>
              <w:rPr>
                <w:rFonts w:ascii="Tahoma" w:hAnsi="Tahoma"/>
                <w:noProof/>
                <w:sz w:val="20"/>
                <w:u w:val="single"/>
              </w:rPr>
              <w:t>Ne vairāk kā 7 rindiņas</w:t>
            </w:r>
            <w:r>
              <w:rPr>
                <w:rFonts w:ascii="Tahoma" w:hAnsi="Tahoma"/>
                <w:noProof/>
                <w:sz w:val="20"/>
              </w:rPr>
              <w:t xml:space="preserve"> </w:t>
            </w:r>
          </w:p>
        </w:tc>
      </w:tr>
      <w:tr w:rsidR="00E34ACB">
        <w:tc>
          <w:tcPr>
            <w:tcW w:w="10188" w:type="dxa"/>
            <w:shd w:val="clear" w:color="auto" w:fill="auto"/>
          </w:tcPr>
          <w:p w:rsidR="00E34ACB" w:rsidRDefault="00A0107A">
            <w:pPr>
              <w:jc w:val="both"/>
              <w:rPr>
                <w:rFonts w:ascii="Arial" w:hAnsi="Arial" w:cs="Arial"/>
                <w:noProof/>
                <w:sz w:val="20"/>
                <w:szCs w:val="20"/>
              </w:rPr>
            </w:pPr>
            <w:r>
              <w:rPr>
                <w:rFonts w:ascii="Arial" w:hAnsi="Arial"/>
                <w:noProof/>
                <w:sz w:val="20"/>
              </w:rPr>
              <w:t>Attiecībā uz ietekmes novērtējumā izskatīto lielāko daļu priekšlikumu iestādes parasti ierosinātu prudenciālo prasību samazinājumu, savukārt uzraudzības iestādes aizstāvētu piesardzīgāku pieeju, ka</w:t>
            </w:r>
            <w:r>
              <w:rPr>
                <w:rFonts w:ascii="Arial" w:hAnsi="Arial"/>
                <w:noProof/>
                <w:sz w:val="20"/>
              </w:rPr>
              <w:t>s atspoguļota BBUK sagatavotajos standartos. Uzņēmumi, jo īpaši MVU, ieteiktu paplašināt kapitāla samazinājumus attiecībā uz riska darījumiem ar MVU.</w:t>
            </w:r>
          </w:p>
          <w:p w:rsidR="00E34ACB" w:rsidRDefault="00A0107A">
            <w:pPr>
              <w:spacing w:before="240"/>
              <w:jc w:val="both"/>
              <w:rPr>
                <w:rFonts w:ascii="Arial" w:hAnsi="Arial" w:cs="Arial"/>
                <w:noProof/>
                <w:sz w:val="20"/>
                <w:szCs w:val="20"/>
              </w:rPr>
            </w:pPr>
            <w:r>
              <w:rPr>
                <w:rFonts w:ascii="Arial" w:hAnsi="Arial"/>
                <w:noProof/>
                <w:sz w:val="20"/>
              </w:rPr>
              <w:t>Tomēr gan nozare, gan uzraudzības iestādes gandrīz vienbalsīgi atbalsta proporcionalitātes principa piemēr</w:t>
            </w:r>
            <w:r>
              <w:rPr>
                <w:rFonts w:ascii="Arial" w:hAnsi="Arial"/>
                <w:noProof/>
                <w:sz w:val="20"/>
              </w:rPr>
              <w:t>ošanas precizēšanu attiecībā uz atalgojumu.</w:t>
            </w:r>
          </w:p>
        </w:tc>
      </w:tr>
    </w:tbl>
    <w:p w:rsidR="00E34ACB" w:rsidRDefault="00E34ACB">
      <w:pPr>
        <w:rPr>
          <w:rFonts w:ascii="Arial" w:hAnsi="Arial" w:cs="Arial"/>
          <w:noProof/>
          <w:sz w:val="12"/>
          <w:szCs w:val="12"/>
        </w:rPr>
      </w:pPr>
    </w:p>
    <w:p w:rsidR="00E34ACB" w:rsidRDefault="00E34ACB">
      <w:pPr>
        <w:rPr>
          <w:rFonts w:ascii="Arial" w:hAnsi="Arial" w:cs="Arial"/>
          <w:noProof/>
          <w:sz w:val="12"/>
          <w:szCs w:val="12"/>
        </w:rPr>
      </w:pPr>
    </w:p>
    <w:tbl>
      <w:tblPr>
        <w:tblStyle w:val="TableGrid"/>
        <w:tblW w:w="10188" w:type="dxa"/>
        <w:tblLook w:val="01E0" w:firstRow="1" w:lastRow="1" w:firstColumn="1" w:lastColumn="1" w:noHBand="0" w:noVBand="0"/>
      </w:tblPr>
      <w:tblGrid>
        <w:gridCol w:w="10188"/>
      </w:tblGrid>
      <w:tr w:rsidR="00E34ACB">
        <w:tc>
          <w:tcPr>
            <w:tcW w:w="10188" w:type="dxa"/>
            <w:tcBorders>
              <w:bottom w:val="single" w:sz="4" w:space="0" w:color="auto"/>
            </w:tcBorders>
            <w:shd w:val="clear" w:color="auto" w:fill="CCCCCC"/>
          </w:tcPr>
          <w:p w:rsidR="00E34ACB" w:rsidRDefault="00A0107A">
            <w:pPr>
              <w:spacing w:before="60" w:after="60"/>
              <w:jc w:val="center"/>
              <w:rPr>
                <w:rFonts w:ascii="Tahoma" w:hAnsi="Tahoma" w:cs="Tahoma"/>
                <w:b/>
                <w:noProof/>
                <w:sz w:val="22"/>
                <w:szCs w:val="22"/>
              </w:rPr>
            </w:pPr>
            <w:r>
              <w:rPr>
                <w:rFonts w:ascii="Tahoma" w:hAnsi="Tahoma"/>
                <w:b/>
                <w:noProof/>
                <w:sz w:val="22"/>
              </w:rPr>
              <w:t>C. Vēlamā risinājuma varianta ietekme</w:t>
            </w:r>
          </w:p>
        </w:tc>
      </w:tr>
      <w:tr w:rsidR="00E34ACB">
        <w:tc>
          <w:tcPr>
            <w:tcW w:w="10188" w:type="dxa"/>
            <w:tcBorders>
              <w:bottom w:val="single" w:sz="4" w:space="0" w:color="auto"/>
            </w:tcBorders>
            <w:shd w:val="clear" w:color="auto" w:fill="E6E6E6"/>
          </w:tcPr>
          <w:p w:rsidR="00E34ACB" w:rsidRDefault="00A0107A">
            <w:pPr>
              <w:spacing w:before="60" w:after="60"/>
              <w:jc w:val="both"/>
              <w:rPr>
                <w:rFonts w:ascii="Tahoma" w:hAnsi="Tahoma" w:cs="Tahoma"/>
                <w:noProof/>
                <w:sz w:val="20"/>
                <w:szCs w:val="20"/>
              </w:rPr>
            </w:pPr>
            <w:r>
              <w:rPr>
                <w:b/>
                <w:noProof/>
              </w:rPr>
              <w:t>Ieguvums no vēlamā risinājuma varianta (ja tāds ir, pretējā gadījumā — no galvenajiem risinājuma variantiem)</w:t>
            </w:r>
            <w:r>
              <w:rPr>
                <w:rFonts w:ascii="Tahoma" w:hAnsi="Tahoma"/>
                <w:noProof/>
                <w:sz w:val="20"/>
              </w:rPr>
              <w:t xml:space="preserve"> </w:t>
            </w:r>
            <w:r>
              <w:rPr>
                <w:rFonts w:ascii="Tahoma" w:hAnsi="Tahoma"/>
                <w:noProof/>
                <w:sz w:val="20"/>
                <w:u w:val="single"/>
              </w:rPr>
              <w:t>Ne vairāk kā 12 rindiņas</w:t>
            </w:r>
            <w:r>
              <w:rPr>
                <w:rFonts w:ascii="Tahoma" w:hAnsi="Tahoma"/>
                <w:noProof/>
                <w:sz w:val="20"/>
              </w:rPr>
              <w:t xml:space="preserve">                                      </w:t>
            </w:r>
          </w:p>
        </w:tc>
      </w:tr>
      <w:tr w:rsidR="00E34ACB">
        <w:tc>
          <w:tcPr>
            <w:tcW w:w="10188" w:type="dxa"/>
            <w:tcBorders>
              <w:bottom w:val="single" w:sz="4" w:space="0" w:color="auto"/>
            </w:tcBorders>
            <w:shd w:val="clear" w:color="auto" w:fill="auto"/>
          </w:tcPr>
          <w:p w:rsidR="00E34ACB" w:rsidRDefault="00A0107A">
            <w:pPr>
              <w:spacing w:after="120"/>
              <w:jc w:val="both"/>
              <w:rPr>
                <w:rFonts w:ascii="Arial" w:hAnsi="Arial" w:cs="Arial"/>
                <w:noProof/>
                <w:sz w:val="20"/>
                <w:szCs w:val="20"/>
              </w:rPr>
            </w:pPr>
            <w:r>
              <w:rPr>
                <w:rFonts w:ascii="Arial" w:hAnsi="Arial"/>
                <w:noProof/>
                <w:sz w:val="20"/>
              </w:rPr>
              <w:t>Dažādu vēlamo variantu īstenošana nodrošinātu, ka ES iestādes i) būtu labāk kapitalizētas, ii) tām būtu stabilāki finansējuma avoti, iii) tām nebūtu pārmērīgi liels parādsaistību īpatsvars bilancēs un iv) tās tiktu e</w:t>
            </w:r>
            <w:r>
              <w:rPr>
                <w:rFonts w:ascii="Arial" w:hAnsi="Arial"/>
                <w:noProof/>
                <w:sz w:val="20"/>
              </w:rPr>
              <w:t>fektīvāk noregulētas. Līdz ar to tās būtu labākā situācijā, lai izturētu ekonomikas satricinājumus. Tas savukārt samazinātu to bankrota risku un samazinātu iespējamību, ka tās būtu jāglābj publiskajam sektoram. Ja iestāde (jo īpaši G-SNI) nonāktu grūtībās,</w:t>
            </w:r>
            <w:r>
              <w:rPr>
                <w:rFonts w:ascii="Arial" w:hAnsi="Arial"/>
                <w:noProof/>
                <w:sz w:val="20"/>
              </w:rPr>
              <w:t xml:space="preserve"> ar konkrētu mērķtiecīgu pasākumu ieviešanu noregulējuma procesa stiprināšanai būtu jānodrošina, ka iestāde tiktu noregulēta, minimāli ietekmējot nodokļu maksātājus.</w:t>
            </w:r>
          </w:p>
          <w:p w:rsidR="00E34ACB" w:rsidRDefault="00A0107A">
            <w:pPr>
              <w:spacing w:before="240"/>
              <w:jc w:val="both"/>
              <w:rPr>
                <w:rFonts w:ascii="Arial" w:hAnsi="Arial" w:cs="Arial"/>
                <w:i/>
                <w:noProof/>
                <w:sz w:val="20"/>
                <w:szCs w:val="20"/>
              </w:rPr>
            </w:pPr>
            <w:bookmarkStart w:id="2" w:name="_Toc457218461"/>
            <w:bookmarkStart w:id="3" w:name="_Toc457218462"/>
            <w:bookmarkStart w:id="4" w:name="_Toc457218463"/>
            <w:bookmarkStart w:id="5" w:name="_Toc457218464"/>
            <w:bookmarkStart w:id="6" w:name="_Toc457218465"/>
            <w:bookmarkEnd w:id="2"/>
            <w:bookmarkEnd w:id="3"/>
            <w:bookmarkEnd w:id="4"/>
            <w:bookmarkEnd w:id="5"/>
            <w:bookmarkEnd w:id="6"/>
            <w:r>
              <w:rPr>
                <w:rFonts w:ascii="Arial" w:hAnsi="Arial"/>
                <w:noProof/>
                <w:sz w:val="20"/>
              </w:rPr>
              <w:t xml:space="preserve">Turklāt papildu pasākumiem, lai palielinātu dažu  (ar ziņošanu, informācijas atklāšanu un </w:t>
            </w:r>
            <w:r>
              <w:rPr>
                <w:rFonts w:ascii="Arial" w:hAnsi="Arial"/>
                <w:noProof/>
                <w:sz w:val="20"/>
              </w:rPr>
              <w:t>atalgojumu saistītu) prasību proporcionalitāti, būtu jāsamazina administratīvais un ar atbilstības nodrošināšanu saistītais slogs mazākām/nesarežģītām iestādēm. Arī pasākumiem, kas tiek apsvērti banku noregulējuma kontekstā, būtu jānodrošina juridiskā note</w:t>
            </w:r>
            <w:r>
              <w:rPr>
                <w:rFonts w:ascii="Arial" w:hAnsi="Arial"/>
                <w:noProof/>
                <w:sz w:val="20"/>
              </w:rPr>
              <w:t>iktība un tādējādi – lielāka noteiktība noregulējuma iestādēm un iestādēm, kā arī jāpalielina ieguldītāju uzticēšanās.</w:t>
            </w:r>
            <w:r>
              <w:rPr>
                <w:rFonts w:ascii="Arial" w:hAnsi="Arial"/>
                <w:i/>
                <w:noProof/>
                <w:sz w:val="20"/>
              </w:rPr>
              <w:t xml:space="preserve"> </w:t>
            </w:r>
          </w:p>
        </w:tc>
      </w:tr>
      <w:tr w:rsidR="00E34ACB">
        <w:tc>
          <w:tcPr>
            <w:tcW w:w="10188" w:type="dxa"/>
            <w:tcBorders>
              <w:bottom w:val="single" w:sz="4" w:space="0" w:color="auto"/>
            </w:tcBorders>
            <w:shd w:val="clear" w:color="auto" w:fill="E6E6E6"/>
          </w:tcPr>
          <w:p w:rsidR="00E34ACB" w:rsidRDefault="00A0107A">
            <w:pPr>
              <w:spacing w:before="60"/>
              <w:jc w:val="both"/>
              <w:rPr>
                <w:rFonts w:ascii="Tahoma" w:hAnsi="Tahoma" w:cs="Tahoma"/>
                <w:noProof/>
                <w:sz w:val="20"/>
                <w:szCs w:val="20"/>
              </w:rPr>
            </w:pPr>
            <w:r>
              <w:rPr>
                <w:rFonts w:ascii="Tahoma" w:hAnsi="Tahoma"/>
                <w:b/>
                <w:noProof/>
                <w:sz w:val="20"/>
              </w:rPr>
              <w:t>Izmaksas saistībā ar vēlamo risinājuma variantu (ja tāds ir, pretējā gadījumā — galveno risinājuma variantu izmaksas)</w:t>
            </w:r>
            <w:r>
              <w:rPr>
                <w:rFonts w:ascii="Tahoma" w:hAnsi="Tahoma"/>
                <w:noProof/>
                <w:sz w:val="20"/>
              </w:rPr>
              <w:t xml:space="preserve"> </w:t>
            </w:r>
            <w:r>
              <w:rPr>
                <w:rFonts w:ascii="Tahoma" w:hAnsi="Tahoma"/>
                <w:noProof/>
                <w:sz w:val="20"/>
                <w:u w:val="single"/>
              </w:rPr>
              <w:t xml:space="preserve">Ne vairāk kā 12 </w:t>
            </w:r>
            <w:r>
              <w:rPr>
                <w:rFonts w:ascii="Tahoma" w:hAnsi="Tahoma"/>
                <w:noProof/>
                <w:sz w:val="20"/>
                <w:u w:val="single"/>
              </w:rPr>
              <w:t>rindiņas</w:t>
            </w:r>
            <w:r>
              <w:rPr>
                <w:rFonts w:ascii="Tahoma" w:hAnsi="Tahoma"/>
                <w:noProof/>
                <w:sz w:val="20"/>
              </w:rPr>
              <w:t xml:space="preserve">                                      </w:t>
            </w:r>
          </w:p>
        </w:tc>
      </w:tr>
      <w:tr w:rsidR="00E34ACB">
        <w:tc>
          <w:tcPr>
            <w:tcW w:w="10188" w:type="dxa"/>
            <w:tcBorders>
              <w:bottom w:val="single" w:sz="4" w:space="0" w:color="auto"/>
            </w:tcBorders>
            <w:shd w:val="clear" w:color="auto" w:fill="auto"/>
          </w:tcPr>
          <w:p w:rsidR="00E34ACB" w:rsidRDefault="00A0107A">
            <w:pPr>
              <w:jc w:val="both"/>
              <w:rPr>
                <w:rFonts w:ascii="Arial" w:hAnsi="Arial" w:cs="Arial"/>
                <w:noProof/>
                <w:sz w:val="20"/>
                <w:szCs w:val="20"/>
              </w:rPr>
            </w:pPr>
            <w:r>
              <w:rPr>
                <w:rFonts w:ascii="Arial" w:hAnsi="Arial"/>
                <w:noProof/>
                <w:sz w:val="20"/>
              </w:rPr>
              <w:t>Tiktāl, ciktāl iestādei patlaban nav pietiekama pašu kapitāla, lai izpildītu jaunās (vai pārskatītās) pašu kapitāla prasības, kas ietvertas priekšlikumā, tai būtu vai nu jāpiesaista papildu pašu kapitāls, vai</w:t>
            </w:r>
            <w:r>
              <w:rPr>
                <w:rFonts w:ascii="Arial" w:hAnsi="Arial"/>
                <w:noProof/>
                <w:sz w:val="20"/>
              </w:rPr>
              <w:t xml:space="preserve"> arī jāsamazina savi riska darījumi. Līdzīgi, ja iestādei patlaban nav pietiekamu stabila finansējuma līdzekļu, lai izpildītu stabila finansējuma prasību, tai būtu jāpalielina papildu stabils finansējums vai jāmaina savu aktīvu termiņa struktūra. Tāpat arī</w:t>
            </w:r>
            <w:r>
              <w:rPr>
                <w:rFonts w:ascii="Arial" w:hAnsi="Arial"/>
                <w:noProof/>
                <w:sz w:val="20"/>
              </w:rPr>
              <w:t xml:space="preserve"> izmaiņas prasībās radītu vienreizējas izmaksas saistībā ar izmaiņām ziņošanas sistēmās. Tomēr mazāku iestāžu gadījumā zemākām regulāras ziņošanas izmaksām saistībā ar vienkāršojumiem ziņošanas un informācijas atklāšanas prasībās vajadzētu sniegt ieguvumus</w:t>
            </w:r>
            <w:r>
              <w:rPr>
                <w:rFonts w:ascii="Arial" w:hAnsi="Arial"/>
                <w:noProof/>
                <w:sz w:val="20"/>
              </w:rPr>
              <w:t xml:space="preserve"> neto izteiksmē. </w:t>
            </w:r>
          </w:p>
          <w:p w:rsidR="00E34ACB" w:rsidRDefault="00E34ACB">
            <w:pPr>
              <w:jc w:val="both"/>
              <w:rPr>
                <w:rFonts w:ascii="Arial" w:hAnsi="Arial" w:cs="Arial"/>
                <w:noProof/>
                <w:sz w:val="20"/>
                <w:szCs w:val="20"/>
              </w:rPr>
            </w:pPr>
          </w:p>
          <w:p w:rsidR="00E34ACB" w:rsidRDefault="00A0107A">
            <w:pPr>
              <w:jc w:val="both"/>
              <w:rPr>
                <w:rFonts w:ascii="Arial" w:hAnsi="Arial" w:cs="Arial"/>
                <w:i/>
                <w:noProof/>
                <w:sz w:val="20"/>
                <w:szCs w:val="20"/>
              </w:rPr>
            </w:pPr>
            <w:r>
              <w:rPr>
                <w:rFonts w:ascii="Arial" w:hAnsi="Arial"/>
                <w:noProof/>
                <w:sz w:val="20"/>
              </w:rPr>
              <w:t>Iepriekšminētās izmaksas galvenokārt materializētos īstermiņā, un ir paredzams, ka tās atsvērs stabilākas finanšu nozares ilgtermiņa ieguvumi.</w:t>
            </w:r>
          </w:p>
          <w:p w:rsidR="00E34ACB" w:rsidRDefault="00A0107A">
            <w:pPr>
              <w:jc w:val="both"/>
              <w:rPr>
                <w:rFonts w:ascii="Arial" w:hAnsi="Arial" w:cs="Arial"/>
                <w:i/>
                <w:noProof/>
                <w:sz w:val="20"/>
                <w:szCs w:val="20"/>
              </w:rPr>
            </w:pPr>
            <w:r>
              <w:rPr>
                <w:rFonts w:ascii="Arial" w:hAnsi="Arial"/>
                <w:i/>
                <w:noProof/>
                <w:sz w:val="20"/>
              </w:rPr>
              <w:t xml:space="preserve"> </w:t>
            </w:r>
          </w:p>
        </w:tc>
      </w:tr>
      <w:tr w:rsidR="00E34ACB">
        <w:tc>
          <w:tcPr>
            <w:tcW w:w="10188" w:type="dxa"/>
            <w:tcBorders>
              <w:bottom w:val="single" w:sz="4" w:space="0" w:color="auto"/>
            </w:tcBorders>
            <w:shd w:val="clear" w:color="auto" w:fill="E6E6E6"/>
          </w:tcPr>
          <w:p w:rsidR="00E34ACB" w:rsidRDefault="00A0107A">
            <w:pPr>
              <w:spacing w:before="60" w:after="60"/>
              <w:jc w:val="both"/>
              <w:rPr>
                <w:rFonts w:ascii="Tahoma" w:hAnsi="Tahoma" w:cs="Tahoma"/>
                <w:noProof/>
                <w:sz w:val="20"/>
                <w:szCs w:val="20"/>
              </w:rPr>
            </w:pPr>
            <w:r>
              <w:rPr>
                <w:rFonts w:ascii="Tahoma" w:hAnsi="Tahoma"/>
                <w:b/>
                <w:noProof/>
                <w:sz w:val="20"/>
              </w:rPr>
              <w:t xml:space="preserve">Ietekme uz uzņēmumiem, t. sk. MVU un mikrouzņēmumiem </w:t>
            </w:r>
            <w:r>
              <w:rPr>
                <w:rFonts w:ascii="Tahoma" w:hAnsi="Tahoma"/>
                <w:noProof/>
                <w:sz w:val="20"/>
                <w:u w:val="single"/>
              </w:rPr>
              <w:t>Ne vairāk kā 8 rindiņas</w:t>
            </w:r>
          </w:p>
        </w:tc>
      </w:tr>
      <w:tr w:rsidR="00E34ACB">
        <w:tc>
          <w:tcPr>
            <w:tcW w:w="10188" w:type="dxa"/>
            <w:tcBorders>
              <w:bottom w:val="single" w:sz="4" w:space="0" w:color="auto"/>
            </w:tcBorders>
            <w:shd w:val="clear" w:color="auto" w:fill="auto"/>
          </w:tcPr>
          <w:p w:rsidR="00E34ACB" w:rsidRDefault="00A0107A">
            <w:pPr>
              <w:spacing w:before="60" w:after="60"/>
              <w:jc w:val="both"/>
              <w:rPr>
                <w:rFonts w:ascii="Arial" w:hAnsi="Arial" w:cs="Arial"/>
                <w:noProof/>
                <w:sz w:val="20"/>
                <w:szCs w:val="20"/>
              </w:rPr>
            </w:pPr>
            <w:r>
              <w:rPr>
                <w:rFonts w:ascii="Arial" w:hAnsi="Arial"/>
                <w:noProof/>
                <w:sz w:val="20"/>
              </w:rPr>
              <w:t>Sagaidāms, ka</w:t>
            </w:r>
            <w:r>
              <w:rPr>
                <w:rFonts w:ascii="Arial" w:hAnsi="Arial"/>
                <w:noProof/>
                <w:sz w:val="20"/>
              </w:rPr>
              <w:t xml:space="preserve"> banku riska darījumiem ar MVU piemēroto kapitāla prasību ierosinātā rekalibrēšana pozitīvi ietekmēs banku MVU finansēšanu. Tas, pirmkārt, palīdzētu tiem MVU, kuru pašreizējie riska darījumi pārsniedz EUR 1,5 miljonus, jo minētie riska darījumi patlaban ne</w:t>
            </w:r>
            <w:r>
              <w:rPr>
                <w:rFonts w:ascii="Arial" w:hAnsi="Arial"/>
                <w:noProof/>
                <w:sz w:val="20"/>
              </w:rPr>
              <w:t>gūst labumu no MVU atbalsta faktora.</w:t>
            </w:r>
          </w:p>
          <w:p w:rsidR="00E34ACB" w:rsidRDefault="00A0107A">
            <w:pPr>
              <w:spacing w:before="60" w:after="60"/>
              <w:jc w:val="both"/>
              <w:rPr>
                <w:rFonts w:ascii="Arial" w:hAnsi="Arial" w:cs="Arial"/>
                <w:noProof/>
                <w:sz w:val="20"/>
                <w:szCs w:val="20"/>
              </w:rPr>
            </w:pPr>
            <w:r>
              <w:rPr>
                <w:rFonts w:ascii="Arial" w:hAnsi="Arial"/>
                <w:noProof/>
                <w:sz w:val="20"/>
              </w:rPr>
              <w:t xml:space="preserve">Gaidāms, ka citi ietekmes novērtējumā ierosinātie risinājumu varianti, jo īpaši tie, kuru mērķis ir uzlabot banku noturību pret turpmākām krīzēm, palielinās aizdevumu piešķiršanas MVU ilgtspējību. </w:t>
            </w:r>
          </w:p>
          <w:p w:rsidR="00E34ACB" w:rsidRDefault="00A0107A">
            <w:pPr>
              <w:spacing w:before="60"/>
              <w:jc w:val="both"/>
              <w:rPr>
                <w:rFonts w:ascii="Arial" w:hAnsi="Arial" w:cs="Arial"/>
                <w:i/>
                <w:noProof/>
                <w:sz w:val="20"/>
                <w:szCs w:val="20"/>
              </w:rPr>
            </w:pPr>
            <w:r>
              <w:rPr>
                <w:rFonts w:ascii="Arial" w:hAnsi="Arial"/>
                <w:noProof/>
                <w:sz w:val="20"/>
              </w:rPr>
              <w:t xml:space="preserve">Visbeidzot, gaidāms, </w:t>
            </w:r>
            <w:r>
              <w:rPr>
                <w:rFonts w:ascii="Arial" w:hAnsi="Arial"/>
                <w:noProof/>
                <w:sz w:val="20"/>
              </w:rPr>
              <w:t>ka pasākumi, kuru mērķis ir samazināt atbilstības nodrošināšanas izmaksas iestādēm, jo īpaši mazākām un vienkāršākām iestādēm, samazinās aizņemšanās izmaksas MVU.</w:t>
            </w:r>
          </w:p>
        </w:tc>
      </w:tr>
      <w:tr w:rsidR="00E34ACB">
        <w:tc>
          <w:tcPr>
            <w:tcW w:w="10188" w:type="dxa"/>
            <w:tcBorders>
              <w:bottom w:val="single" w:sz="4" w:space="0" w:color="auto"/>
            </w:tcBorders>
            <w:shd w:val="clear" w:color="auto" w:fill="E6E6E6"/>
          </w:tcPr>
          <w:p w:rsidR="00E34ACB" w:rsidRDefault="00A0107A">
            <w:pPr>
              <w:spacing w:before="60"/>
              <w:jc w:val="both"/>
              <w:rPr>
                <w:rFonts w:ascii="Tahoma" w:hAnsi="Tahoma" w:cs="Tahoma"/>
                <w:b/>
                <w:i/>
                <w:noProof/>
                <w:sz w:val="20"/>
                <w:szCs w:val="20"/>
              </w:rPr>
            </w:pPr>
            <w:r>
              <w:rPr>
                <w:rFonts w:ascii="Tahoma" w:hAnsi="Tahoma"/>
                <w:b/>
                <w:noProof/>
                <w:sz w:val="20"/>
              </w:rPr>
              <w:t>Nozīmīga ietekme uz valsts budžetu un valsts pārvaldi</w:t>
            </w:r>
            <w:r>
              <w:rPr>
                <w:rFonts w:ascii="Tahoma" w:hAnsi="Tahoma"/>
                <w:noProof/>
                <w:sz w:val="20"/>
              </w:rPr>
              <w:t xml:space="preserve"> </w:t>
            </w:r>
            <w:r>
              <w:rPr>
                <w:rFonts w:ascii="Tahoma" w:hAnsi="Tahoma"/>
                <w:noProof/>
                <w:sz w:val="20"/>
                <w:u w:val="single"/>
              </w:rPr>
              <w:t>Ne vairāk kā 4 rindiņas</w:t>
            </w:r>
          </w:p>
        </w:tc>
      </w:tr>
      <w:tr w:rsidR="00E34ACB">
        <w:tc>
          <w:tcPr>
            <w:tcW w:w="10188" w:type="dxa"/>
            <w:shd w:val="clear" w:color="auto" w:fill="auto"/>
          </w:tcPr>
          <w:p w:rsidR="00E34ACB" w:rsidRDefault="00A0107A">
            <w:pPr>
              <w:jc w:val="both"/>
              <w:rPr>
                <w:rFonts w:ascii="Arial" w:hAnsi="Arial" w:cs="Arial"/>
                <w:noProof/>
                <w:sz w:val="20"/>
                <w:szCs w:val="20"/>
              </w:rPr>
            </w:pPr>
            <w:r>
              <w:rPr>
                <w:rFonts w:ascii="Arial" w:hAnsi="Arial"/>
                <w:noProof/>
                <w:sz w:val="20"/>
              </w:rPr>
              <w:t>Nav</w:t>
            </w:r>
          </w:p>
        </w:tc>
      </w:tr>
      <w:tr w:rsidR="00E34ACB">
        <w:tc>
          <w:tcPr>
            <w:tcW w:w="10188" w:type="dxa"/>
            <w:tcBorders>
              <w:bottom w:val="single" w:sz="4" w:space="0" w:color="auto"/>
            </w:tcBorders>
            <w:shd w:val="clear" w:color="auto" w:fill="E6E6E6"/>
          </w:tcPr>
          <w:p w:rsidR="00E34ACB" w:rsidRDefault="00A0107A">
            <w:pPr>
              <w:spacing w:before="60"/>
              <w:jc w:val="both"/>
              <w:rPr>
                <w:rFonts w:ascii="Tahoma" w:hAnsi="Tahoma" w:cs="Tahoma"/>
                <w:noProof/>
                <w:sz w:val="20"/>
                <w:szCs w:val="20"/>
              </w:rPr>
            </w:pPr>
            <w:r>
              <w:rPr>
                <w:rFonts w:ascii="Tahoma" w:hAnsi="Tahoma"/>
                <w:b/>
                <w:noProof/>
                <w:sz w:val="20"/>
              </w:rPr>
              <w:t xml:space="preserve">Citāda </w:t>
            </w:r>
            <w:r>
              <w:rPr>
                <w:rFonts w:ascii="Tahoma" w:hAnsi="Tahoma"/>
                <w:b/>
                <w:noProof/>
                <w:sz w:val="20"/>
              </w:rPr>
              <w:t>nozīmīga ietekme</w:t>
            </w:r>
            <w:r>
              <w:rPr>
                <w:rFonts w:ascii="Tahoma" w:hAnsi="Tahoma"/>
                <w:noProof/>
                <w:sz w:val="20"/>
              </w:rPr>
              <w:t xml:space="preserve"> </w:t>
            </w:r>
            <w:r>
              <w:rPr>
                <w:rFonts w:ascii="Tahoma" w:hAnsi="Tahoma"/>
                <w:noProof/>
                <w:sz w:val="20"/>
                <w:u w:val="single"/>
              </w:rPr>
              <w:t xml:space="preserve">Ne vairāk kā 6 rindiņas </w:t>
            </w:r>
          </w:p>
        </w:tc>
      </w:tr>
      <w:tr w:rsidR="00E34ACB">
        <w:tc>
          <w:tcPr>
            <w:tcW w:w="10188" w:type="dxa"/>
            <w:tcBorders>
              <w:bottom w:val="single" w:sz="4" w:space="0" w:color="auto"/>
            </w:tcBorders>
            <w:shd w:val="clear" w:color="auto" w:fill="auto"/>
          </w:tcPr>
          <w:p w:rsidR="00E34ACB" w:rsidRDefault="00A0107A">
            <w:pPr>
              <w:pStyle w:val="Text2"/>
              <w:spacing w:after="0"/>
              <w:ind w:left="0"/>
              <w:rPr>
                <w:rFonts w:ascii="Arial" w:hAnsi="Arial" w:cs="Arial"/>
                <w:noProof/>
                <w:sz w:val="20"/>
              </w:rPr>
            </w:pPr>
            <w:r>
              <w:rPr>
                <w:rFonts w:ascii="Arial" w:hAnsi="Arial"/>
                <w:noProof/>
                <w:sz w:val="20"/>
              </w:rPr>
              <w:t xml:space="preserve">Nav paredzēta nekāda cita nozīmīga ietekme. </w:t>
            </w:r>
          </w:p>
        </w:tc>
      </w:tr>
      <w:tr w:rsidR="00E34ACB">
        <w:tc>
          <w:tcPr>
            <w:tcW w:w="10188" w:type="dxa"/>
            <w:tcBorders>
              <w:bottom w:val="single" w:sz="4" w:space="0" w:color="auto"/>
            </w:tcBorders>
            <w:shd w:val="clear" w:color="auto" w:fill="C0C0C0"/>
          </w:tcPr>
          <w:p w:rsidR="00E34ACB" w:rsidRDefault="00A0107A">
            <w:pPr>
              <w:spacing w:before="60" w:after="60"/>
              <w:jc w:val="center"/>
              <w:rPr>
                <w:rFonts w:ascii="Tahoma" w:hAnsi="Tahoma" w:cs="Tahoma"/>
                <w:b/>
                <w:noProof/>
                <w:sz w:val="22"/>
                <w:szCs w:val="22"/>
              </w:rPr>
            </w:pPr>
            <w:r>
              <w:rPr>
                <w:rFonts w:ascii="Tahoma" w:hAnsi="Tahoma"/>
                <w:b/>
                <w:noProof/>
                <w:sz w:val="22"/>
              </w:rPr>
              <w:t>D. Turpmākā rīcība</w:t>
            </w:r>
          </w:p>
        </w:tc>
      </w:tr>
      <w:tr w:rsidR="00E34ACB">
        <w:tc>
          <w:tcPr>
            <w:tcW w:w="10188" w:type="dxa"/>
            <w:tcBorders>
              <w:bottom w:val="single" w:sz="4" w:space="0" w:color="auto"/>
            </w:tcBorders>
            <w:shd w:val="clear" w:color="auto" w:fill="E6E6E6"/>
          </w:tcPr>
          <w:p w:rsidR="00E34ACB" w:rsidRDefault="00A0107A">
            <w:pPr>
              <w:spacing w:before="60"/>
              <w:jc w:val="both"/>
              <w:rPr>
                <w:rFonts w:ascii="Tahoma" w:hAnsi="Tahoma" w:cs="Tahoma"/>
                <w:noProof/>
                <w:sz w:val="20"/>
                <w:szCs w:val="20"/>
              </w:rPr>
            </w:pPr>
            <w:r>
              <w:rPr>
                <w:rFonts w:ascii="Tahoma" w:hAnsi="Tahoma"/>
                <w:b/>
                <w:noProof/>
                <w:sz w:val="20"/>
              </w:rPr>
              <w:t xml:space="preserve">Politikas pārskatīšana </w:t>
            </w:r>
            <w:r>
              <w:rPr>
                <w:rFonts w:ascii="Tahoma" w:hAnsi="Tahoma"/>
                <w:noProof/>
                <w:sz w:val="20"/>
                <w:u w:val="single"/>
              </w:rPr>
              <w:t>Ne vairāk kā 4 rindiņas</w:t>
            </w:r>
            <w:r>
              <w:rPr>
                <w:rFonts w:ascii="Tahoma" w:hAnsi="Tahoma"/>
                <w:noProof/>
                <w:sz w:val="20"/>
              </w:rPr>
              <w:t xml:space="preserve"> </w:t>
            </w:r>
          </w:p>
        </w:tc>
      </w:tr>
      <w:tr w:rsidR="00E34ACB">
        <w:tc>
          <w:tcPr>
            <w:tcW w:w="10188" w:type="dxa"/>
            <w:tcBorders>
              <w:bottom w:val="single" w:sz="4" w:space="0" w:color="auto"/>
            </w:tcBorders>
            <w:shd w:val="clear" w:color="auto" w:fill="auto"/>
          </w:tcPr>
          <w:p w:rsidR="00E34ACB" w:rsidRDefault="00A0107A">
            <w:pPr>
              <w:jc w:val="both"/>
              <w:rPr>
                <w:rFonts w:ascii="Tahoma" w:hAnsi="Tahoma" w:cs="Tahoma"/>
                <w:b/>
                <w:noProof/>
                <w:sz w:val="20"/>
                <w:szCs w:val="20"/>
              </w:rPr>
            </w:pPr>
            <w:r>
              <w:rPr>
                <w:rFonts w:ascii="Arial" w:hAnsi="Arial"/>
                <w:noProof/>
                <w:sz w:val="20"/>
              </w:rPr>
              <w:t xml:space="preserve">Šī tiesību aktu kopuma ietekmes novērtējumu veiks piecus gadus pēc tiesību aktu stāšanās spēkā, </w:t>
            </w:r>
            <w:r>
              <w:rPr>
                <w:rFonts w:ascii="Arial" w:hAnsi="Arial"/>
                <w:noProof/>
                <w:sz w:val="20"/>
              </w:rPr>
              <w:t xml:space="preserve">kas atbilst </w:t>
            </w:r>
            <w:r>
              <w:rPr>
                <w:rFonts w:ascii="Arial" w:hAnsi="Arial"/>
                <w:noProof/>
                <w:sz w:val="20"/>
              </w:rPr>
              <w:lastRenderedPageBreak/>
              <w:t>pirms novērtējuma sākšanas saskaņotajai metodoloģijai.</w:t>
            </w:r>
          </w:p>
        </w:tc>
      </w:tr>
    </w:tbl>
    <w:p w:rsidR="00E34ACB" w:rsidRDefault="00E34ACB">
      <w:pPr>
        <w:rPr>
          <w:noProof/>
        </w:rPr>
      </w:pPr>
    </w:p>
    <w:sectPr w:rsidR="00E34ACB">
      <w:headerReference w:type="even" r:id="rId19"/>
      <w:headerReference w:type="default" r:id="rId20"/>
      <w:footerReference w:type="even" r:id="rId21"/>
      <w:footerReference w:type="default" r:id="rId22"/>
      <w:headerReference w:type="first" r:id="rId23"/>
      <w:footerReference w:type="first" r:id="rId24"/>
      <w:pgSz w:w="11906" w:h="16838" w:code="9"/>
      <w:pgMar w:top="614" w:right="567" w:bottom="624" w:left="1134" w:header="284" w:footer="259"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ACB" w:rsidRDefault="00A0107A">
      <w:r>
        <w:separator/>
      </w:r>
    </w:p>
  </w:endnote>
  <w:endnote w:type="continuationSeparator" w:id="0">
    <w:p w:rsidR="00E34ACB" w:rsidRDefault="00A0107A">
      <w:r>
        <w:continuationSeparator/>
      </w:r>
    </w:p>
  </w:endnote>
  <w:endnote w:type="continuationNotice" w:id="1">
    <w:p w:rsidR="00E34ACB" w:rsidRDefault="00E34A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07A" w:rsidRPr="00A0107A" w:rsidRDefault="00A0107A" w:rsidP="00A010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07A" w:rsidRPr="00A0107A" w:rsidRDefault="00A0107A" w:rsidP="00A0107A">
    <w:pPr>
      <w:pStyle w:val="FooterCoverPage"/>
      <w:rPr>
        <w:rFonts w:ascii="Arial" w:hAnsi="Arial" w:cs="Arial"/>
        <w:b/>
        <w:sz w:val="48"/>
      </w:rPr>
    </w:pPr>
    <w:r w:rsidRPr="00A0107A">
      <w:rPr>
        <w:rFonts w:ascii="Arial" w:hAnsi="Arial" w:cs="Arial"/>
        <w:b/>
        <w:sz w:val="48"/>
      </w:rPr>
      <w:t>LV</w:t>
    </w:r>
    <w:r w:rsidRPr="00A0107A">
      <w:rPr>
        <w:rFonts w:ascii="Arial" w:hAnsi="Arial" w:cs="Arial"/>
        <w:b/>
        <w:sz w:val="48"/>
      </w:rPr>
      <w:tab/>
    </w:r>
    <w:r w:rsidRPr="00A0107A">
      <w:rPr>
        <w:rFonts w:ascii="Arial" w:hAnsi="Arial" w:cs="Arial"/>
        <w:b/>
        <w:sz w:val="48"/>
      </w:rPr>
      <w:tab/>
    </w:r>
    <w:fldSimple w:instr=" DOCVARIABLE &quot;LW_Confidence&quot; \* MERGEFORMAT ">
      <w:r>
        <w:t xml:space="preserve"> </w:t>
      </w:r>
    </w:fldSimple>
    <w:r w:rsidRPr="00A0107A">
      <w:tab/>
    </w:r>
    <w:r w:rsidRPr="00A0107A">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07A" w:rsidRPr="00A0107A" w:rsidRDefault="00A0107A" w:rsidP="00A0107A">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ACB" w:rsidRDefault="00E34AC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37492"/>
      <w:docPartObj>
        <w:docPartGallery w:val="Page Numbers (Bottom of Page)"/>
        <w:docPartUnique/>
      </w:docPartObj>
    </w:sdtPr>
    <w:sdtEndPr>
      <w:rPr>
        <w:noProof/>
      </w:rPr>
    </w:sdtEndPr>
    <w:sdtContent>
      <w:p w:rsidR="00E34ACB" w:rsidRDefault="00A0107A">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E34ACB" w:rsidRDefault="00E34AC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100856"/>
      <w:docPartObj>
        <w:docPartGallery w:val="Page Numbers (Bottom of Page)"/>
        <w:docPartUnique/>
      </w:docPartObj>
    </w:sdtPr>
    <w:sdtEndPr>
      <w:rPr>
        <w:noProof/>
      </w:rPr>
    </w:sdtEndPr>
    <w:sdtContent>
      <w:p w:rsidR="00E34ACB" w:rsidRDefault="00A010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34ACB" w:rsidRDefault="00E34A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ACB" w:rsidRDefault="00A0107A">
      <w:r>
        <w:separator/>
      </w:r>
    </w:p>
  </w:footnote>
  <w:footnote w:type="continuationSeparator" w:id="0">
    <w:p w:rsidR="00E34ACB" w:rsidRDefault="00A0107A">
      <w:r>
        <w:continuationSeparator/>
      </w:r>
    </w:p>
  </w:footnote>
  <w:footnote w:type="continuationNotice" w:id="1">
    <w:p w:rsidR="00E34ACB" w:rsidRDefault="00E34A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07A" w:rsidRPr="00A0107A" w:rsidRDefault="00A0107A" w:rsidP="00A010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07A" w:rsidRPr="00A0107A" w:rsidRDefault="00A0107A" w:rsidP="00A0107A">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07A" w:rsidRPr="00A0107A" w:rsidRDefault="00A0107A" w:rsidP="00A0107A">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ACB" w:rsidRDefault="00E34AC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ACB" w:rsidRDefault="00E34AC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ACB" w:rsidRDefault="00A0107A">
    <w:pPr>
      <w:pStyle w:val="Header"/>
    </w:pPr>
    <w:r>
      <w:tab/>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324FE"/>
    <w:multiLevelType w:val="hybridMultilevel"/>
    <w:tmpl w:val="E1702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846A03"/>
    <w:multiLevelType w:val="hybridMultilevel"/>
    <w:tmpl w:val="B6FC965E"/>
    <w:lvl w:ilvl="0" w:tplc="08090001">
      <w:start w:val="1"/>
      <w:numFmt w:val="bullet"/>
      <w:lvlText w:val=""/>
      <w:lvlJc w:val="left"/>
      <w:pPr>
        <w:ind w:left="1797" w:hanging="360"/>
      </w:pPr>
      <w:rPr>
        <w:rFonts w:ascii="Symbol" w:hAnsi="Symbol" w:hint="default"/>
      </w:rPr>
    </w:lvl>
    <w:lvl w:ilvl="1" w:tplc="DFB83284">
      <w:numFmt w:val="bullet"/>
      <w:lvlText w:val="•"/>
      <w:lvlJc w:val="left"/>
      <w:pPr>
        <w:ind w:left="3237" w:hanging="1080"/>
      </w:pPr>
      <w:rPr>
        <w:rFonts w:ascii="Times New Roman" w:eastAsia="Times New Roman" w:hAnsi="Times New Roman" w:cs="Times New Roman"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2">
    <w:nsid w:val="2C53387C"/>
    <w:multiLevelType w:val="hybridMultilevel"/>
    <w:tmpl w:val="7006399E"/>
    <w:lvl w:ilvl="0" w:tplc="23DE7F78">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
    <w:nsid w:val="30044CAE"/>
    <w:multiLevelType w:val="hybridMultilevel"/>
    <w:tmpl w:val="04A6B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4E1654"/>
    <w:multiLevelType w:val="multilevel"/>
    <w:tmpl w:val="7006399E"/>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5">
    <w:nsid w:val="54051A26"/>
    <w:multiLevelType w:val="hybridMultilevel"/>
    <w:tmpl w:val="C0925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FD19AF"/>
    <w:multiLevelType w:val="hybridMultilevel"/>
    <w:tmpl w:val="0E623F1A"/>
    <w:lvl w:ilvl="0" w:tplc="08090011">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7">
    <w:nsid w:val="5B5C2028"/>
    <w:multiLevelType w:val="hybridMultilevel"/>
    <w:tmpl w:val="CAD00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71B39AB"/>
    <w:multiLevelType w:val="multilevel"/>
    <w:tmpl w:val="0E623F1A"/>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9">
    <w:nsid w:val="6FA00E46"/>
    <w:multiLevelType w:val="hybridMultilevel"/>
    <w:tmpl w:val="9CF26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7775577"/>
    <w:multiLevelType w:val="hybridMultilevel"/>
    <w:tmpl w:val="FC98EE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4"/>
  </w:num>
  <w:num w:numId="4">
    <w:abstractNumId w:val="6"/>
  </w:num>
  <w:num w:numId="5">
    <w:abstractNumId w:val="8"/>
  </w:num>
  <w:num w:numId="6">
    <w:abstractNumId w:val="5"/>
  </w:num>
  <w:num w:numId="7">
    <w:abstractNumId w:val="0"/>
  </w:num>
  <w:num w:numId="8">
    <w:abstractNumId w:val="1"/>
  </w:num>
  <w:num w:numId="9">
    <w:abstractNumId w:val="9"/>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ACCOMPAGNANT.CP" w:val="Pavaddokuments dokumentam"/>
    <w:docVar w:name="LW_CONFIDENCE" w:val=" "/>
    <w:docVar w:name="LW_CONST_RESTREINT_UE" w:val="RESTREINT UE/EU RESTRICTED"/>
    <w:docVar w:name="LW_CORRIGENDUM" w:val="&lt;UNUSED&gt;"/>
    <w:docVar w:name="LW_COVERPAGE_GUID" w:val="C936DC98F2E045DBA8078483DB34F56E"/>
    <w:docVar w:name="LW_CROSSREFERENCE" w:val="{COM(2016) 850 final}_x000a_{COM(2016) 851 final}_x000a_{COM(2016) 852 final}_x000a_{COM(2016) 853 final}_x000a_{COM(2016) 854 final}_x000a_{SWD(2016) 377 final}"/>
    <w:docVar w:name="LW_DocType" w:val="NORMAL"/>
    <w:docVar w:name="LW_EMISSION" w:val="23.11.2016"/>
    <w:docVar w:name="LW_EMISSION_ISODATE" w:val="2016-11-23"/>
    <w:docVar w:name="LW_EMISSION_LOCATION" w:val="BRX"/>
    <w:docVar w:name="LW_EMISSION_PREFIX" w:val="Brisel\u275?, "/>
    <w:docVar w:name="LW_EMISSION_SUFFIX" w:val="."/>
    <w:docVar w:name="LW_ID_DOCTYPE_NONLW" w:val="CP-027"/>
    <w:docVar w:name="LW_LANGUE" w:val="LV"/>
    <w:docVar w:name="LW_MARKING" w:val="&lt;UNUSED&gt;"/>
    <w:docVar w:name="LW_NOM.INST" w:val="EIROPAS KOMISIJA"/>
    <w:docVar w:name="LW_NOM.INST_JOINTDOC" w:val="&lt;EMPTY&gt;"/>
    <w:docVar w:name="LW_OBJETACTEPRINCIPAL.CP" w:val="&lt;UNUSED&gt;"/>
    <w:docVar w:name="LW_PART_NBR" w:val="1"/>
    <w:docVar w:name="LW_PART_NBR_TOTAL" w:val="1"/>
    <w:docVar w:name="LW_REF.INST.NEW" w:val="SWD"/>
    <w:docVar w:name="LW_REF.INST.NEW_ADOPTED" w:val="final"/>
    <w:docVar w:name="LW_REF.INST.NEW_TEXT" w:val="(2016) 378"/>
    <w:docVar w:name="LW_REF.INTERNE" w:val="&lt;UNUSED&gt;"/>
    <w:docVar w:name="LW_SUPERTITRE" w:val="&lt;UNUSED&gt;"/>
    <w:docVar w:name="LW_TITRE.OBJ.CP" w:val="&lt;UNUSED&gt;"/>
    <w:docVar w:name="LW_TYPE.DOC.CP" w:val="KOMISIJAS DIENESTU DARBA DOKUMENTS_x000b__x000b_IETEKMES NOV\u274?RT\u274?JUMA KOPSAVILKUMS_x000b_"/>
    <w:docVar w:name="LW_TYPEACTEPRINCIPAL.CP" w:val="Priek\u353?likums, ar kuru groza Regulu (ES) Nr. 575/2013 par prudenci\u257?laj\u257?m pras\u299?b\u257?m attiec\u299?b\u257? uz kred\u299?tiest\u257?d\u275?m un ieguld\u299?jumu brokeru sabiedr\u299?b\u257?m, Direkt\u299?vu 2013/36/ES par piek\u316?uvi kred\u299?tiest\u257?\u382?u darb\u299?bai un kred\u299?tiest\u257?\u382?u un ieguld\u299?jumu brokeru sabiedr\u299?bu prudenci\u257?lo uzraudz\u299?bu, Direkt\u299?vu 2014/59/ES, ar ko izveido kred\u299?tiest\u257?\u382?u un ieguld\u299?jumu brokeru sabiedr\u299?bu atvese\u316?o\u353?anas un noregul\u275?juma re\u382?\u299?mu, Eiropas Parlamenta un Padomes 2014. gada 15. j\u363?lija Regulu (ES) Nr. 806/2014, ar ko izveido vien\u257?dus noteikumus un vienotu proced\u363?ru kred\u299?tiest\u257?\u382?u un noteiktu ieguld\u299?jumu brokeru sabiedr\u299?bu noregul\u275?jumam, izmantojot vienotu noregul\u275?juma meh\u257?nismu un vienotu noregul\u275?juma fondu_x000b_"/>
  </w:docVars>
  <w:rsids>
    <w:rsidRoot w:val="00E34ACB"/>
    <w:rsid w:val="00A0107A"/>
    <w:rsid w:val="00E34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lv-LV"/>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FootnoteText">
    <w:name w:val="footnote text"/>
    <w:basedOn w:val="Normal"/>
    <w:semiHidden/>
    <w:pPr>
      <w:ind w:left="720" w:hanging="720"/>
      <w:jc w:val="both"/>
    </w:pPr>
    <w:rPr>
      <w:sz w:val="20"/>
      <w:szCs w:val="20"/>
    </w:rPr>
  </w:style>
  <w:style w:type="character" w:styleId="FootnoteReference">
    <w:name w:val="footnote reference"/>
    <w:aliases w:val="Footnote Reference Number,Footnote Reference_LVL6,Footnote Reference_LVL61,Footnote Reference_LVL62,Footnote Reference_LVL63,Footnote Reference_LVL64,Footnote symbol,Ref,de nota al pie,BVI fnr,Footnote Reference Superscript,SUPERS,C"/>
    <w:basedOn w:val="DefaultParagraphFont"/>
    <w:uiPriority w:val="99"/>
    <w:qFormat/>
    <w:rPr>
      <w:vertAlign w:val="superscript"/>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HeaderChar">
    <w:name w:val="Header Char"/>
    <w:basedOn w:val="DefaultParagraphFont"/>
    <w:link w:val="Header"/>
    <w:uiPriority w:val="99"/>
    <w:rPr>
      <w:sz w:val="24"/>
      <w:szCs w:val="24"/>
    </w:rPr>
  </w:style>
  <w:style w:type="paragraph" w:customStyle="1" w:styleId="ZCom">
    <w:name w:val="Z_Com"/>
    <w:basedOn w:val="Normal"/>
    <w:next w:val="ZDGName"/>
    <w:uiPriority w:val="99"/>
    <w:pPr>
      <w:widowControl w:val="0"/>
      <w:autoSpaceDE w:val="0"/>
      <w:autoSpaceDN w:val="0"/>
      <w:ind w:right="85"/>
      <w:jc w:val="both"/>
    </w:pPr>
    <w:rPr>
      <w:rFonts w:ascii="Arial" w:eastAsiaTheme="minorEastAsia" w:hAnsi="Arial" w:cs="Arial"/>
    </w:rPr>
  </w:style>
  <w:style w:type="paragraph" w:customStyle="1" w:styleId="ZDGName">
    <w:name w:val="Z_DGName"/>
    <w:basedOn w:val="Normal"/>
    <w:uiPriority w:val="99"/>
    <w:pPr>
      <w:widowControl w:val="0"/>
      <w:autoSpaceDE w:val="0"/>
      <w:autoSpaceDN w:val="0"/>
      <w:ind w:right="85"/>
    </w:pPr>
    <w:rPr>
      <w:rFonts w:ascii="Arial" w:eastAsiaTheme="minorEastAsia" w:hAnsi="Arial" w:cs="Arial"/>
      <w:sz w:val="16"/>
      <w:szCs w:val="16"/>
    </w:rPr>
  </w:style>
  <w:style w:type="paragraph" w:styleId="ListParagraph">
    <w:name w:val="List Paragraph"/>
    <w:basedOn w:val="Normal"/>
    <w:uiPriority w:val="34"/>
    <w:qFormat/>
    <w:pPr>
      <w:ind w:left="720"/>
      <w:contextualSpacing/>
    </w:pPr>
  </w:style>
  <w:style w:type="paragraph" w:customStyle="1" w:styleId="Text2">
    <w:name w:val="Text 2"/>
    <w:basedOn w:val="Normal"/>
    <w:pPr>
      <w:tabs>
        <w:tab w:val="left" w:pos="2160"/>
      </w:tabs>
      <w:spacing w:after="240"/>
      <w:ind w:left="1077"/>
      <w:jc w:val="both"/>
    </w:pPr>
    <w:rPr>
      <w:szCs w:val="20"/>
    </w:rPr>
  </w:style>
  <w:style w:type="character" w:styleId="Hyperlink">
    <w:name w:val="Hyperlink"/>
    <w:uiPriority w:val="99"/>
    <w:unhideWhenUsed/>
    <w:rPr>
      <w:color w:val="0000FF"/>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sz w:val="24"/>
      <w:szCs w:val="24"/>
    </w:rPr>
  </w:style>
  <w:style w:type="character" w:customStyle="1" w:styleId="FooterChar">
    <w:name w:val="Footer Char"/>
    <w:basedOn w:val="DefaultParagraphFont"/>
    <w:link w:val="Footer"/>
    <w:uiPriority w:val="9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lv-LV"/>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FootnoteText">
    <w:name w:val="footnote text"/>
    <w:basedOn w:val="Normal"/>
    <w:semiHidden/>
    <w:pPr>
      <w:ind w:left="720" w:hanging="720"/>
      <w:jc w:val="both"/>
    </w:pPr>
    <w:rPr>
      <w:sz w:val="20"/>
      <w:szCs w:val="20"/>
    </w:rPr>
  </w:style>
  <w:style w:type="character" w:styleId="FootnoteReference">
    <w:name w:val="footnote reference"/>
    <w:aliases w:val="Footnote Reference Number,Footnote Reference_LVL6,Footnote Reference_LVL61,Footnote Reference_LVL62,Footnote Reference_LVL63,Footnote Reference_LVL64,Footnote symbol,Ref,de nota al pie,BVI fnr,Footnote Reference Superscript,SUPERS,C"/>
    <w:basedOn w:val="DefaultParagraphFont"/>
    <w:uiPriority w:val="99"/>
    <w:qFormat/>
    <w:rPr>
      <w:vertAlign w:val="superscript"/>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HeaderChar">
    <w:name w:val="Header Char"/>
    <w:basedOn w:val="DefaultParagraphFont"/>
    <w:link w:val="Header"/>
    <w:uiPriority w:val="99"/>
    <w:rPr>
      <w:sz w:val="24"/>
      <w:szCs w:val="24"/>
    </w:rPr>
  </w:style>
  <w:style w:type="paragraph" w:customStyle="1" w:styleId="ZCom">
    <w:name w:val="Z_Com"/>
    <w:basedOn w:val="Normal"/>
    <w:next w:val="ZDGName"/>
    <w:uiPriority w:val="99"/>
    <w:pPr>
      <w:widowControl w:val="0"/>
      <w:autoSpaceDE w:val="0"/>
      <w:autoSpaceDN w:val="0"/>
      <w:ind w:right="85"/>
      <w:jc w:val="both"/>
    </w:pPr>
    <w:rPr>
      <w:rFonts w:ascii="Arial" w:eastAsiaTheme="minorEastAsia" w:hAnsi="Arial" w:cs="Arial"/>
    </w:rPr>
  </w:style>
  <w:style w:type="paragraph" w:customStyle="1" w:styleId="ZDGName">
    <w:name w:val="Z_DGName"/>
    <w:basedOn w:val="Normal"/>
    <w:uiPriority w:val="99"/>
    <w:pPr>
      <w:widowControl w:val="0"/>
      <w:autoSpaceDE w:val="0"/>
      <w:autoSpaceDN w:val="0"/>
      <w:ind w:right="85"/>
    </w:pPr>
    <w:rPr>
      <w:rFonts w:ascii="Arial" w:eastAsiaTheme="minorEastAsia" w:hAnsi="Arial" w:cs="Arial"/>
      <w:sz w:val="16"/>
      <w:szCs w:val="16"/>
    </w:rPr>
  </w:style>
  <w:style w:type="paragraph" w:styleId="ListParagraph">
    <w:name w:val="List Paragraph"/>
    <w:basedOn w:val="Normal"/>
    <w:uiPriority w:val="34"/>
    <w:qFormat/>
    <w:pPr>
      <w:ind w:left="720"/>
      <w:contextualSpacing/>
    </w:pPr>
  </w:style>
  <w:style w:type="paragraph" w:customStyle="1" w:styleId="Text2">
    <w:name w:val="Text 2"/>
    <w:basedOn w:val="Normal"/>
    <w:pPr>
      <w:tabs>
        <w:tab w:val="left" w:pos="2160"/>
      </w:tabs>
      <w:spacing w:after="240"/>
      <w:ind w:left="1077"/>
      <w:jc w:val="both"/>
    </w:pPr>
    <w:rPr>
      <w:szCs w:val="20"/>
    </w:rPr>
  </w:style>
  <w:style w:type="character" w:styleId="Hyperlink">
    <w:name w:val="Hyperlink"/>
    <w:uiPriority w:val="99"/>
    <w:unhideWhenUsed/>
    <w:rPr>
      <w:color w:val="0000FF"/>
      <w:u w:val="singl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sz w:val="24"/>
      <w:szCs w:val="24"/>
    </w:rPr>
  </w:style>
  <w:style w:type="character" w:customStyle="1" w:styleId="FooterChar">
    <w:name w:val="Footer Char"/>
    <w:basedOn w:val="DefaultParagraphFont"/>
    <w:link w:val="Footer"/>
    <w:uiPriority w:val="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82269">
      <w:bodyDiv w:val="1"/>
      <w:marLeft w:val="0"/>
      <w:marRight w:val="0"/>
      <w:marTop w:val="0"/>
      <w:marBottom w:val="0"/>
      <w:divBdr>
        <w:top w:val="none" w:sz="0" w:space="0" w:color="auto"/>
        <w:left w:val="none" w:sz="0" w:space="0" w:color="auto"/>
        <w:bottom w:val="none" w:sz="0" w:space="0" w:color="auto"/>
        <w:right w:val="none" w:sz="0" w:space="0" w:color="auto"/>
      </w:divBdr>
    </w:div>
    <w:div w:id="496189055">
      <w:bodyDiv w:val="1"/>
      <w:marLeft w:val="0"/>
      <w:marRight w:val="0"/>
      <w:marTop w:val="0"/>
      <w:marBottom w:val="0"/>
      <w:divBdr>
        <w:top w:val="none" w:sz="0" w:space="0" w:color="auto"/>
        <w:left w:val="none" w:sz="0" w:space="0" w:color="auto"/>
        <w:bottom w:val="none" w:sz="0" w:space="0" w:color="auto"/>
        <w:right w:val="none" w:sz="0" w:space="0" w:color="auto"/>
      </w:divBdr>
    </w:div>
    <w:div w:id="631257024">
      <w:bodyDiv w:val="1"/>
      <w:marLeft w:val="0"/>
      <w:marRight w:val="0"/>
      <w:marTop w:val="0"/>
      <w:marBottom w:val="0"/>
      <w:divBdr>
        <w:top w:val="none" w:sz="0" w:space="0" w:color="auto"/>
        <w:left w:val="none" w:sz="0" w:space="0" w:color="auto"/>
        <w:bottom w:val="none" w:sz="0" w:space="0" w:color="auto"/>
        <w:right w:val="none" w:sz="0" w:space="0" w:color="auto"/>
      </w:divBdr>
    </w:div>
    <w:div w:id="684595248">
      <w:bodyDiv w:val="1"/>
      <w:marLeft w:val="0"/>
      <w:marRight w:val="0"/>
      <w:marTop w:val="0"/>
      <w:marBottom w:val="0"/>
      <w:divBdr>
        <w:top w:val="none" w:sz="0" w:space="0" w:color="auto"/>
        <w:left w:val="none" w:sz="0" w:space="0" w:color="auto"/>
        <w:bottom w:val="none" w:sz="0" w:space="0" w:color="auto"/>
        <w:right w:val="none" w:sz="0" w:space="0" w:color="auto"/>
      </w:divBdr>
    </w:div>
    <w:div w:id="1082870855">
      <w:bodyDiv w:val="1"/>
      <w:marLeft w:val="0"/>
      <w:marRight w:val="0"/>
      <w:marTop w:val="0"/>
      <w:marBottom w:val="0"/>
      <w:divBdr>
        <w:top w:val="none" w:sz="0" w:space="0" w:color="auto"/>
        <w:left w:val="none" w:sz="0" w:space="0" w:color="auto"/>
        <w:bottom w:val="none" w:sz="0" w:space="0" w:color="auto"/>
        <w:right w:val="none" w:sz="0" w:space="0" w:color="auto"/>
      </w:divBdr>
    </w:div>
    <w:div w:id="1350331007">
      <w:bodyDiv w:val="1"/>
      <w:marLeft w:val="0"/>
      <w:marRight w:val="0"/>
      <w:marTop w:val="0"/>
      <w:marBottom w:val="0"/>
      <w:divBdr>
        <w:top w:val="none" w:sz="0" w:space="0" w:color="auto"/>
        <w:left w:val="none" w:sz="0" w:space="0" w:color="auto"/>
        <w:bottom w:val="none" w:sz="0" w:space="0" w:color="auto"/>
        <w:right w:val="none" w:sz="0" w:space="0" w:color="auto"/>
      </w:divBdr>
    </w:div>
    <w:div w:id="1791894647">
      <w:bodyDiv w:val="1"/>
      <w:marLeft w:val="0"/>
      <w:marRight w:val="0"/>
      <w:marTop w:val="0"/>
      <w:marBottom w:val="0"/>
      <w:divBdr>
        <w:top w:val="none" w:sz="0" w:space="0" w:color="auto"/>
        <w:left w:val="none" w:sz="0" w:space="0" w:color="auto"/>
        <w:bottom w:val="none" w:sz="0" w:space="0" w:color="auto"/>
        <w:right w:val="none" w:sz="0" w:space="0" w:color="auto"/>
      </w:divBdr>
    </w:div>
    <w:div w:id="1813059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EBEBE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93DBDB3D1CDB42ACFBCF9D32FAF3FF" ma:contentTypeVersion="0" ma:contentTypeDescription="Create a new document." ma:contentTypeScope="" ma:versionID="22e12672266e905b52eba3434be66a7a">
  <xsd:schema xmlns:xsd="http://www.w3.org/2001/XMLSchema" xmlns:xs="http://www.w3.org/2001/XMLSchema" xmlns:p="http://schemas.microsoft.com/office/2006/metadata/properties" targetNamespace="http://schemas.microsoft.com/office/2006/metadata/properties" ma:root="true" ma:fieldsID="6420e549d02927c3e6a5045f4339a6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50FA0-D7E1-4366-B708-2FC3D80D4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6139C6E-1009-4A21-9102-2ED16F46E709}">
  <ds:schemaRefs>
    <ds:schemaRef ds:uri="http://schemas.microsoft.com/sharepoint/v3/contenttype/forms"/>
  </ds:schemaRefs>
</ds:datastoreItem>
</file>

<file path=customXml/itemProps3.xml><?xml version="1.0" encoding="utf-8"?>
<ds:datastoreItem xmlns:ds="http://schemas.openxmlformats.org/officeDocument/2006/customXml" ds:itemID="{1F6FD824-A633-47FA-9617-0904972E1E94}">
  <ds:schemaRefs>
    <ds:schemaRef ds:uri="http://purl.org/dc/elements/1.1/"/>
    <ds:schemaRef ds:uri="http://purl.org/dc/dcmitype/"/>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D5A923F3-1CE0-4861-9679-B0209EBA8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1140</Words>
  <Characters>7959</Characters>
  <Application>Microsoft Office Word</Application>
  <DocSecurity>0</DocSecurity>
  <Lines>118</Lines>
  <Paragraphs>43</Paragraphs>
  <ScaleCrop>false</ScaleCrop>
  <HeadingPairs>
    <vt:vector size="2" baseType="variant">
      <vt:variant>
        <vt:lpstr>Title</vt:lpstr>
      </vt:variant>
      <vt:variant>
        <vt:i4>1</vt:i4>
      </vt:variant>
    </vt:vector>
  </HeadingPairs>
  <TitlesOfParts>
    <vt:vector size="1" baseType="lpstr">
      <vt:lpstr>ROADMAP (Template)</vt:lpstr>
    </vt:vector>
  </TitlesOfParts>
  <Manager/>
  <Company/>
  <LinksUpToDate>false</LinksUpToDate>
  <CharactersWithSpaces>9161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ROADMAP (Template)</dc:title>
  <dc:creator/>
  <cp:lastModifiedBy>LAGES CARVALHO Patrick (SG)</cp:lastModifiedBy>
  <cp:revision>20</cp:revision>
  <cp:lastPrinted>2016-11-18T19:14:00Z</cp:lastPrinted>
  <dcterms:created xsi:type="dcterms:W3CDTF">2016-11-18T19:14:00Z</dcterms:created>
  <dcterms:modified xsi:type="dcterms:W3CDTF">2017-01-20T13:00:00Z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0x0101009293DBDB3D1CDB42ACFBCF9D32FAF3FF</vt:lpwstr>
  </property>
  <property fmtid="{D5CDD505-2E9C-101B-9397-08002B2CF9AE}" pid="4" name="IsMyDocuments">
    <vt:bool>true</vt:bool>
  </property>
  <property fmtid="{D5CDD505-2E9C-101B-9397-08002B2CF9AE}" pid="5" name="Part">
    <vt:lpwstr>1</vt:lpwstr>
  </property>
  <property fmtid="{D5CDD505-2E9C-101B-9397-08002B2CF9AE}" pid="6" name="Total parts">
    <vt:lpwstr>1</vt:lpwstr>
  </property>
  <property fmtid="{D5CDD505-2E9C-101B-9397-08002B2CF9AE}" pid="7" name="DocStatus">
    <vt:lpwstr>Green</vt:lpwstr>
  </property>
  <property fmtid="{D5CDD505-2E9C-101B-9397-08002B2CF9AE}" pid="8" name="Classification">
    <vt:lpwstr> </vt:lpwstr>
  </property>
</Properties>
</file>