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8A72D7910514979BF2FE527C548EBA2" style="width:450.8pt;height:410.7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9924" w:type="dxa"/>
        <w:tblInd w:w="-318" w:type="dxa"/>
        <w:tblLook w:val="01E0" w:firstRow="1" w:lastRow="1" w:firstColumn="1" w:lastColumn="1" w:noHBand="0" w:noVBand="0"/>
      </w:tblPr>
      <w:tblGrid>
        <w:gridCol w:w="9924"/>
      </w:tblGrid>
      <w:tr>
        <w:tc>
          <w:tcPr>
            <w:tcW w:w="9924"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Sammanfattning</w:t>
            </w:r>
          </w:p>
        </w:tc>
      </w:tr>
      <w:tr>
        <w:tc>
          <w:tcPr>
            <w:tcW w:w="9924"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Konsekvensbedömning om förslaget till EUROPAPARLAMENTETS OCH RÅDETS DIREKTIV 2011/65/EU om begränsning av användning av vissa farliga ämnen i elektrisk och elektronisk utrustning.</w:t>
            </w:r>
          </w:p>
        </w:tc>
      </w:tr>
      <w:tr>
        <w:tc>
          <w:tcPr>
            <w:tcW w:w="9924"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Behov av åtgärder</w:t>
            </w:r>
          </w:p>
        </w:tc>
      </w:tr>
      <w:tr>
        <w:tc>
          <w:tcPr>
            <w:tcW w:w="9924"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Varför? Vilket problem behöver åtgärdas?</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Denna rapport innehåller en bedömning av hur man på bästa sätt kan åtgärda följande fyra problem som identifierats inom ramen för direktiv 2011/65/EU (RoHS 2-direktivet): 1) Ett definitivt stopp för transaktioner på sekundärmarknaden med elektrisk och elektronisk utrustning som omfattas av RoHS 2-direktivet men inte av RoHS 1-direktivet (direktiv 2002/95/EG). 2) Effekterna av RoHS 2-direktivet på reservdelar till viss elektrisk och elektronisk utrustning som inte omfattades av RoHS 1-direktivets tillämpningsområde. 3) Ett RoHS 2-direktiv som leder till stopp för utsläppande på EU-marknaden av piporglar. 4) Ett RoHS 2-direktiv som leder till en snedvridning av marknaden för kabelanslutna maskiner som inte är avsedda för vägtrafik. </w:t>
            </w:r>
          </w:p>
        </w:tc>
      </w:tr>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förväntas initiativet leda till?</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Positiva effekter för branschen, konsumenterna och folkhälsan: Efter den 22 juli 2019 är transaktioner på sekundärmarknaden och reparationer fortsatt tillåtna för all ny elektrisk och elektronisk utrustning, och kabelanslutna maskiner som inte är avsedda för vägtrafik får fortsatt släppas ut på EU-marknaden utan snedvridning.</w:t>
            </w:r>
          </w:p>
        </w:tc>
      </w:tr>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mervärdet med åtgärder på EU-nivå?</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Endast en EU-omfattande lösning kan lösa de problem som direkt påverkar EU:s inre marknad. </w:t>
            </w:r>
          </w:p>
        </w:tc>
      </w:tr>
    </w:tbl>
    <w:p>
      <w:pPr>
        <w:rPr>
          <w:noProof/>
        </w:rPr>
      </w:pPr>
    </w:p>
    <w:tbl>
      <w:tblPr>
        <w:tblStyle w:val="TableGrid"/>
        <w:tblW w:w="9924" w:type="dxa"/>
        <w:tblInd w:w="-318" w:type="dxa"/>
        <w:tblLook w:val="01E0" w:firstRow="1" w:lastRow="1" w:firstColumn="1" w:lastColumn="1" w:noHBand="0" w:noVBand="0"/>
      </w:tblPr>
      <w:tblGrid>
        <w:gridCol w:w="9924"/>
      </w:tblGrid>
      <w:tr>
        <w:tc>
          <w:tcPr>
            <w:tcW w:w="9924"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Lösningar</w:t>
            </w:r>
          </w:p>
        </w:tc>
      </w:tr>
      <w:tr>
        <w:tc>
          <w:tcPr>
            <w:tcW w:w="9924"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Vilka alternativ, både lagstiftning och andra åtgärder, har övervägts? Finns det ett rekommenderat alternativ? Varför?</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Utöver grundscenariot att låta RoHS 2-direktivet vara oförändrat har följande alternativ övervägts:</w:t>
            </w:r>
          </w:p>
          <w:p>
            <w:pPr>
              <w:jc w:val="both"/>
              <w:rPr>
                <w:rFonts w:ascii="Arial" w:hAnsi="Arial" w:cs="Arial"/>
                <w:noProof/>
                <w:sz w:val="20"/>
                <w:szCs w:val="20"/>
              </w:rPr>
            </w:pPr>
            <w:r>
              <w:rPr>
                <w:rFonts w:ascii="Arial" w:hAnsi="Arial"/>
                <w:noProof/>
                <w:sz w:val="20"/>
              </w:rPr>
              <w:t>1) Återupprätta transaktioner på sekundärmarknaden: Alternativ 2 – Endast för medicintekniska produkter och övervaknings- och kontrollinstrument. Alternativ 3 (förstahandsalternativet) – För all ny elektrisk och elektronisk utrustning inom tillämpningsområdet.</w:t>
            </w:r>
          </w:p>
          <w:p>
            <w:pPr>
              <w:jc w:val="both"/>
              <w:rPr>
                <w:rFonts w:ascii="Arial" w:hAnsi="Arial" w:cs="Arial"/>
                <w:noProof/>
                <w:sz w:val="20"/>
                <w:szCs w:val="20"/>
              </w:rPr>
            </w:pPr>
            <w:r>
              <w:rPr>
                <w:rFonts w:ascii="Arial" w:hAnsi="Arial"/>
                <w:noProof/>
                <w:sz w:val="20"/>
              </w:rPr>
              <w:t>2) Reservdelar: Alternativ 2 (förstahandsalternativet) – Tillhandahållande av reservdelar, så att elektrisk och elektronisk utrustning från tiden före RoHS 2-direktivet kan repareras.</w:t>
            </w:r>
          </w:p>
          <w:p>
            <w:pPr>
              <w:jc w:val="both"/>
              <w:rPr>
                <w:rFonts w:ascii="Arial" w:hAnsi="Arial" w:cs="Arial"/>
                <w:noProof/>
                <w:sz w:val="20"/>
                <w:szCs w:val="20"/>
              </w:rPr>
            </w:pPr>
            <w:r>
              <w:rPr>
                <w:rFonts w:ascii="Arial" w:hAnsi="Arial"/>
                <w:noProof/>
                <w:sz w:val="20"/>
              </w:rPr>
              <w:t>3) Piporglar: Alternativ 2 (förstahandsalternativet) – Undantagna från tillämpningsområdet. Alternativ 3 – Vägledning vid tolkning. Alternativ 4 – Tillfälligt undantag från RoHS 2-direktivet.</w:t>
            </w:r>
          </w:p>
          <w:p>
            <w:pPr>
              <w:jc w:val="both"/>
              <w:rPr>
                <w:rFonts w:ascii="Arial" w:hAnsi="Arial" w:cs="Arial"/>
                <w:noProof/>
                <w:sz w:val="20"/>
                <w:szCs w:val="20"/>
              </w:rPr>
            </w:pPr>
            <w:r>
              <w:rPr>
                <w:rFonts w:ascii="Arial" w:hAnsi="Arial"/>
                <w:noProof/>
                <w:sz w:val="20"/>
              </w:rPr>
              <w:t>4) Kabelanslutna maskiner som inte är avsedda för vägtrafik: Alternativ 2 (förstahandsalternativet) – Uteslut också kabelanslutna maskiner som inte är avsedda för vägtrafik.</w:t>
            </w:r>
          </w:p>
        </w:tc>
      </w:tr>
      <w:tr>
        <w:tc>
          <w:tcPr>
            <w:tcW w:w="9924" w:type="dxa"/>
            <w:shd w:val="clear" w:color="auto" w:fill="CCCCCC"/>
          </w:tcPr>
          <w:p>
            <w:pPr>
              <w:spacing w:before="60"/>
              <w:jc w:val="both"/>
              <w:rPr>
                <w:rFonts w:ascii="Tahoma" w:hAnsi="Tahoma" w:cs="Tahoma"/>
                <w:noProof/>
                <w:sz w:val="20"/>
                <w:szCs w:val="20"/>
              </w:rPr>
            </w:pPr>
            <w:r>
              <w:rPr>
                <w:rFonts w:ascii="Tahoma" w:hAnsi="Tahoma"/>
                <w:b/>
                <w:noProof/>
                <w:sz w:val="20"/>
              </w:rPr>
              <w:t>Vem stöder vilka alternativ?</w:t>
            </w:r>
          </w:p>
        </w:tc>
      </w:tr>
      <w:tr>
        <w:tc>
          <w:tcPr>
            <w:tcW w:w="9924" w:type="dxa"/>
            <w:shd w:val="clear" w:color="auto" w:fill="auto"/>
          </w:tcPr>
          <w:p>
            <w:pPr>
              <w:jc w:val="both"/>
              <w:rPr>
                <w:rFonts w:ascii="Arial" w:hAnsi="Arial" w:cs="Arial"/>
                <w:noProof/>
                <w:sz w:val="20"/>
                <w:szCs w:val="20"/>
              </w:rPr>
            </w:pPr>
            <w:r>
              <w:rPr>
                <w:rFonts w:ascii="Arial" w:hAnsi="Arial"/>
                <w:noProof/>
                <w:sz w:val="20"/>
              </w:rPr>
              <w:t>Intresserade parter (branschorganisationer och medlemsstater) stödde förstahandsalternativet som lösning på de fyra problemen.</w:t>
            </w:r>
          </w:p>
        </w:tc>
      </w:tr>
      <w:tr>
        <w:tc>
          <w:tcPr>
            <w:tcW w:w="9924"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De rekommenderade alternativens konsekvenser</w:t>
            </w:r>
          </w:p>
        </w:tc>
      </w:tr>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nyttan med det rekommenderade alternativet?</w:t>
            </w:r>
          </w:p>
        </w:tc>
      </w:tr>
      <w:tr>
        <w:tc>
          <w:tcPr>
            <w:tcW w:w="9924" w:type="dxa"/>
            <w:tcBorders>
              <w:bottom w:val="single" w:sz="4" w:space="0" w:color="auto"/>
            </w:tcBorders>
            <w:shd w:val="clear" w:color="auto" w:fill="auto"/>
          </w:tcPr>
          <w:p>
            <w:pPr>
              <w:jc w:val="both"/>
              <w:rPr>
                <w:rFonts w:ascii="Arial" w:hAnsi="Arial" w:cs="Arial"/>
                <w:noProof/>
                <w:sz w:val="20"/>
                <w:szCs w:val="20"/>
                <w:highlight w:val="yellow"/>
              </w:rPr>
            </w:pPr>
            <w:r>
              <w:rPr>
                <w:rFonts w:ascii="Arial" w:hAnsi="Arial"/>
                <w:noProof/>
                <w:sz w:val="20"/>
              </w:rPr>
              <w:t>Andrahandsmarknaden och tillhandahållandet av reservdelar kommer att medföra fördelar för ekonomin (ytterligare affärsmöjligheter), samhället (t.ex. ökad tillgång till medicintekniska produkter för sjukhusen, vilket innebär besparingar på mer än 170 miljon euro och längre livscykler för apparaturen) och miljön (förebyggande av avfall). Genom uteslutande av piporglar och kabelanslutna maskiner som inte är avsedda för vägtrafik från RoHS-direktivet kommer förlust av arbetstillfällen och omotiverade extrakostander att undvikas. Förstahandsalternativen kommer att minska den administrativa bördan.</w:t>
            </w:r>
          </w:p>
        </w:tc>
      </w:tr>
    </w:tbl>
    <w:p>
      <w:pPr>
        <w:widowControl w:val="0"/>
        <w:rPr>
          <w:noProof/>
        </w:rPr>
      </w:pPr>
    </w:p>
    <w:tbl>
      <w:tblPr>
        <w:tblStyle w:val="TableGrid"/>
        <w:tblW w:w="9924" w:type="dxa"/>
        <w:tblInd w:w="-318" w:type="dxa"/>
        <w:tblLook w:val="01E0" w:firstRow="1" w:lastRow="1" w:firstColumn="1" w:lastColumn="1" w:noHBand="0" w:noVBand="0"/>
      </w:tblPr>
      <w:tblGrid>
        <w:gridCol w:w="9924"/>
      </w:tblGrid>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kostnaderna för det rekommenderade alternativet?</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Om sekundärmarknaden och tillhandahållandet av reservdelar återställs kommer det inte att ha några eller endast försumbara negativa ekonomiska, sociala och ekologiska konsekvenser.</w:t>
            </w:r>
            <w:r>
              <w:rPr>
                <w:rFonts w:ascii="Arial" w:hAnsi="Arial"/>
                <w:i/>
                <w:noProof/>
                <w:sz w:val="20"/>
              </w:rPr>
              <w:t xml:space="preserve"> </w:t>
            </w:r>
            <w:r>
              <w:rPr>
                <w:rFonts w:ascii="Arial" w:hAnsi="Arial"/>
                <w:noProof/>
                <w:sz w:val="20"/>
              </w:rPr>
              <w:t>Om piporglar och kabelanslutna maskiner som inte är avsedda för vägtrafik utesluts från RoHS-direktivets tillämpningsområde förväntas det inte ha några eller endast försumbara negativa konsekvenser för ekonomin, samhället, miljön eller folkhälsan.</w:t>
            </w:r>
          </w:p>
        </w:tc>
      </w:tr>
      <w:tr>
        <w:tc>
          <w:tcPr>
            <w:tcW w:w="9924"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Hur påverkas företagen, särskilt små och medelstora företag och mikroföretag?</w:t>
            </w:r>
          </w:p>
        </w:tc>
      </w:tr>
      <w:tr>
        <w:tc>
          <w:tcPr>
            <w:tcW w:w="9924"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rPr>
              <w:t>Marknadsaktörer inom berörda sektorer, inbegripet små och medelstora företag, kommer att påverkas positivt.</w:t>
            </w:r>
          </w:p>
        </w:tc>
      </w:tr>
      <w:tr>
        <w:tc>
          <w:tcPr>
            <w:tcW w:w="9924"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Påverkas</w:t>
            </w:r>
            <w:r>
              <w:rPr>
                <w:rFonts w:ascii="Tahoma" w:hAnsi="Tahoma"/>
                <w:noProof/>
                <w:sz w:val="20"/>
              </w:rPr>
              <w:t xml:space="preserve"> </w:t>
            </w:r>
            <w:r>
              <w:rPr>
                <w:rFonts w:ascii="Tahoma" w:hAnsi="Tahoma"/>
                <w:b/>
                <w:noProof/>
                <w:sz w:val="20"/>
              </w:rPr>
              <w:t>medlemsstaternas budgetar och förvaltningar i betydande grad?</w:t>
            </w:r>
          </w:p>
        </w:tc>
      </w:tr>
      <w:tr>
        <w:tc>
          <w:tcPr>
            <w:tcW w:w="9924" w:type="dxa"/>
            <w:shd w:val="clear" w:color="auto" w:fill="auto"/>
          </w:tcPr>
          <w:p>
            <w:pPr>
              <w:jc w:val="both"/>
              <w:rPr>
                <w:rFonts w:ascii="Arial" w:hAnsi="Arial" w:cs="Arial"/>
                <w:noProof/>
                <w:sz w:val="20"/>
                <w:szCs w:val="20"/>
              </w:rPr>
            </w:pPr>
            <w:r>
              <w:rPr>
                <w:rFonts w:ascii="Arial" w:hAnsi="Arial"/>
                <w:noProof/>
                <w:sz w:val="20"/>
              </w:rPr>
              <w:t>Medlemsstaterna kommer endast behöva införliva lagtexten. Marknadsövervakningen är tänkt att förenklas genom initiativet.</w:t>
            </w:r>
          </w:p>
        </w:tc>
      </w:tr>
      <w:tr>
        <w:tc>
          <w:tcPr>
            <w:tcW w:w="9924"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Uppstår andra betydande konsekvenser?</w:t>
            </w:r>
          </w:p>
        </w:tc>
      </w:tr>
      <w:tr>
        <w:tc>
          <w:tcPr>
            <w:tcW w:w="9924"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Nej.</w:t>
            </w:r>
          </w:p>
        </w:tc>
      </w:tr>
      <w:tr>
        <w:tc>
          <w:tcPr>
            <w:tcW w:w="9924"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Uppföljning</w:t>
            </w:r>
          </w:p>
        </w:tc>
      </w:tr>
      <w:tr>
        <w:tc>
          <w:tcPr>
            <w:tcW w:w="9924"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När kommer åtgärderna att ses över? </w:t>
            </w:r>
          </w:p>
        </w:tc>
      </w:tr>
      <w:tr>
        <w:tc>
          <w:tcPr>
            <w:tcW w:w="9924"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Kommissionen kommer att genomföra en allmän översyn av RoHS 2-direktivet till den 22 juli 2021.</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BDF"/>
    <w:multiLevelType w:val="hybridMultilevel"/>
    <w:tmpl w:val="AC5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BF6961"/>
    <w:multiLevelType w:val="hybridMultilevel"/>
    <w:tmpl w:val="58F29FA6"/>
    <w:lvl w:ilvl="0" w:tplc="AA483AE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Följedokument till"/>
    <w:docVar w:name="LW_CONFIDENCE" w:val=" "/>
    <w:docVar w:name="LW_CONST_RESTREINT_UE" w:val="RESTREINT UE"/>
    <w:docVar w:name="LW_CORRIGENDUM" w:val="&lt;UNUSED&gt;"/>
    <w:docVar w:name="LW_COVERPAGE_GUID" w:val="F8A72D7910514979BF2FE527C548EBA2"/>
    <w:docVar w:name="LW_CROSSREFERENCE" w:val="{COM(2017) 38 final}_x000b_{SWD(2017) 23 final}"/>
    <w:docVar w:name="LW_DocType" w:val="NORMAL"/>
    <w:docVar w:name="LW_EMISSION" w:val="26.1.2017"/>
    <w:docVar w:name="LW_EMISSION_ISODATE" w:val="2017-01-26"/>
    <w:docVar w:name="LW_EMISSION_LOCATION" w:val="BRX"/>
    <w:docVar w:name="LW_EMISSION_PREFIX" w:val="Bryssel den "/>
    <w:docVar w:name="LW_EMISSION_SUFFIX" w:val=" "/>
    <w:docVar w:name="LW_ID_DOCTYPE_NONLW" w:val="CP-027"/>
    <w:docVar w:name="LW_LANGUE" w:val="SV"/>
    <w:docVar w:name="LW_MARKING" w:val="&lt;UNUSED&gt;"/>
    <w:docVar w:name="LW_NOM.INST" w:val="EUROPEISKA KOMMISSIONEN"/>
    <w:docVar w:name="LW_NOM.INST_JOINTDOC" w:val="&lt;EMPTY&gt;"/>
    <w:docVar w:name="LW_OBJETACTEPRINCIPAL.CP" w:val="förslag till EUROPAPARLAMENTETS OCH RÅDETS DIREKTIV om ändring av direktiv 2011/65/EG om begränsning av användning av vissa farliga ämnen i elektrisk och elektronisk utrustning_x000b_"/>
    <w:docVar w:name="LW_PART_NBR" w:val="1"/>
    <w:docVar w:name="LW_PART_NBR_TOTAL" w:val="1"/>
    <w:docVar w:name="LW_REF.INST.NEW" w:val="SWD"/>
    <w:docVar w:name="LW_REF.INST.NEW_ADOPTED" w:val="final"/>
    <w:docVar w:name="LW_REF.INST.NEW_TEXT" w:val="(2017) 22"/>
    <w:docVar w:name="LW_REF.INTERNE" w:val="&lt;UNUSED&gt;"/>
    <w:docVar w:name="LW_SUPERTITRE" w:val="&lt;UNUSED&gt;"/>
    <w:docVar w:name="LW_TITRE.OBJ.CP" w:val="&lt;UNUSED&gt;"/>
    <w:docVar w:name="LW_TYPE.DOC.CP" w:val="ARBETSDOKUMENT FRÅN KOMMISSIONENS AVDELNINGAR_x000b__x000b_SAMMANFATTNING AV KONSEKVENSBEDÖMNINGEN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v-SE"/>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v-S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elements/1.1/"/>
    <ds:schemaRef ds:uri="http://purl.org/dc/terms/"/>
    <ds:schemaRef ds:uri="http://schemas.microsoft.com/sharepoint/v3"/>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ED8954E-49E4-4C5D-996D-E9C133CA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564</Words>
  <Characters>3921</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2016-12-06T14:07:00Z</dcterms:created>
  <dcterms:modified xsi:type="dcterms:W3CDTF">2017-01-24T09:44:00Z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