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DEF57DE286D411CB911909932838DA7" style="width:450.7pt;height:396.4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9924" w:type="dxa"/>
        <w:tblInd w:w="-318" w:type="dxa"/>
        <w:tblLook w:val="01E0" w:firstRow="1" w:lastRow="1" w:firstColumn="1" w:lastColumn="1" w:noHBand="0" w:noVBand="0"/>
      </w:tblPr>
      <w:tblGrid>
        <w:gridCol w:w="9924"/>
      </w:tblGrid>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Kopsavilkums</w:t>
            </w:r>
          </w:p>
        </w:tc>
      </w:tr>
      <w:tr>
        <w:tc>
          <w:tcPr>
            <w:tcW w:w="992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 xml:space="preserve">EIROPAS PARLAMENTA UN PADOMES DIREKTĪVAS priekšlikuma par grozījumiem Direktīvā 2011/65/ES par dažu bīstamu vielu izmantošanas ierobežošanu elektriskās un elektroniskās iekārtās ietekmes novērtējums </w:t>
            </w:r>
          </w:p>
        </w:tc>
      </w:tr>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Rīcības nepieciešamība</w:t>
            </w:r>
          </w:p>
        </w:tc>
      </w:tr>
      <w:tr>
        <w:tc>
          <w:tcPr>
            <w:tcW w:w="9924"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Kādēļ? Risināmā problēma</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Šajā ziņojumā sniedz novērtējumu par to, kā vislabāk risināt četras problēmas, kas konstatētas Direktīvas 2011/65/ES (</w:t>
            </w:r>
            <w:r>
              <w:rPr>
                <w:rFonts w:ascii="Arial" w:hAnsi="Arial"/>
                <w:i/>
                <w:noProof/>
                <w:sz w:val="20"/>
              </w:rPr>
              <w:t>RoHS</w:t>
            </w:r>
            <w:r>
              <w:rPr>
                <w:rFonts w:ascii="Arial" w:hAnsi="Arial"/>
                <w:noProof/>
                <w:sz w:val="20"/>
              </w:rPr>
              <w:t xml:space="preserve"> 2 direktīva) darbības jomā: 1) elektrisko un elektronisko iekārtu (EEI), uz kurām attiecas </w:t>
            </w:r>
            <w:r>
              <w:rPr>
                <w:rFonts w:ascii="Arial" w:hAnsi="Arial"/>
                <w:i/>
                <w:noProof/>
                <w:sz w:val="20"/>
              </w:rPr>
              <w:t>RoHS</w:t>
            </w:r>
            <w:r>
              <w:rPr>
                <w:rFonts w:ascii="Arial" w:hAnsi="Arial"/>
                <w:noProof/>
                <w:sz w:val="20"/>
              </w:rPr>
              <w:t xml:space="preserve"> 2 direktīva un </w:t>
            </w:r>
            <w:r>
              <w:rPr>
                <w:rFonts w:ascii="Arial" w:hAnsi="Arial"/>
                <w:i/>
                <w:noProof/>
                <w:sz w:val="20"/>
              </w:rPr>
              <w:t>RoHS</w:t>
            </w:r>
            <w:r>
              <w:rPr>
                <w:rFonts w:ascii="Arial" w:hAnsi="Arial"/>
                <w:noProof/>
                <w:sz w:val="20"/>
              </w:rPr>
              <w:t xml:space="preserve"> 1 direktīva (Direktīva 2002/95/EK), sekundārā tirgus operāciju straujā apturēšana; 2) </w:t>
            </w:r>
            <w:r>
              <w:rPr>
                <w:rFonts w:ascii="Arial" w:hAnsi="Arial"/>
                <w:i/>
                <w:noProof/>
                <w:sz w:val="20"/>
              </w:rPr>
              <w:t>RoHS</w:t>
            </w:r>
            <w:r>
              <w:rPr>
                <w:rFonts w:ascii="Arial" w:hAnsi="Arial"/>
                <w:noProof/>
                <w:sz w:val="20"/>
              </w:rPr>
              <w:t xml:space="preserve"> 2 direktīvas ietekme uz dažām rezerves daļām (EEI), uz kurām neattiecas </w:t>
            </w:r>
            <w:r>
              <w:rPr>
                <w:rFonts w:ascii="Arial" w:hAnsi="Arial"/>
                <w:i/>
                <w:noProof/>
                <w:sz w:val="20"/>
              </w:rPr>
              <w:t>RoHS</w:t>
            </w:r>
            <w:r>
              <w:rPr>
                <w:rFonts w:ascii="Arial" w:hAnsi="Arial"/>
                <w:noProof/>
                <w:sz w:val="20"/>
              </w:rPr>
              <w:t xml:space="preserve"> 1 direktīvas darbības joma; 3) </w:t>
            </w:r>
            <w:r>
              <w:rPr>
                <w:rFonts w:ascii="Arial" w:hAnsi="Arial"/>
                <w:i/>
                <w:noProof/>
                <w:sz w:val="20"/>
              </w:rPr>
              <w:t>RoHS</w:t>
            </w:r>
            <w:r>
              <w:rPr>
                <w:rFonts w:ascii="Arial" w:hAnsi="Arial"/>
                <w:noProof/>
                <w:sz w:val="20"/>
              </w:rPr>
              <w:t xml:space="preserve"> 2 lika apturēt ērģeļu ar stabulēm laišanu tirgū; 4) </w:t>
            </w:r>
            <w:r>
              <w:rPr>
                <w:rFonts w:ascii="Arial" w:hAnsi="Arial"/>
                <w:i/>
                <w:noProof/>
                <w:sz w:val="20"/>
              </w:rPr>
              <w:t>RoHS</w:t>
            </w:r>
            <w:r>
              <w:rPr>
                <w:rFonts w:ascii="Arial" w:hAnsi="Arial"/>
                <w:noProof/>
                <w:sz w:val="20"/>
              </w:rPr>
              <w:t xml:space="preserve"> 2 radīja tirgus kropļojumus attiecībā uz autoceļiem neparedzētu mobilo tehniku (ANMT) ar elektrības pievadu ar kabeli. </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Iniciatīvas mērķi</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Paredzama pozitīva ietekme uz nozari, patērētājiem un veselību: pēc 2019. gada 22. jūlija turpināsies sekundārais tirgus un remonta darbības attiecībā uz visām jaunām EEI, ērģelēm ar stabulēm un ANMT ar elektrības pievadu ar kabeli turpinās bez izkropļojumiem laist ES tirgū.</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ES mēroga rīcības pievienotā vērtība</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Tikai ES mēroga risinājums var atrisināt problēmas, kuras tieši ietekmē ES iekšējo tirgu. </w:t>
            </w:r>
          </w:p>
        </w:tc>
      </w:tr>
    </w:tbl>
    <w:p>
      <w:pPr>
        <w:rPr>
          <w:noProof/>
        </w:rPr>
      </w:pPr>
    </w:p>
    <w:tbl>
      <w:tblPr>
        <w:tblStyle w:val="TableGrid"/>
        <w:tblW w:w="9924" w:type="dxa"/>
        <w:tblInd w:w="-318" w:type="dxa"/>
        <w:tblLook w:val="01E0" w:firstRow="1" w:lastRow="1" w:firstColumn="1" w:lastColumn="1" w:noHBand="0" w:noVBand="0"/>
      </w:tblPr>
      <w:tblGrid>
        <w:gridCol w:w="9924"/>
      </w:tblGrid>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Risinājuma varianti</w:t>
            </w:r>
          </w:p>
        </w:tc>
      </w:tr>
      <w:tr>
        <w:tc>
          <w:tcPr>
            <w:tcW w:w="9924"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Kādi normatīvi un nenormatīvi politiski risinājumi ir apsvērti? Vai kādam variantam tiek dota priekšroka? Kādēļ?</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Papildus pamatscenārijam, kas paredz </w:t>
            </w:r>
            <w:r>
              <w:rPr>
                <w:rFonts w:ascii="Arial" w:hAnsi="Arial"/>
                <w:i/>
                <w:noProof/>
                <w:sz w:val="20"/>
              </w:rPr>
              <w:t>RoHS</w:t>
            </w:r>
            <w:r>
              <w:rPr>
                <w:rFonts w:ascii="Arial" w:hAnsi="Arial"/>
                <w:noProof/>
                <w:sz w:val="20"/>
              </w:rPr>
              <w:t> 2 atstāt neskartu, ir apsvērti šādi risinājumi, kas attiecas uz:</w:t>
            </w:r>
          </w:p>
          <w:p>
            <w:pPr>
              <w:jc w:val="both"/>
              <w:rPr>
                <w:rFonts w:ascii="Arial" w:hAnsi="Arial" w:cs="Arial"/>
                <w:noProof/>
                <w:sz w:val="20"/>
                <w:szCs w:val="20"/>
              </w:rPr>
            </w:pPr>
            <w:r>
              <w:rPr>
                <w:rFonts w:ascii="Arial" w:hAnsi="Arial"/>
                <w:noProof/>
                <w:sz w:val="20"/>
              </w:rPr>
              <w:t>1) sekundārā tirgus operāciju atjaunošanu: risinājums Nr. 2 – medicīnas ierīcēm un monitoringa un kontroles instrumentiem; risinājums Nr. 3 (vēlams) – visām jaunajām EEI.</w:t>
            </w:r>
          </w:p>
          <w:p>
            <w:pPr>
              <w:jc w:val="both"/>
              <w:rPr>
                <w:rFonts w:ascii="Arial" w:hAnsi="Arial" w:cs="Arial"/>
                <w:noProof/>
                <w:sz w:val="20"/>
                <w:szCs w:val="20"/>
              </w:rPr>
            </w:pPr>
            <w:r>
              <w:rPr>
                <w:rFonts w:ascii="Arial" w:hAnsi="Arial"/>
                <w:noProof/>
                <w:sz w:val="20"/>
              </w:rPr>
              <w:t xml:space="preserve">2) rezerves daļām: risinājums Nr. 2 (vēlams) – rezerves daļu remonta noteikumi, kas ļauj remontēt pirms </w:t>
            </w:r>
            <w:r>
              <w:rPr>
                <w:rFonts w:ascii="Arial" w:hAnsi="Arial"/>
                <w:i/>
                <w:noProof/>
                <w:sz w:val="20"/>
              </w:rPr>
              <w:t>RoHS</w:t>
            </w:r>
            <w:r>
              <w:rPr>
                <w:rFonts w:ascii="Arial" w:hAnsi="Arial"/>
                <w:noProof/>
                <w:sz w:val="20"/>
              </w:rPr>
              <w:t> 2 EEI.</w:t>
            </w:r>
          </w:p>
          <w:p>
            <w:pPr>
              <w:jc w:val="both"/>
              <w:rPr>
                <w:rFonts w:ascii="Arial" w:hAnsi="Arial" w:cs="Arial"/>
                <w:noProof/>
                <w:sz w:val="20"/>
                <w:szCs w:val="20"/>
              </w:rPr>
            </w:pPr>
            <w:r>
              <w:rPr>
                <w:rFonts w:ascii="Arial" w:hAnsi="Arial"/>
                <w:noProof/>
                <w:sz w:val="20"/>
              </w:rPr>
              <w:t xml:space="preserve">3) ērģeles ar stabulēm: risinājums Nr. 2 (vēlams) – piemērošanas jomas izslēgšana; risinājums Nr. 3 – interpretācijas vadlīnijas; risinājums Nr. 4 – pagaidu </w:t>
            </w:r>
            <w:r>
              <w:rPr>
                <w:rFonts w:ascii="Arial" w:hAnsi="Arial"/>
                <w:i/>
                <w:noProof/>
                <w:sz w:val="20"/>
              </w:rPr>
              <w:t>RoHS</w:t>
            </w:r>
            <w:r>
              <w:rPr>
                <w:rFonts w:ascii="Arial" w:hAnsi="Arial"/>
                <w:noProof/>
                <w:sz w:val="20"/>
              </w:rPr>
              <w:t> 2 atbrīvojumi.</w:t>
            </w:r>
          </w:p>
          <w:p>
            <w:pPr>
              <w:jc w:val="both"/>
              <w:rPr>
                <w:rFonts w:ascii="Arial" w:hAnsi="Arial" w:cs="Arial"/>
                <w:noProof/>
                <w:sz w:val="20"/>
                <w:szCs w:val="20"/>
              </w:rPr>
            </w:pPr>
            <w:r>
              <w:rPr>
                <w:rFonts w:ascii="Arial" w:hAnsi="Arial"/>
                <w:noProof/>
                <w:sz w:val="20"/>
              </w:rPr>
              <w:t>4) ANMT ar elektrības pievadu ar kabeli: risinājums Nr. 2 (vēlams) – izslēgt arī ANMT ar elektrības pievadu ar kabeli.</w:t>
            </w:r>
          </w:p>
        </w:tc>
      </w:tr>
      <w:tr>
        <w:tc>
          <w:tcPr>
            <w:tcW w:w="9924" w:type="dxa"/>
            <w:shd w:val="clear" w:color="auto" w:fill="CCCCCC"/>
          </w:tcPr>
          <w:p>
            <w:pPr>
              <w:spacing w:before="60"/>
              <w:jc w:val="both"/>
              <w:rPr>
                <w:rFonts w:ascii="Tahoma" w:hAnsi="Tahoma" w:cs="Tahoma"/>
                <w:noProof/>
                <w:sz w:val="20"/>
                <w:szCs w:val="20"/>
              </w:rPr>
            </w:pPr>
            <w:r>
              <w:rPr>
                <w:rFonts w:ascii="Tahoma" w:hAnsi="Tahoma"/>
                <w:b/>
                <w:noProof/>
                <w:sz w:val="20"/>
              </w:rPr>
              <w:t>Kuru risinājumu atbalsta katra grupa?</w:t>
            </w:r>
          </w:p>
        </w:tc>
      </w:tr>
      <w:tr>
        <w:tc>
          <w:tcPr>
            <w:tcW w:w="9924" w:type="dxa"/>
            <w:shd w:val="clear" w:color="auto" w:fill="auto"/>
          </w:tcPr>
          <w:p>
            <w:pPr>
              <w:jc w:val="both"/>
              <w:rPr>
                <w:rFonts w:ascii="Arial" w:hAnsi="Arial" w:cs="Arial"/>
                <w:noProof/>
                <w:sz w:val="20"/>
                <w:szCs w:val="20"/>
              </w:rPr>
            </w:pPr>
            <w:r>
              <w:rPr>
                <w:rFonts w:ascii="Arial" w:hAnsi="Arial"/>
                <w:noProof/>
                <w:sz w:val="20"/>
              </w:rPr>
              <w:t>Ieinteresētās personas (profesionālās apvienības un dalībvalstis) atbalsta četru problēmu vēlamos risinājumus.</w:t>
            </w:r>
          </w:p>
        </w:tc>
      </w:tr>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Vēlamā risinājuma ietekme</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Kādi būs ieguvumi no vēlamā risinājuma?</w:t>
            </w:r>
          </w:p>
        </w:tc>
      </w:tr>
      <w:tr>
        <w:tc>
          <w:tcPr>
            <w:tcW w:w="9924" w:type="dxa"/>
            <w:tcBorders>
              <w:bottom w:val="single" w:sz="4" w:space="0" w:color="auto"/>
            </w:tcBorders>
            <w:shd w:val="clear" w:color="auto" w:fill="auto"/>
          </w:tcPr>
          <w:p>
            <w:pPr>
              <w:jc w:val="both"/>
              <w:rPr>
                <w:rFonts w:ascii="Arial" w:hAnsi="Arial" w:cs="Arial"/>
                <w:noProof/>
                <w:sz w:val="20"/>
                <w:szCs w:val="20"/>
                <w:highlight w:val="yellow"/>
              </w:rPr>
            </w:pPr>
            <w:r>
              <w:rPr>
                <w:rFonts w:ascii="Arial" w:hAnsi="Arial"/>
                <w:noProof/>
                <w:sz w:val="20"/>
              </w:rPr>
              <w:t xml:space="preserve">Noteikumi par sekundāro tirgu un rezerves daļām ietekmēs ekonomiku (papildu tirgus iespējas), sociālo jomu (piemēram, medicīnas ierīču labāku pieejamību ES slimnīcās, ietaupot vairāk nekā 170 miljonus EUR, ilgstošas darbības EEI), un dos ieguvumus vides jomā (atkritumu rašanās novēršana). Ērģeļu ar stabulēm un ANMT ar elektrības pievadu ar kabeli izslēgšana no </w:t>
            </w:r>
            <w:r>
              <w:rPr>
                <w:rFonts w:ascii="Arial" w:hAnsi="Arial"/>
                <w:i/>
                <w:noProof/>
                <w:sz w:val="20"/>
              </w:rPr>
              <w:t>RoHS</w:t>
            </w:r>
            <w:r>
              <w:rPr>
                <w:rFonts w:ascii="Arial" w:hAnsi="Arial"/>
                <w:noProof/>
                <w:sz w:val="20"/>
              </w:rPr>
              <w:t xml:space="preserve"> novērsīs darba vietu zudumu un nepamatotas papildu izmaksas. Vēlamie risinājumi samazinās administratīvo slogu.</w:t>
            </w:r>
          </w:p>
        </w:tc>
      </w:tr>
    </w:tbl>
    <w:p>
      <w:pPr>
        <w:widowControl w:val="0"/>
        <w:rPr>
          <w:noProof/>
        </w:rPr>
      </w:pPr>
    </w:p>
    <w:tbl>
      <w:tblPr>
        <w:tblStyle w:val="TableGrid"/>
        <w:tblW w:w="9924" w:type="dxa"/>
        <w:tblInd w:w="-318" w:type="dxa"/>
        <w:tblLook w:val="01E0" w:firstRow="1" w:lastRow="1" w:firstColumn="1" w:lastColumn="1" w:noHBand="0" w:noVBand="0"/>
      </w:tblPr>
      <w:tblGrid>
        <w:gridCol w:w="9924"/>
      </w:tblGrid>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Kādas būs ar vēlamo risinājumu saistītās izmaksas?</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Sekundārārā tirgus atjaunošana un rezerves daļu noteikums neietekmēs vai tiem būs maznozīmīga negatīva ekonomiskā, sociālā un vides ietekme.</w:t>
            </w:r>
            <w:r>
              <w:rPr>
                <w:rFonts w:ascii="Arial" w:hAnsi="Arial"/>
                <w:i/>
                <w:noProof/>
                <w:sz w:val="20"/>
              </w:rPr>
              <w:t xml:space="preserve"> </w:t>
            </w:r>
            <w:r>
              <w:rPr>
                <w:rFonts w:ascii="Arial" w:hAnsi="Arial"/>
                <w:noProof/>
                <w:sz w:val="20"/>
              </w:rPr>
              <w:t xml:space="preserve">Paredzams, ka ērģeļu ar stabulēm un ANMT ar elektrības pievadu ar kabeli izslēgšana no </w:t>
            </w:r>
            <w:r>
              <w:rPr>
                <w:rFonts w:ascii="Arial" w:hAnsi="Arial"/>
                <w:i/>
                <w:noProof/>
                <w:sz w:val="20"/>
              </w:rPr>
              <w:t>RoHS</w:t>
            </w:r>
            <w:r>
              <w:rPr>
                <w:rFonts w:ascii="Arial" w:hAnsi="Arial"/>
                <w:noProof/>
                <w:sz w:val="20"/>
              </w:rPr>
              <w:t xml:space="preserve"> neietekmēs vai tai būs maznozīmīga negatīva ekonomiskā, sociālā un vides ietekme.</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Ietekme uz uzņēmumiem, t. sk. MVU un mikrouzņēmumiem</w:t>
            </w:r>
          </w:p>
        </w:tc>
      </w:tr>
      <w:tr>
        <w:tc>
          <w:tcPr>
            <w:tcW w:w="9924"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Uz attiecīgās nozares tirgus dalībniekiem, tostarp MVU, ietekme būs pozitīva.</w:t>
            </w:r>
          </w:p>
        </w:tc>
      </w:tr>
      <w:tr>
        <w:tc>
          <w:tcPr>
            <w:tcW w:w="9924"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Vai tiks būtiski ietekmēts dalībvalstu budžets un pārvaldes iestādes?</w:t>
            </w:r>
          </w:p>
        </w:tc>
      </w:tr>
      <w:tr>
        <w:tc>
          <w:tcPr>
            <w:tcW w:w="9924" w:type="dxa"/>
            <w:shd w:val="clear" w:color="auto" w:fill="auto"/>
          </w:tcPr>
          <w:p>
            <w:pPr>
              <w:jc w:val="both"/>
              <w:rPr>
                <w:rFonts w:ascii="Arial" w:hAnsi="Arial" w:cs="Arial"/>
                <w:noProof/>
                <w:sz w:val="20"/>
                <w:szCs w:val="20"/>
              </w:rPr>
            </w:pPr>
            <w:r>
              <w:rPr>
                <w:rFonts w:ascii="Arial" w:hAnsi="Arial"/>
                <w:noProof/>
                <w:sz w:val="20"/>
              </w:rPr>
              <w:t>Dalībvalstīm būs tikai jātransponē tiesību akta teksts. Paredzams, ka iniciatīva vienkāršos tirgus uzraudzību.</w:t>
            </w:r>
          </w:p>
        </w:tc>
      </w:tr>
      <w:tr>
        <w:tc>
          <w:tcPr>
            <w:tcW w:w="9924"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Citāda nozīmīga ietekme</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Nav.</w:t>
            </w:r>
          </w:p>
        </w:tc>
      </w:tr>
      <w:tr>
        <w:tc>
          <w:tcPr>
            <w:tcW w:w="9924"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Turpmākā rīcība</w:t>
            </w:r>
          </w:p>
        </w:tc>
      </w:tr>
      <w:tr>
        <w:tc>
          <w:tcPr>
            <w:tcW w:w="9924"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Kad šī politika tiks pārskatīta? </w:t>
            </w:r>
          </w:p>
        </w:tc>
      </w:tr>
      <w:tr>
        <w:tc>
          <w:tcPr>
            <w:tcW w:w="9924"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Komisija veiks </w:t>
            </w:r>
            <w:r>
              <w:rPr>
                <w:rFonts w:ascii="Tahoma" w:hAnsi="Tahoma"/>
                <w:i/>
                <w:noProof/>
                <w:sz w:val="20"/>
              </w:rPr>
              <w:t>RoHS</w:t>
            </w:r>
            <w:r>
              <w:rPr>
                <w:rFonts w:ascii="Tahoma" w:hAnsi="Tahoma"/>
                <w:noProof/>
                <w:sz w:val="20"/>
              </w:rPr>
              <w:t> 2 direktīvas vispārēju pārskatīšanu līdz 2021. gada 22. jūlijam.</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BDF"/>
    <w:multiLevelType w:val="hybridMultilevel"/>
    <w:tmpl w:val="AC5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F6961"/>
    <w:multiLevelType w:val="hybridMultilevel"/>
    <w:tmpl w:val="58F29FA6"/>
    <w:lvl w:ilvl="0" w:tplc="AA483AE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
    <w:docVar w:name="LW_CORRIGENDUM" w:val="&lt;UNUSED&gt;"/>
    <w:docVar w:name="LW_COVERPAGE_GUID" w:val="4DEF57DE286D411CB911909932838DA7"/>
    <w:docVar w:name="LW_CROSSREFERENCE" w:val="{COM(2017) 38 final}_x000b_{SWD(2017) 23 final}"/>
    <w:docVar w:name="LW_DocType" w:val="NORMAL"/>
    <w:docVar w:name="LW_EMISSION" w:val="26.1.2017"/>
    <w:docVar w:name="LW_EMISSION_ISODATE" w:val="2017-01-26"/>
    <w:docVar w:name="LW_EMISSION_LOCATION" w:val="BRX"/>
    <w:docVar w:name="LW_EMISSION_PREFIX" w:val="Briselē, "/>
    <w:docVar w:name="LW_EMISSION_SUFFIX" w:val="."/>
    <w:docVar w:name="LW_ID_DOCTYPE_NONLW" w:val="CP-027"/>
    <w:docVar w:name="LW_LANGUE" w:val="LV"/>
    <w:docVar w:name="LW_MARKING" w:val="&lt;UNUSED&gt;"/>
    <w:docVar w:name="LW_NOM.INST" w:val="EIROPAS KOMISIJA"/>
    <w:docVar w:name="LW_NOM.INST_JOINTDOC" w:val="&lt;EMPTY&gt;"/>
    <w:docVar w:name="LW_OBJETACTEPRINCIPAL.CP" w:val="Priek\u353?likums EIROPAS PARLAMENTA UN PADOMES DIREKT\u298?VAI, ar ko groza Direkt\u299?vu 2011/65/ES par da\u382?u b\u299?stamu vielu izmanto\u353?anas ierobe\u382?o\u353?anu elektrisk\u257?s un elektronisk\u257?s iek\u257?rt\u257?s"/>
    <w:docVar w:name="LW_PART_NBR" w:val="1"/>
    <w:docVar w:name="LW_PART_NBR_TOTAL" w:val="1"/>
    <w:docVar w:name="LW_REF.INST.NEW" w:val="SWD"/>
    <w:docVar w:name="LW_REF.INST.NEW_ADOPTED" w:val="final"/>
    <w:docVar w:name="LW_REF.INST.NEW_TEXT" w:val="(2017) 22"/>
    <w:docVar w:name="LW_REF.INTERNE" w:val="&lt;UNUSED&gt;"/>
    <w:docVar w:name="LW_SUPERTITRE" w:val="&lt;UNUSED&gt;"/>
    <w:docVar w:name="LW_TITRE.OBJ.CP" w:val="&lt;UNUSED&gt;"/>
    <w:docVar w:name="LW_TYPE.DOC.CP" w:val="KOMISIJAS DIENESTU DARBA DOKUMENTS_x000b__x000b_IETEKMES NOV\u274?RT\u274?JUMA KOPSAVILKUMS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067CC33-1299-460D-B573-891B3066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504</Words>
  <Characters>3206</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25</cp:revision>
  <dcterms:created xsi:type="dcterms:W3CDTF">2016-12-06T14:07:00Z</dcterms:created>
  <dcterms:modified xsi:type="dcterms:W3CDTF">2017-01-24T09:43:00Z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