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F0CCC003DF0480AAA64A93C009DDEDE" style="width:450.75pt;height:397.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9924" w:type="dxa"/>
        <w:tblInd w:w="-318" w:type="dxa"/>
        <w:tblLook w:val="01E0" w:firstRow="1" w:lastRow="1" w:firstColumn="1" w:lastColumn="1" w:noHBand="0" w:noVBand="0"/>
      </w:tblPr>
      <w:tblGrid>
        <w:gridCol w:w="9924"/>
      </w:tblGrid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Streszczenie oceny skutków</w:t>
            </w:r>
          </w:p>
        </w:tc>
      </w:tr>
      <w:t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Ocena skutków wniosku dotyczącego DYREKTYWY PARLAMENTU EUROPEJSKIEGO I RADY zmieniającej dyrektywę 2011/65/UE w sprawie ograniczenia stosowania niektórych niebezpiecznych substancji w sprzęcie elektrycznym i elektronicznym.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Zasadność działań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Dlaczego? Na czym polega problem?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Niniejsze sprawozdanie zawiera ocenę sposobu, w jaki najlepiej rozwiązać cztery problemy określone w zakresie stosowania dyrektywy 2011/65/UE (zwanej dalej dyrektywą RoHS 2): 1) wstrzymanie operacji na rynku wtórnym w zakresie sprzętu elektrycznego i elektronicznego (EEE) uwzględnionego w dyrektywie RoHS 2, ale nieuwzględnionego w dyrektywie 2002/95/WE (zwanej dalej dyrektywą RoHS 1); 2) skutki dyrektywy RoHS 2 w zakresie części zamiennych niektórego EEE nieobjętego zakresem stosowania dyrektywy RoHS 1; 3) zaprzestanie wprowadzania do obrotu organów piszczałkowych w wyniku stosowania dyrektywy RoHS 2; 4) zakłócenia na rynku maszyn jezdnych nieporuszających się po drogach zasilanych przewodowo spowodowane stosowaniem dyrektywy RoHS 2. 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 jest cel inicjatywy?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Oczekuje się pozytywnych skutków dla przemysłu i konsumentów oraz pozytywnych skutków zdrowotnych: po dniu 22 lipca 2019 r. nadal prowadzone będą operacje na rynku wtórnym oraz działania związane z naprawą, ponieważ wszelkie EEE, organy piszczałkowe i maszyny jezdne nieporuszające się po drogach zasilane przewodowo nowo objęte zakresem stosowania będą nadal wprowadzane do obrotu na rynku UE bez zakłóceń.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Na czym polega wartość dodana podjęcia działań na poziomie UE?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Tylko dzięki rozwiązaniu obejmującemu całą UE można zaradzić problemom, które mają bezpośredni wpływ na rynek wewnętrzny UE. 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9924" w:type="dxa"/>
        <w:tblInd w:w="-318" w:type="dxa"/>
        <w:tblLook w:val="01E0" w:firstRow="1" w:lastRow="1" w:firstColumn="1" w:lastColumn="1" w:noHBand="0" w:noVBand="0"/>
      </w:tblPr>
      <w:tblGrid>
        <w:gridCol w:w="9924"/>
      </w:tblGrid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Rozwiązania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warianty legislacyjne i nielegislacyjne rozważano? Czy wskazano preferowany wariant? Jak uzasadniono ten wybór lub jego brak?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Oprócz scenariusza odniesienia zakładającego pozostawienie dyrektywy RoHS 2 w stanie nienaruszonym rozważano wybór następujących wariantów dotyczących: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1) odbudowy operacji na rynku wtórnym: wariant 2 – tylko w przypadku wyrobów medycznych oraz przyrządów do nadzoru i kontroli; wariant 3 (preferowany) – w przypadku wszelkiego EEE nowo objętego zakresem stosowania;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2) części zamiennych: wariant 2 (preferowany) – dostarczanie części zamiennych w celu umożliwienia naprawy EEE stosowanego przed wprowadzeniem dyrektywy RoHS 2;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3) organów piszczałkowych: wariant 2 (preferowany) – wyłączenie z zakresu; wariant 3 – wskazówki dotyczące interpretacji; wariant 4 – tymczasowe wyłączenia z zakresu stosowania dyrektywy RoHS 2;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4) maszyny jezdne nieporuszające się po drogach zasilane przewodowo: wariant 2 (preferowany) – dodatkowo wyłączenie z zakresu stosowania maszyn jezdnych nieporuszających się po drogach zasilanych przewodowo.</w:t>
            </w:r>
          </w:p>
        </w:tc>
      </w:tr>
      <w:tr>
        <w:tc>
          <w:tcPr>
            <w:tcW w:w="9924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 kształtuje się poparcie dla poszczególnych wariantów?</w:t>
            </w:r>
          </w:p>
        </w:tc>
      </w:tr>
      <w:tr>
        <w:tc>
          <w:tcPr>
            <w:tcW w:w="992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Zainteresowane strony (stowarzyszenia branżowe i państwa członkowskie) opowiedziały się za preferowanymi wariantami rozwiązania tych czterech problemów.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Skutki wdrożenia preferowanego wariantu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są korzyści preferowanego wariantu?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noProof/>
                <w:sz w:val="20"/>
              </w:rPr>
              <w:t>Działanie na rynku wtórnym oraz dostarczanie części zamiennych przyniesie korzyści gospodarcze (dodatkowe możliwości rynkowe), społeczne (wzrost dostępności np. wyrobów medycznych dla szpitali UE, oszczędności o wartości powyżej 170 mln EUR, przedłużony czas wykorzystania EEE) oraz środowiskowe (zapobieganie powstawaniu odpadów). Wyłączenie z zakresu stosowania dyrektywy RoHS organów piszczałkowych i maszyn jezdnych nieporuszających się po drogach zasilanych przewodowo pozwoli uniknąć utraty miejsc pracy i nieuzasadnionych kosztów dodatkowych. Preferowane warianty przyczynią się do zmniejszenia obciążenia administracyjnego.</w:t>
            </w:r>
          </w:p>
        </w:tc>
      </w:tr>
    </w:tbl>
    <w:p>
      <w:pPr>
        <w:widowControl w:val="0"/>
        <w:rPr>
          <w:noProof/>
        </w:rPr>
      </w:pPr>
    </w:p>
    <w:tbl>
      <w:tblPr>
        <w:tblStyle w:val="TableGrid"/>
        <w:tblW w:w="9924" w:type="dxa"/>
        <w:tblInd w:w="-318" w:type="dxa"/>
        <w:tblLook w:val="01E0" w:firstRow="1" w:lastRow="1" w:firstColumn="1" w:lastColumn="1" w:noHBand="0" w:noVBand="0"/>
      </w:tblPr>
      <w:tblGrid>
        <w:gridCol w:w="9924"/>
      </w:tblGrid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są koszty preferowanego wariantu?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Przywrócenie rynku wtórnego i dostarczanie części zamiennych nie będzie miało żadnych negatywnych skutków gospodarczych, społecznych i środowiskowych lub będzie miało marginalne skutki w tym zakresie.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Oczekuje się, że wyłączenie z zakresu stosowania dyrektywy RoHS organów piszczałkowych i maszyn jezdnych nieporuszających się po drogach zasilanych przewodowo nie będzie miało żadnych negatywnych skutków gospodarczych i społecznych lub żadnych negatywnych skutków dla środowiska i zdrowia lub będzie miało marginalne skutki w tym zakresie.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będą skutki dla przedsiębiorstw, MŚP i mikroprzedsiębiorstw?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Podmioty gospodarcze w odnośnych sektorach, w tym MŚP, odnotują pozytywne skutki.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Czy przewiduje się znaczące skutki dla budżetów i administracji krajowych?</w:t>
            </w:r>
          </w:p>
        </w:tc>
      </w:tr>
      <w:tr>
        <w:tc>
          <w:tcPr>
            <w:tcW w:w="992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Państwa członkowskie będą musiały jedynie dokonać transpozycji tekstu prawnego. Oczekuje się, że w ramach danej inicjatywy nadzór rynku zostanie uproszczony.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Czy wystąpią inne znaczące skutki?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Nie.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Działania następcze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Kiedy nastąpi przegląd przyjętej polityki? </w:t>
            </w:r>
          </w:p>
        </w:tc>
      </w:tr>
      <w:t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Komisja dokona ogólnego przeglądu dyrektywy RoHS 2 do dnia 22 lipca 2021 r.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BDF"/>
    <w:multiLevelType w:val="hybridMultilevel"/>
    <w:tmpl w:val="AC56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6961"/>
    <w:multiLevelType w:val="hybridMultilevel"/>
    <w:tmpl w:val="58F29FA6"/>
    <w:lvl w:ilvl="0" w:tplc="AA483A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warzysz\u261?cy dokumentowi:"/>
    <w:docVar w:name="LW_CONFIDENCE" w:val=" "/>
    <w:docVar w:name="LW_CONST_RESTREINT_UE" w:val="RESTREINT UE"/>
    <w:docVar w:name="LW_CORRIGENDUM" w:val="&lt;UNUSED&gt;"/>
    <w:docVar w:name="LW_COVERPAGE_GUID" w:val="0F0CCC003DF0480AAA64A93C009DDEDE"/>
    <w:docVar w:name="LW_CROSSREFERENCE" w:val="{COM(2017) 38 final}_x000b_{SWD(2017) 23 final}"/>
    <w:docVar w:name="LW_DocType" w:val="NORMAL"/>
    <w:docVar w:name="LW_EMISSION" w:val="26.1.2017"/>
    <w:docVar w:name="LW_EMISSION_ISODATE" w:val="2017-01-26"/>
    <w:docVar w:name="LW_EMISSION_LOCATION" w:val="BRX"/>
    <w:docVar w:name="LW_EMISSION_PREFIX" w:val="Bruksela, dnia "/>
    <w:docVar w:name="LW_EMISSION_SUFFIX" w:val=" r."/>
    <w:docVar w:name="LW_ID_DOCTYPE_NONLW" w:val="CP-02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wniosek dotycz\u261?cy DYREKTYWY PARLAMENTU EUROPEJSKIEGO I RADY zmieniaj\u261?cej dyrektyw\u281? 2011/65/UE w sprawie ograniczenia stosowania niektórych niebezpiecznych substancji w sprz\u281?cie elektrycznym i elektronicznym"/>
    <w:docVar w:name="LW_PART_NBR" w:val="1"/>
    <w:docVar w:name="LW_PART_NBR_TOTAL" w:val="1"/>
    <w:docVar w:name="LW_REF.INST.NEW" w:val="SWD"/>
    <w:docVar w:name="LW_REF.INST.NEW_ADOPTED" w:val="final"/>
    <w:docVar w:name="LW_REF.INST.NEW_TEXT" w:val="(2017) 22"/>
    <w:docVar w:name="LW_REF.INTERNE" w:val="&lt;UNUSED&gt;"/>
    <w:docVar w:name="LW_SUPERTITRE" w:val="&lt;UNUSED&gt;"/>
    <w:docVar w:name="LW_TITRE.OBJ.CP" w:val="&lt;UNUSED&gt;"/>
    <w:docVar w:name="LW_TYPE.DOC.CP" w:val="DOKUMENT ROBOCZY S\u321?U\u379?B KOMISJI_x000b__x000b_STRESZCZENIE OCENY SKUTKÓW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D9E44C-6998-4C30-9D0F-1D23FA9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618</Words>
  <Characters>4243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25</cp:revision>
  <dcterms:created xsi:type="dcterms:W3CDTF">2016-12-06T14:07:00Z</dcterms:created>
  <dcterms:modified xsi:type="dcterms:W3CDTF">2017-01-24T09:44:00Z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