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0D48698C40C415B98C36921E927E0C1" style="width:450.7pt;height:407.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t>1.</w:t>
      </w:r>
      <w:r>
        <w:tab/>
      </w:r>
      <w:r>
        <w:rPr>
          <w:noProof/>
        </w:rPr>
        <w:t>EHDOTUKSEN TAUSTA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mallCaps/>
          <w:noProof/>
        </w:rPr>
      </w:pPr>
      <w:r>
        <w:rPr>
          <w:b/>
          <w:smallCaps/>
          <w:noProof/>
        </w:rPr>
        <w:t>Yleinen tausta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Monille unionin säädöksistä ei ole niiden antamisen yhteydessä vahvistettu voimassaoloaikaa. Nämä säädökset ovat virallisesti voimassa, vaikka niiden oikeusvaikutukset ovat lakanneet.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noProof/>
          <w:color w:val="222222"/>
        </w:rPr>
      </w:pPr>
      <w:r>
        <w:rPr>
          <w:noProof/>
          <w:color w:val="222222"/>
        </w:rPr>
        <w:t>Kun poistetaan säädökset, joita ei enää sovelleta tai joilla ei enää ole merkitystä, lainsäädäntö voidaan esittää käyttäjäystävällisemmällä tavalla ja unionin lainsäädännön hakuvälineitä (CELEX, EUR-Lex ja voimassa olevan lainsäädännön hakemisto) voidaan käyttää tehokkaammin ja nopeammin (esim. hakutulokset näyttävät sovellettavan lainsäädännön, eivät vanhentunutta lainsäädäntöä). Unionin lainsäädännön avoimuuden parantaminen on keskeinen osa paremman sääntelyn agendaa, jota unionin toimielimet pyrkivät edistämään muun muassa toimielinten välisellä sopimuksella paremmasta lainsäädännöstä</w:t>
      </w:r>
      <w:r>
        <w:rPr>
          <w:rStyle w:val="FootnoteReference"/>
          <w:noProof/>
          <w:color w:val="222222"/>
        </w:rPr>
        <w:footnoteReference w:id="1"/>
      </w:r>
      <w:r>
        <w:rPr>
          <w:noProof/>
          <w:color w:val="222222"/>
        </w:rPr>
        <w:t xml:space="preserve">. </w:t>
      </w:r>
      <w:r>
        <w:rPr>
          <w:noProof/>
        </w:rPr>
        <w:t>Vuonna 2014 annetussa REFIT-tiedonannossa</w:t>
      </w:r>
      <w:r>
        <w:rPr>
          <w:rStyle w:val="FootnoteReference"/>
          <w:noProof/>
        </w:rPr>
        <w:footnoteReference w:id="2"/>
      </w:r>
      <w:r>
        <w:rPr>
          <w:noProof/>
        </w:rPr>
        <w:t xml:space="preserve"> ilmoitettiin, että komissio valmistelee lainsäädännön kumoamista liittyen muun muassa yhdenmukaiseen raportointiin ympäristöalalla. Lisäksi vuonna 2015 annetussa parempaa sääntelyä koskevassa tiedonannosssa</w:t>
      </w:r>
      <w:r>
        <w:rPr>
          <w:rStyle w:val="FootnoteReference"/>
          <w:noProof/>
        </w:rPr>
        <w:footnoteReference w:id="3"/>
      </w:r>
      <w:r>
        <w:rPr>
          <w:noProof/>
        </w:rPr>
        <w:t xml:space="preserve"> esitettiin, että on käynnistettävä raportointivaatimusten kattava tarkastelu useilla aloilla, ympäristö mukaan lukien. Edellä mainituista syistä esitetään eräiden ympäristöä koskevien direktiivien täytäntöönpanoon liittyvien kertomusten standardoinnista ja järkeistämisestä 23 päivänä joulukuuta 1991 annetun neuvoston direktiivin, jäljempänä ’direktiivi 91/692/ETY’, kumoamista. Tämä liittyy laajempaan ympäristöalan seurannan ja raportoinnin toimivuustarkastukseen. Toimivuustarkastusta tehdään parhaillaan vuoden 2016 työohjelman</w:t>
      </w:r>
      <w:r>
        <w:rPr>
          <w:rStyle w:val="FootnoteReference"/>
          <w:noProof/>
        </w:rPr>
        <w:footnoteReference w:id="4"/>
      </w:r>
      <w:r>
        <w:rPr>
          <w:noProof/>
        </w:rPr>
        <w:t xml:space="preserve"> mukaisesti. Työohjelmassa mainittiin direktiivin 91/692/ETY kumoamista koskeva ehdotus sekä siihen liittyvä vesialan kyselylomaketta koskeva päätös 95/337/ETY, jotka sisältyvät kumoamisaloitteisiin liitteessä V.</w:t>
      </w:r>
      <w:r>
        <w:rPr>
          <w:noProof/>
          <w:color w:val="222222"/>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222222"/>
        </w:rPr>
      </w:pPr>
      <w:r>
        <w:rPr>
          <w:noProof/>
          <w:color w:val="222222"/>
        </w:rPr>
        <w:t xml:space="preserve">Tämä kumoamispaketti koostuu neljästä ehdotetusta aloitteesta, jotka liittyvät direktiivin 91/692/ETY ja päätöksen 95/337/ETY kumoamiseen: </w:t>
      </w:r>
    </w:p>
    <w:p>
      <w:pPr>
        <w:pStyle w:val="ManualNumPar1"/>
        <w:rPr>
          <w:noProof/>
        </w:rPr>
      </w:pPr>
      <w:r>
        <w:t>1.</w:t>
      </w:r>
      <w:r>
        <w:tab/>
      </w:r>
      <w:r>
        <w:rPr>
          <w:noProof/>
        </w:rPr>
        <w:t xml:space="preserve">Tiedonanto, jossa todetaan vanhentuneiksi 11 komission hyväksymää täytäntöönpanosäädöstä, joissa vahvistetaan ympäristöraportointia koskevat kyselylomakkeet, mukaan lukien päätös 95/337/ETY. </w:t>
      </w:r>
    </w:p>
    <w:p>
      <w:pPr>
        <w:pStyle w:val="ManualNumPar1"/>
        <w:rPr>
          <w:noProof/>
        </w:rPr>
      </w:pPr>
      <w:r>
        <w:t>2.</w:t>
      </w:r>
      <w:r>
        <w:tab/>
      </w:r>
      <w:r>
        <w:rPr>
          <w:noProof/>
        </w:rPr>
        <w:t>Kaksi ehdotusta komission päätöksiksi, joilla kumotaan (komitologiamenettelyjen kautta) kaksi täytäntöönpanopäätöksistä, 10 päivänä helmikuuta 2011 annettu komission päätös 2011/92/EU</w:t>
      </w:r>
      <w:r>
        <w:rPr>
          <w:rStyle w:val="FootnoteReference"/>
          <w:noProof/>
        </w:rPr>
        <w:footnoteReference w:id="5"/>
      </w:r>
      <w:r>
        <w:rPr>
          <w:noProof/>
        </w:rPr>
        <w:t xml:space="preserve"> ja 9 päivänä marraskuuta 2010 annettu komission päätös 2010/681/EU</w:t>
      </w:r>
      <w:r>
        <w:rPr>
          <w:rStyle w:val="FootnoteReference"/>
          <w:noProof/>
        </w:rPr>
        <w:footnoteReference w:id="6"/>
      </w:r>
      <w:r>
        <w:rPr>
          <w:noProof/>
        </w:rPr>
        <w:t xml:space="preserve">, joiden oikeudellinen vaikutus on lakannut mutta jotka komissio kumoaa myöhemmin komitologiamenettelyllä. </w:t>
      </w:r>
    </w:p>
    <w:p>
      <w:pPr>
        <w:pStyle w:val="ManualNumPar1"/>
        <w:rPr>
          <w:noProof/>
        </w:rPr>
      </w:pPr>
      <w:r>
        <w:t>3.</w:t>
      </w:r>
      <w:r>
        <w:tab/>
      </w:r>
      <w:r>
        <w:rPr>
          <w:noProof/>
        </w:rPr>
        <w:t>Ehdotus Euroopan parlamentin ja neuvoston päätökseksi, jolla kumotaan ja muutetaan kuuden säädöksen säännöksiä, joissa viitataan direktiiviin 91/692/ETY.</w:t>
      </w:r>
    </w:p>
    <w:p>
      <w:pPr>
        <w:autoSpaceDE w:val="0"/>
        <w:autoSpaceDN w:val="0"/>
        <w:adjustRightInd w:val="0"/>
        <w:spacing w:after="0"/>
        <w:rPr>
          <w:noProof/>
        </w:rPr>
      </w:pPr>
      <w:r>
        <w:rPr>
          <w:noProof/>
        </w:rPr>
        <w:t xml:space="preserve">Valmistellakseen näitä aloitteita komissio on suorittanut analyysin ja tarkastellut seurauksia, joita aiheutuu eri velvoitteiden pitämisestä voimassa tai niiden kumoamisesta. Tämän työn tulos esitetään tiivistetysti jäljempänä ja yksityiskohtaisemmin erikseen julkaistavassa </w:t>
      </w:r>
      <w:r>
        <w:rPr>
          <w:noProof/>
        </w:rPr>
        <w:lastRenderedPageBreak/>
        <w:t>selvityksessä</w:t>
      </w:r>
      <w:r>
        <w:rPr>
          <w:rStyle w:val="FootnoteReference"/>
          <w:noProof/>
        </w:rPr>
        <w:footnoteReference w:id="7"/>
      </w:r>
      <w:r>
        <w:rPr>
          <w:noProof/>
        </w:rPr>
        <w:t>. Koska tavoitteena on kumota vanhentuneita säännöksiä ja säädöksiä, katsotaan, ettei virallista vaikutusten arviointia tarvita. On tärkeää korostaa, ettei säädösten kumoamisesta ole odotettavissa varsinaista taloudellista hyötyä. Merkittävimmät hyödyt liittyvät lähinnä siihen, että tämän ”siivouksen” ansiosta raportointia koskevista säännöistä saadaan selkeämpiä.</w:t>
      </w:r>
    </w:p>
    <w:p>
      <w:pPr>
        <w:autoSpaceDE w:val="0"/>
        <w:autoSpaceDN w:val="0"/>
        <w:adjustRightInd w:val="0"/>
        <w:spacing w:after="0"/>
        <w:rPr>
          <w:b/>
          <w:noProof/>
          <w:szCs w:val="24"/>
        </w:rPr>
      </w:pPr>
      <w:r>
        <w:rPr>
          <w:b/>
          <w:noProof/>
        </w:rPr>
        <w:t xml:space="preserve">Direktiivin 91/692/ETY puutteet </w:t>
      </w:r>
    </w:p>
    <w:p>
      <w:pPr>
        <w:autoSpaceDE w:val="0"/>
        <w:autoSpaceDN w:val="0"/>
        <w:adjustRightInd w:val="0"/>
        <w:spacing w:after="0"/>
        <w:rPr>
          <w:noProof/>
          <w:szCs w:val="24"/>
        </w:rPr>
      </w:pPr>
      <w:r>
        <w:rPr>
          <w:noProof/>
        </w:rPr>
        <w:t>Direktiivillä 91/692/ETY (kertomusten standardoinnista ja järkeistämisestä) pyrittiin järkeistämään raportointivelvoitteet kaiken direktiivin hyväksymisaikaan voimassa olleen EU:n ympäristölainsäädännön osalta. Käytännössä direktiivillä 91/692/ETY ei kuitenkaan yhdenmukaistettu kaikkia ympäristöä koskevia raporointivelvoitteita. Esimerkiksi direktiivit 91/271/ETY</w:t>
      </w:r>
      <w:r>
        <w:rPr>
          <w:rStyle w:val="FootnoteReference"/>
          <w:noProof/>
        </w:rPr>
        <w:footnoteReference w:id="8"/>
      </w:r>
      <w:r>
        <w:rPr>
          <w:noProof/>
        </w:rPr>
        <w:t xml:space="preserve"> ja 91/676/ETY</w:t>
      </w:r>
      <w:r>
        <w:rPr>
          <w:rStyle w:val="FootnoteReference"/>
          <w:noProof/>
        </w:rPr>
        <w:footnoteReference w:id="9"/>
      </w:r>
      <w:r>
        <w:rPr>
          <w:noProof/>
        </w:rPr>
        <w:t xml:space="preserve"> eivät kuuluneet sen soveltamisalaan. Lisäksi direktiivin täytäntöönpano oli hankalaa ja tehotonta alusta alkaen. Yksi merkittävimmistä ongelmista oli se, että direktiivi hyväksyttiin ennen tietotekniikan käytön yleistymistä. Lisäksi useat yksittäisistä säädöksistä, joiden osalta direktiivissä 91/692/ETY asetetaan raportointivaatimukset, korvattiin tämän jälkeen säädöksillä, joissa direktiivin raportointisäädökset jätettiin huomiotta. Esimerkiksi direktiivillä 2000/60/EY</w:t>
      </w:r>
      <w:r>
        <w:rPr>
          <w:rStyle w:val="FootnoteReference"/>
          <w:noProof/>
        </w:rPr>
        <w:footnoteReference w:id="10"/>
      </w:r>
      <w:r>
        <w:rPr>
          <w:noProof/>
        </w:rPr>
        <w:t xml:space="preserve"> kumottiin seitsemän vesialan säädöstä. Myös vesialan kyselylomake (päätös 95/337/ETY), joka oli hyväksytty direktiivin 91/692/ETY nojalla, menetti merkityksensä. Esimerkiksi direktiivillä 2000/60/EY ja direktiivillä  2010/75/EY</w:t>
      </w:r>
      <w:r>
        <w:rPr>
          <w:rStyle w:val="FootnoteReference"/>
          <w:noProof/>
        </w:rPr>
        <w:footnoteReference w:id="11"/>
      </w:r>
      <w:r>
        <w:rPr>
          <w:noProof/>
        </w:rPr>
        <w:t xml:space="preserve"> (ja sen edeltäjällä, direktiivillä 96/61/EY)</w:t>
      </w:r>
      <w:r>
        <w:rPr>
          <w:rStyle w:val="FootnoteReference"/>
          <w:noProof/>
        </w:rPr>
        <w:footnoteReference w:id="12"/>
      </w:r>
      <w:r>
        <w:rPr>
          <w:noProof/>
        </w:rPr>
        <w:t xml:space="preserve"> otettiin käyttöön riippumattomia raportointivelvoitteita. </w:t>
      </w:r>
    </w:p>
    <w:p>
      <w:pPr>
        <w:autoSpaceDE w:val="0"/>
        <w:autoSpaceDN w:val="0"/>
        <w:adjustRightInd w:val="0"/>
        <w:spacing w:after="0"/>
        <w:rPr>
          <w:noProof/>
          <w:szCs w:val="24"/>
        </w:rPr>
      </w:pPr>
      <w:r>
        <w:rPr>
          <w:noProof/>
        </w:rPr>
        <w:t>Kun on onnistuneesti kehitetty Euroopan ympäristökeskuksen Reportnet-järjestelmä sekä raportoinnin järkeistämistä koskevat alakohtaiset aloitteet (esim. Euroopan vesitietojärjestelmä), raportointia koskevan horisontaalisen välineen tarvetta ja tehokkuutta on kyseenalaistettu entistä enemmän. Lisäksi INSPIRE-direktiivin (2007/2/EY) hyväksyminen ja siihen liittyvän yhteisen ympäristötietojärjestelmän (SEIS)</w:t>
      </w:r>
      <w:r>
        <w:rPr>
          <w:rStyle w:val="FootnoteReference"/>
          <w:noProof/>
        </w:rPr>
        <w:footnoteReference w:id="13"/>
      </w:r>
      <w:r>
        <w:rPr>
          <w:noProof/>
        </w:rPr>
        <w:t xml:space="preserve"> kehittäminen toivat mukanaan nykyaikaisemman ja tehokkaamman monialaisen lähestymistavan EU:n ympäristöpolitiikkaan liittyvään tiedonhallintaan ja raportointiin. </w:t>
      </w:r>
    </w:p>
    <w:p>
      <w:pPr>
        <w:autoSpaceDE w:val="0"/>
        <w:autoSpaceDN w:val="0"/>
        <w:adjustRightInd w:val="0"/>
        <w:spacing w:after="0"/>
        <w:rPr>
          <w:noProof/>
          <w:szCs w:val="24"/>
        </w:rPr>
      </w:pPr>
      <w:r>
        <w:rPr>
          <w:noProof/>
        </w:rPr>
        <w:t>Komissio katsoi tuolloin, että "[…]</w:t>
      </w:r>
      <w:r>
        <w:rPr>
          <w:i/>
          <w:noProof/>
        </w:rPr>
        <w:t>yhteisön ympäristölainsäädännössä vaadittavien tietojen antamista koskevien oikeudellisten välineiden nykyaikaistaminen on merkittävä askel yhteisen ympäristötietojärjestelmän toteuttamisessa, ja se edesauttaa erityisesti odotettujen yksinkertaistamishyötyjen saamista. Tämä toteutettaneen tarkastelemalla uudelleen raportoinnin standardoimista koskevaa direktiiviä 91/962/EY , joka on ajantasaistettava ja saatettava yhteisen ympäristötietojärjestelmän periaatteiden mukaiseksi.  Tähän päästäkseen komissio aikoo tehdä vuonna 2008 asiaa koskevan lainsäädäntöehdotuksen, johon sisältyy nykyisessä raportoinnin standardointia koskevassa direktiivissä olevien vanhentuneiden säännösten kumoaminen</w:t>
      </w:r>
      <w:r>
        <w:rPr>
          <w:rStyle w:val="FootnoteReference"/>
          <w:noProof/>
        </w:rPr>
        <w:footnoteReference w:id="14"/>
      </w:r>
      <w:r>
        <w:rPr>
          <w:i/>
          <w:noProof/>
        </w:rPr>
        <w:t xml:space="preserve">. </w:t>
      </w:r>
      <w:r>
        <w:rPr>
          <w:noProof/>
        </w:rPr>
        <w:t>Komissio päätti lopulta, ettei se esitä uutta raportointia koskevaa säädöstä vaan jatkaa toimia muun kuin lainsäädäntöön perustuvan lähestymistavan avulla (katso ”EU Shared Environmental Information System-Implementation Outlook”</w:t>
      </w:r>
      <w:r>
        <w:rPr>
          <w:rStyle w:val="FootnoteReference"/>
          <w:noProof/>
        </w:rPr>
        <w:footnoteReference w:id="15"/>
      </w:r>
      <w:r>
        <w:rPr>
          <w:noProof/>
        </w:rPr>
        <w:t xml:space="preserve">), johon yhdistetään koordinoidut toimet ympäristön eri osa-alueilla (vesi, ilma, luonto jne.). </w:t>
      </w:r>
    </w:p>
    <w:p>
      <w:pPr>
        <w:autoSpaceDE w:val="0"/>
        <w:autoSpaceDN w:val="0"/>
        <w:adjustRightInd w:val="0"/>
        <w:spacing w:after="0"/>
        <w:rPr>
          <w:noProof/>
        </w:rPr>
      </w:pPr>
      <w:r>
        <w:rPr>
          <w:b/>
          <w:noProof/>
        </w:rPr>
        <w:t>Tiivistelmä direktiivin 91/692/ETY tämänhetkisestä soveltamisalasta ja merkityksestä</w:t>
      </w:r>
    </w:p>
    <w:p>
      <w:pPr>
        <w:autoSpaceDE w:val="0"/>
        <w:autoSpaceDN w:val="0"/>
        <w:adjustRightInd w:val="0"/>
        <w:spacing w:after="0"/>
        <w:rPr>
          <w:noProof/>
          <w:szCs w:val="24"/>
        </w:rPr>
      </w:pPr>
      <w:r>
        <w:rPr>
          <w:noProof/>
        </w:rPr>
        <w:t>Direktiivissä 91/692/ETY viitataan 28 ympäristösäädökseen, jotka sen säännökset kattavat. Siihen viitataan myös useissa muissa säädöksissä. Näistä säädöksistä on kumottu useita (katso taulukko 2). Voimassa on kuitenkin edelleen yksi asetus, 9 direktiiviä (katso taulukko 1) (direktiivin 91/692/ETY säännöksiä sovelletaan edelleen kahteen direktiiviin: direktiiviin 86/278/ETY ja direktiiviin 87/217/ETY) ja 23 päätöstä, joissa edelleen viitataan kyseisiin säännöksiin (katso kokonaiskuva taulukosta 3).</w:t>
      </w:r>
    </w:p>
    <w:p>
      <w:pPr>
        <w:autoSpaceDE w:val="0"/>
        <w:autoSpaceDN w:val="0"/>
        <w:adjustRightInd w:val="0"/>
        <w:spacing w:after="0"/>
        <w:rPr>
          <w:noProof/>
        </w:rPr>
      </w:pPr>
      <w:r>
        <w:rPr>
          <w:noProof/>
        </w:rPr>
        <w:t xml:space="preserve">Yhteenvetona voidaan todeta, että suurin osa direktiivissä 91/692/ETY asetetuista alkuperäisistä velvoitteista on vanhentuneita eikä niillä enää ole oikeusvaikutuksia. Ehdotus niiden kumoamisesta tehdään oikeusvarmuuden varmistamiseksi, avoimuuden parantamiseksi, hallinnollisen taakan vähentämiseksi ja sen varmistamiseksi, että EU:n lainsäädäntö on tarkoitukseensa sopivaa paremman sääntelyn agendan mukaisesti. </w:t>
      </w:r>
    </w:p>
    <w:p>
      <w:pPr>
        <w:autoSpaceDE w:val="0"/>
        <w:autoSpaceDN w:val="0"/>
        <w:adjustRightInd w:val="0"/>
        <w:spacing w:after="0"/>
        <w:rPr>
          <w:b/>
          <w:noProof/>
        </w:rPr>
      </w:pPr>
      <w:r>
        <w:rPr>
          <w:b/>
          <w:noProof/>
        </w:rPr>
        <w:t>Ehdotetut toimet direktiivin 91/692/EY ja siihen liittyvien säädösten kumoamiseksi</w:t>
      </w:r>
    </w:p>
    <w:p>
      <w:pPr>
        <w:autoSpaceDE w:val="0"/>
        <w:autoSpaceDN w:val="0"/>
        <w:adjustRightInd w:val="0"/>
        <w:spacing w:after="0"/>
        <w:rPr>
          <w:noProof/>
        </w:rPr>
      </w:pPr>
      <w:r>
        <w:rPr>
          <w:noProof/>
        </w:rPr>
        <w:t>Ensimmäinen toimi on ehdotus Euroopan parlamentin ja neuvoston päätökseksi, jolla poistetaan määrämuotoista raportointia koskevat vaatimukset. Lisäksi ehdotetaan, että viittaukset vanhoihin komitologiasääntöihin korvataan yleisistä säännöistä ja periaatteista, joiden mukaisesti jäsenvaltiot valvovat komission täytäntöönpanovallan käyttöä, 16 päivänä helmikuuta 2011 annetulla Euroopan parlamentin ja neuvoston asetuksella (EU) N:o 182/2011, kuten sen 13 artiklassa (siirtymätoimenpiteet) edellytetään.</w:t>
      </w:r>
    </w:p>
    <w:p>
      <w:pPr>
        <w:rPr>
          <w:noProof/>
          <w:szCs w:val="24"/>
        </w:rPr>
      </w:pPr>
      <w:r>
        <w:rPr>
          <w:noProof/>
        </w:rPr>
        <w:t xml:space="preserve">Toisessa toimessa tavoitteena on antaa tiedonanto, jossa todetaan, että vielä voimassa olevat direktiivin 91/692/ETY täytäntönpanopäätökset ovat vanhentuneet. Tiedoannossa yksilöidään päätökset, jotka ovat vanhentuneet ja joiden oikeusperusta on kumottu. </w:t>
      </w:r>
    </w:p>
    <w:p>
      <w:pPr>
        <w:rPr>
          <w:noProof/>
          <w:szCs w:val="24"/>
        </w:rPr>
      </w:pPr>
      <w:r>
        <w:rPr>
          <w:noProof/>
        </w:rPr>
        <w:t>Kolmannella toimella pyritään kumoamaan kaksi täytäntöönpanopäätöstä, joilla edelleen on voimassa oleva oikeusperusta mutta joiden oikeudelliset vaikutukset ovat lakanneet</w:t>
      </w:r>
      <w:r>
        <w:rPr>
          <w:rStyle w:val="FootnoteReference"/>
          <w:noProof/>
        </w:rPr>
        <w:footnoteReference w:id="16"/>
      </w:r>
      <w:r>
        <w:rPr>
          <w:noProof/>
        </w:rPr>
        <w:t>.</w:t>
      </w:r>
    </w:p>
    <w:p>
      <w:pPr>
        <w:autoSpaceDE w:val="0"/>
        <w:autoSpaceDN w:val="0"/>
        <w:adjustRightInd w:val="0"/>
        <w:spacing w:after="0"/>
        <w:rPr>
          <w:noProof/>
          <w:szCs w:val="24"/>
        </w:rPr>
      </w:pPr>
      <w:r>
        <w:rPr>
          <w:noProof/>
        </w:rPr>
        <w:t>Osana valmistelussa käytettyä analyysiä tarkasteltiin useita vaihtoehtoja, jotta voitaisiin varmistaa säädösten tehokas kumoaminen ja säilyttää tarvittaessa samalla oikeusvaikutukset. Tämän analyysin tulokset esitetään selvityksessä</w:t>
      </w:r>
      <w:r>
        <w:rPr>
          <w:rStyle w:val="FootnoteReference"/>
          <w:noProof/>
        </w:rPr>
        <w:footnoteReference w:id="17"/>
      </w:r>
      <w:r>
        <w:rPr>
          <w:noProof/>
        </w:rPr>
        <w:t>, jossa suositellaan direktiivin 91/692/ETY kumoamista kokonaan sekä vanhentuneiden säännösten poistamista siten, että samalla viitataan täytäntöönpanosäädöksiä koskeviin uusiin sääntöihin. Tämä edellä mainituista kolmesta toimesta koostuva vaihtoehto todettiin kaikkein tehokkaimmaksi byrokratian vähentämisen ja oikeusvarmuuden parantamisen kannalta.</w:t>
      </w:r>
    </w:p>
    <w:p>
      <w:pPr>
        <w:autoSpaceDE w:val="0"/>
        <w:autoSpaceDN w:val="0"/>
        <w:adjustRightInd w:val="0"/>
        <w:spacing w:after="0"/>
        <w:rPr>
          <w:b/>
          <w:noProof/>
          <w:szCs w:val="24"/>
        </w:rPr>
      </w:pPr>
      <w:r>
        <w:rPr>
          <w:b/>
          <w:noProof/>
        </w:rPr>
        <w:t>Direktiivissä 91/692/ETY mainitut aiemmat direktiivit</w:t>
      </w:r>
    </w:p>
    <w:p>
      <w:pPr>
        <w:autoSpaceDE w:val="0"/>
        <w:autoSpaceDN w:val="0"/>
        <w:adjustRightInd w:val="0"/>
        <w:spacing w:after="0"/>
        <w:rPr>
          <w:noProof/>
          <w:szCs w:val="24"/>
        </w:rPr>
      </w:pPr>
      <w:r>
        <w:rPr>
          <w:noProof/>
        </w:rPr>
        <w:t>Kuten edellä todetaan, direktiivissä 91/692/ETY alunperin mainituista 28 säädöksestä</w:t>
      </w:r>
      <w:r>
        <w:rPr>
          <w:noProof/>
          <w:color w:val="0000FF"/>
        </w:rPr>
        <w:t xml:space="preserve"> (katso taulukko 2)</w:t>
      </w:r>
      <w:r>
        <w:rPr>
          <w:noProof/>
        </w:rPr>
        <w:t xml:space="preserve"> jäljellä ovat enää direktiivit 86/278/ETY ja 87/217/ETY </w:t>
      </w:r>
      <w:r>
        <w:rPr>
          <w:noProof/>
          <w:color w:val="0000FF"/>
        </w:rPr>
        <w:t>(katso taulukko 1)</w:t>
      </w:r>
      <w:r>
        <w:rPr>
          <w:noProof/>
        </w:rPr>
        <w:t xml:space="preserve">. </w:t>
      </w:r>
    </w:p>
    <w:p>
      <w:pPr>
        <w:autoSpaceDE w:val="0"/>
        <w:autoSpaceDN w:val="0"/>
        <w:adjustRightInd w:val="0"/>
        <w:spacing w:after="0"/>
        <w:rPr>
          <w:noProof/>
          <w:szCs w:val="24"/>
        </w:rPr>
      </w:pPr>
      <w:r>
        <w:rPr>
          <w:noProof/>
        </w:rPr>
        <w:t xml:space="preserve">Ehdotuksen mukaan säilytetään direktiivin 86/278/ETY raportointisäännökset mutta ne yhdenmukaistetaan SEUT-sopimuksessa vahvistettuihin uusiin täytäntöönpanosäädöksiä koskeviin sääntöihin. </w:t>
      </w:r>
    </w:p>
    <w:p>
      <w:pPr>
        <w:autoSpaceDE w:val="0"/>
        <w:autoSpaceDN w:val="0"/>
        <w:adjustRightInd w:val="0"/>
        <w:spacing w:after="0"/>
        <w:rPr>
          <w:noProof/>
        </w:rPr>
      </w:pPr>
      <w:r>
        <w:rPr>
          <w:noProof/>
        </w:rPr>
        <w:t>Direktiivin 87/217/ETY raportointivaatimuksia ei sovelleta, pääasiassa koska asbestia ei enää käytetä EU:n jäsenvaltioissa. Tämä johtuu siitä, että raaka-asbestin ja asbestia sisältävien tuotteiden tuotannosta ja käytöstä luovutaan vähitellen EU:ssa REACH-asetuksen perusteella (1907/2006/EY).</w:t>
      </w:r>
    </w:p>
    <w:p>
      <w:pPr>
        <w:spacing w:before="0" w:after="200" w:line="276" w:lineRule="auto"/>
        <w:jc w:val="left"/>
        <w:rPr>
          <w:b/>
          <w:noProof/>
        </w:rPr>
      </w:pPr>
      <w:r>
        <w:rPr>
          <w:noProof/>
        </w:rPr>
        <w:br w:type="page"/>
      </w:r>
      <w:r>
        <w:rPr>
          <w:b/>
          <w:noProof/>
        </w:rPr>
        <w:t xml:space="preserve">Taulukko 1: Direktiivin 91/692/ETY kumoamista koskevan ehdotetun päätöksen kattamat direktiivit ja asetukset (kaikki muut säädökset, joilla on merkitystä direktiiville 91/692/ETY, ovat vanhentuneet tai menettäneet merkityksensä).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79"/>
      </w:tblGrid>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Edelleen voimassa olevat säädökset, joissa viitataan direktiiviin 91/692/ETY tai joihin siinä viitataan </w:t>
            </w:r>
          </w:p>
        </w:tc>
        <w:tc>
          <w:tcPr>
            <w:tcW w:w="1843" w:type="dxa"/>
            <w:shd w:val="clear" w:color="auto" w:fill="auto"/>
          </w:tcPr>
          <w:p>
            <w:pPr>
              <w:autoSpaceDE w:val="0"/>
              <w:autoSpaceDN w:val="0"/>
              <w:adjustRightInd w:val="0"/>
              <w:spacing w:before="0" w:after="240"/>
              <w:rPr>
                <w:rFonts w:eastAsia="Times New Roman"/>
                <w:b/>
                <w:bCs/>
                <w:noProof/>
                <w:sz w:val="22"/>
                <w:szCs w:val="24"/>
              </w:rPr>
            </w:pPr>
            <w:r>
              <w:rPr>
                <w:b/>
                <w:noProof/>
                <w:sz w:val="22"/>
              </w:rPr>
              <w:t>Direktiivin 91/692/ETY kumoaminen, joka vaikuttaa säädösten säännöksiin</w:t>
            </w:r>
          </w:p>
        </w:tc>
        <w:tc>
          <w:tcPr>
            <w:tcW w:w="1979"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Säädöksiä koskeva ehdotetun päätöksen artikla </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1) Direktiivi 86/278/ETY, annettu 12 päivänä kesäkuuta 1986, ympäristön, erityisesti maaperän, suojelusta käytettäessä puhdistamolietettä maanviljelyssä</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 xml:space="preserve">13, 14, 15, 15 a ja 17 artikla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3 artikla</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 xml:space="preserve">2) Neuvoston direktiivi 87/217/ETY, annettu 19 päivänä maaliskuuta 1987, asbestin aiheuttaman ympäristön pilaantumisen ehkäisemisestä ja vähentämisestä </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13 artikla</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4 artikla</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3) Euroopan parlamentin ja neuvoston direktiivi 2003/87/EY, annettu 13 päivänä lokakuuta 2003, kasvihuonekaasujen päästöoikeuksien kaupan järjestelmän toteuttamisesta yhteisössä</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21 artikla</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1 artikla</w:t>
            </w:r>
          </w:p>
        </w:tc>
      </w:tr>
      <w:tr>
        <w:trPr>
          <w:trHeight w:val="146"/>
        </w:trPr>
        <w:tc>
          <w:tcPr>
            <w:tcW w:w="5495" w:type="dxa"/>
            <w:shd w:val="clear" w:color="auto" w:fill="auto"/>
          </w:tcPr>
          <w:p>
            <w:pPr>
              <w:autoSpaceDE w:val="0"/>
              <w:autoSpaceDN w:val="0"/>
              <w:adjustRightInd w:val="0"/>
              <w:spacing w:before="0" w:after="240"/>
              <w:rPr>
                <w:rFonts w:eastAsia="Times New Roman"/>
                <w:b/>
                <w:bCs/>
                <w:noProof/>
                <w:sz w:val="22"/>
                <w:szCs w:val="24"/>
              </w:rPr>
            </w:pPr>
            <w:r>
              <w:rPr>
                <w:noProof/>
                <w:sz w:val="22"/>
              </w:rPr>
              <w:t>4) Euroopan parlamentin ja neuvoston direktiivi 2009/31/EY, annettu 23 päivänä huhtikuuta 2009, hiilidioksidin geologisesta varastoinnista; viitataan direktiiviin 91/692/ETY</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27, 29 ja 30 artikla</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2 artikla</w:t>
            </w:r>
          </w:p>
        </w:tc>
      </w:tr>
      <w:tr>
        <w:trPr>
          <w:trHeight w:val="146"/>
        </w:trPr>
        <w:tc>
          <w:tcPr>
            <w:tcW w:w="5495" w:type="dxa"/>
            <w:shd w:val="clear" w:color="auto" w:fill="auto"/>
          </w:tcPr>
          <w:p>
            <w:pPr>
              <w:autoSpaceDE w:val="0"/>
              <w:autoSpaceDN w:val="0"/>
              <w:adjustRightInd w:val="0"/>
              <w:spacing w:before="0" w:after="240"/>
              <w:rPr>
                <w:rFonts w:eastAsia="Times New Roman"/>
                <w:noProof/>
                <w:sz w:val="22"/>
              </w:rPr>
            </w:pPr>
            <w:r>
              <w:rPr>
                <w:noProof/>
                <w:sz w:val="22"/>
              </w:rPr>
              <w:t>5) Asetus 1257/2013/EU aluskierrätyksestä</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 xml:space="preserve">21 artikla </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5 artikla</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sz w:val="22"/>
              </w:rPr>
              <w:t>6) Direktiivi 94/63/EY, annettu 20 päivänä joulukuuta 1994, bensiinin varastoinnista ja sen jakelusta varastoalueilta huoltoasemille aiheutuvien haihtuvien orgaanisten yhdisteiden (VOC) päästöjen torjunnasta</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9 artikla</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6 artikla</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7) Euroopan parlamentin ja neuvoston direktiivi 2008/98/EY, annettu 17 päivänä marraskuuta 2008, jätteistä ja tiettyjen direktiivien kumoamisesta</w:t>
            </w:r>
            <w:r>
              <w:rPr>
                <w:rStyle w:val="FootnoteReference"/>
                <w:noProof/>
              </w:rPr>
              <w:footnoteReference w:id="18"/>
            </w:r>
            <w:r>
              <w:rPr>
                <w:noProof/>
              </w:rPr>
              <w:t>, 37 artiklan 1 kohta</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r>
      <w:tr>
        <w:trPr>
          <w:trHeight w:val="146"/>
        </w:trPr>
        <w:tc>
          <w:tcPr>
            <w:tcW w:w="5495" w:type="dxa"/>
            <w:shd w:val="clear" w:color="auto" w:fill="auto"/>
          </w:tcPr>
          <w:p>
            <w:pPr>
              <w:autoSpaceDE w:val="0"/>
              <w:autoSpaceDN w:val="0"/>
              <w:adjustRightInd w:val="0"/>
              <w:spacing w:after="0"/>
              <w:rPr>
                <w:noProof/>
                <w:szCs w:val="24"/>
              </w:rPr>
            </w:pPr>
            <w:r>
              <w:rPr>
                <w:noProof/>
              </w:rPr>
              <w:t>8) Euroopan parlamentin ja neuvoston direktiivi 2000/53/EY, annettu 18 päivänä syyskuuta 2000, romuajoneuvoista</w:t>
            </w:r>
            <w:r>
              <w:rPr>
                <w:rStyle w:val="FootnoteReference"/>
                <w:noProof/>
              </w:rPr>
              <w:footnoteReference w:id="19"/>
            </w:r>
            <w:r>
              <w:rPr>
                <w:noProof/>
              </w:rPr>
              <w:t>, 9 artikla</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r>
      <w:tr>
        <w:trPr>
          <w:trHeight w:val="146"/>
        </w:trPr>
        <w:tc>
          <w:tcPr>
            <w:tcW w:w="5495" w:type="dxa"/>
            <w:shd w:val="clear" w:color="auto" w:fill="auto"/>
          </w:tcPr>
          <w:p>
            <w:pPr>
              <w:autoSpaceDE w:val="0"/>
              <w:autoSpaceDN w:val="0"/>
              <w:adjustRightInd w:val="0"/>
              <w:spacing w:before="0" w:after="240"/>
              <w:rPr>
                <w:rFonts w:eastAsia="Times New Roman"/>
                <w:noProof/>
                <w:sz w:val="22"/>
                <w:szCs w:val="24"/>
              </w:rPr>
            </w:pPr>
            <w:r>
              <w:rPr>
                <w:noProof/>
              </w:rPr>
              <w:t>9) Neuvoston direktiivi 1999/31/EY, annettu 26 päivänä huhtikuuta 1999, kaatopaikoista</w:t>
            </w:r>
            <w:r>
              <w:rPr>
                <w:rStyle w:val="FootnoteReference"/>
                <w:noProof/>
              </w:rPr>
              <w:footnoteReference w:id="20"/>
            </w:r>
            <w:r>
              <w:rPr>
                <w:noProof/>
              </w:rPr>
              <w:t>, 15 artikla</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r>
      <w:tr>
        <w:trPr>
          <w:trHeight w:val="146"/>
        </w:trPr>
        <w:tc>
          <w:tcPr>
            <w:tcW w:w="5495" w:type="dxa"/>
            <w:shd w:val="clear" w:color="auto" w:fill="auto"/>
          </w:tcPr>
          <w:p>
            <w:pPr>
              <w:autoSpaceDE w:val="0"/>
              <w:autoSpaceDN w:val="0"/>
              <w:adjustRightInd w:val="0"/>
              <w:spacing w:after="0"/>
              <w:rPr>
                <w:noProof/>
                <w:szCs w:val="24"/>
              </w:rPr>
            </w:pPr>
            <w:r>
              <w:rPr>
                <w:noProof/>
              </w:rPr>
              <w:t>10) Euroopan parlamentin ja neuvoston direktiivi 94/62/EY, annettu 20 päivänä joulukuuta 1994, pakkauksista ja pakkausjätteistä</w:t>
            </w:r>
            <w:r>
              <w:rPr>
                <w:rStyle w:val="FootnoteReference"/>
                <w:noProof/>
              </w:rPr>
              <w:footnoteReference w:id="21"/>
            </w:r>
            <w:r>
              <w:rPr>
                <w:noProof/>
              </w:rPr>
              <w:t xml:space="preserve">, 17 artikla </w:t>
            </w:r>
          </w:p>
        </w:tc>
        <w:tc>
          <w:tcPr>
            <w:tcW w:w="1843"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c>
          <w:tcPr>
            <w:tcW w:w="1979" w:type="dxa"/>
            <w:shd w:val="clear" w:color="auto" w:fill="auto"/>
          </w:tcPr>
          <w:p>
            <w:pPr>
              <w:autoSpaceDE w:val="0"/>
              <w:autoSpaceDN w:val="0"/>
              <w:adjustRightInd w:val="0"/>
              <w:spacing w:before="0" w:after="240"/>
              <w:rPr>
                <w:rFonts w:eastAsia="Times New Roman"/>
                <w:bCs/>
                <w:noProof/>
                <w:sz w:val="22"/>
                <w:szCs w:val="24"/>
              </w:rPr>
            </w:pPr>
            <w:r>
              <w:rPr>
                <w:noProof/>
                <w:sz w:val="22"/>
              </w:rPr>
              <w:t>Kuuluu jätepaketin soveltamisalaan</w:t>
            </w:r>
          </w:p>
        </w:tc>
      </w:tr>
    </w:tbl>
    <w:p>
      <w:pPr>
        <w:spacing w:before="0" w:after="0"/>
        <w:jc w:val="center"/>
        <w:rPr>
          <w:rFonts w:eastAsia="Times New Roman"/>
          <w:b/>
          <w:noProof/>
          <w:sz w:val="18"/>
          <w:szCs w:val="18"/>
        </w:rPr>
      </w:pPr>
    </w:p>
    <w:p>
      <w:pPr>
        <w:rPr>
          <w:noProof/>
        </w:rPr>
      </w:pPr>
      <w:r>
        <w:rPr>
          <w:noProof/>
        </w:rPr>
        <w:br w:type="page"/>
      </w:r>
    </w:p>
    <w:p>
      <w:pPr>
        <w:spacing w:before="0" w:after="0"/>
        <w:jc w:val="center"/>
        <w:rPr>
          <w:rFonts w:eastAsia="Times New Roman"/>
          <w:b/>
          <w:noProof/>
          <w:sz w:val="18"/>
          <w:szCs w:val="18"/>
        </w:rPr>
      </w:pPr>
    </w:p>
    <w:p>
      <w:pPr>
        <w:autoSpaceDE w:val="0"/>
        <w:autoSpaceDN w:val="0"/>
        <w:adjustRightInd w:val="0"/>
        <w:spacing w:after="0"/>
        <w:rPr>
          <w:b/>
          <w:noProof/>
        </w:rPr>
      </w:pPr>
      <w:r>
        <w:rPr>
          <w:b/>
          <w:noProof/>
        </w:rPr>
        <w:t xml:space="preserve">Taulukko 2: Direktiivit ja asetukset, jotka on kumottu ja jotka aeimmin kuuluivat direktiivin 91/692/ETY soveltamisalaan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3"/>
      </w:tblGrid>
      <w:tr>
        <w:trPr>
          <w:trHeight w:val="144"/>
          <w:tblHeader/>
        </w:trPr>
        <w:tc>
          <w:tcPr>
            <w:tcW w:w="7054"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Säädökset, jotka on kumottu mutta jotka aiemmin kuuluivat direktiivin 91/692/ETY soveltamisalaan </w:t>
            </w:r>
          </w:p>
        </w:tc>
        <w:tc>
          <w:tcPr>
            <w:tcW w:w="2263" w:type="dxa"/>
            <w:shd w:val="clear" w:color="auto" w:fill="auto"/>
          </w:tcPr>
          <w:p>
            <w:pPr>
              <w:autoSpaceDE w:val="0"/>
              <w:autoSpaceDN w:val="0"/>
              <w:adjustRightInd w:val="0"/>
              <w:spacing w:before="0" w:after="240"/>
              <w:rPr>
                <w:rFonts w:eastAsia="Times New Roman"/>
                <w:b/>
                <w:bCs/>
                <w:noProof/>
                <w:sz w:val="22"/>
                <w:szCs w:val="24"/>
              </w:rPr>
            </w:pPr>
            <w:r>
              <w:rPr>
                <w:b/>
                <w:noProof/>
                <w:sz w:val="22"/>
              </w:rPr>
              <w:t>Kumoamis</w:t>
            </w:r>
            <w:r>
              <w:rPr>
                <w:b/>
                <w:noProof/>
                <w:sz w:val="22"/>
              </w:rPr>
              <w:softHyphen/>
              <w:t>päivämäärä</w:t>
            </w:r>
          </w:p>
        </w:tc>
      </w:tr>
      <w:tr>
        <w:trPr>
          <w:trHeight w:val="1474"/>
        </w:trPr>
        <w:tc>
          <w:tcPr>
            <w:tcW w:w="7054" w:type="dxa"/>
            <w:shd w:val="clear" w:color="auto" w:fill="auto"/>
          </w:tcPr>
          <w:p>
            <w:pPr>
              <w:autoSpaceDE w:val="0"/>
              <w:autoSpaceDN w:val="0"/>
              <w:adjustRightInd w:val="0"/>
              <w:spacing w:before="0" w:after="240"/>
              <w:rPr>
                <w:rFonts w:eastAsia="Times New Roman"/>
                <w:b/>
                <w:bCs/>
                <w:noProof/>
                <w:sz w:val="22"/>
                <w:szCs w:val="24"/>
              </w:rPr>
            </w:pPr>
            <w:r>
              <w:rPr>
                <w:noProof/>
              </w:rPr>
              <w:t>Neuvoston direktiivi 76/160/ETY, annettu 8 päivänä joulukuuta 1975, uimaveden laadusta</w:t>
            </w:r>
            <w:r>
              <w:rPr>
                <w:rStyle w:val="FootnoteReference"/>
                <w:noProof/>
              </w:rPr>
              <w:footnoteReference w:id="22"/>
            </w:r>
            <w:r>
              <w:rPr>
                <w:noProof/>
              </w:rPr>
              <w:t>, muutettuna direktiivin 91/692/ETY 3 artiklalla, kumottiin Euroopan parlamentin ja neuvoston direktiivillä 2006/7/EY, annettu 15 päivänä helmikuuta 2006, uimaveden laadun hallinnasta ja direktiivin 76/160/ETY kumoamisesta</w:t>
            </w:r>
            <w:r>
              <w:rPr>
                <w:rStyle w:val="FootnoteReference"/>
                <w:noProof/>
              </w:rPr>
              <w:footnoteReference w:id="23"/>
            </w:r>
            <w:r>
              <w:rPr>
                <w:noProof/>
              </w:rPr>
              <w:t>.</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31. joulukuuta 2014</w:t>
            </w:r>
          </w:p>
        </w:tc>
      </w:tr>
      <w:tr>
        <w:trPr>
          <w:trHeight w:val="144"/>
        </w:trPr>
        <w:tc>
          <w:tcPr>
            <w:tcW w:w="7054" w:type="dxa"/>
            <w:shd w:val="clear" w:color="auto" w:fill="auto"/>
          </w:tcPr>
          <w:p>
            <w:pPr>
              <w:autoSpaceDE w:val="0"/>
              <w:autoSpaceDN w:val="0"/>
              <w:adjustRightInd w:val="0"/>
              <w:spacing w:after="0"/>
              <w:rPr>
                <w:noProof/>
              </w:rPr>
            </w:pPr>
            <w:r>
              <w:rPr>
                <w:noProof/>
              </w:rPr>
              <w:t>Neuvoston direktiivi 76/464/ETY, annettu 4 päivänä toukokuuta 1976, tiettyjen yhteisön vesiympäristöön päästettyjen vaarallisten aineiden aiheuttamasta pilaantumisesta</w:t>
            </w:r>
            <w:r>
              <w:rPr>
                <w:rStyle w:val="FootnoteReference"/>
                <w:noProof/>
              </w:rPr>
              <w:footnoteReference w:id="24"/>
            </w:r>
            <w:r>
              <w:rPr>
                <w:noProof/>
              </w:rPr>
              <w:t>, muutettuna direktiivin 91/692/ETY 2 artiklan 1 kohdalla, kumottiin Euroopan parlamentin ja neuvoston direktiivillä 2006/11/EY, annettu 15 päivänä helmikuuta 2006, tiettyjen yhteisön vesiympäristöön päästettyjen vaarallisten aineiden aiheuttamasta pilaantumisesta</w:t>
            </w:r>
            <w:r>
              <w:rPr>
                <w:rStyle w:val="FootnoteReference"/>
                <w:noProof/>
              </w:rPr>
              <w:footnoteReference w:id="25"/>
            </w:r>
            <w:r>
              <w:rPr>
                <w:noProof/>
              </w:rPr>
              <w:t>.</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23. maaliskuuta 2006</w:t>
            </w:r>
          </w:p>
        </w:tc>
      </w:tr>
      <w:tr>
        <w:trPr>
          <w:trHeight w:val="144"/>
        </w:trPr>
        <w:tc>
          <w:tcPr>
            <w:tcW w:w="7054" w:type="dxa"/>
            <w:shd w:val="clear" w:color="auto" w:fill="auto"/>
          </w:tcPr>
          <w:p>
            <w:pPr>
              <w:autoSpaceDE w:val="0"/>
              <w:autoSpaceDN w:val="0"/>
              <w:adjustRightInd w:val="0"/>
              <w:spacing w:after="0"/>
              <w:rPr>
                <w:noProof/>
              </w:rPr>
            </w:pPr>
            <w:r>
              <w:rPr>
                <w:noProof/>
              </w:rPr>
              <w:t>Neuvoston direktiivi 78/176/ETY, annettu 20 päivänä helmikuuta 1978, titaanidioksiditeollisuuden jätteistä</w:t>
            </w:r>
            <w:r>
              <w:rPr>
                <w:rStyle w:val="FootnoteReference"/>
                <w:noProof/>
              </w:rPr>
              <w:footnoteReference w:id="26"/>
            </w:r>
            <w:r>
              <w:rPr>
                <w:noProof/>
              </w:rPr>
              <w:t>, muutettuna direktiivillä 83/29/ETY</w:t>
            </w:r>
            <w:r>
              <w:rPr>
                <w:rStyle w:val="FootnoteReference"/>
                <w:noProof/>
              </w:rPr>
              <w:footnoteReference w:id="27"/>
            </w:r>
            <w:r>
              <w:rPr>
                <w:noProof/>
              </w:rPr>
              <w:t>, muutettuna direktiivin 91/692/ETY 2 artiklan 1 kohdalla, kumottiin Euroopan parlamentin ja neuvoston direktiivillä 2010/75/EU, annettu 24 päivänä marraskuuta 2010, teollisuuden päästöistä</w:t>
            </w:r>
            <w:r>
              <w:rPr>
                <w:rStyle w:val="FootnoteReference"/>
                <w:noProof/>
              </w:rPr>
              <w:footnoteReference w:id="28"/>
            </w:r>
            <w:r>
              <w:rPr>
                <w:noProof/>
              </w:rPr>
              <w:t xml:space="preserve">. </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7. tammikuuta 2014</w:t>
            </w:r>
          </w:p>
        </w:tc>
      </w:tr>
      <w:tr>
        <w:trPr>
          <w:trHeight w:val="2507"/>
        </w:trPr>
        <w:tc>
          <w:tcPr>
            <w:tcW w:w="7054" w:type="dxa"/>
            <w:shd w:val="clear" w:color="auto" w:fill="auto"/>
          </w:tcPr>
          <w:p>
            <w:pPr>
              <w:autoSpaceDE w:val="0"/>
              <w:autoSpaceDN w:val="0"/>
              <w:adjustRightInd w:val="0"/>
              <w:spacing w:before="0" w:after="240"/>
              <w:rPr>
                <w:rFonts w:eastAsia="Times New Roman"/>
                <w:b/>
                <w:bCs/>
                <w:noProof/>
                <w:sz w:val="22"/>
                <w:szCs w:val="24"/>
              </w:rPr>
            </w:pPr>
            <w:r>
              <w:rPr>
                <w:noProof/>
              </w:rPr>
              <w:t>Neuvoston direktiivi 78/659/ETY, annettu 18 päivänä heinäkuuta 1978, suojelua ja parantamista edellyttävien makeiden vesien laadusta kalojen elämän turvaamiseksi</w:t>
            </w:r>
            <w:r>
              <w:rPr>
                <w:rStyle w:val="FootnoteReference"/>
                <w:noProof/>
              </w:rPr>
              <w:footnoteReference w:id="29"/>
            </w:r>
            <w:r>
              <w:rPr>
                <w:noProof/>
              </w:rPr>
              <w:t>, muutettuna direktiivin 91/692/ETY 2 artiklan 1 kohdalla, kumottiin Euroopan parlamentin ja neuvoston direktiivillä 2006/44/EY, annettu 6 päivänä syyskuuta 2006, suojelua ja parantamista edellyttävien makeiden vesien laadusta kalojen elämän turvaamiseksi</w:t>
            </w:r>
            <w:r>
              <w:rPr>
                <w:rStyle w:val="FootnoteReference"/>
                <w:noProof/>
              </w:rPr>
              <w:footnoteReference w:id="30"/>
            </w:r>
            <w:r>
              <w:rPr>
                <w:noProof/>
              </w:rPr>
              <w:t>, joka puolestaan kumottiin Euroopan parlamentin ja neuvoston direktiivillä 2000/60/EY, annettu 23 lokakuuta 2000, yhteisön vesipolitiikan puitteista</w:t>
            </w:r>
            <w:r>
              <w:rPr>
                <w:rStyle w:val="FootnoteReference"/>
                <w:noProof/>
              </w:rPr>
              <w:footnoteReference w:id="31"/>
            </w:r>
            <w:r>
              <w:rPr>
                <w:noProof/>
              </w:rPr>
              <w:t>.</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21. joulukuuta 2013</w:t>
            </w:r>
          </w:p>
        </w:tc>
      </w:tr>
      <w:tr>
        <w:trPr>
          <w:trHeight w:val="144"/>
        </w:trPr>
        <w:tc>
          <w:tcPr>
            <w:tcW w:w="7054" w:type="dxa"/>
            <w:shd w:val="clear" w:color="auto" w:fill="auto"/>
          </w:tcPr>
          <w:p>
            <w:pPr>
              <w:autoSpaceDE w:val="0"/>
              <w:autoSpaceDN w:val="0"/>
              <w:adjustRightInd w:val="0"/>
              <w:spacing w:after="0"/>
              <w:rPr>
                <w:noProof/>
              </w:rPr>
            </w:pPr>
            <w:r>
              <w:rPr>
                <w:noProof/>
              </w:rPr>
              <w:t>Neuvoston direktiivi 79/869/ETY, annettu 9 päivänä lokakuuta 1979, jäsenvaltioissa sovellettavista juomaveden valmistamiseen tarkoitetun pintaveden määritysmenetelmistä sekä näytteenotto- ja analysointitiheydestä</w:t>
            </w:r>
            <w:r>
              <w:rPr>
                <w:rStyle w:val="FootnoteReference"/>
                <w:noProof/>
              </w:rPr>
              <w:footnoteReference w:id="32"/>
            </w:r>
            <w:r>
              <w:rPr>
                <w:noProof/>
              </w:rPr>
              <w:t>, muutettuna direktiivin 91/692/ETY 2 artiklan 1 kohdalla, siten kuin se on viimeksi muutettuna direktiivillä 81/855/ETY</w:t>
            </w:r>
            <w:r>
              <w:rPr>
                <w:rStyle w:val="FootnoteReference"/>
                <w:noProof/>
              </w:rPr>
              <w:footnoteReference w:id="33"/>
            </w:r>
            <w:r>
              <w:rPr>
                <w:noProof/>
              </w:rPr>
              <w:t xml:space="preserve">, kumottiin direktiivillä 2000/60/EY. </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21. joulukuuta 2007</w:t>
            </w:r>
          </w:p>
        </w:tc>
      </w:tr>
      <w:tr>
        <w:trPr>
          <w:trHeight w:val="144"/>
        </w:trPr>
        <w:tc>
          <w:tcPr>
            <w:tcW w:w="7054" w:type="dxa"/>
            <w:shd w:val="clear" w:color="auto" w:fill="auto"/>
          </w:tcPr>
          <w:p>
            <w:pPr>
              <w:autoSpaceDE w:val="0"/>
              <w:autoSpaceDN w:val="0"/>
              <w:adjustRightInd w:val="0"/>
              <w:spacing w:after="0"/>
              <w:rPr>
                <w:noProof/>
              </w:rPr>
            </w:pPr>
            <w:r>
              <w:rPr>
                <w:noProof/>
              </w:rPr>
              <w:t>Neuvoston direktiivi 79/923/ETY, annettu 30 päivänä lokakuuta 1979, simpukkavesiltä vaadittavasta laadusta</w:t>
            </w:r>
            <w:r>
              <w:rPr>
                <w:rStyle w:val="FootnoteReference"/>
                <w:noProof/>
              </w:rPr>
              <w:footnoteReference w:id="34"/>
            </w:r>
            <w:r>
              <w:rPr>
                <w:noProof/>
              </w:rPr>
              <w:t>, muutettuna direktiivin 91/692/ETY 2 artiklan 1 kohdalla, kumottiin ja kodifioitiin  Euroopan parlamentin ja neuvoston direktiivillä 2006/113/EY, annettu 12 päivänä joulukuuta 2006, simpukkavesiltä vaadittavasta laadusta</w:t>
            </w:r>
            <w:r>
              <w:rPr>
                <w:rStyle w:val="FootnoteReference"/>
                <w:noProof/>
              </w:rPr>
              <w:footnoteReference w:id="35"/>
            </w:r>
            <w:r>
              <w:rPr>
                <w:noProof/>
              </w:rPr>
              <w:t xml:space="preserve">, joka puolestaan kumottiin direktiivillä 2000/60/EY. </w:t>
            </w:r>
          </w:p>
        </w:tc>
        <w:tc>
          <w:tcPr>
            <w:tcW w:w="2263" w:type="dxa"/>
            <w:shd w:val="clear" w:color="auto" w:fill="auto"/>
          </w:tcPr>
          <w:p>
            <w:pPr>
              <w:tabs>
                <w:tab w:val="left" w:pos="954"/>
              </w:tabs>
              <w:autoSpaceDE w:val="0"/>
              <w:autoSpaceDN w:val="0"/>
              <w:adjustRightInd w:val="0"/>
              <w:spacing w:before="0" w:after="240"/>
              <w:rPr>
                <w:rFonts w:eastAsia="Times New Roman"/>
                <w:bCs/>
                <w:noProof/>
                <w:sz w:val="22"/>
                <w:szCs w:val="24"/>
              </w:rPr>
            </w:pPr>
            <w:r>
              <w:rPr>
                <w:noProof/>
              </w:rPr>
              <w:t>21. joulukuuta 2013</w:t>
            </w:r>
          </w:p>
        </w:tc>
      </w:tr>
      <w:tr>
        <w:trPr>
          <w:trHeight w:val="144"/>
        </w:trPr>
        <w:tc>
          <w:tcPr>
            <w:tcW w:w="7054" w:type="dxa"/>
            <w:shd w:val="clear" w:color="auto" w:fill="auto"/>
          </w:tcPr>
          <w:p>
            <w:pPr>
              <w:autoSpaceDE w:val="0"/>
              <w:autoSpaceDN w:val="0"/>
              <w:adjustRightInd w:val="0"/>
              <w:spacing w:before="0" w:after="240"/>
              <w:rPr>
                <w:rFonts w:eastAsia="Times New Roman"/>
                <w:noProof/>
                <w:sz w:val="22"/>
                <w:szCs w:val="24"/>
              </w:rPr>
            </w:pPr>
            <w:r>
              <w:rPr>
                <w:noProof/>
              </w:rPr>
              <w:t>Neuvoston direktiivi 80/68/ETY, annettu 17 päivänä joulukuuta 1979, pohjaveden suojelemisesta tiettyjen vaarallisten aineiden aiheuttamalta pilaantumiselta</w:t>
            </w:r>
            <w:r>
              <w:rPr>
                <w:rStyle w:val="FootnoteReference"/>
                <w:noProof/>
              </w:rPr>
              <w:footnoteReference w:id="36"/>
            </w:r>
            <w:r>
              <w:rPr>
                <w:noProof/>
              </w:rPr>
              <w:t>, muutettuna direktiivin 91/692/ETY 2 artiklan 1 kohdalla, kumottiin direktiivillä 2000/60/ETY.</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21. joulukuuta 2013</w:t>
            </w:r>
          </w:p>
        </w:tc>
      </w:tr>
      <w:tr>
        <w:trPr>
          <w:trHeight w:val="144"/>
        </w:trPr>
        <w:tc>
          <w:tcPr>
            <w:tcW w:w="7054" w:type="dxa"/>
            <w:shd w:val="clear" w:color="auto" w:fill="auto"/>
          </w:tcPr>
          <w:p>
            <w:pPr>
              <w:autoSpaceDE w:val="0"/>
              <w:autoSpaceDN w:val="0"/>
              <w:adjustRightInd w:val="0"/>
              <w:spacing w:before="0" w:after="240"/>
              <w:rPr>
                <w:rFonts w:eastAsia="Times New Roman"/>
                <w:noProof/>
                <w:sz w:val="22"/>
                <w:szCs w:val="24"/>
              </w:rPr>
            </w:pPr>
            <w:r>
              <w:rPr>
                <w:noProof/>
              </w:rPr>
              <w:t>Neuvoston direktiivi 82/176/ETY, annettu 22 päivänä maaliskuuta 1982, kloorialkalielektrolyysiteollisuuden elohopeapäästöjen raja-arvoista ja laatutavoitteista, muutettuna direktiivin 91/692/ETY</w:t>
            </w:r>
            <w:r>
              <w:rPr>
                <w:rStyle w:val="FootnoteReference"/>
                <w:noProof/>
              </w:rPr>
              <w:footnoteReference w:id="37"/>
            </w:r>
            <w:r>
              <w:rPr>
                <w:noProof/>
              </w:rPr>
              <w:t xml:space="preserve"> 2 artiklan 1 kohdalla, kumottiin direktiivillä 2008/105/EY ympäristönlaatunormeista vesipolitiikan alalla</w:t>
            </w:r>
            <w:r>
              <w:rPr>
                <w:rStyle w:val="FootnoteReference"/>
                <w:noProof/>
              </w:rPr>
              <w:footnoteReference w:id="38"/>
            </w:r>
            <w:r>
              <w:rPr>
                <w:noProof/>
              </w:rPr>
              <w:t>.</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22. joulukuuta 2012</w:t>
            </w:r>
          </w:p>
        </w:tc>
      </w:tr>
      <w:tr>
        <w:trPr>
          <w:trHeight w:val="144"/>
        </w:trPr>
        <w:tc>
          <w:tcPr>
            <w:tcW w:w="7054" w:type="dxa"/>
            <w:shd w:val="clear" w:color="auto" w:fill="auto"/>
          </w:tcPr>
          <w:p>
            <w:pPr>
              <w:autoSpaceDE w:val="0"/>
              <w:autoSpaceDN w:val="0"/>
              <w:adjustRightInd w:val="0"/>
              <w:spacing w:after="0"/>
              <w:rPr>
                <w:noProof/>
              </w:rPr>
            </w:pPr>
            <w:r>
              <w:rPr>
                <w:noProof/>
              </w:rPr>
              <w:t>Neuvoston direktiivi 83/513/ETY, annettu 26 päivänä syyskuuta 1983, kadmiumpäästöjen raja-arvoista ja laatutavoitteista</w:t>
            </w:r>
            <w:r>
              <w:rPr>
                <w:rStyle w:val="FootnoteReference"/>
                <w:noProof/>
              </w:rPr>
              <w:footnoteReference w:id="39"/>
            </w:r>
            <w:r>
              <w:rPr>
                <w:noProof/>
              </w:rPr>
              <w:t xml:space="preserve">, muutettuna direktiivin 91/692/ETY 2 artiklan 1 kohdalla, kumottiin direktiivillä 2008/105/EY. </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22. joulukuuta 2012</w:t>
            </w:r>
          </w:p>
        </w:tc>
      </w:tr>
      <w:tr>
        <w:trPr>
          <w:trHeight w:val="144"/>
        </w:trPr>
        <w:tc>
          <w:tcPr>
            <w:tcW w:w="7054" w:type="dxa"/>
            <w:shd w:val="clear" w:color="auto" w:fill="auto"/>
          </w:tcPr>
          <w:p>
            <w:pPr>
              <w:autoSpaceDE w:val="0"/>
              <w:autoSpaceDN w:val="0"/>
              <w:adjustRightInd w:val="0"/>
              <w:spacing w:after="0"/>
              <w:rPr>
                <w:noProof/>
              </w:rPr>
            </w:pPr>
            <w:r>
              <w:rPr>
                <w:noProof/>
              </w:rPr>
              <w:t xml:space="preserve">Neuvoston direktiivi 84/156/ETY, annettu 8 päivänä maaliskuuta 1984, muiden alojen kuin kloorialkalielektrolyysiteollisuuden elohopeapäästöjen raja-arvoista ja laatutavoitteista </w:t>
            </w:r>
            <w:r>
              <w:rPr>
                <w:noProof/>
              </w:rPr>
              <w:br/>
            </w:r>
            <w:r>
              <w:rPr>
                <w:rStyle w:val="FootnoteReference"/>
                <w:noProof/>
              </w:rPr>
              <w:footnoteReference w:id="40"/>
            </w:r>
            <w:r>
              <w:rPr>
                <w:noProof/>
              </w:rPr>
              <w:t xml:space="preserve">, muutettuna direktiivin 91/692/ETY 2 artiklan 1 kohdalla, kumottiin direktiivillä 2008/105/EY. </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22. joulukuuta 2012</w:t>
            </w:r>
          </w:p>
        </w:tc>
      </w:tr>
      <w:tr>
        <w:trPr>
          <w:trHeight w:val="144"/>
        </w:trPr>
        <w:tc>
          <w:tcPr>
            <w:tcW w:w="7054" w:type="dxa"/>
            <w:shd w:val="clear" w:color="auto" w:fill="auto"/>
          </w:tcPr>
          <w:p>
            <w:pPr>
              <w:autoSpaceDE w:val="0"/>
              <w:autoSpaceDN w:val="0"/>
              <w:adjustRightInd w:val="0"/>
              <w:spacing w:after="0"/>
              <w:rPr>
                <w:noProof/>
              </w:rPr>
            </w:pPr>
            <w:r>
              <w:rPr>
                <w:noProof/>
              </w:rPr>
              <w:t>Neuvoston direktiivi 84/491/ETY, annettu 9 päivänä lokakuuta 1982, heksakloorisykloheksaanipäästöjen raja-arvoista ja laatutavoitteista</w:t>
            </w:r>
            <w:r>
              <w:rPr>
                <w:rStyle w:val="FootnoteReference"/>
                <w:noProof/>
              </w:rPr>
              <w:footnoteReference w:id="41"/>
            </w:r>
            <w:r>
              <w:rPr>
                <w:noProof/>
              </w:rPr>
              <w:t xml:space="preserve">, muutettuna direktiivin 91/692/ETY 2 artiklan 1 kohdalla, kumottiin direktiivillä 2008/105/EY. </w:t>
            </w:r>
          </w:p>
        </w:tc>
        <w:tc>
          <w:tcPr>
            <w:tcW w:w="2263" w:type="dxa"/>
            <w:shd w:val="clear" w:color="auto" w:fill="auto"/>
          </w:tcPr>
          <w:p>
            <w:pPr>
              <w:autoSpaceDE w:val="0"/>
              <w:autoSpaceDN w:val="0"/>
              <w:adjustRightInd w:val="0"/>
              <w:spacing w:before="0" w:after="240"/>
              <w:rPr>
                <w:rFonts w:eastAsia="Times New Roman"/>
                <w:bCs/>
                <w:noProof/>
                <w:sz w:val="22"/>
                <w:szCs w:val="24"/>
              </w:rPr>
            </w:pPr>
            <w:r>
              <w:rPr>
                <w:noProof/>
              </w:rPr>
              <w:t>22. joulukuuta 2012</w:t>
            </w:r>
          </w:p>
        </w:tc>
      </w:tr>
      <w:tr>
        <w:trPr>
          <w:trHeight w:val="144"/>
        </w:trPr>
        <w:tc>
          <w:tcPr>
            <w:tcW w:w="7054" w:type="dxa"/>
            <w:shd w:val="clear" w:color="auto" w:fill="auto"/>
          </w:tcPr>
          <w:p>
            <w:pPr>
              <w:autoSpaceDE w:val="0"/>
              <w:autoSpaceDN w:val="0"/>
              <w:adjustRightInd w:val="0"/>
              <w:spacing w:after="0"/>
              <w:rPr>
                <w:noProof/>
              </w:rPr>
            </w:pPr>
            <w:r>
              <w:rPr>
                <w:noProof/>
              </w:rPr>
              <w:t>Neuvoston direktiivi 86/280/ETY, annettu 12 päivänä kesäkuuta 1986, direktiivin 76/464/ETY liitteen luetteloon I sisältyvien tiettyjen vaarallisten aineiden päästöjen raja-arvoista ja laatutavoitteista</w:t>
            </w:r>
            <w:r>
              <w:rPr>
                <w:rStyle w:val="FootnoteReference"/>
                <w:noProof/>
              </w:rPr>
              <w:footnoteReference w:id="42"/>
            </w:r>
            <w:r>
              <w:rPr>
                <w:noProof/>
              </w:rPr>
              <w:t>, sellaisena kuin se on viimeksi muutettuna direktiivillä 90/415/ETY</w:t>
            </w:r>
            <w:r>
              <w:rPr>
                <w:rStyle w:val="FootnoteReference"/>
                <w:noProof/>
              </w:rPr>
              <w:footnoteReference w:id="43"/>
            </w:r>
            <w:r>
              <w:rPr>
                <w:noProof/>
              </w:rPr>
              <w:t xml:space="preserve">, muutettuna direktiivin 91/692/ETY 2 artiklan 1 kohdalla, kumottiin direktiivillä 2008/105/EY.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22. joulukuuta 2012</w:t>
            </w:r>
          </w:p>
        </w:tc>
      </w:tr>
      <w:tr>
        <w:trPr>
          <w:trHeight w:val="144"/>
        </w:trPr>
        <w:tc>
          <w:tcPr>
            <w:tcW w:w="7054" w:type="dxa"/>
            <w:shd w:val="clear" w:color="auto" w:fill="auto"/>
          </w:tcPr>
          <w:p>
            <w:pPr>
              <w:autoSpaceDE w:val="0"/>
              <w:autoSpaceDN w:val="0"/>
              <w:adjustRightInd w:val="0"/>
              <w:spacing w:before="0" w:after="240"/>
              <w:rPr>
                <w:noProof/>
              </w:rPr>
            </w:pPr>
            <w:r>
              <w:rPr>
                <w:noProof/>
              </w:rPr>
              <w:t>Neuvoston direktiivi 75/440/ETY, annettu 16 päivänä kesäkuuta 1975, jäsenvaltioissa juomaveden valmistamiseen tarkoitetun pintaveden laatuvaatimuksista</w:t>
            </w:r>
            <w:r>
              <w:rPr>
                <w:rStyle w:val="FootnoteReference"/>
                <w:noProof/>
              </w:rPr>
              <w:footnoteReference w:id="44"/>
            </w:r>
            <w:r>
              <w:rPr>
                <w:noProof/>
              </w:rPr>
              <w:t>, muutettuna direktiivin 91/692/ETY 2 artiklan 2 kohdalla, kumottiin direktiivillä 2000/60/EY.</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21. joulukuuta 2007</w:t>
            </w:r>
          </w:p>
        </w:tc>
      </w:tr>
      <w:tr>
        <w:trPr>
          <w:trHeight w:val="144"/>
        </w:trPr>
        <w:tc>
          <w:tcPr>
            <w:tcW w:w="7054" w:type="dxa"/>
            <w:shd w:val="clear" w:color="auto" w:fill="auto"/>
          </w:tcPr>
          <w:p>
            <w:pPr>
              <w:autoSpaceDE w:val="0"/>
              <w:autoSpaceDN w:val="0"/>
              <w:adjustRightInd w:val="0"/>
              <w:spacing w:after="0"/>
              <w:rPr>
                <w:noProof/>
              </w:rPr>
            </w:pPr>
            <w:r>
              <w:rPr>
                <w:noProof/>
              </w:rPr>
              <w:t>Neuvoston direktiivi 80/778/ETY, annettu 15 päivänä heinäkuuta 1980, juomaveden laadusta</w:t>
            </w:r>
            <w:r>
              <w:rPr>
                <w:rStyle w:val="FootnoteReference"/>
                <w:noProof/>
              </w:rPr>
              <w:footnoteReference w:id="45"/>
            </w:r>
            <w:r>
              <w:rPr>
                <w:noProof/>
              </w:rPr>
              <w:t>, muutettuna direktiivin 91/692/ETY 2 artiklan 2 kohdalla, kumottiin neuvoston direktiivillä 98/83/EY, annettu 3 päivänä marraskuuta 1998, ihmisten käyttöön tarkoitetun veden laadusta</w:t>
            </w:r>
            <w:r>
              <w:rPr>
                <w:rStyle w:val="FootnoteReference"/>
                <w:noProof/>
              </w:rPr>
              <w:footnoteReference w:id="46"/>
            </w:r>
            <w:r>
              <w:rPr>
                <w:noProof/>
              </w:rPr>
              <w:t xml:space="preserve">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25. joulukuuta 2003</w:t>
            </w:r>
          </w:p>
        </w:tc>
      </w:tr>
      <w:tr>
        <w:trPr>
          <w:trHeight w:val="144"/>
        </w:trPr>
        <w:tc>
          <w:tcPr>
            <w:tcW w:w="7054" w:type="dxa"/>
            <w:shd w:val="clear" w:color="auto" w:fill="auto"/>
          </w:tcPr>
          <w:p>
            <w:pPr>
              <w:autoSpaceDE w:val="0"/>
              <w:autoSpaceDN w:val="0"/>
              <w:adjustRightInd w:val="0"/>
              <w:spacing w:after="0"/>
              <w:rPr>
                <w:noProof/>
              </w:rPr>
            </w:pPr>
            <w:r>
              <w:rPr>
                <w:noProof/>
              </w:rPr>
              <w:t>Neuvoston direktiivi 85/203/ETY, annettu 7 päivänä maaliskuuta 1985, ilmanlaatustandardeista typpidioksidille</w:t>
            </w:r>
            <w:r>
              <w:rPr>
                <w:rStyle w:val="FootnoteReference"/>
                <w:noProof/>
              </w:rPr>
              <w:footnoteReference w:id="47"/>
            </w:r>
            <w:r>
              <w:rPr>
                <w:noProof/>
              </w:rPr>
              <w:t>, sellaisena kuin se on muutettuna direktiivillä 85/580/ETY</w:t>
            </w:r>
            <w:r>
              <w:rPr>
                <w:rStyle w:val="FootnoteReference"/>
                <w:noProof/>
              </w:rPr>
              <w:footnoteReference w:id="48"/>
            </w:r>
            <w:r>
              <w:rPr>
                <w:noProof/>
              </w:rPr>
              <w:t xml:space="preserve">, muutettuna direktiivin 91/692/ETY 4 artiklan 3 kohdalla, kumottiin neuvoston direktiivillä 1999/30/EY, annettu 22 päivänä huhtikuuta 1999, ilmassa olevien rikkidioksidin, typpidioksidin ja typen oksidien, hiukkasten ja lyijyn pitoisuuksien raja-arvoista, jossa ei viitattu direktiiviin 91/692/ETY ja joka puolestaan kumottiin Euroopan parlamentin ja neuvoston direktiivillä 2008/50/EY, annettu 21 päivänä toukokuuta 2008, ilmanlaadusta ja sen parantamisesta.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kesäkuuta 2010</w:t>
            </w:r>
          </w:p>
        </w:tc>
      </w:tr>
      <w:tr>
        <w:trPr>
          <w:trHeight w:val="144"/>
        </w:trPr>
        <w:tc>
          <w:tcPr>
            <w:tcW w:w="7054" w:type="dxa"/>
            <w:shd w:val="clear" w:color="auto" w:fill="auto"/>
          </w:tcPr>
          <w:p>
            <w:pPr>
              <w:autoSpaceDE w:val="0"/>
              <w:autoSpaceDN w:val="0"/>
              <w:adjustRightInd w:val="0"/>
              <w:spacing w:after="0"/>
              <w:rPr>
                <w:noProof/>
              </w:rPr>
            </w:pPr>
            <w:r>
              <w:rPr>
                <w:noProof/>
              </w:rPr>
              <w:t>Neuvoston direktiivi 75/716/ETY, annettu 24 päivänä marraskuuta 1975, tiettyjen nestemäisten polttoaineiden rikkipitoisuutta koskevan jäsenvaltioiden lainsäädännön lähentämisestä</w:t>
            </w:r>
            <w:r>
              <w:rPr>
                <w:rStyle w:val="FootnoteReference"/>
                <w:noProof/>
              </w:rPr>
              <w:footnoteReference w:id="49"/>
            </w:r>
            <w:r>
              <w:rPr>
                <w:noProof/>
              </w:rPr>
              <w:t>, muutettu direktiivin 91/692/ETY 4 artiklan 2 kohdalla, kumottiin direktiivillä 93/12/ETY</w:t>
            </w:r>
            <w:r>
              <w:rPr>
                <w:rStyle w:val="FootnoteReference"/>
                <w:noProof/>
              </w:rPr>
              <w:footnoteReference w:id="50"/>
            </w:r>
            <w:r>
              <w:rPr>
                <w:noProof/>
              </w:rPr>
              <w:t xml:space="preserve">.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30. syyskuuta 1994</w:t>
            </w:r>
          </w:p>
        </w:tc>
      </w:tr>
      <w:tr>
        <w:trPr>
          <w:trHeight w:val="144"/>
        </w:trPr>
        <w:tc>
          <w:tcPr>
            <w:tcW w:w="7054" w:type="dxa"/>
            <w:shd w:val="clear" w:color="auto" w:fill="auto"/>
          </w:tcPr>
          <w:p>
            <w:pPr>
              <w:autoSpaceDE w:val="0"/>
              <w:autoSpaceDN w:val="0"/>
              <w:adjustRightInd w:val="0"/>
              <w:spacing w:after="0"/>
              <w:rPr>
                <w:noProof/>
              </w:rPr>
            </w:pPr>
            <w:r>
              <w:rPr>
                <w:noProof/>
              </w:rPr>
              <w:t>Neuvoston direktiivi 84/360/ETY, annettu 28 päivänä kesäkuuta 1984, teollisuuslaitosten aiheuttaman ilman pilaantumisen estämisestä</w:t>
            </w:r>
            <w:r>
              <w:rPr>
                <w:rStyle w:val="FootnoteReference"/>
                <w:noProof/>
              </w:rPr>
              <w:footnoteReference w:id="51"/>
            </w:r>
            <w:r>
              <w:rPr>
                <w:noProof/>
              </w:rPr>
              <w:t>, muutettuna direktiivin 91/692/ETY 4 artiklan 2 kohdalla, kumottiin Euroopan parlamentin ja neuvoston direktiivillä 2008/1/EY, annettu 15 päivänä tammikuuta 2008, ympäristön pilaantumisen ehkäisemisen ja vähentämisen yhtenäistämiseksi</w:t>
            </w:r>
            <w:r>
              <w:rPr>
                <w:rStyle w:val="FootnoteReference"/>
                <w:noProof/>
              </w:rPr>
              <w:footnoteReference w:id="52"/>
            </w:r>
            <w:r>
              <w:rPr>
                <w:noProof/>
              </w:rPr>
              <w:t>, joka puolestaan kumottiin Euroopan parlamentin ja neuvoston direktiivillä 2010/75/EU, annettu 24 päivänä marraskuuta 2010, teollisuuden päästöistä</w:t>
            </w:r>
            <w:r>
              <w:rPr>
                <w:rStyle w:val="FootnoteReference"/>
                <w:noProof/>
              </w:rPr>
              <w:footnoteReference w:id="53"/>
            </w:r>
            <w:r>
              <w:rPr>
                <w:noProof/>
              </w:rPr>
              <w:t xml:space="preserve">.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7. tammikuuta 2014</w:t>
            </w:r>
          </w:p>
        </w:tc>
      </w:tr>
      <w:tr>
        <w:trPr>
          <w:trHeight w:val="144"/>
        </w:trPr>
        <w:tc>
          <w:tcPr>
            <w:tcW w:w="7054" w:type="dxa"/>
            <w:shd w:val="clear" w:color="auto" w:fill="auto"/>
          </w:tcPr>
          <w:p>
            <w:pPr>
              <w:autoSpaceDE w:val="0"/>
              <w:autoSpaceDN w:val="0"/>
              <w:adjustRightInd w:val="0"/>
              <w:spacing w:after="0"/>
              <w:rPr>
                <w:noProof/>
              </w:rPr>
            </w:pPr>
            <w:r>
              <w:rPr>
                <w:noProof/>
              </w:rPr>
              <w:t>Neuvoston direktiivi 80/779/ETY, annettu 15 päivänä heinäkuuta 1980, ilmanlaadun raja- ja ohjearvoista rikkidioksidille ja leijumalle</w:t>
            </w:r>
            <w:r>
              <w:rPr>
                <w:rStyle w:val="FootnoteReference"/>
                <w:noProof/>
              </w:rPr>
              <w:footnoteReference w:id="54"/>
            </w:r>
            <w:r>
              <w:rPr>
                <w:noProof/>
              </w:rPr>
              <w:t>, muutettuna direktiivin 91/692/ETY 4 artiklan 1 ja 3 kohdalla, kumottiin direktiivillä 1999/30/EY</w:t>
            </w:r>
            <w:r>
              <w:rPr>
                <w:rStyle w:val="FootnoteReference"/>
                <w:noProof/>
              </w:rPr>
              <w:footnoteReference w:id="55"/>
            </w:r>
            <w:r>
              <w:rPr>
                <w:noProof/>
              </w:rPr>
              <w:t xml:space="preserve">, joka puolestaan kumottiin 11 päivästä kesäkuuta 2010 alkaen direktiivillä 2008/50/EY.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kesäkuuta 2010</w:t>
            </w:r>
          </w:p>
        </w:tc>
      </w:tr>
      <w:tr>
        <w:trPr>
          <w:trHeight w:val="144"/>
        </w:trPr>
        <w:tc>
          <w:tcPr>
            <w:tcW w:w="7054" w:type="dxa"/>
            <w:shd w:val="clear" w:color="auto" w:fill="auto"/>
          </w:tcPr>
          <w:p>
            <w:pPr>
              <w:autoSpaceDE w:val="0"/>
              <w:autoSpaceDN w:val="0"/>
              <w:adjustRightInd w:val="0"/>
              <w:spacing w:after="0"/>
              <w:rPr>
                <w:noProof/>
              </w:rPr>
            </w:pPr>
            <w:r>
              <w:rPr>
                <w:noProof/>
              </w:rPr>
              <w:t xml:space="preserve">Neuvoston direktiivi 82/884/ETY, annettu 3 päivänä joulukuuta 1982, ilmassa olevan lyijyn raja-arvosta </w:t>
            </w:r>
            <w:r>
              <w:rPr>
                <w:noProof/>
              </w:rPr>
              <w:br/>
            </w:r>
            <w:r>
              <w:rPr>
                <w:rStyle w:val="FootnoteReference"/>
                <w:noProof/>
              </w:rPr>
              <w:footnoteReference w:id="56"/>
            </w:r>
            <w:r>
              <w:rPr>
                <w:noProof/>
              </w:rPr>
              <w:t xml:space="preserve">, muutettuna direktiivin 91/692/ETY 4 artiklan 1 ja 3 kohdalla, kumottiin direktiivillä 1999/30/EY, joka puolestaan kumottiin direktiivillä 2008/50/EY.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kesäkuuta 2010</w:t>
            </w:r>
          </w:p>
        </w:tc>
      </w:tr>
      <w:tr>
        <w:trPr>
          <w:trHeight w:val="144"/>
        </w:trPr>
        <w:tc>
          <w:tcPr>
            <w:tcW w:w="7054" w:type="dxa"/>
            <w:shd w:val="clear" w:color="auto" w:fill="auto"/>
          </w:tcPr>
          <w:p>
            <w:pPr>
              <w:autoSpaceDE w:val="0"/>
              <w:autoSpaceDN w:val="0"/>
              <w:adjustRightInd w:val="0"/>
              <w:spacing w:after="0"/>
              <w:rPr>
                <w:noProof/>
              </w:rPr>
            </w:pPr>
            <w:r>
              <w:rPr>
                <w:noProof/>
              </w:rPr>
              <w:t>Neuvoston direktiivi 85/203/ETY, annettu 7 päivänä maaliskuuta 1985, ilmanlaatustandardeista typpidioksidille</w:t>
            </w:r>
            <w:r>
              <w:rPr>
                <w:rStyle w:val="FootnoteReference"/>
                <w:noProof/>
              </w:rPr>
              <w:footnoteReference w:id="57"/>
            </w:r>
            <w:r>
              <w:rPr>
                <w:noProof/>
              </w:rPr>
              <w:t>, muutettuna direktiivillä 85/580/ETY</w:t>
            </w:r>
            <w:r>
              <w:rPr>
                <w:rStyle w:val="FootnoteReference"/>
                <w:noProof/>
              </w:rPr>
              <w:footnoteReference w:id="58"/>
            </w:r>
            <w:r>
              <w:rPr>
                <w:noProof/>
              </w:rPr>
              <w:t xml:space="preserve">, muutettuna direktiivin 91/692/ETY 4 artiklan 1 ja 3 kohdalla, kumottiin direktiivillä 1999/30/EY, joka puolestaan kumottiin direktiivillä 2008/50/EY. </w:t>
            </w:r>
          </w:p>
        </w:tc>
        <w:tc>
          <w:tcPr>
            <w:tcW w:w="2263" w:type="dxa"/>
            <w:shd w:val="clear" w:color="auto" w:fill="auto"/>
          </w:tcPr>
          <w:p>
            <w:pPr>
              <w:tabs>
                <w:tab w:val="left" w:pos="871"/>
              </w:tabs>
              <w:autoSpaceDE w:val="0"/>
              <w:autoSpaceDN w:val="0"/>
              <w:adjustRightInd w:val="0"/>
              <w:spacing w:before="0" w:after="240"/>
              <w:rPr>
                <w:rFonts w:eastAsia="Times New Roman"/>
                <w:bCs/>
                <w:noProof/>
                <w:sz w:val="22"/>
                <w:szCs w:val="24"/>
              </w:rPr>
            </w:pPr>
            <w:r>
              <w:rPr>
                <w:noProof/>
              </w:rPr>
              <w:t>11. kesäkuuta 2010</w:t>
            </w:r>
          </w:p>
        </w:tc>
      </w:tr>
      <w:tr>
        <w:trPr>
          <w:trHeight w:val="144"/>
        </w:trPr>
        <w:tc>
          <w:tcPr>
            <w:tcW w:w="7054" w:type="dxa"/>
            <w:shd w:val="clear" w:color="auto" w:fill="auto"/>
          </w:tcPr>
          <w:p>
            <w:pPr>
              <w:autoSpaceDE w:val="0"/>
              <w:autoSpaceDN w:val="0"/>
              <w:adjustRightInd w:val="0"/>
              <w:spacing w:after="0"/>
              <w:rPr>
                <w:noProof/>
              </w:rPr>
            </w:pPr>
            <w:r>
              <w:rPr>
                <w:noProof/>
              </w:rPr>
              <w:t>Neuvoston direktiivi 75/439/ETY, annettu 15 päivänä kesäkuuta 1975, jäteöljyhuollosta</w:t>
            </w:r>
            <w:r>
              <w:rPr>
                <w:rStyle w:val="FootnoteReference"/>
                <w:noProof/>
              </w:rPr>
              <w:footnoteReference w:id="59"/>
            </w:r>
            <w:r>
              <w:rPr>
                <w:noProof/>
              </w:rPr>
              <w:t>, muutettuna direktiivin 91/692/ETY 5 artiklalla, kumottiin Euroopan parlamentin ja neuvoston direktiivillä 2008/98/EU, annettu 19 päivänä marraskuuta 2008, jätteistä</w:t>
            </w:r>
            <w:r>
              <w:rPr>
                <w:rStyle w:val="FootnoteReference"/>
                <w:noProof/>
              </w:rPr>
              <w:footnoteReference w:id="60"/>
            </w:r>
            <w:r>
              <w:rPr>
                <w:noProof/>
              </w:rPr>
              <w:t xml:space="preserve">. </w:t>
            </w:r>
          </w:p>
        </w:tc>
        <w:tc>
          <w:tcPr>
            <w:tcW w:w="2263"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12. joulukuuta 2010</w:t>
            </w:r>
          </w:p>
        </w:tc>
      </w:tr>
      <w:tr>
        <w:trPr>
          <w:trHeight w:val="144"/>
        </w:trPr>
        <w:tc>
          <w:tcPr>
            <w:tcW w:w="7054" w:type="dxa"/>
            <w:shd w:val="clear" w:color="auto" w:fill="auto"/>
          </w:tcPr>
          <w:p>
            <w:pPr>
              <w:autoSpaceDE w:val="0"/>
              <w:autoSpaceDN w:val="0"/>
              <w:adjustRightInd w:val="0"/>
              <w:spacing w:after="0"/>
              <w:rPr>
                <w:noProof/>
              </w:rPr>
            </w:pPr>
            <w:r>
              <w:rPr>
                <w:noProof/>
              </w:rPr>
              <w:t>Neuvoston direktiivi 75/442/ETY, annettu 15 päivänä heinäkuuta 1975, jätteistä</w:t>
            </w:r>
            <w:r>
              <w:rPr>
                <w:rStyle w:val="FootnoteReference"/>
                <w:noProof/>
              </w:rPr>
              <w:footnoteReference w:id="61"/>
            </w:r>
            <w:r>
              <w:rPr>
                <w:noProof/>
              </w:rPr>
              <w:t>, muutettuna Euroopan parlamentin ja neuvoston direktiivillä 2006/12/EY, annettu 5 päivänä huhtikuuta 2006, jätteistä, kumottiin puolestaan direktiivillä 2008/98/EY</w:t>
            </w:r>
            <w:r>
              <w:rPr>
                <w:rStyle w:val="FootnoteReference"/>
                <w:noProof/>
              </w:rPr>
              <w:footnoteReference w:id="62"/>
            </w:r>
            <w:r>
              <w:rPr>
                <w:noProof/>
              </w:rPr>
              <w:t xml:space="preserve"> </w:t>
            </w:r>
          </w:p>
        </w:tc>
        <w:tc>
          <w:tcPr>
            <w:tcW w:w="2263"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joulukuuta 2010</w:t>
            </w:r>
          </w:p>
        </w:tc>
      </w:tr>
      <w:tr>
        <w:trPr>
          <w:trHeight w:val="144"/>
        </w:trPr>
        <w:tc>
          <w:tcPr>
            <w:tcW w:w="7054" w:type="dxa"/>
            <w:shd w:val="clear" w:color="auto" w:fill="auto"/>
          </w:tcPr>
          <w:p>
            <w:pPr>
              <w:autoSpaceDE w:val="0"/>
              <w:autoSpaceDN w:val="0"/>
              <w:adjustRightInd w:val="0"/>
              <w:spacing w:after="0"/>
              <w:rPr>
                <w:noProof/>
              </w:rPr>
            </w:pPr>
            <w:r>
              <w:rPr>
                <w:noProof/>
              </w:rPr>
              <w:t>Neuvoston direktiivi 76/403/ETY, annettu 6 päivänä huhtikuuta 1976, polykloorattujen bifenyylien ja polykloorattujen terfenyylien käsittelystä,</w:t>
            </w:r>
            <w:r>
              <w:rPr>
                <w:rStyle w:val="FootnoteReference"/>
                <w:noProof/>
              </w:rPr>
              <w:footnoteReference w:id="63"/>
            </w:r>
            <w:r>
              <w:rPr>
                <w:noProof/>
              </w:rPr>
              <w:t>, muutettuna direktiivin 91/692/ETY 5 artiklalla, kumottiin neuvoston direktiivillä 96/59/EY, annettu 16 päivänä syyskuuta 1996, polykloorattujen bifenyylien ja polykloorattujen terfenyylien käsittelystä (PCB/PCT)</w:t>
            </w:r>
            <w:r>
              <w:rPr>
                <w:rStyle w:val="FootnoteReference"/>
                <w:noProof/>
              </w:rPr>
              <w:footnoteReference w:id="64"/>
            </w:r>
          </w:p>
        </w:tc>
        <w:tc>
          <w:tcPr>
            <w:tcW w:w="2263"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16. syyskuuta 1996</w:t>
            </w:r>
          </w:p>
        </w:tc>
      </w:tr>
      <w:tr>
        <w:trPr>
          <w:trHeight w:val="144"/>
        </w:trPr>
        <w:tc>
          <w:tcPr>
            <w:tcW w:w="7054" w:type="dxa"/>
            <w:shd w:val="clear" w:color="auto" w:fill="auto"/>
          </w:tcPr>
          <w:p>
            <w:pPr>
              <w:autoSpaceDE w:val="0"/>
              <w:autoSpaceDN w:val="0"/>
              <w:adjustRightInd w:val="0"/>
              <w:spacing w:after="0"/>
              <w:rPr>
                <w:noProof/>
              </w:rPr>
            </w:pPr>
            <w:r>
              <w:rPr>
                <w:noProof/>
              </w:rPr>
              <w:t>Neuvoston direktiivi 78/319/ETY, annettu 20 päivänä maaliskuuta 1978, myrkyllisistä ja vaarallisista jätteistä</w:t>
            </w:r>
            <w:r>
              <w:rPr>
                <w:rStyle w:val="FootnoteReference"/>
                <w:noProof/>
              </w:rPr>
              <w:footnoteReference w:id="65"/>
            </w:r>
            <w:r>
              <w:rPr>
                <w:noProof/>
              </w:rPr>
              <w:t>, muutettuna direktiivin 91/692/ETY 5 artiklalla, kumottiin neuvoston direktiivillä 91/689/ETY, annettu 12 päivänä joulukuuta 1991, vaarallisista jätteistä</w:t>
            </w:r>
            <w:r>
              <w:rPr>
                <w:rStyle w:val="FootnoteReference"/>
                <w:noProof/>
              </w:rPr>
              <w:footnoteReference w:id="66"/>
            </w:r>
            <w:r>
              <w:rPr>
                <w:noProof/>
              </w:rPr>
              <w:t xml:space="preserve">. </w:t>
            </w:r>
          </w:p>
        </w:tc>
        <w:tc>
          <w:tcPr>
            <w:tcW w:w="2263"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27. kesäkuuta 1995</w:t>
            </w:r>
          </w:p>
        </w:tc>
      </w:tr>
      <w:tr>
        <w:trPr>
          <w:trHeight w:val="144"/>
        </w:trPr>
        <w:tc>
          <w:tcPr>
            <w:tcW w:w="7054" w:type="dxa"/>
            <w:shd w:val="clear" w:color="auto" w:fill="auto"/>
          </w:tcPr>
          <w:p>
            <w:pPr>
              <w:autoSpaceDE w:val="0"/>
              <w:autoSpaceDN w:val="0"/>
              <w:adjustRightInd w:val="0"/>
              <w:spacing w:after="0"/>
              <w:rPr>
                <w:noProof/>
              </w:rPr>
            </w:pPr>
            <w:r>
              <w:rPr>
                <w:noProof/>
              </w:rPr>
              <w:t>Neuvoston direktiivi 84/631/ETY, annettu 6 päivänä joulukuuta 1984, vaarallisten jätteiden rajan yli tapahtuvien siirtojen valvonnasta ja tarkastamisesta Euroopan yhteisössä</w:t>
            </w:r>
            <w:r>
              <w:rPr>
                <w:rStyle w:val="FootnoteReference"/>
                <w:noProof/>
              </w:rPr>
              <w:footnoteReference w:id="67"/>
            </w:r>
            <w:r>
              <w:rPr>
                <w:noProof/>
              </w:rPr>
              <w:t>, muutettuna direktiivin 91/692/ETY 5 artiklalla, kumottiin neuvoston asetuksella (ETY) N:o 259/93, annettu 1 päivänä helmikuuta 1993, Euroopan yhteisössä, Euroopan yhteisöön ja Euroopan yhteisöstä tapahtuvien jätteiden siirtojen valvonnasta ja tarkastamisesta</w:t>
            </w:r>
            <w:r>
              <w:rPr>
                <w:rStyle w:val="FootnoteReference"/>
                <w:noProof/>
              </w:rPr>
              <w:footnoteReference w:id="68"/>
            </w:r>
            <w:r>
              <w:rPr>
                <w:noProof/>
              </w:rPr>
              <w:t>, joka puolestaan kumottiin Euroopan parlamentin ja neuvoston asetuksella (EY) N:o 1013/2006, annettu 14 päivänä kesäkuuta 2006, jätteiden siirrosta</w:t>
            </w:r>
            <w:r>
              <w:rPr>
                <w:rStyle w:val="FootnoteReference"/>
                <w:noProof/>
              </w:rPr>
              <w:footnoteReference w:id="69"/>
            </w:r>
            <w:r>
              <w:rPr>
                <w:noProof/>
              </w:rPr>
              <w:t>.</w:t>
            </w:r>
          </w:p>
        </w:tc>
        <w:tc>
          <w:tcPr>
            <w:tcW w:w="2263"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11. heinäkuuta 2007</w:t>
            </w:r>
          </w:p>
        </w:tc>
      </w:tr>
      <w:tr>
        <w:trPr>
          <w:trHeight w:val="144"/>
        </w:trPr>
        <w:tc>
          <w:tcPr>
            <w:tcW w:w="7054" w:type="dxa"/>
            <w:shd w:val="clear" w:color="auto" w:fill="auto"/>
          </w:tcPr>
          <w:p>
            <w:pPr>
              <w:autoSpaceDE w:val="0"/>
              <w:autoSpaceDN w:val="0"/>
              <w:adjustRightInd w:val="0"/>
              <w:spacing w:after="0"/>
              <w:rPr>
                <w:noProof/>
              </w:rPr>
            </w:pPr>
            <w:r>
              <w:rPr>
                <w:noProof/>
              </w:rPr>
              <w:t>Neuvoston direktiivi 85/339/ETY, annettu 27 päivänä kesäkuuta 1985, nestemäisten ravintoaineiden pakkauksista</w:t>
            </w:r>
            <w:r>
              <w:rPr>
                <w:rStyle w:val="FootnoteReference"/>
                <w:noProof/>
              </w:rPr>
              <w:footnoteReference w:id="70"/>
            </w:r>
            <w:r>
              <w:rPr>
                <w:noProof/>
              </w:rPr>
              <w:t>, muutettuna direktiivin 91/692/ETY 5 artiklalla, kumottiin neuvoston direktiivillä 94/62/EY, annettu 20 päivänä joulukuuta 1994, pakkauksista ja pakkausjätteistä</w:t>
            </w:r>
            <w:r>
              <w:rPr>
                <w:rStyle w:val="FootnoteReference"/>
                <w:noProof/>
              </w:rPr>
              <w:footnoteReference w:id="71"/>
            </w:r>
            <w:r>
              <w:rPr>
                <w:noProof/>
              </w:rPr>
              <w:t>.</w:t>
            </w:r>
          </w:p>
        </w:tc>
        <w:tc>
          <w:tcPr>
            <w:tcW w:w="2263" w:type="dxa"/>
            <w:shd w:val="clear" w:color="auto" w:fill="auto"/>
          </w:tcPr>
          <w:p>
            <w:pPr>
              <w:tabs>
                <w:tab w:val="left" w:pos="921"/>
              </w:tabs>
              <w:autoSpaceDE w:val="0"/>
              <w:autoSpaceDN w:val="0"/>
              <w:adjustRightInd w:val="0"/>
              <w:spacing w:before="0" w:after="240"/>
              <w:rPr>
                <w:rFonts w:eastAsia="Times New Roman"/>
                <w:bCs/>
                <w:noProof/>
                <w:sz w:val="22"/>
                <w:szCs w:val="24"/>
              </w:rPr>
            </w:pPr>
            <w:r>
              <w:rPr>
                <w:noProof/>
              </w:rPr>
              <w:t>29. kesäkuuta 1996</w:t>
            </w:r>
          </w:p>
        </w:tc>
      </w:tr>
    </w:tbl>
    <w:p>
      <w:pPr>
        <w:rPr>
          <w:b/>
          <w:noProof/>
        </w:rPr>
      </w:pPr>
      <w:r>
        <w:rPr>
          <w:noProof/>
        </w:rPr>
        <w:br w:type="page"/>
      </w:r>
      <w:r>
        <w:rPr>
          <w:b/>
          <w:noProof/>
        </w:rPr>
        <w:t xml:space="preserve">Taulukko 3: Voimassa olevat täytäntöönpanosäädökset, jotka ovat edelleen voimassa ja jotka kumotaan tai todetaan vanhentuneiksi </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134"/>
        <w:gridCol w:w="1143"/>
      </w:tblGrid>
      <w:tr>
        <w:trPr>
          <w:trHeight w:val="144"/>
          <w:tblHeader/>
        </w:trPr>
        <w:tc>
          <w:tcPr>
            <w:tcW w:w="5778" w:type="dxa"/>
            <w:shd w:val="clear" w:color="auto" w:fill="auto"/>
          </w:tcPr>
          <w:p>
            <w:pPr>
              <w:autoSpaceDE w:val="0"/>
              <w:autoSpaceDN w:val="0"/>
              <w:adjustRightInd w:val="0"/>
              <w:spacing w:before="0" w:after="240"/>
              <w:rPr>
                <w:rFonts w:eastAsia="Times New Roman"/>
                <w:b/>
                <w:bCs/>
                <w:noProof/>
                <w:sz w:val="22"/>
                <w:szCs w:val="24"/>
              </w:rPr>
            </w:pPr>
            <w:r>
              <w:rPr>
                <w:b/>
                <w:noProof/>
                <w:sz w:val="22"/>
              </w:rPr>
              <w:t xml:space="preserve">Direktiivin 91/692/ETY nojalla hyväksytyt säädökset </w:t>
            </w:r>
          </w:p>
        </w:tc>
        <w:tc>
          <w:tcPr>
            <w:tcW w:w="1276"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Voimassa</w:t>
            </w:r>
          </w:p>
        </w:tc>
        <w:tc>
          <w:tcPr>
            <w:tcW w:w="1134"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Todetaan vanhen</w:t>
            </w:r>
            <w:r>
              <w:rPr>
                <w:b/>
                <w:noProof/>
                <w:sz w:val="22"/>
              </w:rPr>
              <w:softHyphen/>
              <w:t>tuneeksi</w:t>
            </w:r>
          </w:p>
        </w:tc>
        <w:tc>
          <w:tcPr>
            <w:tcW w:w="1143" w:type="dxa"/>
            <w:shd w:val="clear" w:color="auto" w:fill="auto"/>
          </w:tcPr>
          <w:p>
            <w:pPr>
              <w:autoSpaceDE w:val="0"/>
              <w:autoSpaceDN w:val="0"/>
              <w:adjustRightInd w:val="0"/>
              <w:spacing w:before="0" w:after="240"/>
              <w:jc w:val="center"/>
              <w:rPr>
                <w:rFonts w:eastAsia="Times New Roman"/>
                <w:b/>
                <w:bCs/>
                <w:noProof/>
                <w:sz w:val="22"/>
                <w:szCs w:val="24"/>
              </w:rPr>
            </w:pPr>
            <w:r>
              <w:rPr>
                <w:b/>
                <w:noProof/>
                <w:sz w:val="22"/>
              </w:rPr>
              <w:t>Kumo</w:t>
            </w:r>
            <w:r>
              <w:rPr>
                <w:b/>
                <w:noProof/>
                <w:sz w:val="22"/>
              </w:rPr>
              <w:softHyphen/>
              <w:t>taan</w:t>
            </w:r>
          </w:p>
        </w:tc>
      </w:tr>
      <w:tr>
        <w:trPr>
          <w:trHeight w:val="144"/>
        </w:trPr>
        <w:tc>
          <w:tcPr>
            <w:tcW w:w="5778" w:type="dxa"/>
            <w:shd w:val="clear" w:color="auto" w:fill="auto"/>
          </w:tcPr>
          <w:p>
            <w:pPr>
              <w:autoSpaceDE w:val="0"/>
              <w:autoSpaceDN w:val="0"/>
              <w:adjustRightInd w:val="0"/>
              <w:spacing w:before="0" w:after="240"/>
              <w:rPr>
                <w:rFonts w:eastAsia="Times New Roman"/>
                <w:b/>
                <w:bCs/>
                <w:noProof/>
                <w:sz w:val="22"/>
                <w:szCs w:val="24"/>
              </w:rPr>
            </w:pPr>
            <w:r>
              <w:rPr>
                <w:noProof/>
              </w:rPr>
              <w:t>1)  Komission täytäntöönpanopäätös 2014/166/EU, annettu 21 päivänä maaliskuuta 2014, päätöksen 2005/381/EY muuttamisesta Euroopan parlamentin ja neuvoston direktiivin 2003/87/EY soveltamisen raportointiin käytettävän kyselylomakkeen osalta (tiedoksiannettu numerolla C(2014)1726)</w:t>
            </w:r>
            <w:r>
              <w:rPr>
                <w:rStyle w:val="FootnoteReference"/>
                <w:noProof/>
              </w:rPr>
              <w:footnoteReference w:id="72"/>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rPr>
            </w:pPr>
            <w:r>
              <w:rPr>
                <w:noProof/>
              </w:rPr>
              <w:t>2) Komission päätös 2005/381/EY, tehty 4 päivänä toukokuuta 2005, kyselylomakkeesta kasvihuonekaasujen päästöoikeuksien kaupan järjestelmän toteuttamisesta yhteisössä ja neuvoston direktiivin 96/61/EY muuttamisesta annetun Euroopan parlamentin ja neuvoston direktiivin 2003/87/EY soveltamiseksi (tiedoksiannettu numerolla K(2005) 1359)</w:t>
            </w:r>
            <w:r>
              <w:rPr>
                <w:rStyle w:val="FootnoteReference"/>
                <w:noProof/>
              </w:rPr>
              <w:footnoteReference w:id="73"/>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 w:val="32"/>
                <w:szCs w:val="32"/>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b/>
                <w:bCs/>
                <w:noProof/>
                <w:sz w:val="22"/>
                <w:szCs w:val="24"/>
              </w:rPr>
            </w:pPr>
            <w:r>
              <w:rPr>
                <w:noProof/>
              </w:rPr>
              <w:t>3) Komission päätös  2006/803/EY, tehty 23 päivänä marraskuuta 2006, kyselylomakkeesta kasvihuonekaasujen päästöoikeuksien kaupan järjestelmän toteuttamisesta yhteisössä ja neuvoston direktiivin 96/61/EY muuttamisesta annetun Euroopan parlamentin ja neuvoston direktiivin 2003/87/EY soveltamiseksi annetun päätöksen 2005/381/EY muuttamisesta (tiedoksiannettu numerolla K(2006) 5546)</w:t>
            </w:r>
            <w:r>
              <w:rPr>
                <w:rStyle w:val="FootnoteReference"/>
                <w:noProof/>
              </w:rPr>
              <w:footnoteReference w:id="74"/>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rPr>
            </w:pPr>
            <w:r>
              <w:rPr>
                <w:noProof/>
              </w:rPr>
              <w:t>4) Komission päätös, annettu 18 päivänä huhtikuuta 2012, jätteenpoltosta annetun direktiivin 2008/98/EY täytäntöönpanoa koskevien tietojen antamiseen käytettävästä kyselylomakkeesta</w:t>
            </w:r>
            <w:r>
              <w:rPr>
                <w:rStyle w:val="FootnoteReference"/>
                <w:noProof/>
              </w:rPr>
              <w:footnoteReference w:id="75"/>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952"/>
        </w:trPr>
        <w:tc>
          <w:tcPr>
            <w:tcW w:w="5778" w:type="dxa"/>
            <w:shd w:val="clear" w:color="auto" w:fill="auto"/>
          </w:tcPr>
          <w:p>
            <w:pPr>
              <w:autoSpaceDE w:val="0"/>
              <w:autoSpaceDN w:val="0"/>
              <w:adjustRightInd w:val="0"/>
              <w:spacing w:before="0" w:after="240"/>
              <w:rPr>
                <w:noProof/>
              </w:rPr>
            </w:pPr>
            <w:r>
              <w:rPr>
                <w:noProof/>
              </w:rPr>
              <w:t>5) Komission päätös 2004/249/EY, tehty 11 päivänä maaliskuuta 2004, sähkö- ja elektroniikkalaiteromusta annetun Euroopan parlamentin ja neuvoston direktiivin 2002/96/EY täytäntöönpanoa koskevien jäsenvaltioiden kertomusten pohjana käytettävästä kyselylomakkeesta</w:t>
            </w:r>
            <w:r>
              <w:rPr>
                <w:rStyle w:val="FootnoteReference"/>
                <w:noProof/>
              </w:rPr>
              <w:footnoteReference w:id="76"/>
            </w:r>
            <w:r>
              <w:rPr>
                <w:noProof/>
              </w:rPr>
              <w:t xml:space="preserve">.  </w:t>
            </w:r>
          </w:p>
        </w:tc>
        <w:tc>
          <w:tcPr>
            <w:tcW w:w="1276" w:type="dxa"/>
            <w:shd w:val="clear" w:color="auto" w:fill="auto"/>
          </w:tcPr>
          <w:p>
            <w:pPr>
              <w:pStyle w:val="ListParagraph"/>
              <w:numPr>
                <w:ilvl w:val="0"/>
                <w:numId w:val="10"/>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6) Komission päätös 2007/151/EY, tehty 6 päivänä maaliskuuta 2007, päätösten 94/741/EY ja 97/622/EY muuttamisesta jätteistä annetun Euroopan parlamentin ja neuvoston direktiivin 2006/12/EY sekä vaarallisista jätteistä annetun neuvoston direktiivin 91/689/ETY soveltamista koskeviin kertomuksiin liittyvien kyselylomakkeiden osalta</w:t>
            </w:r>
            <w:r>
              <w:rPr>
                <w:rStyle w:val="FootnoteReference"/>
                <w:noProof/>
              </w:rPr>
              <w:footnoteReference w:id="77"/>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7) Komission päätös 2000/738/EY, tehty 17 päivänä marraskuuta 2000, kaatopaikoista annetun direktiivin 1999/31/EY täytäntöönpanoa koskevien jäsenvaltioiden kertomusten laadinnassa käytettävästä kyselylomakkeesta</w:t>
            </w:r>
            <w:r>
              <w:rPr>
                <w:rStyle w:val="FootnoteReference"/>
                <w:noProof/>
              </w:rPr>
              <w:footnoteReference w:id="78"/>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8) Komission päätös 2001/753/EY, tehty 17 päivänä lokakuuta 2001, romuajoneuvoista annetun Euroopan parlamentin ja neuvoston direktiivin 2000/53/EY täytäntöönpanoa koskevien jäsenvaltioiden kertomusten pohjana käytettävästä kyselylomakkeesta</w:t>
            </w:r>
            <w:r>
              <w:rPr>
                <w:rStyle w:val="FootnoteReference"/>
                <w:noProof/>
              </w:rPr>
              <w:footnoteReference w:id="79"/>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9) Komission päätös 97/622/EY, tehty 27 päivänä toukokuuta 1997, tiettyjen jätealan direktiivien soveltamista jäsenvaltioissa koskeviin kertomuksiin liittyvistä kyselylomakkeista</w:t>
            </w:r>
            <w:r>
              <w:rPr>
                <w:rStyle w:val="FootnoteReference"/>
                <w:noProof/>
              </w:rPr>
              <w:footnoteReference w:id="80"/>
            </w:r>
            <w:r>
              <w:rPr>
                <w:noProof/>
              </w:rPr>
              <w:t xml:space="preserve">.  </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10) Komission päätös 94/741/EY, tehty 24 päivänä lokakuuta 1994, tiettyjen jätealan direktiivien soveltamista jäsenvaltioissa koskeviin kertomuksiin liittyvistä kyselylomakkeista</w:t>
            </w:r>
            <w:r>
              <w:rPr>
                <w:rStyle w:val="FootnoteReference"/>
                <w:noProof/>
              </w:rPr>
              <w:footnoteReference w:id="81"/>
            </w:r>
            <w:r>
              <w:rPr>
                <w:noProof/>
              </w:rPr>
              <w:t>.</w:t>
            </w:r>
          </w:p>
        </w:tc>
        <w:tc>
          <w:tcPr>
            <w:tcW w:w="1276"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Komission täytäntöönpanopäätös 2011/632/EU, annettu 21 päivänä syyskuuta 2011, jätteenpoltosta annetun Euroopan parlamentin ja neuvoston direktiivin 2000/76/EY täytäntöönpanoa koskevien tietojen antamiseen käytettävästä kyselylomakkeesta</w:t>
            </w:r>
            <w:r>
              <w:rPr>
                <w:rStyle w:val="FootnoteReference"/>
                <w:noProof/>
              </w:rPr>
              <w:footnoteReference w:id="82"/>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 xml:space="preserve">12) Komission päätös 2011/92/EU, annettu 10 päivänä helmikuuta 2011, hiilidioksidin geologisesta varastoinnista annetun Euroopan parlamentin ja neuvoston direktiivin 2009/31/EY soveltamista koskevan ensimmäisen kertomuksen pohjana käytettävästä kyselylomakkeesta </w:t>
            </w:r>
            <w:r>
              <w:rPr>
                <w:rStyle w:val="FootnoteReference"/>
                <w:noProof/>
              </w:rPr>
              <w:footnoteReference w:id="83"/>
            </w:r>
            <w:r>
              <w:rPr>
                <w:noProof/>
              </w:rPr>
              <w:t xml:space="preserve">. </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13) Komission päätös 2010/681/EY, annettu 9 päivänä marraskuuta 2010, kyselylomakkeesta, jonka pohjalta jäsenvaltiot laativat kertomuksen orgaanisten liuottimien käytöstä tietyissä toiminnoissa ja laitoksissa aiheutuvien haihtuvien orgaanisten yhdisteiden päästöjen rajoittamisesta annetun neuvoston direktiivin 1999/13/EY täytäntöönpanosta vuosina 2011–2013</w:t>
            </w:r>
            <w:r>
              <w:rPr>
                <w:rStyle w:val="FootnoteReference"/>
                <w:noProof/>
              </w:rPr>
              <w:footnoteReference w:id="8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autoSpaceDE w:val="0"/>
              <w:autoSpaceDN w:val="0"/>
              <w:adjustRightInd w:val="0"/>
              <w:spacing w:before="0" w:after="240"/>
              <w:rPr>
                <w:rFonts w:eastAsia="Times New Roman"/>
                <w:bCs/>
                <w:noProof/>
                <w:sz w:val="22"/>
                <w:szCs w:val="24"/>
              </w:rPr>
            </w:pPr>
          </w:p>
        </w:tc>
        <w:tc>
          <w:tcPr>
            <w:tcW w:w="1143"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noProof/>
                <w:szCs w:val="24"/>
              </w:rPr>
            </w:pPr>
            <w:r>
              <w:rPr>
                <w:noProof/>
              </w:rPr>
              <w:t>14) Komission päätös 2007/531/EY, tehty 26 päivänä heinäkuuta 2007, kyselylomakkeesta, jonka pohjalta jäsenvaltiot laativat kertomuksen orgaanisten liuottimien käytöstä tietyissä toiminnoissa ja laitoksissa aiheutuvien haihtuvien orgaanisten yhdisteiden päästöjen rajoittamisesta annetun neuvoston direktiivin 1999/13/EY täytäntöönpanosta vuosina 2008–2010.</w:t>
            </w:r>
            <w:r>
              <w:rPr>
                <w:rStyle w:val="FootnoteReference"/>
                <w:noProof/>
              </w:rPr>
              <w:t xml:space="preserve"> </w:t>
            </w:r>
            <w:r>
              <w:rPr>
                <w:rStyle w:val="FootnoteReference"/>
                <w:noProof/>
              </w:rPr>
              <w:footnoteReference w:id="85"/>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11"/>
              </w:numPr>
              <w:autoSpaceDE w:val="0"/>
              <w:autoSpaceDN w:val="0"/>
              <w:adjustRightInd w:val="0"/>
              <w:spacing w:after="240"/>
              <w:rPr>
                <w:rFonts w:eastAsia="Times New Roman"/>
                <w:bCs/>
                <w:noProof/>
                <w:szCs w:val="24"/>
              </w:rPr>
            </w:pPr>
          </w:p>
        </w:tc>
        <w:tc>
          <w:tcPr>
            <w:tcW w:w="1143" w:type="dxa"/>
            <w:shd w:val="clear" w:color="auto" w:fill="auto"/>
          </w:tcPr>
          <w:p>
            <w:pPr>
              <w:pStyle w:val="ListParagraph"/>
              <w:autoSpaceDE w:val="0"/>
              <w:autoSpaceDN w:val="0"/>
              <w:adjustRightInd w:val="0"/>
              <w:spacing w:after="240"/>
              <w:rPr>
                <w:rFonts w:eastAsia="Times New Roman"/>
                <w:bCs/>
                <w:noProof/>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15) Komission päätös 2003/241/EY, tehty 26 päivänä maaliskuuta 2003, ympäristön pilaantumisen ehkäisemisen ja vähentämisen yhtenäistämiseksi annettuun neuvoston direktiiviin 96/61/EY (IPPC-direktiivi) liittyvästä kyselystä 31 päivänä toukokuuta 1999 tehdyn komission päätöksen 1999/391/EY muuttamisesta</w:t>
            </w:r>
            <w:r>
              <w:rPr>
                <w:rStyle w:val="FootnoteReference"/>
                <w:noProof/>
              </w:rPr>
              <w:footnoteReference w:id="86"/>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noProof/>
                <w:szCs w:val="24"/>
              </w:rPr>
            </w:pPr>
            <w:r>
              <w:rPr>
                <w:noProof/>
              </w:rPr>
              <w:t>16) Komission päätös 2002/605/EY, tehty 17 päivänä heinäkuuta 2002, vaarallisista aineista aiheutuvien suuronnettomuusvaarojen torjunnasta annettuun neuvoston direktiiviin 96/82/EY liittyvästä kyselylomakkeesta</w:t>
            </w:r>
            <w:r>
              <w:rPr>
                <w:rStyle w:val="FootnoteReference"/>
                <w:noProof/>
              </w:rPr>
              <w:footnoteReference w:id="87"/>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17) Komission päätös 1999/391/EY, tehty 31 päivänä toukokuuta 1999, ympäristön pilaantumisen ehkäisemisen ja vähentämisen yhtenäistämiseksi annettuun neuvoston direktiiviin 96/61/EY (IPPC-direktiivi) liittyvästä kyselystä</w:t>
            </w:r>
            <w:r>
              <w:rPr>
                <w:rStyle w:val="FootnoteReference"/>
                <w:noProof/>
              </w:rPr>
              <w:t xml:space="preserve"> </w:t>
            </w:r>
            <w:r>
              <w:rPr>
                <w:rStyle w:val="FootnoteReference"/>
                <w:noProof/>
              </w:rPr>
              <w:footnoteReference w:id="88"/>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18) Komission päätös 1999/314/EY, tehty 9 päivänä huhtikuuta 1999, vaarallisista aineista aiheutuvien suuronnettomuusvaarojen torjunnasta annettuun neuvoston direktiiviin 96/82/EY liittyvästä kyselylomakkeesta</w:t>
            </w:r>
            <w:r>
              <w:rPr>
                <w:rStyle w:val="FootnoteReference"/>
                <w:noProof/>
              </w:rPr>
              <w:footnoteReference w:id="89"/>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19) Komission päätös 98/184/EY, tehty 25 päivänä helmikuuta 1998, kyselylomakkeesta vaarallisten jätteiden polttamisesta annetun neuvoston direktiivin 94/67/EY täytäntöönpanoon liittyviä jäsenvaltioiden kertomuksia varten</w:t>
            </w:r>
            <w:r>
              <w:rPr>
                <w:rStyle w:val="FootnoteReference"/>
                <w:noProof/>
              </w:rPr>
              <w:footnoteReference w:id="90"/>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20) Komission päätös 96/511/EY, tehty 29 päivänä heinäkuuta 1996, neuvoston direktiiveissä 80/779/ETY, 82/884/ETY, 84/360/ETY ja 85/203/ETY säädetyistä kyselylomakkeista</w:t>
            </w:r>
            <w:r>
              <w:rPr>
                <w:rStyle w:val="FootnoteReference"/>
                <w:noProof/>
              </w:rPr>
              <w:footnoteReference w:id="91"/>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21) Komission päätös 96/302/EY, tehty 17 päivänä huhtikuuta 1996, vaarallisista jätteistä annetun neuvoston direktiivin 91/689/ETY 8 artiklan 3 kohdan mukaisessa tietojen toimittamisessa käytettävästä lomakkeesta</w:t>
            </w:r>
            <w:r>
              <w:rPr>
                <w:rStyle w:val="FootnoteReference"/>
                <w:noProof/>
              </w:rPr>
              <w:footnoteReference w:id="92"/>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 xml:space="preserve">22) Komission päätös 92/446/ETY, tehty 27 päivänä heinäkuuta 1992, kyselylomakkeista vesialaa koskevia direktiivejä varten,   </w:t>
            </w:r>
            <w:r>
              <w:rPr>
                <w:noProof/>
              </w:rPr>
              <w:br/>
              <w:t xml:space="preserve"> muutettiin komission päätöksellä 95/337/EY, annettu 25 päivänä heinäkuuta 1995, kyselylomakkeista vesialaa koskevia direktiivejä varten</w:t>
            </w:r>
            <w:r>
              <w:rPr>
                <w:rStyle w:val="FootnoteReference"/>
                <w:noProof/>
              </w:rPr>
              <w:footnoteReference w:id="93"/>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r>
        <w:trPr>
          <w:trHeight w:val="144"/>
        </w:trPr>
        <w:tc>
          <w:tcPr>
            <w:tcW w:w="5778" w:type="dxa"/>
            <w:shd w:val="clear" w:color="auto" w:fill="auto"/>
          </w:tcPr>
          <w:p>
            <w:pPr>
              <w:autoSpaceDE w:val="0"/>
              <w:autoSpaceDN w:val="0"/>
              <w:adjustRightInd w:val="0"/>
              <w:spacing w:before="0" w:after="240"/>
              <w:rPr>
                <w:rFonts w:eastAsia="Times New Roman"/>
                <w:noProof/>
                <w:sz w:val="22"/>
                <w:szCs w:val="24"/>
              </w:rPr>
            </w:pPr>
            <w:r>
              <w:rPr>
                <w:noProof/>
              </w:rPr>
              <w:t>23) Komission päätös 95/337/EY, tehty 25 päivänä heinäkuuta 1995, päätöksen 92/446/ETY muuttamisesta kyselylomakkeista vesialaa koskevia direktiivejä varten</w:t>
            </w:r>
            <w:r>
              <w:rPr>
                <w:rStyle w:val="FootnoteReference"/>
                <w:noProof/>
              </w:rPr>
              <w:footnoteReference w:id="94"/>
            </w:r>
            <w:r>
              <w:rPr>
                <w:noProof/>
              </w:rPr>
              <w:t>.</w:t>
            </w:r>
          </w:p>
        </w:tc>
        <w:tc>
          <w:tcPr>
            <w:tcW w:w="1276" w:type="dxa"/>
            <w:shd w:val="clear" w:color="auto" w:fill="auto"/>
          </w:tcPr>
          <w:p>
            <w:pPr>
              <w:autoSpaceDE w:val="0"/>
              <w:autoSpaceDN w:val="0"/>
              <w:adjustRightInd w:val="0"/>
              <w:spacing w:before="0" w:after="240"/>
              <w:rPr>
                <w:rFonts w:eastAsia="Times New Roman"/>
                <w:bCs/>
                <w:noProof/>
                <w:sz w:val="22"/>
                <w:szCs w:val="24"/>
              </w:rPr>
            </w:pPr>
          </w:p>
        </w:tc>
        <w:tc>
          <w:tcPr>
            <w:tcW w:w="1134" w:type="dxa"/>
            <w:shd w:val="clear" w:color="auto" w:fill="auto"/>
          </w:tcPr>
          <w:p>
            <w:pPr>
              <w:pStyle w:val="ListParagraph"/>
              <w:numPr>
                <w:ilvl w:val="0"/>
                <w:numId w:val="9"/>
              </w:numPr>
              <w:autoSpaceDE w:val="0"/>
              <w:autoSpaceDN w:val="0"/>
              <w:adjustRightInd w:val="0"/>
              <w:spacing w:after="240"/>
              <w:rPr>
                <w:rFonts w:eastAsia="Times New Roman"/>
                <w:bCs/>
                <w:noProof/>
                <w:szCs w:val="24"/>
              </w:rPr>
            </w:pPr>
          </w:p>
        </w:tc>
        <w:tc>
          <w:tcPr>
            <w:tcW w:w="1143" w:type="dxa"/>
            <w:shd w:val="clear" w:color="auto" w:fill="auto"/>
          </w:tcPr>
          <w:p>
            <w:pPr>
              <w:autoSpaceDE w:val="0"/>
              <w:autoSpaceDN w:val="0"/>
              <w:adjustRightInd w:val="0"/>
              <w:spacing w:before="0" w:after="240"/>
              <w:rPr>
                <w:rFonts w:eastAsia="Times New Roman"/>
                <w:bCs/>
                <w:noProof/>
                <w:sz w:val="22"/>
                <w:szCs w:val="24"/>
              </w:rPr>
            </w:pPr>
          </w:p>
        </w:tc>
      </w:tr>
    </w:tbl>
    <w:p>
      <w:pPr>
        <w:spacing w:before="0" w:after="0"/>
        <w:ind w:left="720"/>
        <w:jc w:val="center"/>
        <w:rPr>
          <w:rFonts w:eastAsia="Times New Roman"/>
          <w:b/>
          <w:noProof/>
          <w:sz w:val="18"/>
          <w:szCs w:val="18"/>
        </w:rPr>
      </w:pPr>
    </w:p>
    <w:p>
      <w:pPr>
        <w:spacing w:before="0" w:after="200" w:line="276" w:lineRule="auto"/>
        <w:jc w:val="left"/>
        <w:rPr>
          <w:b/>
          <w:noProof/>
          <w:szCs w:val="24"/>
        </w:rPr>
      </w:pPr>
      <w:r>
        <w:rPr>
          <w:noProof/>
        </w:rPr>
        <w:br w:type="page"/>
      </w:r>
    </w:p>
    <w:p>
      <w:pPr>
        <w:rPr>
          <w:b/>
          <w:noProof/>
        </w:rPr>
      </w:pPr>
      <w:r>
        <w:rPr>
          <w:b/>
          <w:noProof/>
        </w:rPr>
        <w:t xml:space="preserve">Vaikutusten arviointi </w:t>
      </w:r>
    </w:p>
    <w:p>
      <w:pPr>
        <w:autoSpaceDE w:val="0"/>
        <w:autoSpaceDN w:val="0"/>
        <w:adjustRightInd w:val="0"/>
        <w:spacing w:before="0" w:after="0"/>
        <w:rPr>
          <w:noProof/>
          <w:szCs w:val="24"/>
        </w:rPr>
      </w:pPr>
      <w:r>
        <w:rPr>
          <w:noProof/>
        </w:rPr>
        <w:t>Taloudellisten, ympäristöön liittyvien ja sosiaalisten vaikutusten arviointi ja laajempi kuuleminen suoritettiin laadittaessa yhteistä ympäristötietojärjestelmää (SEIS)</w:t>
      </w:r>
      <w:r>
        <w:rPr>
          <w:rStyle w:val="FootnoteReference"/>
          <w:noProof/>
        </w:rPr>
        <w:footnoteReference w:id="95"/>
      </w:r>
      <w:r>
        <w:rPr>
          <w:noProof/>
        </w:rPr>
        <w:t>. Sen jälkeen perustana olevaa analyysiä on päivitetty ja on laadittu yksityiskohtainen tausta-asiakirja</w:t>
      </w:r>
      <w:r>
        <w:rPr>
          <w:rStyle w:val="FootnoteReference"/>
          <w:noProof/>
        </w:rPr>
        <w:footnoteReference w:id="96"/>
      </w:r>
      <w:r>
        <w:rPr>
          <w:noProof/>
        </w:rPr>
        <w:t xml:space="preserve">. Näin on saatu riittävästi näyttöä kumoamisprosessia varten eikä erillistä vaikutustenarviointia ole tarvittu. </w:t>
      </w:r>
    </w:p>
    <w:p>
      <w:pPr>
        <w:autoSpaceDE w:val="0"/>
        <w:autoSpaceDN w:val="0"/>
        <w:adjustRightInd w:val="0"/>
        <w:spacing w:before="0" w:after="0"/>
        <w:rPr>
          <w:noProof/>
          <w:szCs w:val="24"/>
        </w:rPr>
      </w:pPr>
      <w:r>
        <w:rPr>
          <w:noProof/>
        </w:rPr>
        <w:t>Tavoitteiden saavuttamiseksi valitut säädökset, kaksi päätöstä ja yksi tiedonanto, eivät muuttaisi raportointia käytännössä. Ehdotetulla kumoamispaketilla parannetaan oikeudellista varmuutta vanhentuneiden säännösten poistamisen myötä ja sillä järkeistetään useita raportointivelvoitteita menettelyjen ”lissabonisaation”</w:t>
      </w:r>
      <w:r>
        <w:rPr>
          <w:rStyle w:val="FootnoteReference"/>
          <w:noProof/>
        </w:rPr>
        <w:footnoteReference w:id="97"/>
      </w:r>
      <w:r>
        <w:rPr>
          <w:noProof/>
        </w:rPr>
        <w:t xml:space="preserve"> avulla. EU:n säännöstön yksinkertaistamisen odotetaan parantavan tehokkuutta, jolloin tuloksena on taloudellisten hyötyjen sijaan pikemminkin teknisiä ja oikeudellisia hyötyjä. Kustannuksista ja/tai hyödyistä ei kuitenkaan ole voitu saada määrällisiä tietoja, jotka suoraan liittyisivät säännösten kumoamiseen, pääasiassa koska suuri osa direktiiviin perustuvista alustavista velvoitteista on käytännössä jo vanhentuneita. </w:t>
      </w:r>
    </w:p>
    <w:p>
      <w:pPr>
        <w:pStyle w:val="ManualHeading1"/>
        <w:rPr>
          <w:noProof/>
          <w:szCs w:val="24"/>
        </w:rPr>
      </w:pPr>
      <w:r>
        <w:rPr>
          <w:noProof/>
        </w:rPr>
        <w:t>3.</w:t>
      </w:r>
      <w:r>
        <w:rPr>
          <w:noProof/>
        </w:rPr>
        <w:tab/>
        <w:t>EHDOTUKSEN OIKEUDELLINEN SISÄLTÖ</w:t>
      </w:r>
    </w:p>
    <w:p>
      <w:pPr>
        <w:rPr>
          <w:b/>
          <w:noProof/>
        </w:rPr>
      </w:pPr>
      <w:r>
        <w:rPr>
          <w:b/>
          <w:noProof/>
        </w:rPr>
        <w:t>Tiivistelmä ehdotetuista toimista</w:t>
      </w:r>
    </w:p>
    <w:p>
      <w:pPr>
        <w:rPr>
          <w:noProof/>
        </w:rPr>
      </w:pPr>
      <w:r>
        <w:rPr>
          <w:noProof/>
        </w:rPr>
        <w:t xml:space="preserve">Ympäristöalan seurantaa koskevassa kumoamisehdotuksessa on yksilöity oikeudellisia toimenpiteitä, jotka ovat vanhentuneita tai jotka on korvattu voimassa olevilla säännöksillä, joissa asianmukaisesti viitataan asetukseen (EU) N:o 182/2011. </w:t>
      </w:r>
    </w:p>
    <w:p>
      <w:pPr>
        <w:rPr>
          <w:b/>
          <w:noProof/>
        </w:rPr>
      </w:pPr>
      <w:r>
        <w:rPr>
          <w:b/>
          <w:noProof/>
        </w:rPr>
        <w:t>Oikeusperusta</w:t>
      </w:r>
    </w:p>
    <w:p>
      <w:pPr>
        <w:rPr>
          <w:noProof/>
        </w:rPr>
      </w:pPr>
      <w:r>
        <w:rPr>
          <w:noProof/>
        </w:rPr>
        <w:t>Tämän säädösehdotuksen oikeusperusta on Euroopan unionin toiminnasta tehdyn sopimuksen (SEUT-sopimuksen) 192 artikla.</w:t>
      </w:r>
    </w:p>
    <w:p>
      <w:pPr>
        <w:rPr>
          <w:b/>
          <w:noProof/>
        </w:rPr>
      </w:pPr>
      <w:r>
        <w:rPr>
          <w:b/>
          <w:noProof/>
        </w:rPr>
        <w:t>Toissijaisuus- ja suhteellisuusperiaatteet</w:t>
      </w:r>
    </w:p>
    <w:p>
      <w:pPr>
        <w:rPr>
          <w:noProof/>
        </w:rPr>
      </w:pPr>
      <w:r>
        <w:rPr>
          <w:noProof/>
        </w:rPr>
        <w:t>Tässä ehdotuksessa tarkoitetut toimenpiteet ovat vanhentuneita, koska niiden sisältö on korvattu myöhemmin annetuilla säädöksillä tai koska niistä on tullut tarpeettomia niiden väliaikaisen luonteen vuoksi. Sen vuoksi kyseisten toimenpiteiden kumoaminen on toissijaisuus- ja suhteellisuusperiaatteiden mukaista. Unionin lainsäätäjän on tarpeen hyväksyä tätä varten tarvittavat toimenpiteet.</w:t>
      </w:r>
    </w:p>
    <w:p>
      <w:pPr>
        <w:rPr>
          <w:b/>
          <w:noProof/>
          <w:szCs w:val="24"/>
        </w:rPr>
      </w:pPr>
      <w:r>
        <w:rPr>
          <w:b/>
          <w:noProof/>
        </w:rPr>
        <w:t>Ehdotetun päätöksen keskeiset säännökset</w:t>
      </w:r>
    </w:p>
    <w:p>
      <w:pPr>
        <w:rPr>
          <w:b/>
          <w:noProof/>
        </w:rPr>
      </w:pPr>
      <w:r>
        <w:rPr>
          <w:b/>
          <w:noProof/>
        </w:rPr>
        <w:t xml:space="preserve">1 artikla </w:t>
      </w:r>
    </w:p>
    <w:p>
      <w:pPr>
        <w:rPr>
          <w:noProof/>
        </w:rPr>
      </w:pPr>
      <w:r>
        <w:rPr>
          <w:noProof/>
        </w:rPr>
        <w:t>Muutetaan kasvihuonekaasujen päästöoikeuksien kaupan järjestelmän toteuttamisesta yhteisössä ja neuvoston direktiivin 96/61/EY muuttamisesta 13 päivänä lokakuuta 2003 annetun Euroopan parlamentin ja neuvoston direktiivin 2003/87/EY 21 artiklan 1 kohtaa lisäämällä viittaus asetukseen (EU) N:o 182/2011.</w:t>
      </w:r>
    </w:p>
    <w:p>
      <w:pPr>
        <w:rPr>
          <w:b/>
          <w:noProof/>
        </w:rPr>
      </w:pPr>
      <w:r>
        <w:rPr>
          <w:b/>
          <w:noProof/>
        </w:rPr>
        <w:t>2 artikla</w:t>
      </w:r>
    </w:p>
    <w:p>
      <w:pPr>
        <w:rPr>
          <w:noProof/>
        </w:rPr>
      </w:pPr>
      <w:r>
        <w:rPr>
          <w:noProof/>
        </w:rPr>
        <w:t>Muutetaan hiilidioksidin geologisesta varastoinnista 23 päivänä huhtikuuta 2009 annetun Euroopan parlamentin ja neuvoston direktiivin 2009/31/EY 27 artiklan 1 kohtaa lisäämällä viittaus asetukseen (EU) N:o 182/2011 ja mukautetaan direktiivin 2009/31/EY 29 artiklaa, jossa säädetään valvonnan käsittävän sääntelymenettelyn käytöstä, SEUT-sopimuksen 290 artiklaan.</w:t>
      </w:r>
    </w:p>
    <w:p>
      <w:pPr>
        <w:rPr>
          <w:b/>
          <w:noProof/>
        </w:rPr>
      </w:pPr>
      <w:r>
        <w:rPr>
          <w:b/>
          <w:noProof/>
        </w:rPr>
        <w:t>3 artikla</w:t>
      </w:r>
    </w:p>
    <w:p>
      <w:pPr>
        <w:rPr>
          <w:noProof/>
        </w:rPr>
      </w:pPr>
      <w:r>
        <w:rPr>
          <w:noProof/>
        </w:rPr>
        <w:t>Muutetaan ympäristön, erityisesti maaperän, suojelusta käytettäessä puhdistamolietettä maanviljelyssä 12 päivänä kesäkuuta 1986 annetun neuvoston direktiivin 86/278/ETY 13, 15 ja 17 artiklaa lisäämällä viittaukset asetukseen (EU) N:o 182/2011.</w:t>
      </w:r>
    </w:p>
    <w:p>
      <w:pPr>
        <w:rPr>
          <w:b/>
          <w:noProof/>
        </w:rPr>
      </w:pPr>
      <w:r>
        <w:rPr>
          <w:b/>
          <w:noProof/>
        </w:rPr>
        <w:t>4 artikla</w:t>
      </w:r>
    </w:p>
    <w:p>
      <w:pPr>
        <w:rPr>
          <w:noProof/>
        </w:rPr>
      </w:pPr>
      <w:r>
        <w:rPr>
          <w:noProof/>
        </w:rPr>
        <w:t xml:space="preserve">Muutetaan asbestin aiheuttaman ympäristön pilaantumisen ehkäisemisestä ja vähentämisestä 19 päivänä maaliskuuta 1987 annetun direktiivin 87/217/ETY 13 artiklaa poistamalla sen ensimmäinen kohta. </w:t>
      </w:r>
    </w:p>
    <w:p>
      <w:pPr>
        <w:rPr>
          <w:b/>
          <w:noProof/>
        </w:rPr>
      </w:pPr>
      <w:r>
        <w:rPr>
          <w:b/>
          <w:noProof/>
        </w:rPr>
        <w:t>5 artikla</w:t>
      </w:r>
    </w:p>
    <w:p>
      <w:pPr>
        <w:rPr>
          <w:noProof/>
        </w:rPr>
      </w:pPr>
      <w:r>
        <w:rPr>
          <w:noProof/>
        </w:rPr>
        <w:t xml:space="preserve">Muutetaan aluskierrätyksestä annetun asetuksen 1257/2013/EU 21 artiklan 2 artiklaa. </w:t>
      </w:r>
    </w:p>
    <w:p>
      <w:pPr>
        <w:rPr>
          <w:b/>
          <w:noProof/>
        </w:rPr>
      </w:pPr>
      <w:r>
        <w:rPr>
          <w:b/>
          <w:noProof/>
        </w:rPr>
        <w:t>6 artikla</w:t>
      </w:r>
    </w:p>
    <w:p>
      <w:pPr>
        <w:rPr>
          <w:noProof/>
        </w:rPr>
      </w:pPr>
      <w:r>
        <w:rPr>
          <w:noProof/>
        </w:rPr>
        <w:t>Muutetaan bensiinin varastoinnista ja sen jakelusta varastoalueilta huoltoasemille aiheutuvien haihtuvien orgaanisten yhdisteiden (VOC) päästöjen torjunnasta 20 päivänä joulukuuta 1994 annettua Euroopan parlamentin ja neuvoston direktiiviä muuttamalla 4 artiklan 4 kohtaa ja 6 artiklan 4 kohtaa sekä poistamalla 9 artiklan (valvonta ja kertomusten antaminen) ensimmäinen lause.</w:t>
      </w:r>
    </w:p>
    <w:p>
      <w:pPr>
        <w:rPr>
          <w:b/>
          <w:noProof/>
        </w:rPr>
      </w:pPr>
      <w:r>
        <w:rPr>
          <w:b/>
          <w:noProof/>
        </w:rPr>
        <w:t>7 artikla ja 8 artikla</w:t>
      </w:r>
    </w:p>
    <w:p>
      <w:pPr>
        <w:rPr>
          <w:noProof/>
          <w:szCs w:val="24"/>
        </w:rPr>
      </w:pPr>
      <w:r>
        <w:rPr>
          <w:noProof/>
        </w:rPr>
        <w:t>Säädetään direktiivin kumoamisesta sekä kumoavan säädöksen voimaantulopäivästä ja soveltamisesta. Voimaantulo yhdenmukaistetaan kiertotaloutta koskevan ehdotuksen</w:t>
      </w:r>
      <w:r>
        <w:rPr>
          <w:rStyle w:val="FootnoteReference"/>
          <w:noProof/>
        </w:rPr>
        <w:footnoteReference w:id="98"/>
      </w:r>
      <w:r>
        <w:rPr>
          <w:noProof/>
        </w:rPr>
        <w:t xml:space="preserve"> kanssa, joka kattaa jätteistä ja tiettyjen direktiivien kumoamisesta 17 päivänä marraskuuta 2008 annetun direktiivin, romuajoneuvoista 18 päivänä syyskuuta 2000 annetun direktiivin 2000/53/EY, kaatopaikoista 26 päivänä huhtikuuta 1999 annetun neuvoston direktiivin 1999/31/EY ja pakkauksista ja pakkausjätteistä 20 päivänä joulukuuta 1994 annetun Euroopan parlamentin ja neuvoston direktiivin säännöksiä, sekä  direktiivin 2003/87/EY muuttamisesta kustannustehokkaiden päästövähennysten ja vähähiilisyyttä edistävien investointien edistämiseksi tehdyn direktiiviehdotuksen</w:t>
      </w:r>
      <w:r>
        <w:rPr>
          <w:rStyle w:val="FootnoteReference"/>
          <w:noProof/>
        </w:rPr>
        <w:footnoteReference w:id="99"/>
      </w:r>
      <w:r>
        <w:rPr>
          <w:noProof/>
        </w:rPr>
        <w:t xml:space="preserve"> kanssa. </w:t>
      </w:r>
    </w:p>
    <w:p>
      <w:pPr>
        <w:rPr>
          <w:b/>
          <w:noProof/>
        </w:rPr>
      </w:pPr>
      <w:r>
        <w:rPr>
          <w:b/>
          <w:noProof/>
        </w:rPr>
        <w:t>Sääntelytavan valinta</w:t>
      </w:r>
    </w:p>
    <w:p>
      <w:pPr>
        <w:rPr>
          <w:noProof/>
        </w:rPr>
      </w:pPr>
      <w:r>
        <w:rPr>
          <w:noProof/>
        </w:rPr>
        <w:t>Ehdotettu sääntelytapa: Euroopan parlamentin ja neuvoston päätös.</w:t>
      </w:r>
    </w:p>
    <w:p>
      <w:pPr>
        <w:pStyle w:val="ManualHeading1"/>
        <w:rPr>
          <w:noProof/>
          <w:szCs w:val="24"/>
        </w:rPr>
      </w:pPr>
      <w:r>
        <w:rPr>
          <w:noProof/>
        </w:rPr>
        <w:t>4.</w:t>
      </w:r>
      <w:r>
        <w:rPr>
          <w:noProof/>
        </w:rPr>
        <w:tab/>
        <w:t xml:space="preserve">TALOUSARVIOVAIKUTUKSET </w:t>
      </w:r>
    </w:p>
    <w:p>
      <w:pPr>
        <w:spacing w:before="0" w:after="0"/>
        <w:rPr>
          <w:noProof/>
          <w:szCs w:val="24"/>
        </w:rPr>
      </w:pPr>
      <w:r>
        <w:rPr>
          <w:noProof/>
        </w:rPr>
        <w:t>Ehdotuksella ei ole vaikutuksia talousarvioon.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2016/0394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 xml:space="preserve">neuvoston direktiivin 87/217/ETY, Euroopan parlamentin ja neuvoston direktiivin 2003/87/EY, Euroopan parlamentin ja neuvoston direktiivin 2009/31/EY, Euroopan parlamentin ja neuvoston asetuksen (EU) N:o 1257/2013, neuvoston direktiivin 86/278/ETY ja neuvoston direktiivin 94/63/EY muuttamisesta ympäristöalan seurantaa koskevien menettelysääntöjen osalta sekä neuvoston direktiivin 91/692/ETY kumoamisesta </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192 artiklan 1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00"/>
      </w:r>
      <w:r>
        <w:rPr>
          <w:noProof/>
        </w:rPr>
        <w:t xml:space="preserve">, </w:t>
      </w:r>
    </w:p>
    <w:p>
      <w:pPr>
        <w:rPr>
          <w:noProof/>
        </w:rPr>
      </w:pPr>
      <w:r>
        <w:rPr>
          <w:noProof/>
        </w:rPr>
        <w:t>ottavat huomioon alueiden komitean lausunnon</w:t>
      </w:r>
      <w:r>
        <w:rPr>
          <w:rStyle w:val="FootnoteReference"/>
          <w:noProof/>
        </w:rPr>
        <w:footnoteReference w:id="101"/>
      </w:r>
      <w:r>
        <w:rPr>
          <w:noProof/>
        </w:rPr>
        <w:t xml:space="preserve">, </w:t>
      </w:r>
    </w:p>
    <w:p>
      <w:pPr>
        <w:rPr>
          <w:noProof/>
        </w:rPr>
      </w:pPr>
      <w:r>
        <w:rPr>
          <w:noProof/>
        </w:rPr>
        <w:t>noudattavat tavallista lainsäätämisjärjestystä,</w:t>
      </w:r>
    </w:p>
    <w:p>
      <w:pPr>
        <w:rPr>
          <w:noProof/>
        </w:rPr>
      </w:pPr>
      <w:r>
        <w:rPr>
          <w:noProof/>
        </w:rPr>
        <w:t xml:space="preserve">sekä katsovat seuraavaa: </w:t>
      </w:r>
    </w:p>
    <w:p>
      <w:pPr>
        <w:pStyle w:val="ManualConsidrant"/>
        <w:rPr>
          <w:noProof/>
        </w:rPr>
      </w:pPr>
      <w:r>
        <w:t>(1)</w:t>
      </w:r>
      <w:r>
        <w:tab/>
      </w:r>
      <w:r>
        <w:rPr>
          <w:noProof/>
        </w:rPr>
        <w:t>Neuvoston direktiivi 86/278/ETY</w:t>
      </w:r>
      <w:r>
        <w:rPr>
          <w:rStyle w:val="FootnoteReference"/>
          <w:noProof/>
        </w:rPr>
        <w:footnoteReference w:id="102"/>
      </w:r>
      <w:r>
        <w:rPr>
          <w:noProof/>
        </w:rPr>
        <w:t xml:space="preserve"> ja neuvoston direktiivi 87/217/ETY</w:t>
      </w:r>
      <w:r>
        <w:rPr>
          <w:rStyle w:val="FootnoteReference"/>
          <w:noProof/>
        </w:rPr>
        <w:footnoteReference w:id="103"/>
      </w:r>
      <w:r>
        <w:rPr>
          <w:noProof/>
        </w:rPr>
        <w:t xml:space="preserve"> perustuvat Euroopan talousyhteisön perustamissopimuksen 100 ja 235 artiklaan, nyt Euroopan unionin toiminnasta tehdyn sopimuksen (SEUT-sopimuksen) 115 ja 352 artiklaan. Kyseisiin direktiiveihin tehtävät muutokset liittyvät unionin ympäristöpolitiikkaan ja ovat suoraan seurausta neuvoston direktiivin 91/692/ETY</w:t>
      </w:r>
      <w:r>
        <w:rPr>
          <w:rStyle w:val="FootnoteReference"/>
          <w:noProof/>
        </w:rPr>
        <w:footnoteReference w:id="104"/>
      </w:r>
      <w:r>
        <w:rPr>
          <w:noProof/>
        </w:rPr>
        <w:t xml:space="preserve"> kumoamisesta SEUT-sopimuksen 192 artiklan 1 kohdan perusteella. Sen vuoksi on syytä muuttaa direktiiviä 86/278/ETY ja 87/217/ETY SEUT-sopimuksen 192 artiklan 1 kohdan perusteella. </w:t>
      </w:r>
    </w:p>
    <w:p>
      <w:pPr>
        <w:pStyle w:val="ManualConsidrant"/>
        <w:rPr>
          <w:noProof/>
        </w:rPr>
      </w:pPr>
      <w:r>
        <w:t>(2)</w:t>
      </w:r>
      <w:r>
        <w:tab/>
      </w:r>
      <w:r>
        <w:rPr>
          <w:noProof/>
        </w:rPr>
        <w:t>Euroopan parlamentin ja neuvoston direktiivi 94/63/EY</w:t>
      </w:r>
      <w:r>
        <w:rPr>
          <w:rStyle w:val="FootnoteReference"/>
          <w:noProof/>
        </w:rPr>
        <w:footnoteReference w:id="105"/>
      </w:r>
      <w:r>
        <w:rPr>
          <w:noProof/>
        </w:rPr>
        <w:t xml:space="preserve"> perustuu Euroopan yhteisön perustamissopimuksen 100 a artiklaan, nyt SEUT-sopimuksen 114 artiklaan. Kyseiseen direktiiviin tehtävät muutokset liittyvät unionin ympäristöpolitiikkaan ja ovat suoraan seurausta  direktiivin 91/692/ETY kumoamisesta SEUT-sopimuksen 192 artiklan 1 kohdan perusteella. Sen vuoksi on syytä muuttaa direktiiviä 94/63/ETY  SEUT-sopimuksen 192 artiklan 1 kohdan perusteella.</w:t>
      </w:r>
    </w:p>
    <w:p>
      <w:pPr>
        <w:pStyle w:val="ManualConsidrant"/>
        <w:rPr>
          <w:rFonts w:eastAsia="Times New Roman"/>
          <w:b/>
          <w:noProof/>
          <w:szCs w:val="24"/>
        </w:rPr>
      </w:pPr>
      <w:r>
        <w:t>(3)</w:t>
      </w:r>
      <w:r>
        <w:tab/>
      </w:r>
      <w:r>
        <w:rPr>
          <w:noProof/>
        </w:rPr>
        <w:t>Direktiivi 91/692/ETY annettiin, jotta voitiin järkeistää ja parantaa sektorikohtaisesti eräiden ympäristönsuojeluun liittyvien direktiivien tiedonantoa ja kertomusten julkaisemista koskevia säännöksiä. Tämän tavoitteen saavuttamiseksi direktiivillä 91/692/ETY muutettiin useita direktiivejä yhdenmukaisten raportointivaatimusten käyttöönottamiseksi.</w:t>
      </w:r>
    </w:p>
    <w:p>
      <w:pPr>
        <w:pStyle w:val="ManualConsidrant"/>
        <w:rPr>
          <w:noProof/>
        </w:rPr>
      </w:pPr>
      <w:r>
        <w:t>(4)</w:t>
      </w:r>
      <w:r>
        <w:tab/>
      </w:r>
      <w:r>
        <w:rPr>
          <w:noProof/>
        </w:rPr>
        <w:t>Direktiivillä 91/692/ETY käyttöönotettujen raportointivaatimusten täytäntöönpano on raskasta ja tehotonta. Monet unionin säädökset, joita on muutettu direktiivillä 91/692/ETY, on korvattu, eivätkä ne enää sisällä raportointivaatimuksia sellaisina kuin ne otettiin käyttöön direktiivillä 91/692/ETY. Esimerkiksi Euroopan parlamentin ja neuvoston direktiivillä 2000/60/EY</w:t>
      </w:r>
      <w:r>
        <w:rPr>
          <w:rStyle w:val="FootnoteReference"/>
          <w:noProof/>
        </w:rPr>
        <w:footnoteReference w:id="106"/>
      </w:r>
      <w:r>
        <w:rPr>
          <w:noProof/>
        </w:rPr>
        <w:t xml:space="preserve"> kumottiin seitsemän unionin säädöstä vesipolitiikan alalla, eikä se sisältänyt direktiivillä 91/692/ETY käyttöönotettua raportointijärjestelmää. Euroopan parlamentin ja neuvoston direktiivi 2010/75/EU ei sisällä viittauksia direktiiviin 91/692/ETY</w:t>
      </w:r>
      <w:r>
        <w:rPr>
          <w:rStyle w:val="FootnoteReference"/>
          <w:noProof/>
        </w:rPr>
        <w:footnoteReference w:id="107"/>
      </w:r>
      <w:r>
        <w:rPr>
          <w:noProof/>
        </w:rPr>
        <w:t>, ja siinä säädetään erillisestä raportointijärjestelmästä.</w:t>
      </w:r>
    </w:p>
    <w:p>
      <w:pPr>
        <w:pStyle w:val="ManualConsidrant"/>
        <w:rPr>
          <w:noProof/>
        </w:rPr>
      </w:pPr>
      <w:r>
        <w:t>(5)</w:t>
      </w:r>
      <w:r>
        <w:tab/>
      </w:r>
      <w:r>
        <w:rPr>
          <w:noProof/>
        </w:rPr>
        <w:t>Direktiivissä 91/692/ETY ei säädetä sähköisten välineiden käytöstä. Nyt kun on onnistuneesti otettu käyttöön Euroopan ympäristökeskuksen Reportnet-järjestelmä sekä toteutettu raportoinnin järkeistämistä koskevia alakohtaisia aloitteita, esimerkiksi Euroopan vesitietojärjestelmä, raportointia koskevan horisontaalisen välineen tarvetta ja tehokkuutta on kyseenalaistettu entistä enemmän. Lisäksi Euroopan parlamentin ja neuvoston direktiivin 2007/2/EY</w:t>
      </w:r>
      <w:r>
        <w:rPr>
          <w:rStyle w:val="FootnoteReference"/>
          <w:noProof/>
        </w:rPr>
        <w:footnoteReference w:id="108"/>
      </w:r>
      <w:r>
        <w:rPr>
          <w:noProof/>
        </w:rPr>
        <w:t xml:space="preserve"> hyväksyminen ja siihen liittyvän yhteisen ympäristötietojärjestelmän (SEIS)</w:t>
      </w:r>
      <w:r>
        <w:rPr>
          <w:rStyle w:val="FootnoteReference"/>
          <w:noProof/>
        </w:rPr>
        <w:footnoteReference w:id="109"/>
      </w:r>
      <w:r>
        <w:rPr>
          <w:noProof/>
        </w:rPr>
        <w:t xml:space="preserve"> kehittäminen toivat mukanaan nykyaikaisemman ja tehokkaamman monialaisen lähestymistavan unionin ympäristöpolitiikkaan liittyvään tiedonhallintaan ja raportointiin.</w:t>
      </w:r>
    </w:p>
    <w:p>
      <w:pPr>
        <w:pStyle w:val="ManualConsidrant"/>
        <w:rPr>
          <w:rFonts w:eastAsia="Times New Roman"/>
          <w:noProof/>
          <w:szCs w:val="24"/>
        </w:rPr>
      </w:pPr>
      <w:r>
        <w:t>(6)</w:t>
      </w:r>
      <w:r>
        <w:tab/>
      </w:r>
      <w:r>
        <w:rPr>
          <w:noProof/>
        </w:rPr>
        <w:t>Direktiivi 91/692/ETY olisi tämän vuoksi kumottava.</w:t>
      </w:r>
    </w:p>
    <w:p>
      <w:pPr>
        <w:pStyle w:val="ManualConsidrant"/>
        <w:rPr>
          <w:rFonts w:eastAsia="Times New Roman"/>
          <w:noProof/>
          <w:szCs w:val="24"/>
        </w:rPr>
      </w:pPr>
      <w:r>
        <w:t>(7)</w:t>
      </w:r>
      <w:r>
        <w:tab/>
      </w:r>
      <w:r>
        <w:rPr>
          <w:noProof/>
        </w:rPr>
        <w:t xml:space="preserve">Useimmat direktiivit, joita direktiivillä 91/692/ETY on muutettu, eivät enää ole voimassa. Direktiivi 87/217/ETY ja direktiivi 86/278/ETY ovat kuitenkin edelleen voimassa. </w:t>
      </w:r>
    </w:p>
    <w:p>
      <w:pPr>
        <w:pStyle w:val="ManualConsidrant"/>
        <w:rPr>
          <w:noProof/>
        </w:rPr>
      </w:pPr>
      <w:r>
        <w:t>(8)</w:t>
      </w:r>
      <w:r>
        <w:tab/>
      </w:r>
      <w:r>
        <w:rPr>
          <w:noProof/>
        </w:rPr>
        <w:t xml:space="preserve">Direktiivissä 86/278/ETY edellytetään, että jäsenvaltiot toimittavat kyseisen direktiivin täytäntöönpanosta kertomuksen komission laatiman kyselylomakkeen tai mallin perusteella direktiivissä 91/692/ETY säädettyä menettelyä noudattaen. Jotta vältetään direktiivin 91/692/ETY kumoamisesta johtuva oikeudellinen tyhjiö, on tarpeen korvata viittaus direktiiviin 91/692/ETY viittauksella direktiivissä 86/278/ETY tarkoitettuun menettelyyn. </w:t>
      </w:r>
    </w:p>
    <w:p>
      <w:pPr>
        <w:pStyle w:val="ManualConsidrant"/>
        <w:rPr>
          <w:noProof/>
        </w:rPr>
      </w:pPr>
      <w:r>
        <w:t>(9)</w:t>
      </w:r>
      <w:r>
        <w:tab/>
      </w:r>
      <w:r>
        <w:rPr>
          <w:noProof/>
        </w:rPr>
        <w:t>Raportointi direktiivin 87/217/ETY perusteella ei enää ole tarpeen jäsenvaltioissa sen jälkeen, kun on hyväksytty Euroopan parlamentin ja neuvoston asetus (EY) N:o 1907/2006/EY</w:t>
      </w:r>
      <w:r>
        <w:rPr>
          <w:rStyle w:val="FootnoteReference"/>
          <w:noProof/>
        </w:rPr>
        <w:footnoteReference w:id="110"/>
      </w:r>
      <w:r>
        <w:rPr>
          <w:noProof/>
        </w:rPr>
        <w:t>, jossa säädetään raaka-asbestin ja asbestia sisältävien tuotteiden tuotannon ja käytön lopettamisesta vähitellen EU:ssa. Sen vuoksi on tarpeen poistaa direktiivissä 87/217/ETY asetetut vaatimukset.</w:t>
      </w:r>
    </w:p>
    <w:p>
      <w:pPr>
        <w:pStyle w:val="ManualConsidrant"/>
        <w:rPr>
          <w:noProof/>
        </w:rPr>
      </w:pPr>
      <w:r>
        <w:t>(10)</w:t>
      </w:r>
      <w:r>
        <w:tab/>
      </w:r>
      <w:r>
        <w:rPr>
          <w:noProof/>
        </w:rPr>
        <w:t>Direktiivin 91/692/EY antamisen jälkeen seuraavat asetukset ja direktiivit sisälsivät viittauksen direktiiviin 91/692/EY: Euroopan parlamentin ja neuvoston direktiivi 94/62/EY</w:t>
      </w:r>
      <w:r>
        <w:rPr>
          <w:rStyle w:val="FootnoteReference"/>
          <w:noProof/>
        </w:rPr>
        <w:footnoteReference w:id="111"/>
      </w:r>
      <w:r>
        <w:rPr>
          <w:noProof/>
        </w:rPr>
        <w:t>, direktiivi 94/63/EY, neuvoston direktiivi 1999/31/EC</w:t>
      </w:r>
      <w:r>
        <w:rPr>
          <w:rStyle w:val="FootnoteReference"/>
          <w:noProof/>
        </w:rPr>
        <w:footnoteReference w:id="112"/>
      </w:r>
      <w:r>
        <w:rPr>
          <w:noProof/>
        </w:rPr>
        <w:t>, Euroopan parlamentin ja neuvoston direktiivi 2000/53/EY</w:t>
      </w:r>
      <w:r>
        <w:rPr>
          <w:rStyle w:val="FootnoteReference"/>
          <w:noProof/>
        </w:rPr>
        <w:footnoteReference w:id="113"/>
      </w:r>
      <w:r>
        <w:rPr>
          <w:noProof/>
        </w:rPr>
        <w:t>, Euroopan parlamentin ja neuvoston direktiivi 2003/87/EY</w:t>
      </w:r>
      <w:r>
        <w:rPr>
          <w:rStyle w:val="FootnoteReference"/>
          <w:noProof/>
        </w:rPr>
        <w:footnoteReference w:id="114"/>
      </w:r>
      <w:r>
        <w:rPr>
          <w:noProof/>
        </w:rPr>
        <w:t>, Euroopan parlamentin ja neuvoston direktiivi 2008/98/EY</w:t>
      </w:r>
      <w:r>
        <w:rPr>
          <w:rStyle w:val="FootnoteReference"/>
          <w:noProof/>
        </w:rPr>
        <w:footnoteReference w:id="115"/>
      </w:r>
      <w:r>
        <w:rPr>
          <w:noProof/>
        </w:rPr>
        <w:t>, Euroopan parlamentin ja neuvoston direktiivi 2009/31/EY</w:t>
      </w:r>
      <w:r>
        <w:rPr>
          <w:rStyle w:val="FootnoteReference"/>
          <w:noProof/>
        </w:rPr>
        <w:footnoteReference w:id="116"/>
      </w:r>
      <w:r>
        <w:rPr>
          <w:noProof/>
        </w:rPr>
        <w:t xml:space="preserve"> ja Euroopan parlamentin ja neuvoston asetus (EU) N:o 1257/2013</w:t>
      </w:r>
      <w:r>
        <w:rPr>
          <w:rStyle w:val="FootnoteReference"/>
          <w:noProof/>
        </w:rPr>
        <w:footnoteReference w:id="117"/>
      </w:r>
      <w:r>
        <w:rPr>
          <w:noProof/>
        </w:rPr>
        <w:t>.</w:t>
      </w:r>
    </w:p>
    <w:p>
      <w:pPr>
        <w:pStyle w:val="ManualConsidrant"/>
        <w:rPr>
          <w:noProof/>
        </w:rPr>
      </w:pPr>
      <w:r>
        <w:t>(11)</w:t>
      </w:r>
      <w:r>
        <w:tab/>
      </w:r>
      <w:r>
        <w:rPr>
          <w:noProof/>
        </w:rPr>
        <w:t>Komissio ehdotti osana kiertotaloutta koskevaa EU:n toimintasuunnitelmaa</w:t>
      </w:r>
      <w:r>
        <w:rPr>
          <w:rStyle w:val="FootnoteReference"/>
          <w:noProof/>
        </w:rPr>
        <w:footnoteReference w:id="118"/>
      </w:r>
      <w:r>
        <w:rPr>
          <w:noProof/>
        </w:rPr>
        <w:t xml:space="preserve"> direktiivien 2008/98/EY, 94/62/EY, 1999/31/EY ja 2000/53/EY muuttamista, jotta korvattaisiin viittaukset direktiiviin 91/692/ETY. Jotta varmistetaan, ettei direktiivin 91/692/ETY kumoamisesta aiheudu oikeudellista tyhjiötä, tätä päätöstä olisi sovellettava samasta päivästä alkaen kuin kiertotalouspaketin puitteissa ehdotettuja säädöksiä.</w:t>
      </w:r>
    </w:p>
    <w:p>
      <w:pPr>
        <w:pStyle w:val="ManualConsidrant"/>
        <w:rPr>
          <w:noProof/>
        </w:rPr>
      </w:pPr>
      <w:r>
        <w:t>(12)</w:t>
      </w:r>
      <w:r>
        <w:tab/>
      </w:r>
      <w:r>
        <w:rPr>
          <w:noProof/>
        </w:rPr>
        <w:t xml:space="preserve">Direktiiveissä 2009/31/ETY ja 2003/87/EY edellytetään, että jäsenvaltiot toimittavat kyseisen direktiivin täytäntöönpanosta kertomuksen komission laatiman kyselylomakkeen tai mallin perusteella neuvoston direktiivissä 91/692/ETY säädettyä menettelyä noudattaen. Jotta vältetään direktiivin 91/692/ETY kumoamisesta johtuva oikeudellinen tyhjiö, on tarpeen korvata viittaus direktiiviin 91/692/ETY viittauksella asianmukaisessa direktiivissä tarkoitettuun menettelyyn. </w:t>
      </w:r>
    </w:p>
    <w:p>
      <w:pPr>
        <w:pStyle w:val="ManualConsidrant"/>
        <w:rPr>
          <w:noProof/>
        </w:rPr>
      </w:pPr>
      <w:r>
        <w:t>(13)</w:t>
      </w:r>
      <w:r>
        <w:tab/>
      </w:r>
      <w:r>
        <w:rPr>
          <w:noProof/>
        </w:rPr>
        <w:t>Sen varmistamiseksi, että tietyt direktiivin 86/278/ETY liitteiden säännökset ovat ajan tasalla, komissiolle olisi siirrettävä valta hyväksyä Euroopan unionin toiminnasta tehdyn sopimuksen 290 artiklan mukaisesti säädöksiä, jotta kyseiset säännökset voidaan mukauttaa tekniikan ja tieteen kehitykseen. Sen varmistamiseksi, että direktiivin 2009/31/ETY liitteet ovat ajan tasalla, komissiolle olisi siirrettävä valta hyväksyä Euroopan unionin toiminnasta tehdyn sopimuksen 290 artiklan mukaisesti säädöksiä, jotta kyseiset liitteet voidaan mukauttaa tekniikan ja tieteen kehitykseen. On erityisen tärkeää, että komissio asiaa valmistellessaan toteuttaa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t>(14)</w:t>
      </w:r>
      <w:r>
        <w:tab/>
      </w:r>
      <w:r>
        <w:rPr>
          <w:noProof/>
        </w:rPr>
        <w:t xml:space="preserve">Asetus (EU) N:o 1257/2013 sisältää viittauksia direktiiviin 91/692/ETY. Ensimmäinen säännös liittyy ensimmäiseen raportointimenettelyyn, joka on jo päättynyt. Kyseinen säännös olisi sen vuoksi poistettava. </w:t>
      </w:r>
    </w:p>
    <w:p>
      <w:pPr>
        <w:pStyle w:val="ManualConsidrant"/>
        <w:rPr>
          <w:noProof/>
        </w:rPr>
      </w:pPr>
      <w:r>
        <w:t>(15)</w:t>
      </w:r>
      <w:r>
        <w:tab/>
      </w:r>
      <w:r>
        <w:rPr>
          <w:noProof/>
        </w:rPr>
        <w:t xml:space="preserve">Direktiivissä 94/63/EY asetettua raportointivaatimusta ei enää tarvita direktiivin 94/63/EY seurantaa varten. Kyseinen säännös olisi sen vuoksi poistettava. </w:t>
      </w:r>
    </w:p>
    <w:p>
      <w:pPr>
        <w:pStyle w:val="ManualConsidrant"/>
        <w:rPr>
          <w:noProof/>
        </w:rPr>
      </w:pPr>
      <w:r>
        <w:t>(16)</w:t>
      </w:r>
      <w:r>
        <w:tab/>
      </w:r>
      <w:r>
        <w:rPr>
          <w:noProof/>
        </w:rPr>
        <w:t>Direktiivejä 87/217/ETY, 2003/87/EY ja 2009/31/EY, asetusta (EU) N:o 1257/2013 ja direktiivejä 86/278/ETY ja 94/63/EY olisi muutettava,</w:t>
      </w:r>
    </w:p>
    <w:p>
      <w:pPr>
        <w:pStyle w:val="Formuledadoption"/>
        <w:rPr>
          <w:noProof/>
        </w:rPr>
      </w:pPr>
      <w:r>
        <w:rPr>
          <w:noProof/>
        </w:rPr>
        <w:t>OVAT HYVÄKSYNEET TÄMÄN PÄÄTÖKSEN:</w:t>
      </w:r>
    </w:p>
    <w:p>
      <w:pPr>
        <w:pStyle w:val="Titrearticle"/>
        <w:rPr>
          <w:rFonts w:eastAsia="Times New Roman"/>
          <w:b/>
          <w:i w:val="0"/>
          <w:noProof/>
          <w:szCs w:val="24"/>
        </w:rPr>
      </w:pPr>
      <w:r>
        <w:rPr>
          <w:noProof/>
        </w:rPr>
        <w:t>1 artikla</w:t>
      </w:r>
      <w:r>
        <w:rPr>
          <w:noProof/>
        </w:rPr>
        <w:br/>
        <w:t>Direktiivin 2003/87/EY muuttaminen</w:t>
      </w:r>
    </w:p>
    <w:p>
      <w:pPr>
        <w:spacing w:before="100" w:beforeAutospacing="1" w:after="100" w:afterAutospacing="1"/>
        <w:rPr>
          <w:rFonts w:eastAsia="Times New Roman"/>
          <w:noProof/>
          <w:szCs w:val="24"/>
        </w:rPr>
      </w:pPr>
      <w:r>
        <w:rPr>
          <w:noProof/>
        </w:rPr>
        <w:t>Korvataan direktiivin 2003/87/EY 21 artiklan 1 kohta seuraavasti:</w:t>
      </w:r>
    </w:p>
    <w:p>
      <w:pPr>
        <w:pStyle w:val="Text1"/>
        <w:rPr>
          <w:noProof/>
        </w:rPr>
      </w:pPr>
      <w:r>
        <w:rPr>
          <w:noProof/>
        </w:rPr>
        <w:t>”Kertomuksen pohjana on käytettävä kyselylomaketta tai mallia, jonka komissio hyväksyy täytäntöönpanosäädösten muodossa. Nämä täytäntöönpanosäädökset hyväksytään 22 a artiklan 2 kohdassa tarkoitettua tarkastelumenettelyä noudattaen.”</w:t>
      </w:r>
    </w:p>
    <w:p>
      <w:pPr>
        <w:pStyle w:val="Titrearticle"/>
        <w:rPr>
          <w:rFonts w:eastAsia="Times New Roman"/>
          <w:b/>
          <w:i w:val="0"/>
          <w:noProof/>
          <w:szCs w:val="24"/>
        </w:rPr>
      </w:pPr>
      <w:r>
        <w:rPr>
          <w:noProof/>
        </w:rPr>
        <w:t xml:space="preserve">2 artikla </w:t>
      </w:r>
      <w:r>
        <w:rPr>
          <w:noProof/>
        </w:rPr>
        <w:br/>
        <w:t>Direktiivin 2009/31/EY muuttaminen</w:t>
      </w:r>
    </w:p>
    <w:p>
      <w:pPr>
        <w:rPr>
          <w:rFonts w:eastAsia="Times New Roman"/>
          <w:b/>
          <w:i/>
          <w:noProof/>
          <w:szCs w:val="24"/>
        </w:rPr>
      </w:pPr>
      <w:r>
        <w:rPr>
          <w:noProof/>
        </w:rPr>
        <w:t>Muutetaan direktiivi 2009/31/EY seuraavasti:</w:t>
      </w:r>
    </w:p>
    <w:p>
      <w:pPr>
        <w:pStyle w:val="Point0"/>
        <w:rPr>
          <w:noProof/>
        </w:rPr>
      </w:pPr>
      <w:r>
        <w:rPr>
          <w:noProof/>
        </w:rPr>
        <w:t>1)</w:t>
      </w:r>
      <w:r>
        <w:rPr>
          <w:noProof/>
        </w:rPr>
        <w:tab/>
        <w:t>Korvataan 27 artiklan 1 kohdan kolmas virke seuraavasti:</w:t>
      </w:r>
    </w:p>
    <w:p>
      <w:pPr>
        <w:pStyle w:val="Text1"/>
        <w:rPr>
          <w:noProof/>
        </w:rPr>
      </w:pPr>
      <w:r>
        <w:rPr>
          <w:noProof/>
        </w:rPr>
        <w:t>”Kertomuksen pohjana on käytettävä kyselylomaketta tai mallia, jonka komissio hyväksyy täytäntöönpanosäädöksen muodossa. Nämä täytäntöönpanosäädökset hyväksytään 30 artiklan 2 kohdassa tarkoitettua tarkastelumenettelyä noudattaen."</w:t>
      </w:r>
    </w:p>
    <w:p>
      <w:pPr>
        <w:pStyle w:val="Point0"/>
        <w:rPr>
          <w:noProof/>
        </w:rPr>
      </w:pPr>
      <w:r>
        <w:rPr>
          <w:noProof/>
        </w:rPr>
        <w:t>2)</w:t>
      </w:r>
      <w:r>
        <w:rPr>
          <w:noProof/>
        </w:rPr>
        <w:tab/>
        <w:t>Korvataan 29 artikla seuraavasti:</w:t>
      </w:r>
    </w:p>
    <w:p>
      <w:pPr>
        <w:jc w:val="center"/>
        <w:rPr>
          <w:b/>
          <w:iCs/>
          <w:noProof/>
        </w:rPr>
      </w:pPr>
      <w:r>
        <w:rPr>
          <w:i/>
          <w:noProof/>
        </w:rPr>
        <w:t>”29 artikla</w:t>
      </w:r>
      <w:r>
        <w:rPr>
          <w:i/>
          <w:iCs/>
          <w:noProof/>
        </w:rPr>
        <w:br/>
      </w:r>
      <w:r>
        <w:rPr>
          <w:i/>
          <w:noProof/>
        </w:rPr>
        <w:t>Liitteiden muuttaminen</w:t>
      </w:r>
    </w:p>
    <w:p>
      <w:pPr>
        <w:pStyle w:val="Text1"/>
        <w:rPr>
          <w:noProof/>
        </w:rPr>
      </w:pPr>
      <w:r>
        <w:rPr>
          <w:noProof/>
        </w:rPr>
        <w:t>Siirretään komissiolle valta antaa delegoituja säädöksiä 29 a artiklan mukaisesti liitteiden III ja IV mukauttamiseksi tieteen ja tekniikan kehitykseen.";</w:t>
      </w:r>
    </w:p>
    <w:p>
      <w:pPr>
        <w:pStyle w:val="Point0"/>
        <w:rPr>
          <w:noProof/>
        </w:rPr>
      </w:pPr>
      <w:r>
        <w:rPr>
          <w:noProof/>
        </w:rPr>
        <w:t>3) Lisätään 29 a artikla seuraavasti:</w:t>
      </w:r>
    </w:p>
    <w:p>
      <w:pPr>
        <w:rPr>
          <w:i/>
          <w:iCs/>
          <w:noProof/>
        </w:rPr>
      </w:pPr>
      <w:r>
        <w:rPr>
          <w:noProof/>
        </w:rPr>
        <w:br w:type="page"/>
      </w:r>
    </w:p>
    <w:p>
      <w:pPr>
        <w:jc w:val="center"/>
        <w:rPr>
          <w:i/>
          <w:iCs/>
          <w:noProof/>
        </w:rPr>
      </w:pPr>
      <w:r>
        <w:rPr>
          <w:i/>
          <w:noProof/>
        </w:rPr>
        <w:t>”29 a artikla</w:t>
      </w:r>
      <w:r>
        <w:rPr>
          <w:i/>
          <w:iCs/>
          <w:noProof/>
        </w:rPr>
        <w:br/>
      </w:r>
      <w:r>
        <w:rPr>
          <w:i/>
          <w:noProof/>
        </w:rPr>
        <w:t>Siirretyn säädösvallan käyttäminen</w:t>
      </w:r>
    </w:p>
    <w:p>
      <w:pPr>
        <w:pStyle w:val="Text1"/>
        <w:rPr>
          <w:noProof/>
        </w:rPr>
      </w:pPr>
      <w:r>
        <w:rPr>
          <w:noProof/>
        </w:rPr>
        <w:t>1.</w:t>
      </w:r>
      <w:r>
        <w:rPr>
          <w:noProof/>
        </w:rPr>
        <w:tab/>
        <w:t>Komissiolle siirrettyä valtaa antaa delegoituja säädöksiä koskevat tässä artiklassa säädetyt edellytykset.</w:t>
      </w:r>
    </w:p>
    <w:p>
      <w:pPr>
        <w:pStyle w:val="Text1"/>
        <w:rPr>
          <w:noProof/>
        </w:rPr>
      </w:pPr>
      <w:r>
        <w:rPr>
          <w:noProof/>
        </w:rPr>
        <w:t>2.</w:t>
      </w:r>
      <w:r>
        <w:rPr>
          <w:noProof/>
        </w:rPr>
        <w:tab/>
        <w:t>Siirretään komissiolle [tämän päätöksen voimaantulopäivästä] määräämättömäksi ajaksi 29 artiklassa tarkoitettu valta antaa delegoituja säädöksiä.</w:t>
      </w:r>
    </w:p>
    <w:p>
      <w:pPr>
        <w:pStyle w:val="Text1"/>
        <w:rPr>
          <w:noProof/>
        </w:rPr>
      </w:pPr>
      <w:r>
        <w:rPr>
          <w:noProof/>
        </w:rPr>
        <w:t>3.</w:t>
      </w:r>
      <w:r>
        <w:rPr>
          <w:noProof/>
        </w:rPr>
        <w:tab/>
        <w:t xml:space="preserve">Euroopan parlamentti tai neuvosto voi milloin tahansa peruuttaa 29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xml:space="preserve">, tai jonakin myöhempänä, kyseisessä päätöksessä mainittuna päivänä. Peruuttamispäätös ei vaikuta jo voimassa olevien delegoitujen säädösten pätevyyteen. </w:t>
      </w:r>
    </w:p>
    <w:p>
      <w:pPr>
        <w:pStyle w:val="Text1"/>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sopimuksessa vahvistettujen periaatteiden mukaisesti.</w:t>
      </w:r>
    </w:p>
    <w:p>
      <w:pPr>
        <w:pStyle w:val="Text1"/>
        <w:rPr>
          <w:noProof/>
        </w:rPr>
      </w:pPr>
      <w:r>
        <w:rPr>
          <w:noProof/>
        </w:rPr>
        <w:t>5.</w:t>
      </w:r>
      <w:r>
        <w:rPr>
          <w:noProof/>
        </w:rPr>
        <w:tab/>
        <w:t xml:space="preserve">Heti kun komissio on antanut delegoidun säädöksen, komissio antaa sen tiedoksi yhtäaikaisesti Euroopan parlamentille ja neuvostolle. </w:t>
      </w:r>
    </w:p>
    <w:p>
      <w:pPr>
        <w:pStyle w:val="Text1"/>
        <w:rPr>
          <w:noProof/>
        </w:rPr>
      </w:pPr>
      <w:r>
        <w:rPr>
          <w:noProof/>
        </w:rPr>
        <w:t>6.</w:t>
      </w:r>
      <w:r>
        <w:rPr>
          <w:noProof/>
        </w:rPr>
        <w:tab/>
        <w:t>Edellä olevan 29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Point0"/>
        <w:rPr>
          <w:noProof/>
        </w:rPr>
      </w:pPr>
      <w:r>
        <w:rPr>
          <w:noProof/>
        </w:rPr>
        <w:t>4)</w:t>
      </w:r>
      <w:r>
        <w:rPr>
          <w:noProof/>
        </w:rPr>
        <w:tab/>
        <w:t xml:space="preserve">Korvataan 30 artikla seuraavasti: </w:t>
      </w:r>
    </w:p>
    <w:p>
      <w:pPr>
        <w:jc w:val="center"/>
        <w:rPr>
          <w:i/>
          <w:iCs/>
          <w:noProof/>
        </w:rPr>
      </w:pPr>
      <w:r>
        <w:rPr>
          <w:i/>
          <w:noProof/>
        </w:rPr>
        <w:t>”30 artikla</w:t>
      </w:r>
      <w:r>
        <w:rPr>
          <w:i/>
          <w:iCs/>
          <w:noProof/>
        </w:rPr>
        <w:br/>
      </w:r>
      <w:r>
        <w:rPr>
          <w:i/>
          <w:noProof/>
        </w:rPr>
        <w:t>Komiteamenettely</w:t>
      </w:r>
    </w:p>
    <w:p>
      <w:pPr>
        <w:pStyle w:val="Text1"/>
        <w:rPr>
          <w:noProof/>
        </w:rPr>
      </w:pPr>
      <w:r>
        <w:rPr>
          <w:noProof/>
        </w:rPr>
        <w:t>1.</w:t>
      </w:r>
      <w:r>
        <w:rPr>
          <w:noProof/>
        </w:rPr>
        <w:tab/>
        <w:t xml:space="preserve">Komissiota avustaa Euroopan parlamentin ja neuvoston asetuksen (EU) N:o 525/2013 26 artiklalla perustettu ilmastonmuutoskomitea*. Tämä komitea on Euroopan parlamentin ja neuvoston asetuksessa (EU) N:o 182/2011 tarkoitettu komitea*. </w:t>
      </w:r>
    </w:p>
    <w:p>
      <w:pPr>
        <w:pStyle w:val="Text1"/>
        <w:rPr>
          <w:noProof/>
        </w:rPr>
      </w:pPr>
      <w:r>
        <w:rPr>
          <w:noProof/>
        </w:rPr>
        <w:t>2.</w:t>
      </w:r>
      <w:r>
        <w:rPr>
          <w:noProof/>
        </w:rPr>
        <w:tab/>
        <w:t>Kun viitataan tähän kohtaan, sovelletaan asetuksen (EU) N:o 182/2011 5 artiklaa.</w:t>
      </w:r>
    </w:p>
    <w:p>
      <w:pPr>
        <w:rPr>
          <w:noProof/>
        </w:rPr>
      </w:pPr>
      <w:r>
        <w:rPr>
          <w:noProof/>
        </w:rPr>
        <w:t>______________________________________</w:t>
      </w:r>
    </w:p>
    <w:p>
      <w:pPr>
        <w:rPr>
          <w:noProof/>
        </w:rPr>
      </w:pPr>
      <w:r>
        <w:rPr>
          <w:noProof/>
        </w:rPr>
        <w:t>*</w:t>
      </w:r>
      <w:r>
        <w:rPr>
          <w:noProof/>
        </w:rPr>
        <w:tab/>
        <w:t>Euroopan parlamentin ja neuvoston asetus (EU) N:o 525/2013, annettu 21 päivänä toukokuuta 2013, järjestelmästä kasvihuonekaasupäästöjen seuraamiseksi ja niistä raportoimiseksi sekä muista ilmastonmuutosta koskevista tiedoista raportoimiseksi kansallisella ja unionin tasolla sekä päätöksen N:o 280/2004/EY kumoamisesta (EUVL L 165, 18.6.2013, s. 13).</w:t>
      </w:r>
    </w:p>
    <w:p>
      <w:pPr>
        <w:rPr>
          <w:noProof/>
        </w:rPr>
      </w:pPr>
      <w:r>
        <w:rPr>
          <w:noProof/>
        </w:rPr>
        <w:t>**</w:t>
      </w:r>
      <w:r>
        <w:rPr>
          <w:noProof/>
        </w:rPr>
        <w:tab/>
        <w:t>Euroopan parlamentin ja neuvoston asetus (EU) N:o 182/2011, annettu 16 päivänä helmikuuta 2011, yleisistä säännöistä ja periaatteista, joiden mukaisesti jäsenvaltiot valvovat komission täytäntöönpanovallan käyttöä (EUVL L 55, 28.2.2011, s. 13).”.</w:t>
      </w:r>
    </w:p>
    <w:p>
      <w:pPr>
        <w:pStyle w:val="Titrearticle"/>
        <w:rPr>
          <w:noProof/>
        </w:rPr>
      </w:pPr>
      <w:r>
        <w:rPr>
          <w:noProof/>
        </w:rPr>
        <w:t xml:space="preserve">3 artikla </w:t>
      </w:r>
      <w:r>
        <w:rPr>
          <w:noProof/>
        </w:rPr>
        <w:br/>
        <w:t>Direktiivin 86/278/ETY muuttaminen</w:t>
      </w:r>
    </w:p>
    <w:p>
      <w:pPr>
        <w:rPr>
          <w:rFonts w:eastAsia="Times New Roman"/>
          <w:noProof/>
          <w:szCs w:val="24"/>
        </w:rPr>
      </w:pPr>
      <w:r>
        <w:rPr>
          <w:noProof/>
        </w:rPr>
        <w:t>Muutetaan direktiivi 86/278/ETY seuraavasti:</w:t>
      </w:r>
    </w:p>
    <w:p>
      <w:pPr>
        <w:pStyle w:val="Point0"/>
        <w:rPr>
          <w:noProof/>
        </w:rPr>
      </w:pPr>
      <w:r>
        <w:rPr>
          <w:noProof/>
        </w:rPr>
        <w:t>1) Korvataan 13 artikla seuraavasti:</w:t>
      </w:r>
    </w:p>
    <w:p>
      <w:pPr>
        <w:jc w:val="center"/>
        <w:rPr>
          <w:i/>
          <w:noProof/>
          <w:szCs w:val="24"/>
        </w:rPr>
      </w:pPr>
      <w:r>
        <w:rPr>
          <w:i/>
          <w:noProof/>
        </w:rPr>
        <w:t>”13 artikla</w:t>
      </w:r>
    </w:p>
    <w:p>
      <w:pPr>
        <w:pStyle w:val="Text1"/>
        <w:rPr>
          <w:noProof/>
        </w:rPr>
      </w:pPr>
      <w:r>
        <w:rPr>
          <w:noProof/>
        </w:rPr>
        <w:t>Siirretään komissiolle valta antaa 15 a artiklan mukaisesti delegoituja säädöksiä liitteiden mukauttamiseksi tieteelliseen ja tekniseen kehitykseen.</w:t>
      </w:r>
    </w:p>
    <w:p>
      <w:pPr>
        <w:pStyle w:val="Text1"/>
        <w:rPr>
          <w:noProof/>
        </w:rPr>
      </w:pPr>
      <w:r>
        <w:rPr>
          <w:noProof/>
        </w:rPr>
        <w:t>Tämän artiklan ensimmäistä kohtaa ei sovelleta liitteissä I A, I B ja I C lueteltuihin muuttujiin ja lukuarvoihin eikä sellaisiin tekijöihin, jotka voivat vaikuttaa lukuarvojen arviointiin eikä liitteissä II A ja II B tarkoitettuihin analyysimuuttujiin.”;</w:t>
      </w:r>
    </w:p>
    <w:p>
      <w:pPr>
        <w:pStyle w:val="Point0"/>
        <w:rPr>
          <w:noProof/>
        </w:rPr>
      </w:pPr>
      <w:r>
        <w:rPr>
          <w:noProof/>
        </w:rPr>
        <w:t>2) Poistetaan 14 artikla;</w:t>
      </w:r>
    </w:p>
    <w:p>
      <w:pPr>
        <w:pStyle w:val="Point0"/>
        <w:rPr>
          <w:noProof/>
        </w:rPr>
      </w:pPr>
      <w:r>
        <w:rPr>
          <w:noProof/>
        </w:rPr>
        <w:t>3) Korvataan 15 artikla seuraavasti:</w:t>
      </w:r>
    </w:p>
    <w:p>
      <w:pPr>
        <w:jc w:val="center"/>
        <w:rPr>
          <w:i/>
          <w:noProof/>
          <w:szCs w:val="24"/>
        </w:rPr>
      </w:pPr>
      <w:r>
        <w:rPr>
          <w:noProof/>
        </w:rPr>
        <w:t>”</w:t>
      </w:r>
      <w:r>
        <w:rPr>
          <w:i/>
          <w:noProof/>
        </w:rPr>
        <w:t>15 artikla</w:t>
      </w:r>
    </w:p>
    <w:p>
      <w:pPr>
        <w:pStyle w:val="Text1"/>
        <w:rPr>
          <w:noProof/>
        </w:rPr>
      </w:pPr>
      <w:r>
        <w:rPr>
          <w:noProof/>
        </w:rPr>
        <w:t>1.</w:t>
      </w:r>
      <w:r>
        <w:rPr>
          <w:noProof/>
        </w:rPr>
        <w:tab/>
        <w:t>Komissiota avustaa Euroopan parlamentin ja neuvoston direktiivin 2008/98/EY 39 artiklalla perustettu komitea*. Tämä komitea on Euroopan parlamentin ja neuvoston asetuksessa (EU) N:o 182/2011 tarkoitettu komitea**.</w:t>
      </w:r>
    </w:p>
    <w:p>
      <w:pPr>
        <w:pStyle w:val="Text1"/>
        <w:rPr>
          <w:noProof/>
        </w:rPr>
      </w:pPr>
      <w:r>
        <w:rPr>
          <w:noProof/>
        </w:rPr>
        <w:t>2.</w:t>
      </w:r>
      <w:r>
        <w:rPr>
          <w:noProof/>
        </w:rPr>
        <w:tab/>
        <w:t>Kun viitataan tähän kohtaan, sovelletaan asetuksen (EU) N:o 182/2011 5 artiklaa.</w:t>
      </w:r>
    </w:p>
    <w:p>
      <w:pPr>
        <w:rPr>
          <w:noProof/>
        </w:rPr>
      </w:pPr>
      <w:r>
        <w:rPr>
          <w:noProof/>
        </w:rPr>
        <w:t>_______________________________________________</w:t>
      </w:r>
    </w:p>
    <w:p>
      <w:pPr>
        <w:rPr>
          <w:noProof/>
        </w:rPr>
      </w:pPr>
      <w:r>
        <w:rPr>
          <w:noProof/>
        </w:rPr>
        <w:t>*</w:t>
      </w:r>
      <w:r>
        <w:rPr>
          <w:noProof/>
        </w:rPr>
        <w:tab/>
        <w:t>Euroopan parlamentin ja neuvoston direktiivi 2008/98/EY, annettu 19 päivänä marraskuuta 2008, jätteistä ja tiettyjen direktiivien kumoamisesta (EUVL L 312, 22.11.2008, s. 3).</w:t>
      </w:r>
    </w:p>
    <w:p>
      <w:pPr>
        <w:rPr>
          <w:noProof/>
        </w:rPr>
      </w:pPr>
      <w:r>
        <w:rPr>
          <w:noProof/>
        </w:rPr>
        <w:t>**</w:t>
      </w:r>
      <w:r>
        <w:rPr>
          <w:noProof/>
        </w:rPr>
        <w:tab/>
        <w:t xml:space="preserve">Euroopan parlamentin ja neuvoston asetus (EU) N:o 182/2011, annettu 16 päivänä helmikuuta 2011, yleisistä säännöistä ja periaatteista, joiden mukaisesti jäsenvaltiot valvovat komission täytäntöönpanovallan käyttöä (EUVL L 55, 28.2.2011, s. 13)."; </w:t>
      </w:r>
    </w:p>
    <w:p>
      <w:pPr>
        <w:pStyle w:val="Point0"/>
        <w:rPr>
          <w:noProof/>
        </w:rPr>
      </w:pPr>
      <w:r>
        <w:rPr>
          <w:noProof/>
        </w:rPr>
        <w:t xml:space="preserve">4) Lisätään 15 a artikla seuraavasti: </w:t>
      </w:r>
    </w:p>
    <w:p>
      <w:pPr>
        <w:spacing w:before="0" w:after="200" w:line="276" w:lineRule="auto"/>
        <w:jc w:val="center"/>
        <w:rPr>
          <w:noProof/>
          <w:szCs w:val="24"/>
        </w:rPr>
      </w:pPr>
      <w:r>
        <w:rPr>
          <w:i/>
          <w:noProof/>
        </w:rPr>
        <w:t>”15 a artikla</w:t>
      </w:r>
    </w:p>
    <w:p>
      <w:pPr>
        <w:pStyle w:val="Text1"/>
        <w:rPr>
          <w:noProof/>
        </w:rPr>
      </w:pPr>
      <w:r>
        <w:rPr>
          <w:noProof/>
        </w:rPr>
        <w:t>1. Komissiolle siirrettyä valtaa antaa delegoituja säädöksiä koskevat tässä artiklassa säädetyt edellytykset.</w:t>
      </w:r>
    </w:p>
    <w:p>
      <w:pPr>
        <w:pStyle w:val="Text1"/>
        <w:rPr>
          <w:noProof/>
        </w:rPr>
      </w:pPr>
      <w:r>
        <w:rPr>
          <w:noProof/>
        </w:rPr>
        <w:t xml:space="preserve">2. Siirretään komissiolle tämän direktiivin voimaantulopäivästä määräämättömäksi ajaksi 13 artiklassa tarkoitettu valta antaa delegoituja säädöksiä. </w:t>
      </w:r>
    </w:p>
    <w:p>
      <w:pPr>
        <w:pStyle w:val="Text1"/>
        <w:rPr>
          <w:noProof/>
        </w:rPr>
      </w:pPr>
      <w:r>
        <w:rPr>
          <w:noProof/>
        </w:rPr>
        <w:t xml:space="preserve">3. Euroopan parlamentti tai neuvosto voi milloin tahansa peruuttaa 13 artiklassa tarkoitetun säädösvallan siirron. Peruuttamispäätöksellä lopetetaan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Text1"/>
        <w:rPr>
          <w:noProof/>
        </w:rPr>
      </w:pPr>
      <w:r>
        <w:rPr>
          <w:noProof/>
        </w:rPr>
        <w:t>4. Ennen kuin komissio hyväksyy delegoidun säädöksen, se kuulee kunkin jäsenvaltion nimeämiä asiantuntijoita paremmasta lainsäädännöstä 13 päivänä huhtikuuta 2016 tehdyssä toimielinten sopimuksessa vahvistettujen periaatteiden mukaisesti.</w:t>
      </w:r>
    </w:p>
    <w:p>
      <w:pPr>
        <w:pStyle w:val="Text1"/>
        <w:rPr>
          <w:noProof/>
        </w:rPr>
      </w:pPr>
      <w:r>
        <w:rPr>
          <w:noProof/>
        </w:rPr>
        <w:t>5. Heti kun komissio on antanut delegoidun säädöksen, komissio antaa sen tiedoksi yhtäaikaisesti Euroopan parlamentille ja neuvostolle.</w:t>
      </w:r>
    </w:p>
    <w:p>
      <w:pPr>
        <w:pStyle w:val="Text1"/>
        <w:rPr>
          <w:noProof/>
        </w:rPr>
      </w:pPr>
      <w:r>
        <w:rPr>
          <w:noProof/>
        </w:rPr>
        <w:t>6. Edellä olevan 13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Point0"/>
        <w:rPr>
          <w:noProof/>
        </w:rPr>
      </w:pPr>
      <w:r>
        <w:rPr>
          <w:noProof/>
        </w:rPr>
        <w:t xml:space="preserve">5) Korvataan 17 artiklan ensimmäisen kohdan toinen virke seuraavasti: </w:t>
      </w:r>
    </w:p>
    <w:p>
      <w:pPr>
        <w:pStyle w:val="Text1"/>
        <w:rPr>
          <w:rFonts w:eastAsia="Times New Roman"/>
          <w:noProof/>
          <w:szCs w:val="24"/>
        </w:rPr>
      </w:pPr>
      <w:r>
        <w:rPr>
          <w:noProof/>
        </w:rPr>
        <w:t>”Sektorikohtaisen kertomuksen pohjana on käytettävä kyselylomaketta tai mallia, jonka komissio hyväksyy täytäntöönpanosäädöksen muodossa. Kyseinen täytäntöönpanosäädös hyväksytään 15 artiklan 2 kohdassa tarkoitettua tarkastelumenettelyä noudattaen.”</w:t>
      </w:r>
    </w:p>
    <w:p>
      <w:pPr>
        <w:pStyle w:val="Titrearticle"/>
        <w:rPr>
          <w:noProof/>
        </w:rPr>
      </w:pPr>
      <w:r>
        <w:rPr>
          <w:noProof/>
        </w:rPr>
        <w:t xml:space="preserve">4 artikla </w:t>
      </w:r>
      <w:r>
        <w:rPr>
          <w:noProof/>
        </w:rPr>
        <w:br/>
        <w:t>Direktiivin 87/217/ETY muuttaminen</w:t>
      </w:r>
    </w:p>
    <w:p>
      <w:pPr>
        <w:autoSpaceDE w:val="0"/>
        <w:autoSpaceDN w:val="0"/>
        <w:adjustRightInd w:val="0"/>
        <w:spacing w:before="0" w:after="0"/>
        <w:jc w:val="left"/>
        <w:rPr>
          <w:rFonts w:eastAsia="Times New Roman"/>
          <w:i/>
          <w:noProof/>
          <w:szCs w:val="24"/>
        </w:rPr>
      </w:pPr>
      <w:r>
        <w:rPr>
          <w:noProof/>
        </w:rPr>
        <w:t>Poistetaan direktiivin 87/217/ETY 13 artiklan 1 kohta.</w:t>
      </w:r>
    </w:p>
    <w:p>
      <w:pPr>
        <w:pStyle w:val="Titrearticle"/>
        <w:rPr>
          <w:noProof/>
        </w:rPr>
      </w:pPr>
      <w:r>
        <w:rPr>
          <w:noProof/>
        </w:rPr>
        <w:t xml:space="preserve">5 artikla </w:t>
      </w:r>
      <w:r>
        <w:rPr>
          <w:noProof/>
        </w:rPr>
        <w:br/>
        <w:t>Asetuksen (EU) N:o 1257/2013 muuttaminen</w:t>
      </w:r>
    </w:p>
    <w:p>
      <w:pPr>
        <w:rPr>
          <w:noProof/>
          <w:szCs w:val="24"/>
        </w:rPr>
      </w:pPr>
      <w:r>
        <w:rPr>
          <w:noProof/>
        </w:rPr>
        <w:t xml:space="preserve">Korvataan asetuksen (EU) N:o 1257/2013 21 artiklan 2 kohta seuraavasti: </w:t>
      </w:r>
    </w:p>
    <w:p>
      <w:pPr>
        <w:pStyle w:val="Text1"/>
        <w:rPr>
          <w:noProof/>
        </w:rPr>
      </w:pPr>
      <w:r>
        <w:rPr>
          <w:noProof/>
        </w:rPr>
        <w:t xml:space="preserve">"2. Kunkin raportin on katettava kolme vuotta ja se on toimitettava komissiolle sähköisesti viimeistään yhdeksän kuukauden kuluttua sen kattaman kolmen vuoden jakson päättymisestä. </w:t>
      </w:r>
    </w:p>
    <w:p>
      <w:pPr>
        <w:pStyle w:val="Text1"/>
        <w:rPr>
          <w:noProof/>
        </w:rPr>
      </w:pPr>
      <w:r>
        <w:rPr>
          <w:noProof/>
        </w:rPr>
        <w:t xml:space="preserve">Ensimmäisen sähköisen raportin on katettava jakso eurooppalaisen luettelon julkaisemisessta 31 päivään joulukuuta 2018.”. </w:t>
      </w:r>
    </w:p>
    <w:p>
      <w:pPr>
        <w:pStyle w:val="Titrearticle"/>
        <w:rPr>
          <w:noProof/>
        </w:rPr>
      </w:pPr>
      <w:r>
        <w:rPr>
          <w:noProof/>
        </w:rPr>
        <w:t xml:space="preserve">6 artikla </w:t>
      </w:r>
      <w:r>
        <w:rPr>
          <w:noProof/>
        </w:rPr>
        <w:br/>
        <w:t>Direktiivin 94/63/EY muuttaminen</w:t>
      </w:r>
    </w:p>
    <w:p>
      <w:pPr>
        <w:rPr>
          <w:noProof/>
          <w:szCs w:val="24"/>
        </w:rPr>
      </w:pPr>
      <w:r>
        <w:rPr>
          <w:noProof/>
        </w:rPr>
        <w:t>Muutetaan direktiivi 94/63/EY seuraavasti:</w:t>
      </w:r>
    </w:p>
    <w:p>
      <w:pPr>
        <w:pStyle w:val="Point0"/>
        <w:rPr>
          <w:noProof/>
        </w:rPr>
      </w:pPr>
      <w:r>
        <w:rPr>
          <w:noProof/>
        </w:rPr>
        <w:t>1) Korvataan 4 artiklan 4 kohdan toinen alakohta seuraavasti:</w:t>
      </w:r>
    </w:p>
    <w:p>
      <w:pPr>
        <w:pStyle w:val="Text1"/>
        <w:rPr>
          <w:noProof/>
        </w:rPr>
      </w:pPr>
      <w:r>
        <w:rPr>
          <w:noProof/>
        </w:rPr>
        <w:t>”Jäsenvaltioiden on ilmoitettava komissiolle niistä varastoalueista, joille tällainen poikkeus on myönnetty.”;</w:t>
      </w:r>
    </w:p>
    <w:p>
      <w:pPr>
        <w:pStyle w:val="Point0"/>
        <w:rPr>
          <w:noProof/>
        </w:rPr>
      </w:pPr>
      <w:r>
        <w:rPr>
          <w:noProof/>
        </w:rPr>
        <w:t>2) Korvataan 6 artiklan 4 kohdan toinen alakohta seuraavasti:</w:t>
      </w:r>
    </w:p>
    <w:p>
      <w:pPr>
        <w:pStyle w:val="Text1"/>
        <w:rPr>
          <w:noProof/>
        </w:rPr>
      </w:pPr>
      <w:r>
        <w:rPr>
          <w:noProof/>
        </w:rPr>
        <w:t xml:space="preserve">”Jäsenvaltioiden on toimitettava komissiolle yksityiskohtaiset tiedot niistä alueista, joille ne aikovat myöntää edellä tarkoitetun poikkeuksen, ja tämän jälkeen kaikista näiden alueiden luetteloon tehdyistä muutoksista.”; </w:t>
      </w:r>
    </w:p>
    <w:p>
      <w:pPr>
        <w:pStyle w:val="Point0"/>
        <w:rPr>
          <w:noProof/>
        </w:rPr>
      </w:pPr>
      <w:r>
        <w:rPr>
          <w:noProof/>
        </w:rPr>
        <w:t xml:space="preserve">3) Poistetaan 9 artiklan ensimmäinen virke. </w:t>
      </w:r>
    </w:p>
    <w:p>
      <w:pPr>
        <w:pStyle w:val="Titrearticle"/>
        <w:rPr>
          <w:noProof/>
        </w:rPr>
      </w:pPr>
      <w:r>
        <w:rPr>
          <w:noProof/>
        </w:rPr>
        <w:t xml:space="preserve">7 artikla </w:t>
      </w:r>
      <w:r>
        <w:rPr>
          <w:noProof/>
        </w:rPr>
        <w:br/>
        <w:t>Direktiivin 91/692/ETY kumoaminen</w:t>
      </w:r>
    </w:p>
    <w:p>
      <w:pPr>
        <w:spacing w:before="0" w:after="200" w:line="276" w:lineRule="auto"/>
        <w:jc w:val="left"/>
        <w:rPr>
          <w:rFonts w:eastAsia="Times New Roman"/>
          <w:noProof/>
          <w:szCs w:val="24"/>
        </w:rPr>
      </w:pPr>
      <w:r>
        <w:rPr>
          <w:noProof/>
        </w:rPr>
        <w:t>Kumotaan direktiivi 91/692/ETY.</w:t>
      </w:r>
    </w:p>
    <w:p>
      <w:pPr>
        <w:pStyle w:val="Titrearticle"/>
        <w:rPr>
          <w:noProof/>
        </w:rPr>
      </w:pPr>
      <w:r>
        <w:rPr>
          <w:noProof/>
        </w:rPr>
        <w:t xml:space="preserve">8 artikla </w:t>
      </w:r>
      <w:r>
        <w:rPr>
          <w:noProof/>
        </w:rPr>
        <w:br/>
        <w:t>Voimaantulo ja soveltaminen</w:t>
      </w:r>
    </w:p>
    <w:p>
      <w:pPr>
        <w:spacing w:before="0" w:after="200" w:line="276" w:lineRule="auto"/>
        <w:jc w:val="left"/>
        <w:rPr>
          <w:rFonts w:eastAsia="Times New Roman"/>
          <w:noProof/>
          <w:szCs w:val="24"/>
        </w:rPr>
      </w:pPr>
      <w:r>
        <w:rPr>
          <w:noProof/>
        </w:rPr>
        <w:t xml:space="preserve">Tämä päätös tulee voimaan kahdentenakymmenentenä päivänä sen jälkeen, kun se on julkaistu </w:t>
      </w:r>
      <w:r>
        <w:rPr>
          <w:i/>
          <w:noProof/>
        </w:rPr>
        <w:t>Euroopan unionin virallisessa lehdessä</w:t>
      </w:r>
      <w:r>
        <w:rPr>
          <w:noProof/>
        </w:rPr>
        <w:t>.</w:t>
      </w:r>
    </w:p>
    <w:p>
      <w:pPr>
        <w:spacing w:before="0" w:after="200" w:line="276" w:lineRule="auto"/>
        <w:rPr>
          <w:rFonts w:eastAsia="Times New Roman"/>
          <w:noProof/>
          <w:szCs w:val="24"/>
        </w:rPr>
      </w:pPr>
      <w:r>
        <w:rPr>
          <w:noProof/>
        </w:rPr>
        <w:t>Sitä sovelletaan [julkaisutoimisto: lisätään direktiivin 2008/98/EY 37 artiklan 1 kohdan muutoksen</w:t>
      </w:r>
      <w:r>
        <w:rPr>
          <w:rStyle w:val="FootnoteReference"/>
          <w:noProof/>
        </w:rPr>
        <w:footnoteReference w:id="119"/>
      </w:r>
      <w:r>
        <w:rPr>
          <w:noProof/>
        </w:rPr>
        <w:t>, direktiivin 2000/53/EY 9 artiklan muutoksen</w:t>
      </w:r>
      <w:r>
        <w:rPr>
          <w:rStyle w:val="FootnoteReference"/>
          <w:noProof/>
        </w:rPr>
        <w:footnoteReference w:id="120"/>
      </w:r>
      <w:r>
        <w:rPr>
          <w:noProof/>
        </w:rPr>
        <w:t>, direktiivin 1999/31/EY 15 artiklan muutoksen</w:t>
      </w:r>
      <w:r>
        <w:rPr>
          <w:rStyle w:val="FootnoteReference"/>
          <w:noProof/>
        </w:rPr>
        <w:footnoteReference w:id="121"/>
      </w:r>
      <w:r>
        <w:rPr>
          <w:noProof/>
        </w:rPr>
        <w:t xml:space="preserve"> ja direktiivin 94/62/EY 17 artiklan muutoksen</w:t>
      </w:r>
      <w:r>
        <w:rPr>
          <w:rStyle w:val="FootnoteReference"/>
          <w:noProof/>
        </w:rPr>
        <w:footnoteReference w:id="122"/>
      </w:r>
      <w:r>
        <w:rPr>
          <w:noProof/>
        </w:rPr>
        <w:t xml:space="preserve"> voimaantulopäivämäärä] alkaen.</w:t>
      </w:r>
    </w:p>
    <w:p>
      <w:pPr>
        <w:spacing w:before="0" w:after="200" w:line="276" w:lineRule="auto"/>
        <w:jc w:val="left"/>
        <w:rPr>
          <w:rFonts w:eastAsia="Times New Roman"/>
          <w:bCs/>
          <w:noProof/>
          <w:szCs w:val="24"/>
          <w:vertAlign w:val="superscript"/>
        </w:rPr>
      </w:pPr>
      <w:r>
        <w:rPr>
          <w:noProof/>
        </w:rPr>
        <w:t>1 artiklaa sovelletaan  [julkaisutoimisto: lisätään direktiivin 2003/87/EY 22 a artiklan muutoksen voimaantulopäivä</w:t>
      </w:r>
      <w:r>
        <w:rPr>
          <w:rStyle w:val="FootnoteReference"/>
          <w:noProof/>
        </w:rPr>
        <w:footnoteReference w:id="123"/>
      </w:r>
      <w:r>
        <w:rPr>
          <w:noProof/>
        </w:rPr>
        <w:t>] alkaen.</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i w:val="0"/>
          <w:noProof/>
        </w:rPr>
      </w:pPr>
      <w:r>
        <w:rPr>
          <w:noProof/>
        </w:rPr>
        <w:t>Puhemies</w:t>
      </w:r>
      <w:r>
        <w:rPr>
          <w:noProof/>
        </w:rPr>
        <w:tab/>
        <w:t xml:space="preserve">Puheenjohtaja </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25796" w15:done="0"/>
  <w15:commentEx w15:paraId="2CE6C2C0" w15:done="0"/>
  <w15:commentEx w15:paraId="2BCA0E80" w15:done="0"/>
  <w15:commentEx w15:paraId="019B1AAC" w15:done="0"/>
  <w15:commentEx w15:paraId="02027CD5" w15:done="0"/>
  <w15:commentEx w15:paraId="347BA7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L 123, 12.5.2016, s. 1–14.</w:t>
      </w:r>
    </w:p>
  </w:footnote>
  <w:footnote w:id="2">
    <w:p>
      <w:pPr>
        <w:pStyle w:val="FootnoteText"/>
      </w:pPr>
      <w:r>
        <w:rPr>
          <w:rStyle w:val="FootnoteReference"/>
        </w:rPr>
        <w:footnoteRef/>
      </w:r>
      <w:r>
        <w:tab/>
        <w:t xml:space="preserve">COM(2014) 368, Sääntelyn toimivuutta ja tuloksellisuutta koskeva ohjelma (REFIT): Tilanne ja näkymät. </w:t>
      </w:r>
    </w:p>
  </w:footnote>
  <w:footnote w:id="3">
    <w:p>
      <w:pPr>
        <w:pStyle w:val="FootnoteText"/>
        <w:rPr>
          <w:lang w:val="pt-PT"/>
        </w:rPr>
      </w:pPr>
      <w:r>
        <w:rPr>
          <w:rStyle w:val="FootnoteReference"/>
        </w:rPr>
        <w:footnoteRef/>
      </w:r>
      <w:r>
        <w:rPr>
          <w:lang w:val="pt-PT"/>
        </w:rPr>
        <w:tab/>
        <w:t>COM(2015) 215, 19.5.2015.</w:t>
      </w:r>
    </w:p>
  </w:footnote>
  <w:footnote w:id="4">
    <w:p>
      <w:pPr>
        <w:pStyle w:val="FootnoteText"/>
        <w:rPr>
          <w:lang w:val="pt-PT"/>
        </w:rPr>
      </w:pPr>
      <w:r>
        <w:rPr>
          <w:rStyle w:val="FootnoteReference"/>
        </w:rPr>
        <w:footnoteRef/>
      </w:r>
      <w:r>
        <w:rPr>
          <w:lang w:val="pt-PT"/>
        </w:rPr>
        <w:tab/>
        <w:t>COM(2015) 610, 27.10.2015.</w:t>
      </w:r>
    </w:p>
  </w:footnote>
  <w:footnote w:id="5">
    <w:p>
      <w:pPr>
        <w:pStyle w:val="FootnoteText"/>
        <w:rPr>
          <w:lang w:val="hu-HU"/>
        </w:rPr>
      </w:pPr>
      <w:r>
        <w:rPr>
          <w:rStyle w:val="FootnoteReference"/>
        </w:rPr>
        <w:footnoteRef/>
      </w:r>
      <w:r>
        <w:rPr>
          <w:lang w:val="pt-PT"/>
        </w:rPr>
        <w:tab/>
        <w:t>EUVL L 37, 11.2.2011, s. 19–24.</w:t>
      </w:r>
    </w:p>
  </w:footnote>
  <w:footnote w:id="6">
    <w:p>
      <w:pPr>
        <w:pStyle w:val="FootnoteText"/>
      </w:pPr>
      <w:r>
        <w:rPr>
          <w:rStyle w:val="FootnoteReference"/>
        </w:rPr>
        <w:footnoteRef/>
      </w:r>
      <w:r>
        <w:tab/>
        <w:t>EUVL L 292, 10.11.2010, s. 65-67.</w:t>
      </w:r>
    </w:p>
  </w:footnote>
  <w:footnote w:id="7">
    <w:p>
      <w:pPr>
        <w:pStyle w:val="FootnoteText"/>
      </w:pPr>
      <w:r>
        <w:rPr>
          <w:rStyle w:val="FootnoteReference"/>
        </w:rPr>
        <w:footnoteRef/>
      </w:r>
      <w:r>
        <w:tab/>
        <w:t>Saatavilla: http://ec.europa.eu/environment/legal/reporting/other_actions_en.htm.</w:t>
      </w:r>
    </w:p>
  </w:footnote>
  <w:footnote w:id="8">
    <w:p>
      <w:pPr>
        <w:pStyle w:val="FootnoteText"/>
      </w:pPr>
      <w:r>
        <w:rPr>
          <w:rStyle w:val="FootnoteReference"/>
        </w:rPr>
        <w:footnoteRef/>
      </w:r>
      <w:r>
        <w:tab/>
        <w:t>Yhdyskuntajätevesien käsittelyä koskeva direktiivi.</w:t>
      </w:r>
    </w:p>
  </w:footnote>
  <w:footnote w:id="9">
    <w:p>
      <w:pPr>
        <w:pStyle w:val="FootnoteText"/>
      </w:pPr>
      <w:r>
        <w:rPr>
          <w:rStyle w:val="FootnoteReference"/>
        </w:rPr>
        <w:footnoteRef/>
      </w:r>
      <w:r>
        <w:tab/>
        <w:t>Nitraattidirektiivi.</w:t>
      </w:r>
    </w:p>
  </w:footnote>
  <w:footnote w:id="10">
    <w:p>
      <w:pPr>
        <w:pStyle w:val="FootnoteText"/>
      </w:pPr>
      <w:r>
        <w:rPr>
          <w:rStyle w:val="FootnoteReference"/>
        </w:rPr>
        <w:footnoteRef/>
      </w:r>
      <w:r>
        <w:tab/>
        <w:t>Vesipolitiikan puitedirektiivi.</w:t>
      </w:r>
    </w:p>
  </w:footnote>
  <w:footnote w:id="11">
    <w:p>
      <w:pPr>
        <w:pStyle w:val="FootnoteText"/>
      </w:pPr>
      <w:r>
        <w:rPr>
          <w:rStyle w:val="FootnoteReference"/>
        </w:rPr>
        <w:footnoteRef/>
      </w:r>
      <w:r>
        <w:tab/>
        <w:t>Teollisuuden päästöistä annettu direktiivi.</w:t>
      </w:r>
    </w:p>
  </w:footnote>
  <w:footnote w:id="12">
    <w:p>
      <w:pPr>
        <w:pStyle w:val="FootnoteText"/>
        <w:rPr>
          <w:lang w:val="hu-HU"/>
        </w:rPr>
      </w:pPr>
      <w:r>
        <w:rPr>
          <w:rStyle w:val="FootnoteReference"/>
        </w:rPr>
        <w:footnoteRef/>
      </w:r>
      <w:r>
        <w:tab/>
        <w:t>IPPC-direktiivi.</w:t>
      </w:r>
    </w:p>
  </w:footnote>
  <w:footnote w:id="13">
    <w:p>
      <w:pPr>
        <w:pStyle w:val="FootnoteText"/>
        <w:rPr>
          <w:lang w:val="hu-HU"/>
        </w:rPr>
      </w:pPr>
      <w:r>
        <w:rPr>
          <w:rStyle w:val="FootnoteReference"/>
        </w:rPr>
        <w:footnoteRef/>
      </w:r>
      <w:r>
        <w:rPr>
          <w:lang w:val="hu-HU"/>
        </w:rPr>
        <w:tab/>
        <w:t>COM(2008) 46, 1.2.2008.</w:t>
      </w:r>
    </w:p>
  </w:footnote>
  <w:footnote w:id="14">
    <w:p>
      <w:pPr>
        <w:pStyle w:val="FootnoteText"/>
        <w:rPr>
          <w:lang w:val="hu-HU"/>
        </w:rPr>
      </w:pPr>
      <w:r>
        <w:rPr>
          <w:rStyle w:val="FootnoteReference"/>
        </w:rPr>
        <w:footnoteRef/>
      </w:r>
      <w:r>
        <w:rPr>
          <w:lang w:val="hu-HU"/>
        </w:rPr>
        <w:tab/>
        <w:t>Komission tiedonanto neuvostolle, Euroopan parlamentille, Euroopan talous- ja sosiaalikomitealle ja alueiden komitealle - Kohti yhteistä ympäristötietojärjestelmää (Shared Environmental Information System, SEIS) {SEK(2008) 111} {SEK(2008) 112} /* COM/2008/0046 final.</w:t>
      </w:r>
    </w:p>
  </w:footnote>
  <w:footnote w:id="15">
    <w:p>
      <w:pPr>
        <w:pStyle w:val="FootnoteText"/>
      </w:pPr>
      <w:r>
        <w:rPr>
          <w:rStyle w:val="FootnoteReference"/>
        </w:rPr>
        <w:footnoteRef/>
      </w:r>
      <w:r>
        <w:tab/>
        <w:t>SWD(2013) 18, 25.1.2013.</w:t>
      </w:r>
    </w:p>
  </w:footnote>
  <w:footnote w:id="16">
    <w:p>
      <w:pPr>
        <w:pStyle w:val="FootnoteText"/>
      </w:pPr>
      <w:r>
        <w:rPr>
          <w:rStyle w:val="FootnoteReference"/>
        </w:rPr>
        <w:footnoteRef/>
      </w:r>
      <w:r>
        <w:tab/>
        <w:t>Komission päätös 2011/92/EU, tehty 10  päivänä helmikuuta 2011 (EUVL L 37, 11.2.2011, s. 19–24) ja komission päätös 2010/681/EU, tehty 9 päivänä marraskuuta 2010 (EUVL L 292, 10.11.2010, s. 65-67).</w:t>
      </w:r>
    </w:p>
  </w:footnote>
  <w:footnote w:id="17">
    <w:p>
      <w:pPr>
        <w:pStyle w:val="FootnoteText"/>
      </w:pPr>
      <w:r>
        <w:rPr>
          <w:rStyle w:val="FootnoteReference"/>
        </w:rPr>
        <w:footnoteRef/>
      </w:r>
      <w:r>
        <w:tab/>
        <w:t>Saatavilla verkossa osoitteessa: http://ec.europa.eu/environment/legal/reporting/index_en.htm</w:t>
      </w:r>
    </w:p>
  </w:footnote>
  <w:footnote w:id="18">
    <w:p>
      <w:pPr>
        <w:pStyle w:val="FootnoteText"/>
        <w:rPr>
          <w:lang w:val="pt-PT"/>
        </w:rPr>
      </w:pPr>
      <w:r>
        <w:rPr>
          <w:rStyle w:val="FootnoteReference"/>
        </w:rPr>
        <w:footnoteRef/>
      </w:r>
      <w:r>
        <w:rPr>
          <w:lang w:val="pt-PT"/>
        </w:rPr>
        <w:tab/>
        <w:t>37 artiklan 1 kohta.</w:t>
      </w:r>
    </w:p>
  </w:footnote>
  <w:footnote w:id="19">
    <w:p>
      <w:pPr>
        <w:pStyle w:val="FootnoteText"/>
        <w:rPr>
          <w:lang w:val="pt-PT"/>
        </w:rPr>
      </w:pPr>
      <w:r>
        <w:rPr>
          <w:rStyle w:val="FootnoteReference"/>
        </w:rPr>
        <w:footnoteRef/>
      </w:r>
      <w:r>
        <w:rPr>
          <w:lang w:val="pt-PT"/>
        </w:rPr>
        <w:tab/>
        <w:t>9 artikla.</w:t>
      </w:r>
    </w:p>
  </w:footnote>
  <w:footnote w:id="20">
    <w:p>
      <w:pPr>
        <w:pStyle w:val="FootnoteText"/>
        <w:rPr>
          <w:lang w:val="pt-PT"/>
        </w:rPr>
      </w:pPr>
      <w:r>
        <w:rPr>
          <w:rStyle w:val="FootnoteReference"/>
        </w:rPr>
        <w:footnoteRef/>
      </w:r>
      <w:r>
        <w:rPr>
          <w:lang w:val="pt-PT"/>
        </w:rPr>
        <w:tab/>
        <w:t>15 artikla.</w:t>
      </w:r>
    </w:p>
  </w:footnote>
  <w:footnote w:id="21">
    <w:p>
      <w:pPr>
        <w:pStyle w:val="FootnoteText"/>
        <w:rPr>
          <w:lang w:val="pt-PT"/>
        </w:rPr>
      </w:pPr>
      <w:r>
        <w:rPr>
          <w:rStyle w:val="FootnoteReference"/>
        </w:rPr>
        <w:footnoteRef/>
      </w:r>
      <w:r>
        <w:rPr>
          <w:lang w:val="pt-PT"/>
        </w:rPr>
        <w:tab/>
        <w:t>COM(2015) 595 final. COM(2015) 593 final. COM(2015) 594 final. COM(2015) 596 final.</w:t>
      </w:r>
    </w:p>
  </w:footnote>
  <w:footnote w:id="22">
    <w:p>
      <w:pPr>
        <w:pStyle w:val="FootnoteText"/>
        <w:rPr>
          <w:lang w:val="pt-PT"/>
        </w:rPr>
      </w:pPr>
      <w:r>
        <w:rPr>
          <w:rStyle w:val="FootnoteReference"/>
        </w:rPr>
        <w:footnoteRef/>
      </w:r>
      <w:r>
        <w:rPr>
          <w:lang w:val="pt-PT"/>
        </w:rPr>
        <w:tab/>
      </w:r>
      <w:r>
        <w:rPr>
          <w:i/>
          <w:lang w:val="pt-PT"/>
        </w:rPr>
        <w:t>EYVL L 31, 5.2.1976, s. 1–7.</w:t>
      </w:r>
    </w:p>
  </w:footnote>
  <w:footnote w:id="23">
    <w:p>
      <w:pPr>
        <w:pStyle w:val="FootnoteText"/>
        <w:rPr>
          <w:lang w:val="pt-PT"/>
        </w:rPr>
      </w:pPr>
      <w:r>
        <w:rPr>
          <w:rStyle w:val="FootnoteReference"/>
        </w:rPr>
        <w:footnoteRef/>
      </w:r>
      <w:r>
        <w:rPr>
          <w:lang w:val="pt-PT"/>
        </w:rPr>
        <w:tab/>
      </w:r>
      <w:r>
        <w:rPr>
          <w:i/>
          <w:lang w:val="pt-PT"/>
        </w:rPr>
        <w:t>EUVL L 64, 4.3.2006, s. 37–51.</w:t>
      </w:r>
    </w:p>
  </w:footnote>
  <w:footnote w:id="24">
    <w:p>
      <w:pPr>
        <w:pStyle w:val="FootnoteText"/>
        <w:rPr>
          <w:lang w:val="pt-PT"/>
        </w:rPr>
      </w:pPr>
      <w:r>
        <w:rPr>
          <w:rStyle w:val="FootnoteReference"/>
        </w:rPr>
        <w:footnoteRef/>
      </w:r>
      <w:r>
        <w:rPr>
          <w:lang w:val="pt-PT"/>
        </w:rPr>
        <w:tab/>
      </w:r>
      <w:r>
        <w:rPr>
          <w:i/>
          <w:lang w:val="pt-PT"/>
        </w:rPr>
        <w:t>EYVL L 129, 18.5.1976, s. 23–29.</w:t>
      </w:r>
    </w:p>
  </w:footnote>
  <w:footnote w:id="25">
    <w:p>
      <w:pPr>
        <w:pStyle w:val="FootnoteText"/>
        <w:rPr>
          <w:lang w:val="da-DK"/>
        </w:rPr>
      </w:pPr>
      <w:r>
        <w:rPr>
          <w:rStyle w:val="FootnoteReference"/>
        </w:rPr>
        <w:footnoteRef/>
      </w:r>
      <w:r>
        <w:rPr>
          <w:lang w:val="da-DK"/>
        </w:rPr>
        <w:tab/>
      </w:r>
      <w:r>
        <w:rPr>
          <w:i/>
          <w:lang w:val="da-DK"/>
        </w:rPr>
        <w:t>EUVL L 64, 4.3.2006, s. 52-59.</w:t>
      </w:r>
    </w:p>
  </w:footnote>
  <w:footnote w:id="26">
    <w:p>
      <w:pPr>
        <w:pStyle w:val="FootnoteText"/>
        <w:rPr>
          <w:lang w:val="da-DK"/>
        </w:rPr>
      </w:pPr>
      <w:r>
        <w:rPr>
          <w:rStyle w:val="FootnoteReference"/>
        </w:rPr>
        <w:footnoteRef/>
      </w:r>
      <w:r>
        <w:rPr>
          <w:lang w:val="da-DK"/>
        </w:rPr>
        <w:tab/>
      </w:r>
      <w:r>
        <w:rPr>
          <w:i/>
          <w:lang w:val="da-DK"/>
        </w:rPr>
        <w:t>EYVL L 54, 25.2.1978, s. 19–24.</w:t>
      </w:r>
    </w:p>
  </w:footnote>
  <w:footnote w:id="27">
    <w:p>
      <w:pPr>
        <w:pStyle w:val="FootnoteText"/>
        <w:rPr>
          <w:lang w:val="da-DK"/>
        </w:rPr>
      </w:pPr>
      <w:r>
        <w:rPr>
          <w:rStyle w:val="FootnoteReference"/>
        </w:rPr>
        <w:footnoteRef/>
      </w:r>
      <w:r>
        <w:rPr>
          <w:lang w:val="da-DK"/>
        </w:rPr>
        <w:tab/>
      </w:r>
      <w:r>
        <w:rPr>
          <w:rStyle w:val="Emphasis"/>
          <w:lang w:val="da-DK"/>
        </w:rPr>
        <w:t>EYVL L 32, 3.2.1983, s. 28.</w:t>
      </w:r>
    </w:p>
  </w:footnote>
  <w:footnote w:id="28">
    <w:p>
      <w:pPr>
        <w:pStyle w:val="FootnoteText"/>
        <w:rPr>
          <w:i/>
          <w:iCs/>
          <w:lang w:val="da-DK"/>
        </w:rPr>
      </w:pPr>
      <w:r>
        <w:rPr>
          <w:rStyle w:val="FootnoteReference"/>
        </w:rPr>
        <w:footnoteRef/>
      </w:r>
      <w:r>
        <w:rPr>
          <w:lang w:val="da-DK"/>
        </w:rPr>
        <w:tab/>
      </w:r>
      <w:r>
        <w:rPr>
          <w:i/>
          <w:lang w:val="da-DK"/>
        </w:rPr>
        <w:t>EUVL L 334, 17.12.2010, s. 17–119.</w:t>
      </w:r>
    </w:p>
  </w:footnote>
  <w:footnote w:id="29">
    <w:p>
      <w:pPr>
        <w:pStyle w:val="FootnoteText"/>
        <w:rPr>
          <w:lang w:val="hu-HU"/>
        </w:rPr>
      </w:pPr>
      <w:r>
        <w:rPr>
          <w:rStyle w:val="FootnoteReference"/>
        </w:rPr>
        <w:footnoteRef/>
      </w:r>
      <w:r>
        <w:rPr>
          <w:lang w:val="da-DK"/>
        </w:rPr>
        <w:tab/>
      </w:r>
      <w:r>
        <w:rPr>
          <w:i/>
          <w:lang w:val="da-DK"/>
        </w:rPr>
        <w:t>EYVL L 222, 14.8.1978, s. 1–10.</w:t>
      </w:r>
    </w:p>
  </w:footnote>
  <w:footnote w:id="30">
    <w:p>
      <w:pPr>
        <w:pStyle w:val="FootnoteText"/>
        <w:rPr>
          <w:lang w:val="da-DK"/>
        </w:rPr>
      </w:pPr>
      <w:r>
        <w:rPr>
          <w:rStyle w:val="FootnoteReference"/>
        </w:rPr>
        <w:footnoteRef/>
      </w:r>
      <w:r>
        <w:rPr>
          <w:lang w:val="da-DK"/>
        </w:rPr>
        <w:tab/>
      </w:r>
      <w:r>
        <w:rPr>
          <w:i/>
          <w:lang w:val="da-DK"/>
        </w:rPr>
        <w:t>EUVL L 264, 25.9.2006, s. 20–31.</w:t>
      </w:r>
    </w:p>
  </w:footnote>
  <w:footnote w:id="31">
    <w:p>
      <w:pPr>
        <w:pStyle w:val="FootnoteText"/>
        <w:rPr>
          <w:lang w:val="da-DK"/>
        </w:rPr>
      </w:pPr>
      <w:r>
        <w:rPr>
          <w:rStyle w:val="FootnoteReference"/>
        </w:rPr>
        <w:footnoteRef/>
      </w:r>
      <w:r>
        <w:rPr>
          <w:lang w:val="da-DK"/>
        </w:rPr>
        <w:tab/>
      </w:r>
      <w:r>
        <w:rPr>
          <w:i/>
          <w:lang w:val="da-DK"/>
        </w:rPr>
        <w:t>EUVL L 327, 22.12.2000, s. 1-73.</w:t>
      </w:r>
    </w:p>
  </w:footnote>
  <w:footnote w:id="32">
    <w:p>
      <w:pPr>
        <w:pStyle w:val="FootnoteText"/>
        <w:rPr>
          <w:lang w:val="da-DK"/>
        </w:rPr>
      </w:pPr>
      <w:r>
        <w:rPr>
          <w:rStyle w:val="FootnoteReference"/>
        </w:rPr>
        <w:footnoteRef/>
      </w:r>
      <w:r>
        <w:rPr>
          <w:lang w:val="da-DK"/>
        </w:rPr>
        <w:tab/>
      </w:r>
      <w:r>
        <w:rPr>
          <w:i/>
          <w:lang w:val="da-DK"/>
        </w:rPr>
        <w:t>EYVL L 271, 29.10.1979, s. 44–53.</w:t>
      </w:r>
    </w:p>
  </w:footnote>
  <w:footnote w:id="33">
    <w:p>
      <w:pPr>
        <w:pStyle w:val="FootnoteText"/>
        <w:rPr>
          <w:lang w:val="da-DK"/>
        </w:rPr>
      </w:pPr>
      <w:r>
        <w:rPr>
          <w:rStyle w:val="FootnoteReference"/>
        </w:rPr>
        <w:footnoteRef/>
      </w:r>
      <w:r>
        <w:rPr>
          <w:lang w:val="da-DK"/>
        </w:rPr>
        <w:tab/>
      </w:r>
      <w:r>
        <w:rPr>
          <w:i/>
          <w:lang w:val="da-DK"/>
        </w:rPr>
        <w:t>EYVL L 319, 7.11.1981, s. 16.</w:t>
      </w:r>
    </w:p>
  </w:footnote>
  <w:footnote w:id="34">
    <w:p>
      <w:pPr>
        <w:pStyle w:val="FootnoteText"/>
        <w:rPr>
          <w:lang w:val="da-DK"/>
        </w:rPr>
      </w:pPr>
      <w:r>
        <w:rPr>
          <w:rStyle w:val="FootnoteReference"/>
        </w:rPr>
        <w:footnoteRef/>
      </w:r>
      <w:r>
        <w:rPr>
          <w:lang w:val="da-DK"/>
        </w:rPr>
        <w:tab/>
      </w:r>
      <w:r>
        <w:rPr>
          <w:i/>
          <w:lang w:val="da-DK"/>
        </w:rPr>
        <w:t>EYVL L 281, 10.11.1979, s. 47–52.</w:t>
      </w:r>
    </w:p>
  </w:footnote>
  <w:footnote w:id="35">
    <w:p>
      <w:pPr>
        <w:pStyle w:val="FootnoteText"/>
        <w:rPr>
          <w:lang w:val="da-DK"/>
        </w:rPr>
      </w:pPr>
      <w:r>
        <w:rPr>
          <w:rStyle w:val="FootnoteReference"/>
        </w:rPr>
        <w:footnoteRef/>
      </w:r>
      <w:r>
        <w:rPr>
          <w:lang w:val="da-DK"/>
        </w:rPr>
        <w:tab/>
      </w:r>
      <w:r>
        <w:rPr>
          <w:i/>
          <w:lang w:val="da-DK"/>
        </w:rPr>
        <w:t>EUVL L 376, 27.12.2006, s. 14–20.</w:t>
      </w:r>
    </w:p>
  </w:footnote>
  <w:footnote w:id="36">
    <w:p>
      <w:pPr>
        <w:pStyle w:val="FootnoteText"/>
        <w:rPr>
          <w:lang w:val="da-DK"/>
        </w:rPr>
      </w:pPr>
      <w:r>
        <w:rPr>
          <w:rStyle w:val="FootnoteReference"/>
        </w:rPr>
        <w:footnoteRef/>
      </w:r>
      <w:r>
        <w:rPr>
          <w:lang w:val="da-DK"/>
        </w:rPr>
        <w:tab/>
      </w:r>
      <w:r>
        <w:rPr>
          <w:i/>
          <w:lang w:val="da-DK"/>
        </w:rPr>
        <w:t>EYVL L 20, 26.1.1980, s. 43–48.</w:t>
      </w:r>
    </w:p>
  </w:footnote>
  <w:footnote w:id="37">
    <w:p>
      <w:pPr>
        <w:pStyle w:val="FootnoteText"/>
        <w:rPr>
          <w:lang w:val="da-DK"/>
        </w:rPr>
      </w:pPr>
      <w:r>
        <w:rPr>
          <w:rStyle w:val="FootnoteReference"/>
        </w:rPr>
        <w:footnoteRef/>
      </w:r>
      <w:r>
        <w:rPr>
          <w:lang w:val="da-DK"/>
        </w:rPr>
        <w:tab/>
      </w:r>
      <w:r>
        <w:rPr>
          <w:i/>
          <w:lang w:val="da-DK"/>
        </w:rPr>
        <w:t>EYVL L 81, 27.3.1982, s. 29–34.</w:t>
      </w:r>
    </w:p>
  </w:footnote>
  <w:footnote w:id="38">
    <w:p>
      <w:pPr>
        <w:pStyle w:val="FootnoteText"/>
        <w:rPr>
          <w:lang w:val="da-DK"/>
        </w:rPr>
      </w:pPr>
      <w:r>
        <w:rPr>
          <w:rStyle w:val="FootnoteReference"/>
        </w:rPr>
        <w:footnoteRef/>
      </w:r>
      <w:r>
        <w:rPr>
          <w:lang w:val="da-DK"/>
        </w:rPr>
        <w:tab/>
      </w:r>
      <w:r>
        <w:rPr>
          <w:i/>
          <w:lang w:val="da-DK"/>
        </w:rPr>
        <w:t>EUVL L 348, 24.12.2008, s. 84–97.</w:t>
      </w:r>
    </w:p>
  </w:footnote>
  <w:footnote w:id="39">
    <w:p>
      <w:pPr>
        <w:pStyle w:val="FootnoteText"/>
        <w:rPr>
          <w:lang w:val="da-DK"/>
        </w:rPr>
      </w:pPr>
      <w:r>
        <w:rPr>
          <w:rStyle w:val="FootnoteReference"/>
        </w:rPr>
        <w:footnoteRef/>
      </w:r>
      <w:r>
        <w:rPr>
          <w:lang w:val="da-DK"/>
        </w:rPr>
        <w:tab/>
      </w:r>
      <w:r>
        <w:rPr>
          <w:rStyle w:val="Emphasis"/>
          <w:lang w:val="da-DK"/>
        </w:rPr>
        <w:t>EYVL L 291 , 24.10.1983, s. 1 - 8.</w:t>
      </w:r>
    </w:p>
  </w:footnote>
  <w:footnote w:id="40">
    <w:p>
      <w:pPr>
        <w:pStyle w:val="FootnoteText"/>
        <w:rPr>
          <w:lang w:val="da-DK"/>
        </w:rPr>
      </w:pPr>
      <w:r>
        <w:rPr>
          <w:rStyle w:val="FootnoteReference"/>
        </w:rPr>
        <w:footnoteRef/>
      </w:r>
      <w:r>
        <w:rPr>
          <w:lang w:val="da-DK"/>
        </w:rPr>
        <w:tab/>
      </w:r>
      <w:r>
        <w:rPr>
          <w:i/>
          <w:lang w:val="da-DK"/>
        </w:rPr>
        <w:t>EUVL L 74, 24.12.2008, s. 49-54.</w:t>
      </w:r>
    </w:p>
  </w:footnote>
  <w:footnote w:id="41">
    <w:p>
      <w:pPr>
        <w:pStyle w:val="FootnoteText"/>
        <w:rPr>
          <w:lang w:val="da-DK"/>
        </w:rPr>
      </w:pPr>
      <w:r>
        <w:rPr>
          <w:rStyle w:val="FootnoteReference"/>
        </w:rPr>
        <w:footnoteRef/>
      </w:r>
      <w:r>
        <w:rPr>
          <w:lang w:val="da-DK"/>
        </w:rPr>
        <w:tab/>
      </w:r>
      <w:r>
        <w:rPr>
          <w:i/>
          <w:lang w:val="da-DK"/>
        </w:rPr>
        <w:t>EYVL L 274, 17.10.1984, s. 11–17.</w:t>
      </w:r>
    </w:p>
  </w:footnote>
  <w:footnote w:id="42">
    <w:p>
      <w:pPr>
        <w:pStyle w:val="FootnoteText"/>
        <w:rPr>
          <w:lang w:val="da-DK"/>
        </w:rPr>
      </w:pPr>
      <w:r>
        <w:rPr>
          <w:rStyle w:val="FootnoteReference"/>
        </w:rPr>
        <w:footnoteRef/>
      </w:r>
      <w:r>
        <w:rPr>
          <w:lang w:val="da-DK"/>
        </w:rPr>
        <w:tab/>
      </w:r>
      <w:r>
        <w:rPr>
          <w:i/>
          <w:lang w:val="da-DK"/>
        </w:rPr>
        <w:t>EYVL L 181, 4.7.1986, s. 16–27.</w:t>
      </w:r>
    </w:p>
  </w:footnote>
  <w:footnote w:id="43">
    <w:p>
      <w:pPr>
        <w:pStyle w:val="FootnoteText"/>
        <w:rPr>
          <w:lang w:val="da-DK"/>
        </w:rPr>
      </w:pPr>
      <w:r>
        <w:rPr>
          <w:rStyle w:val="FootnoteReference"/>
        </w:rPr>
        <w:footnoteRef/>
      </w:r>
      <w:r>
        <w:rPr>
          <w:lang w:val="da-DK"/>
        </w:rPr>
        <w:tab/>
      </w:r>
      <w:r>
        <w:rPr>
          <w:rStyle w:val="Emphasis"/>
          <w:lang w:val="da-DK"/>
        </w:rPr>
        <w:t>EYVL L 219 , 14.8.1990, s. 49 - 57.</w:t>
      </w:r>
    </w:p>
  </w:footnote>
  <w:footnote w:id="44">
    <w:p>
      <w:pPr>
        <w:pStyle w:val="FootnoteText"/>
        <w:rPr>
          <w:lang w:val="da-DK"/>
        </w:rPr>
      </w:pPr>
      <w:r>
        <w:rPr>
          <w:rStyle w:val="FootnoteReference"/>
        </w:rPr>
        <w:footnoteRef/>
      </w:r>
      <w:r>
        <w:rPr>
          <w:lang w:val="da-DK"/>
        </w:rPr>
        <w:tab/>
      </w:r>
      <w:r>
        <w:rPr>
          <w:i/>
          <w:lang w:val="da-DK"/>
        </w:rPr>
        <w:t>EYVL L 194, 25.7.1975, s. 26–31.</w:t>
      </w:r>
    </w:p>
  </w:footnote>
  <w:footnote w:id="45">
    <w:p>
      <w:pPr>
        <w:pStyle w:val="FootnoteText"/>
        <w:rPr>
          <w:lang w:val="da-DK"/>
        </w:rPr>
      </w:pPr>
      <w:r>
        <w:rPr>
          <w:rStyle w:val="FootnoteReference"/>
        </w:rPr>
        <w:footnoteRef/>
      </w:r>
      <w:r>
        <w:rPr>
          <w:lang w:val="da-DK"/>
        </w:rPr>
        <w:tab/>
        <w:t>EUVL L 229, 30.8.1980, s. 11–29.</w:t>
      </w:r>
    </w:p>
  </w:footnote>
  <w:footnote w:id="46">
    <w:p>
      <w:pPr>
        <w:pStyle w:val="FootnoteText"/>
        <w:rPr>
          <w:lang w:val="da-DK"/>
        </w:rPr>
      </w:pPr>
      <w:r>
        <w:rPr>
          <w:rStyle w:val="FootnoteReference"/>
        </w:rPr>
        <w:footnoteRef/>
      </w:r>
      <w:r>
        <w:rPr>
          <w:lang w:val="da-DK"/>
        </w:rPr>
        <w:tab/>
        <w:t xml:space="preserve">EYVL </w:t>
      </w:r>
      <w:r>
        <w:rPr>
          <w:sz w:val="18"/>
          <w:lang w:val="da-DK"/>
        </w:rPr>
        <w:t>L 330, 5.12.1998, s. 32-54</w:t>
      </w:r>
    </w:p>
  </w:footnote>
  <w:footnote w:id="47">
    <w:p>
      <w:pPr>
        <w:pStyle w:val="FootnoteText"/>
        <w:rPr>
          <w:lang w:val="da-DK"/>
        </w:rPr>
      </w:pPr>
      <w:r>
        <w:rPr>
          <w:rStyle w:val="FootnoteReference"/>
        </w:rPr>
        <w:footnoteRef/>
      </w:r>
      <w:r>
        <w:rPr>
          <w:lang w:val="da-DK"/>
        </w:rPr>
        <w:tab/>
      </w:r>
      <w:r>
        <w:rPr>
          <w:rStyle w:val="Emphasis"/>
          <w:lang w:val="da-DK"/>
        </w:rPr>
        <w:t>EYVL L 87 , 27.3.1985, s. 1 - 7.</w:t>
      </w:r>
    </w:p>
  </w:footnote>
  <w:footnote w:id="48">
    <w:p>
      <w:pPr>
        <w:pStyle w:val="FootnoteText"/>
        <w:rPr>
          <w:lang w:val="da-DK"/>
        </w:rPr>
      </w:pPr>
      <w:r>
        <w:rPr>
          <w:rStyle w:val="FootnoteReference"/>
        </w:rPr>
        <w:footnoteRef/>
      </w:r>
      <w:r>
        <w:rPr>
          <w:lang w:val="da-DK"/>
        </w:rPr>
        <w:tab/>
      </w:r>
      <w:r>
        <w:rPr>
          <w:i/>
          <w:lang w:val="da-DK"/>
        </w:rPr>
        <w:t>EYVL L 372, 31.12.1985, s. 36.</w:t>
      </w:r>
    </w:p>
  </w:footnote>
  <w:footnote w:id="49">
    <w:p>
      <w:pPr>
        <w:pStyle w:val="FootnoteText"/>
        <w:rPr>
          <w:lang w:val="da-DK"/>
        </w:rPr>
      </w:pPr>
      <w:r>
        <w:rPr>
          <w:rStyle w:val="FootnoteReference"/>
        </w:rPr>
        <w:footnoteRef/>
      </w:r>
      <w:r>
        <w:rPr>
          <w:lang w:val="da-DK"/>
        </w:rPr>
        <w:tab/>
      </w:r>
      <w:r>
        <w:rPr>
          <w:i/>
          <w:lang w:val="da-DK"/>
        </w:rPr>
        <w:t>EYVL L 307, 27.11.1975, s. 22–24.</w:t>
      </w:r>
    </w:p>
  </w:footnote>
  <w:footnote w:id="50">
    <w:p>
      <w:pPr>
        <w:pStyle w:val="FootnoteText"/>
        <w:rPr>
          <w:lang w:val="da-DK"/>
        </w:rPr>
      </w:pPr>
      <w:r>
        <w:rPr>
          <w:rStyle w:val="FootnoteReference"/>
        </w:rPr>
        <w:footnoteRef/>
      </w:r>
      <w:r>
        <w:rPr>
          <w:lang w:val="da-DK"/>
        </w:rPr>
        <w:tab/>
      </w:r>
      <w:r>
        <w:rPr>
          <w:i/>
          <w:lang w:val="da-DK"/>
        </w:rPr>
        <w:t>EYVL L 74, 27.3.1993, s. 81–83.</w:t>
      </w:r>
    </w:p>
  </w:footnote>
  <w:footnote w:id="51">
    <w:p>
      <w:pPr>
        <w:pStyle w:val="FootnoteText"/>
        <w:rPr>
          <w:lang w:val="da-DK"/>
        </w:rPr>
      </w:pPr>
      <w:r>
        <w:rPr>
          <w:rStyle w:val="FootnoteReference"/>
        </w:rPr>
        <w:footnoteRef/>
      </w:r>
      <w:r>
        <w:rPr>
          <w:lang w:val="da-DK"/>
        </w:rPr>
        <w:tab/>
      </w:r>
      <w:r>
        <w:rPr>
          <w:i/>
          <w:lang w:val="da-DK"/>
        </w:rPr>
        <w:t>EYVL L 188, 16.7.1984, s. 20–25.</w:t>
      </w:r>
    </w:p>
  </w:footnote>
  <w:footnote w:id="52">
    <w:p>
      <w:pPr>
        <w:pStyle w:val="FootnoteText"/>
        <w:rPr>
          <w:lang w:val="da-DK"/>
        </w:rPr>
      </w:pPr>
      <w:r>
        <w:rPr>
          <w:rStyle w:val="FootnoteReference"/>
        </w:rPr>
        <w:footnoteRef/>
      </w:r>
      <w:r>
        <w:rPr>
          <w:lang w:val="da-DK"/>
        </w:rPr>
        <w:tab/>
      </w:r>
      <w:r>
        <w:rPr>
          <w:i/>
          <w:lang w:val="da-DK"/>
        </w:rPr>
        <w:t>EUVL L 24, 29.1.2008, s. 8–29.</w:t>
      </w:r>
    </w:p>
  </w:footnote>
  <w:footnote w:id="53">
    <w:p>
      <w:pPr>
        <w:pStyle w:val="FootnoteText"/>
        <w:rPr>
          <w:lang w:val="da-DK"/>
        </w:rPr>
      </w:pPr>
      <w:r>
        <w:rPr>
          <w:rStyle w:val="FootnoteReference"/>
        </w:rPr>
        <w:footnoteRef/>
      </w:r>
      <w:r>
        <w:rPr>
          <w:lang w:val="da-DK"/>
        </w:rPr>
        <w:tab/>
      </w:r>
      <w:r>
        <w:rPr>
          <w:i/>
          <w:lang w:val="da-DK"/>
        </w:rPr>
        <w:t>EUVL L 334, 17.12.2010, s. 17–119.</w:t>
      </w:r>
    </w:p>
  </w:footnote>
  <w:footnote w:id="54">
    <w:p>
      <w:pPr>
        <w:pStyle w:val="FootnoteText"/>
        <w:rPr>
          <w:lang w:val="hu-HU"/>
        </w:rPr>
      </w:pPr>
      <w:r>
        <w:rPr>
          <w:rStyle w:val="FootnoteReference"/>
        </w:rPr>
        <w:footnoteRef/>
      </w:r>
      <w:r>
        <w:rPr>
          <w:lang w:val="da-DK"/>
        </w:rPr>
        <w:tab/>
      </w:r>
      <w:r>
        <w:rPr>
          <w:rStyle w:val="Emphasis"/>
          <w:lang w:val="da-DK"/>
        </w:rPr>
        <w:t>EYVL L 229 , 30.8.1980, s. 30 - 48.</w:t>
      </w:r>
    </w:p>
  </w:footnote>
  <w:footnote w:id="55">
    <w:p>
      <w:pPr>
        <w:pStyle w:val="FootnoteText"/>
        <w:rPr>
          <w:lang w:val="da-DK"/>
        </w:rPr>
      </w:pPr>
      <w:r>
        <w:rPr>
          <w:rStyle w:val="FootnoteReference"/>
        </w:rPr>
        <w:footnoteRef/>
      </w:r>
      <w:r>
        <w:rPr>
          <w:lang w:val="da-DK"/>
        </w:rPr>
        <w:tab/>
      </w:r>
      <w:r>
        <w:rPr>
          <w:i/>
          <w:lang w:val="da-DK"/>
        </w:rPr>
        <w:t>EYVL L 163, 29.6.1999, s. 41–60.</w:t>
      </w:r>
    </w:p>
  </w:footnote>
  <w:footnote w:id="56">
    <w:p>
      <w:pPr>
        <w:pStyle w:val="FootnoteText"/>
        <w:rPr>
          <w:lang w:val="da-DK"/>
        </w:rPr>
      </w:pPr>
      <w:r>
        <w:rPr>
          <w:rStyle w:val="FootnoteReference"/>
        </w:rPr>
        <w:footnoteRef/>
      </w:r>
      <w:r>
        <w:rPr>
          <w:lang w:val="da-DK"/>
        </w:rPr>
        <w:tab/>
      </w:r>
      <w:r>
        <w:rPr>
          <w:rStyle w:val="Emphasis"/>
          <w:lang w:val="da-DK"/>
        </w:rPr>
        <w:t>EYVL L 378 , 31.12.1982, s. 15 - 18.</w:t>
      </w:r>
    </w:p>
  </w:footnote>
  <w:footnote w:id="57">
    <w:p>
      <w:pPr>
        <w:pStyle w:val="FootnoteText"/>
        <w:rPr>
          <w:lang w:val="da-DK"/>
        </w:rPr>
      </w:pPr>
      <w:r>
        <w:rPr>
          <w:rStyle w:val="FootnoteReference"/>
        </w:rPr>
        <w:footnoteRef/>
      </w:r>
      <w:r>
        <w:rPr>
          <w:lang w:val="da-DK"/>
        </w:rPr>
        <w:tab/>
      </w:r>
      <w:r>
        <w:rPr>
          <w:rStyle w:val="Emphasis"/>
          <w:lang w:val="da-DK"/>
        </w:rPr>
        <w:t>EYVL L 87 , 27.3.1985, s. 1 - 7.</w:t>
      </w:r>
    </w:p>
  </w:footnote>
  <w:footnote w:id="58">
    <w:p>
      <w:pPr>
        <w:pStyle w:val="FootnoteText"/>
        <w:rPr>
          <w:lang w:val="da-DK"/>
        </w:rPr>
      </w:pPr>
      <w:r>
        <w:rPr>
          <w:rStyle w:val="FootnoteReference"/>
        </w:rPr>
        <w:footnoteRef/>
      </w:r>
      <w:r>
        <w:rPr>
          <w:lang w:val="da-DK"/>
        </w:rPr>
        <w:tab/>
      </w:r>
      <w:r>
        <w:rPr>
          <w:i/>
          <w:lang w:val="da-DK"/>
        </w:rPr>
        <w:t>EYVL L 372, 31.12.1985, s. 36–36.</w:t>
      </w:r>
    </w:p>
  </w:footnote>
  <w:footnote w:id="59">
    <w:p>
      <w:pPr>
        <w:pStyle w:val="FootnoteText"/>
        <w:rPr>
          <w:lang w:val="da-DK"/>
        </w:rPr>
      </w:pPr>
      <w:r>
        <w:rPr>
          <w:rStyle w:val="FootnoteReference"/>
        </w:rPr>
        <w:footnoteRef/>
      </w:r>
      <w:r>
        <w:rPr>
          <w:lang w:val="da-DK"/>
        </w:rPr>
        <w:tab/>
      </w:r>
      <w:r>
        <w:rPr>
          <w:i/>
          <w:lang w:val="da-DK"/>
        </w:rPr>
        <w:t>EYVL L 194, 25.7.1975, s. 23-25.</w:t>
      </w:r>
    </w:p>
  </w:footnote>
  <w:footnote w:id="60">
    <w:p>
      <w:pPr>
        <w:pStyle w:val="FootnoteText"/>
        <w:rPr>
          <w:lang w:val="da-DK"/>
        </w:rPr>
      </w:pPr>
      <w:r>
        <w:rPr>
          <w:rStyle w:val="FootnoteReference"/>
        </w:rPr>
        <w:footnoteRef/>
      </w:r>
      <w:r>
        <w:rPr>
          <w:lang w:val="da-DK"/>
        </w:rPr>
        <w:tab/>
      </w:r>
      <w:r>
        <w:rPr>
          <w:i/>
          <w:lang w:val="da-DK"/>
        </w:rPr>
        <w:t>EUVL L 312, 22.11.2008, s. 3–30.</w:t>
      </w:r>
    </w:p>
  </w:footnote>
  <w:footnote w:id="61">
    <w:p>
      <w:pPr>
        <w:pStyle w:val="FootnoteText"/>
        <w:rPr>
          <w:lang w:val="da-DK"/>
        </w:rPr>
      </w:pPr>
      <w:r>
        <w:rPr>
          <w:rStyle w:val="FootnoteReference"/>
        </w:rPr>
        <w:footnoteRef/>
      </w:r>
      <w:r>
        <w:rPr>
          <w:lang w:val="da-DK"/>
        </w:rPr>
        <w:tab/>
        <w:t>EYVL L 194, 25.7.1975, s. 39-41.</w:t>
      </w:r>
    </w:p>
  </w:footnote>
  <w:footnote w:id="62">
    <w:p>
      <w:pPr>
        <w:pStyle w:val="FootnoteText"/>
        <w:rPr>
          <w:lang w:val="da-DK"/>
        </w:rPr>
      </w:pPr>
      <w:r>
        <w:rPr>
          <w:rStyle w:val="FootnoteReference"/>
        </w:rPr>
        <w:footnoteRef/>
      </w:r>
      <w:r>
        <w:rPr>
          <w:lang w:val="da-DK"/>
        </w:rPr>
        <w:tab/>
      </w:r>
      <w:r>
        <w:rPr>
          <w:i/>
          <w:lang w:val="da-DK"/>
        </w:rPr>
        <w:t>EUVL L 114, 27.4.2006, s. 9–21.</w:t>
      </w:r>
    </w:p>
  </w:footnote>
  <w:footnote w:id="63">
    <w:p>
      <w:pPr>
        <w:pStyle w:val="FootnoteText"/>
        <w:rPr>
          <w:lang w:val="hu-HU"/>
        </w:rPr>
      </w:pPr>
      <w:r>
        <w:rPr>
          <w:rStyle w:val="FootnoteReference"/>
        </w:rPr>
        <w:footnoteRef/>
      </w:r>
      <w:r>
        <w:rPr>
          <w:lang w:val="da-DK"/>
        </w:rPr>
        <w:tab/>
      </w:r>
      <w:r>
        <w:rPr>
          <w:rStyle w:val="Emphasis"/>
          <w:lang w:val="da-DK"/>
        </w:rPr>
        <w:t>EYVL L 108 , 26.4.1976, s. 41 - 42.</w:t>
      </w:r>
    </w:p>
  </w:footnote>
  <w:footnote w:id="64">
    <w:p>
      <w:pPr>
        <w:pStyle w:val="FootnoteText"/>
        <w:rPr>
          <w:lang w:val="da-DK"/>
        </w:rPr>
      </w:pPr>
      <w:r>
        <w:rPr>
          <w:rStyle w:val="FootnoteReference"/>
        </w:rPr>
        <w:footnoteRef/>
      </w:r>
      <w:r>
        <w:rPr>
          <w:lang w:val="da-DK"/>
        </w:rPr>
        <w:tab/>
      </w:r>
      <w:r>
        <w:rPr>
          <w:i/>
          <w:lang w:val="da-DK"/>
        </w:rPr>
        <w:t>EYVL L 243, 24.9.1996, s. 31–35.</w:t>
      </w:r>
    </w:p>
  </w:footnote>
  <w:footnote w:id="65">
    <w:p>
      <w:pPr>
        <w:pStyle w:val="FootnoteText"/>
        <w:rPr>
          <w:lang w:val="da-DK"/>
        </w:rPr>
      </w:pPr>
      <w:r>
        <w:rPr>
          <w:rStyle w:val="FootnoteReference"/>
        </w:rPr>
        <w:footnoteRef/>
      </w:r>
      <w:r>
        <w:rPr>
          <w:lang w:val="da-DK"/>
        </w:rPr>
        <w:tab/>
      </w:r>
      <w:r>
        <w:rPr>
          <w:i/>
          <w:lang w:val="da-DK"/>
        </w:rPr>
        <w:t>EYVL L 84, 31.3.1978, s. 43–48.</w:t>
      </w:r>
    </w:p>
  </w:footnote>
  <w:footnote w:id="66">
    <w:p>
      <w:pPr>
        <w:pStyle w:val="FootnoteText"/>
        <w:rPr>
          <w:lang w:val="da-DK"/>
        </w:rPr>
      </w:pPr>
      <w:r>
        <w:rPr>
          <w:rStyle w:val="FootnoteReference"/>
        </w:rPr>
        <w:footnoteRef/>
      </w:r>
      <w:r>
        <w:rPr>
          <w:lang w:val="da-DK"/>
        </w:rPr>
        <w:tab/>
      </w:r>
      <w:r>
        <w:rPr>
          <w:rStyle w:val="Emphasis"/>
          <w:lang w:val="da-DK"/>
        </w:rPr>
        <w:t>EYVL L 377, 31.12.1991, s. 20 - 27.</w:t>
      </w:r>
    </w:p>
  </w:footnote>
  <w:footnote w:id="67">
    <w:p>
      <w:pPr>
        <w:pStyle w:val="FootnoteText"/>
        <w:rPr>
          <w:lang w:val="hu-HU"/>
        </w:rPr>
      </w:pPr>
      <w:r>
        <w:rPr>
          <w:rStyle w:val="FootnoteReference"/>
        </w:rPr>
        <w:footnoteRef/>
      </w:r>
      <w:r>
        <w:rPr>
          <w:lang w:val="da-DK"/>
        </w:rPr>
        <w:tab/>
      </w:r>
      <w:r>
        <w:rPr>
          <w:i/>
          <w:lang w:val="da-DK"/>
        </w:rPr>
        <w:t>EYVL L 326, 13.12.1984, s. 31–41.</w:t>
      </w:r>
    </w:p>
  </w:footnote>
  <w:footnote w:id="68">
    <w:p>
      <w:pPr>
        <w:pStyle w:val="FootnoteText"/>
        <w:rPr>
          <w:lang w:val="da-DK"/>
        </w:rPr>
      </w:pPr>
      <w:r>
        <w:rPr>
          <w:rStyle w:val="FootnoteReference"/>
        </w:rPr>
        <w:footnoteRef/>
      </w:r>
      <w:r>
        <w:rPr>
          <w:lang w:val="da-DK"/>
        </w:rPr>
        <w:tab/>
      </w:r>
      <w:r>
        <w:rPr>
          <w:i/>
          <w:lang w:val="da-DK"/>
        </w:rPr>
        <w:t>EYVL L 30, 6.2.1993, s. 1–28.</w:t>
      </w:r>
    </w:p>
  </w:footnote>
  <w:footnote w:id="69">
    <w:p>
      <w:pPr>
        <w:pStyle w:val="FootnoteText"/>
        <w:rPr>
          <w:lang w:val="da-DK"/>
        </w:rPr>
      </w:pPr>
      <w:r>
        <w:rPr>
          <w:rStyle w:val="FootnoteReference"/>
        </w:rPr>
        <w:footnoteRef/>
      </w:r>
      <w:r>
        <w:rPr>
          <w:lang w:val="da-DK"/>
        </w:rPr>
        <w:tab/>
      </w:r>
      <w:r>
        <w:rPr>
          <w:i/>
          <w:lang w:val="da-DK"/>
        </w:rPr>
        <w:t>EUVL L 190, 12.7.2006, s. 1–98.</w:t>
      </w:r>
    </w:p>
  </w:footnote>
  <w:footnote w:id="70">
    <w:p>
      <w:pPr>
        <w:pStyle w:val="FootnoteText"/>
        <w:rPr>
          <w:lang w:val="da-DK"/>
        </w:rPr>
      </w:pPr>
      <w:r>
        <w:rPr>
          <w:rStyle w:val="FootnoteReference"/>
        </w:rPr>
        <w:footnoteRef/>
      </w:r>
      <w:r>
        <w:rPr>
          <w:lang w:val="da-DK"/>
        </w:rPr>
        <w:tab/>
      </w:r>
      <w:r>
        <w:rPr>
          <w:rStyle w:val="Emphasis"/>
          <w:lang w:val="da-DK"/>
        </w:rPr>
        <w:t>EYVL L 176 , 6.7.1985, s. 18 - 21.</w:t>
      </w:r>
    </w:p>
  </w:footnote>
  <w:footnote w:id="71">
    <w:p>
      <w:pPr>
        <w:pStyle w:val="FootnoteText"/>
        <w:rPr>
          <w:lang w:val="hu-HU"/>
        </w:rPr>
      </w:pPr>
      <w:r>
        <w:rPr>
          <w:rStyle w:val="FootnoteReference"/>
        </w:rPr>
        <w:footnoteRef/>
      </w:r>
      <w:r>
        <w:rPr>
          <w:lang w:val="da-DK"/>
        </w:rPr>
        <w:tab/>
      </w:r>
      <w:r>
        <w:rPr>
          <w:i/>
          <w:lang w:val="da-DK"/>
        </w:rPr>
        <w:t>EYVL L 365, 31.12.1994, s. 10–23.</w:t>
      </w:r>
    </w:p>
  </w:footnote>
  <w:footnote w:id="72">
    <w:p>
      <w:pPr>
        <w:pStyle w:val="FootnoteText"/>
        <w:rPr>
          <w:lang w:val="hu-HU"/>
        </w:rPr>
      </w:pPr>
      <w:r>
        <w:rPr>
          <w:rStyle w:val="FootnoteReference"/>
        </w:rPr>
        <w:footnoteRef/>
      </w:r>
      <w:r>
        <w:rPr>
          <w:lang w:val="da-DK"/>
        </w:rPr>
        <w:tab/>
        <w:t>EUVL L 89, 25.3.2014, s. 45–76.</w:t>
      </w:r>
    </w:p>
  </w:footnote>
  <w:footnote w:id="73">
    <w:p>
      <w:pPr>
        <w:pStyle w:val="FootnoteText"/>
      </w:pPr>
      <w:r>
        <w:rPr>
          <w:rStyle w:val="FootnoteReference"/>
        </w:rPr>
        <w:footnoteRef/>
      </w:r>
      <w:r>
        <w:tab/>
      </w:r>
      <w:hyperlink r:id="rId1">
        <w:r>
          <w:t>EUVL L 126, 19.5.2005, s. 43.</w:t>
        </w:r>
      </w:hyperlink>
    </w:p>
  </w:footnote>
  <w:footnote w:id="74">
    <w:p>
      <w:pPr>
        <w:pStyle w:val="FootnoteText"/>
        <w:rPr>
          <w:lang w:val="hu-HU"/>
        </w:rPr>
      </w:pPr>
      <w:r>
        <w:rPr>
          <w:rStyle w:val="FootnoteReference"/>
        </w:rPr>
        <w:footnoteRef/>
      </w:r>
      <w:r>
        <w:tab/>
        <w:t>EUVL L 329, 25.11.2006, s. 38–63.</w:t>
      </w:r>
    </w:p>
  </w:footnote>
  <w:footnote w:id="75">
    <w:p>
      <w:pPr>
        <w:pStyle w:val="FootnoteText"/>
        <w:rPr>
          <w:lang w:val="hu-HU"/>
        </w:rPr>
      </w:pPr>
      <w:r>
        <w:rPr>
          <w:rStyle w:val="FootnoteReference"/>
        </w:rPr>
        <w:footnoteRef/>
      </w:r>
      <w:r>
        <w:tab/>
        <w:t>C(2012) 2384 lopullinen.</w:t>
      </w:r>
    </w:p>
  </w:footnote>
  <w:footnote w:id="76">
    <w:p>
      <w:pPr>
        <w:pStyle w:val="FootnoteText"/>
        <w:rPr>
          <w:lang w:val="hu-HU"/>
        </w:rPr>
      </w:pPr>
      <w:r>
        <w:rPr>
          <w:rStyle w:val="FootnoteReference"/>
        </w:rPr>
        <w:footnoteRef/>
      </w:r>
      <w:r>
        <w:rPr>
          <w:lang w:val="hu-HU"/>
        </w:rPr>
        <w:tab/>
        <w:t>EUVL L 78, 16.3.2004, s. 56–59.</w:t>
      </w:r>
    </w:p>
  </w:footnote>
  <w:footnote w:id="77">
    <w:p>
      <w:pPr>
        <w:pStyle w:val="FootnoteText"/>
        <w:rPr>
          <w:lang w:val="hu-HU"/>
        </w:rPr>
      </w:pPr>
      <w:r>
        <w:rPr>
          <w:rStyle w:val="FootnoteReference"/>
        </w:rPr>
        <w:footnoteRef/>
      </w:r>
      <w:r>
        <w:rPr>
          <w:lang w:val="hu-HU"/>
        </w:rPr>
        <w:tab/>
        <w:t>EUVL L 67, 7.3.2007, s. 7–9.</w:t>
      </w:r>
    </w:p>
  </w:footnote>
  <w:footnote w:id="78">
    <w:p>
      <w:pPr>
        <w:pStyle w:val="FootnoteText"/>
        <w:rPr>
          <w:lang w:val="hu-HU"/>
        </w:rPr>
      </w:pPr>
      <w:r>
        <w:rPr>
          <w:rStyle w:val="FootnoteReference"/>
        </w:rPr>
        <w:footnoteRef/>
      </w:r>
      <w:r>
        <w:rPr>
          <w:lang w:val="hu-HU"/>
        </w:rPr>
        <w:tab/>
        <w:t>EYVL L 298, 25.11.2000, s. 24–26.</w:t>
      </w:r>
    </w:p>
  </w:footnote>
  <w:footnote w:id="79">
    <w:p>
      <w:pPr>
        <w:pStyle w:val="FootnoteText"/>
        <w:rPr>
          <w:lang w:val="hu-HU"/>
        </w:rPr>
      </w:pPr>
      <w:r>
        <w:rPr>
          <w:rStyle w:val="FootnoteReference"/>
        </w:rPr>
        <w:footnoteRef/>
      </w:r>
      <w:r>
        <w:rPr>
          <w:lang w:val="da-DK"/>
        </w:rPr>
        <w:tab/>
        <w:t>EYVL L 282, 26.10.2001, s. 77–80.</w:t>
      </w:r>
    </w:p>
  </w:footnote>
  <w:footnote w:id="80">
    <w:p>
      <w:pPr>
        <w:pStyle w:val="FootnoteText"/>
        <w:ind w:left="0" w:firstLine="0"/>
        <w:rPr>
          <w:lang w:val="hu-HU"/>
        </w:rPr>
      </w:pPr>
      <w:r>
        <w:rPr>
          <w:rStyle w:val="FootnoteReference"/>
        </w:rPr>
        <w:footnoteRef/>
      </w:r>
      <w:r>
        <w:rPr>
          <w:lang w:val="da-DK"/>
        </w:rPr>
        <w:tab/>
        <w:t>EYVL L 256, 19.9.1997, s. 13–19.</w:t>
      </w:r>
    </w:p>
  </w:footnote>
  <w:footnote w:id="81">
    <w:p>
      <w:pPr>
        <w:pStyle w:val="FootnoteText"/>
        <w:rPr>
          <w:lang w:val="hu-HU"/>
        </w:rPr>
      </w:pPr>
      <w:r>
        <w:rPr>
          <w:rStyle w:val="FootnoteReference"/>
        </w:rPr>
        <w:footnoteRef/>
      </w:r>
      <w:r>
        <w:rPr>
          <w:lang w:val="hu-HU"/>
        </w:rPr>
        <w:tab/>
        <w:t>EYVL L 296, 17.11.1994, s. 42–55.</w:t>
      </w:r>
    </w:p>
  </w:footnote>
  <w:footnote w:id="82">
    <w:p>
      <w:pPr>
        <w:pStyle w:val="FootnoteText"/>
        <w:rPr>
          <w:lang w:val="hu-HU"/>
        </w:rPr>
      </w:pPr>
      <w:r>
        <w:rPr>
          <w:rStyle w:val="FootnoteReference"/>
        </w:rPr>
        <w:footnoteRef/>
      </w:r>
      <w:r>
        <w:rPr>
          <w:lang w:val="hu-HU"/>
        </w:rPr>
        <w:tab/>
        <w:t>EUVL L 247, 24.9.2011, s. 54–58.</w:t>
      </w:r>
    </w:p>
  </w:footnote>
  <w:footnote w:id="83">
    <w:p>
      <w:pPr>
        <w:pStyle w:val="FootnoteText"/>
        <w:rPr>
          <w:lang w:val="hu-HU"/>
        </w:rPr>
      </w:pPr>
      <w:r>
        <w:rPr>
          <w:rStyle w:val="FootnoteReference"/>
        </w:rPr>
        <w:footnoteRef/>
      </w:r>
      <w:r>
        <w:rPr>
          <w:lang w:val="hu-HU"/>
        </w:rPr>
        <w:tab/>
        <w:t>EUVL L 37, 11.2.2011, s. 19–24.</w:t>
      </w:r>
    </w:p>
  </w:footnote>
  <w:footnote w:id="84">
    <w:p>
      <w:pPr>
        <w:pStyle w:val="FootnoteText"/>
        <w:rPr>
          <w:lang w:val="hu-HU"/>
        </w:rPr>
      </w:pPr>
      <w:r>
        <w:rPr>
          <w:rStyle w:val="FootnoteReference"/>
        </w:rPr>
        <w:footnoteRef/>
      </w:r>
      <w:r>
        <w:rPr>
          <w:lang w:val="hu-HU"/>
        </w:rPr>
        <w:tab/>
        <w:t>EUVL L 292, 10.11.2010, s. 65-67.</w:t>
      </w:r>
    </w:p>
  </w:footnote>
  <w:footnote w:id="85">
    <w:p>
      <w:pPr>
        <w:pStyle w:val="FootnoteText"/>
        <w:rPr>
          <w:lang w:val="hu-HU"/>
        </w:rPr>
      </w:pPr>
      <w:r>
        <w:rPr>
          <w:rStyle w:val="FootnoteReference"/>
        </w:rPr>
        <w:footnoteRef/>
      </w:r>
      <w:r>
        <w:rPr>
          <w:lang w:val="hu-HU"/>
        </w:rPr>
        <w:tab/>
        <w:t>EUVL L 195, 27.7.2007, s. 47–49.</w:t>
      </w:r>
    </w:p>
  </w:footnote>
  <w:footnote w:id="86">
    <w:p>
      <w:pPr>
        <w:pStyle w:val="FootnoteText"/>
        <w:rPr>
          <w:lang w:val="hu-HU"/>
        </w:rPr>
      </w:pPr>
      <w:r>
        <w:rPr>
          <w:rStyle w:val="FootnoteReference"/>
        </w:rPr>
        <w:footnoteRef/>
      </w:r>
      <w:r>
        <w:rPr>
          <w:lang w:val="hu-HU"/>
        </w:rPr>
        <w:tab/>
        <w:t>EYVL L 89, 5.4.2003, s. 17–23.</w:t>
      </w:r>
    </w:p>
  </w:footnote>
  <w:footnote w:id="87">
    <w:p>
      <w:pPr>
        <w:pStyle w:val="FootnoteText"/>
        <w:rPr>
          <w:lang w:val="da-DK"/>
        </w:rPr>
      </w:pPr>
      <w:r>
        <w:rPr>
          <w:rStyle w:val="FootnoteReference"/>
        </w:rPr>
        <w:footnoteRef/>
      </w:r>
      <w:r>
        <w:rPr>
          <w:lang w:val="da-DK"/>
        </w:rPr>
        <w:tab/>
        <w:t>EYVL L 195, 24.7.2002, s. 74-80.</w:t>
      </w:r>
    </w:p>
  </w:footnote>
  <w:footnote w:id="88">
    <w:p>
      <w:pPr>
        <w:pStyle w:val="FootnoteText"/>
        <w:rPr>
          <w:lang w:val="da-DK"/>
        </w:rPr>
      </w:pPr>
      <w:r>
        <w:rPr>
          <w:rStyle w:val="FootnoteReference"/>
        </w:rPr>
        <w:footnoteRef/>
      </w:r>
      <w:r>
        <w:rPr>
          <w:lang w:val="da-DK"/>
        </w:rPr>
        <w:tab/>
        <w:t>EYVL L 148, 15.6.1999, s. 39-43.</w:t>
      </w:r>
    </w:p>
  </w:footnote>
  <w:footnote w:id="89">
    <w:p>
      <w:pPr>
        <w:pStyle w:val="FootnoteText"/>
        <w:rPr>
          <w:lang w:val="da-DK"/>
        </w:rPr>
      </w:pPr>
      <w:r>
        <w:rPr>
          <w:rStyle w:val="FootnoteReference"/>
        </w:rPr>
        <w:footnoteRef/>
      </w:r>
      <w:r>
        <w:rPr>
          <w:lang w:val="da-DK"/>
        </w:rPr>
        <w:tab/>
        <w:t>EYVL L 120, 8.5.1999, s. 43–45.</w:t>
      </w:r>
    </w:p>
  </w:footnote>
  <w:footnote w:id="90">
    <w:p>
      <w:pPr>
        <w:pStyle w:val="FootnoteText"/>
        <w:rPr>
          <w:lang w:val="da-DK"/>
        </w:rPr>
      </w:pPr>
      <w:r>
        <w:rPr>
          <w:rStyle w:val="FootnoteReference"/>
        </w:rPr>
        <w:footnoteRef/>
      </w:r>
      <w:r>
        <w:rPr>
          <w:lang w:val="da-DK"/>
        </w:rPr>
        <w:tab/>
        <w:t>EYVL L 67, 7.3.1998, s. 48–50.</w:t>
      </w:r>
    </w:p>
  </w:footnote>
  <w:footnote w:id="91">
    <w:p>
      <w:pPr>
        <w:pStyle w:val="FootnoteText"/>
        <w:rPr>
          <w:lang w:val="hu-HU"/>
        </w:rPr>
      </w:pPr>
      <w:r>
        <w:rPr>
          <w:rStyle w:val="FootnoteReference"/>
        </w:rPr>
        <w:footnoteRef/>
      </w:r>
      <w:r>
        <w:rPr>
          <w:lang w:val="da-DK"/>
        </w:rPr>
        <w:tab/>
        <w:t>EYVL L 213, 22.8.1996, s. 16–24.</w:t>
      </w:r>
    </w:p>
  </w:footnote>
  <w:footnote w:id="92">
    <w:p>
      <w:pPr>
        <w:pStyle w:val="FootnoteText"/>
        <w:rPr>
          <w:lang w:val="hu-HU"/>
        </w:rPr>
      </w:pPr>
      <w:r>
        <w:rPr>
          <w:rStyle w:val="FootnoteReference"/>
        </w:rPr>
        <w:footnoteRef/>
      </w:r>
      <w:r>
        <w:rPr>
          <w:lang w:val="da-DK"/>
        </w:rPr>
        <w:tab/>
        <w:t>EYVL L 116, 11.5.1996, s. 26–27.</w:t>
      </w:r>
    </w:p>
  </w:footnote>
  <w:footnote w:id="93">
    <w:p>
      <w:pPr>
        <w:pStyle w:val="FootnoteText"/>
        <w:rPr>
          <w:lang w:val="da-DK"/>
        </w:rPr>
      </w:pPr>
      <w:r>
        <w:rPr>
          <w:rStyle w:val="FootnoteReference"/>
        </w:rPr>
        <w:footnoteRef/>
      </w:r>
      <w:r>
        <w:rPr>
          <w:lang w:val="da-DK"/>
        </w:rPr>
        <w:tab/>
        <w:t>EYVL L 247, 31.12.1994, s. 10-36.</w:t>
      </w:r>
    </w:p>
  </w:footnote>
  <w:footnote w:id="94">
    <w:p>
      <w:pPr>
        <w:pStyle w:val="FootnoteText"/>
        <w:rPr>
          <w:lang w:val="hu-HU"/>
        </w:rPr>
      </w:pPr>
      <w:r>
        <w:rPr>
          <w:rStyle w:val="FootnoteReference"/>
        </w:rPr>
        <w:footnoteRef/>
      </w:r>
      <w:r>
        <w:rPr>
          <w:lang w:val="da-DK"/>
        </w:rPr>
        <w:tab/>
        <w:t>EYVL L 200, 24.8.1995, s. 1–34.</w:t>
      </w:r>
    </w:p>
  </w:footnote>
  <w:footnote w:id="95">
    <w:p>
      <w:pPr>
        <w:pStyle w:val="FootnoteText"/>
      </w:pPr>
      <w:r>
        <w:rPr>
          <w:rStyle w:val="FootnoteReference"/>
        </w:rPr>
        <w:footnoteRef/>
      </w:r>
      <w:r>
        <w:tab/>
        <w:t>Katso SEIS-järjestelmää koskeva vaikutustenarviointi, SWD(2008) 111, 1.2.2008.</w:t>
      </w:r>
    </w:p>
  </w:footnote>
  <w:footnote w:id="96">
    <w:p>
      <w:pPr>
        <w:pStyle w:val="FootnoteText"/>
      </w:pPr>
      <w:r>
        <w:rPr>
          <w:rStyle w:val="FootnoteReference"/>
        </w:rPr>
        <w:footnoteRef/>
      </w:r>
      <w:r>
        <w:tab/>
        <w:t>http://ec.europa.eu/environment/legal/reporting/index_en.htm.</w:t>
      </w:r>
    </w:p>
  </w:footnote>
  <w:footnote w:id="97">
    <w:p>
      <w:pPr>
        <w:pStyle w:val="FootnoteText"/>
      </w:pPr>
      <w:r>
        <w:rPr>
          <w:rStyle w:val="FootnoteReference"/>
        </w:rPr>
        <w:footnoteRef/>
      </w:r>
      <w:r>
        <w:tab/>
        <w:t xml:space="preserve">Euroopan parlamentin ja neuvoston asetus (EU) N:o 182/2011, annettu 16 päivänä helmikuuta 2011, </w:t>
      </w:r>
    </w:p>
    <w:p>
      <w:pPr>
        <w:pStyle w:val="FootnoteText"/>
      </w:pPr>
      <w:r>
        <w:t>yleisistä säännöistä ja periaatteista, joiden mukaisesti jäsenvaltiot valvovat komission täytäntöönpanovallan käyttöä (EUVL L 55, 28.2.2011, s. 13-18).</w:t>
      </w:r>
    </w:p>
  </w:footnote>
  <w:footnote w:id="98">
    <w:p>
      <w:pPr>
        <w:pStyle w:val="FootnoteText"/>
        <w:rPr>
          <w:lang w:val="hu-HU"/>
        </w:rPr>
      </w:pPr>
      <w:r>
        <w:rPr>
          <w:rStyle w:val="FootnoteReference"/>
        </w:rPr>
        <w:footnoteRef/>
      </w:r>
      <w:r>
        <w:tab/>
        <w:t>Komission tiedonanto Euroopan parlamentille, neuvostolle, Euroopan talous- ja sosiaalikomitealle ja alueiden komitealle:  Kierto kuntoon - Kiertotaloutta koskeva EU:n toimintasuunnitelma, COM(2015) 614 final.</w:t>
      </w:r>
    </w:p>
  </w:footnote>
  <w:footnote w:id="99">
    <w:p>
      <w:pPr>
        <w:pStyle w:val="FootnoteText"/>
        <w:rPr>
          <w:lang w:val="hu-HU"/>
        </w:rPr>
      </w:pPr>
      <w:r>
        <w:rPr>
          <w:rStyle w:val="FootnoteReference"/>
        </w:rPr>
        <w:footnoteRef/>
      </w:r>
      <w:r>
        <w:rPr>
          <w:lang w:val="pt-PT"/>
        </w:rPr>
        <w:tab/>
        <w:t>COM/2015/0337 final/2.</w:t>
      </w:r>
    </w:p>
  </w:footnote>
  <w:footnote w:id="100">
    <w:p>
      <w:pPr>
        <w:pStyle w:val="FootnoteText"/>
        <w:rPr>
          <w:lang w:val="pt-PT"/>
        </w:rPr>
      </w:pPr>
      <w:r>
        <w:rPr>
          <w:rStyle w:val="FootnoteReference"/>
        </w:rPr>
        <w:footnoteRef/>
      </w:r>
      <w:r>
        <w:rPr>
          <w:lang w:val="pt-PT"/>
        </w:rPr>
        <w:tab/>
        <w:t>EUVL C […], […], s. […].</w:t>
      </w:r>
    </w:p>
  </w:footnote>
  <w:footnote w:id="101">
    <w:p>
      <w:pPr>
        <w:pStyle w:val="FootnoteText"/>
      </w:pPr>
      <w:r>
        <w:rPr>
          <w:rStyle w:val="FootnoteReference"/>
        </w:rPr>
        <w:footnoteRef/>
      </w:r>
      <w:r>
        <w:tab/>
        <w:t>EUVL C […], […], s. […].</w:t>
      </w:r>
    </w:p>
  </w:footnote>
  <w:footnote w:id="102">
    <w:p>
      <w:pPr>
        <w:pStyle w:val="FootnoteText"/>
      </w:pPr>
      <w:r>
        <w:rPr>
          <w:rStyle w:val="FootnoteReference"/>
        </w:rPr>
        <w:footnoteRef/>
      </w:r>
      <w:r>
        <w:tab/>
        <w:t>Neuvoston direktiivi 86/278/ETY, annettu 12 päivänä kesäkuuta 1986, ympäristön, erityisesti maaperän, suojelusta käytettäessä puhdistamolietettä maanviljelyssä</w:t>
      </w:r>
      <w:r>
        <w:rPr>
          <w:rStyle w:val="Emphasis"/>
          <w:i w:val="0"/>
        </w:rPr>
        <w:t xml:space="preserve"> (EYVL L 181, 4.7.1986, s. 6).</w:t>
      </w:r>
    </w:p>
  </w:footnote>
  <w:footnote w:id="103">
    <w:p>
      <w:pPr>
        <w:pStyle w:val="FootnoteText"/>
      </w:pPr>
      <w:r>
        <w:rPr>
          <w:rStyle w:val="FootnoteReference"/>
        </w:rPr>
        <w:footnoteRef/>
      </w:r>
      <w:r>
        <w:tab/>
        <w:t xml:space="preserve">Neuvoston direktiivi 87/217/ETY, annettu 19 päivänä maaliskuuta 1987, asbestin aiheuttaman ympäristön pilaantumisen ehkäisemisestä ja vähentämisestä </w:t>
      </w:r>
      <w:r>
        <w:rPr>
          <w:rStyle w:val="Emphasis"/>
          <w:i w:val="0"/>
        </w:rPr>
        <w:t xml:space="preserve"> (EYVL L 85 , 28.3.1987, s. 40).</w:t>
      </w:r>
    </w:p>
  </w:footnote>
  <w:footnote w:id="104">
    <w:p>
      <w:pPr>
        <w:pStyle w:val="FootnoteText"/>
      </w:pPr>
      <w:r>
        <w:rPr>
          <w:rStyle w:val="FootnoteReference"/>
        </w:rPr>
        <w:footnoteRef/>
      </w:r>
      <w:r>
        <w:tab/>
        <w:t>Neuvoston direktiivi 91/692/ETY, annettu 23 päivänä joulukuuta 1991, eräiden ympäristöä koskevien direktiivien täytäntöönpanoon liittyvien kertomusten standardoinnista ja järkeistämisestä (EYVL L 377, 31.12.1991, s. 48).</w:t>
      </w:r>
    </w:p>
  </w:footnote>
  <w:footnote w:id="105">
    <w:p>
      <w:pPr>
        <w:pStyle w:val="FootnoteText"/>
      </w:pPr>
      <w:r>
        <w:rPr>
          <w:rStyle w:val="FootnoteReference"/>
        </w:rPr>
        <w:footnoteRef/>
      </w:r>
      <w:r>
        <w:tab/>
        <w:t>Euroopan parlamentin ja neuvoston direktiivi 94/63/EY, annettu 20 päivänä joulukuuta 1994, bensiinin varastoinnista ja sen jakelusta varastoalueilta huoltoasemille aiheutuvien haihtuvien orgaanisten yhdisteiden (VOC) päästöjen torjunnasta (EYVL L 365, 31.12.1994, s. 24).</w:t>
      </w:r>
    </w:p>
  </w:footnote>
  <w:footnote w:id="106">
    <w:p>
      <w:pPr>
        <w:pStyle w:val="FootnoteText"/>
      </w:pPr>
      <w:r>
        <w:rPr>
          <w:rStyle w:val="FootnoteReference"/>
        </w:rPr>
        <w:footnoteRef/>
      </w:r>
      <w:r>
        <w:tab/>
        <w:t>Euroopan parlamentin ja neuvoston direktiivi 2000/60/EY, annettu 23 päivänä lokakuuta 2000, yhteisön vesipolitiikan puitteista (EYVL L 327, 22.12.2000, s. 1).</w:t>
      </w:r>
    </w:p>
  </w:footnote>
  <w:footnote w:id="107">
    <w:p>
      <w:pPr>
        <w:pStyle w:val="FootnoteText"/>
      </w:pPr>
      <w:r>
        <w:rPr>
          <w:rStyle w:val="FootnoteReference"/>
        </w:rPr>
        <w:footnoteRef/>
      </w:r>
      <w:r>
        <w:tab/>
        <w:t>Euroopan parlamentin ja neuvoston direktiivi 2010/75/EU, annettu 24 päivänä marraskuuta 2010, teollisuuden päästöistä (yhtenäistetty ympäristön pilaantumisen ehkäiseminen ja vähentäminen) (EUVL L 334, 17.12.2010, s. 17).</w:t>
      </w:r>
    </w:p>
  </w:footnote>
  <w:footnote w:id="108">
    <w:p>
      <w:pPr>
        <w:pStyle w:val="FootnoteText"/>
        <w:rPr>
          <w:lang w:val="lv-LV"/>
        </w:rPr>
      </w:pPr>
      <w:r>
        <w:rPr>
          <w:rStyle w:val="FootnoteReference"/>
        </w:rPr>
        <w:footnoteRef/>
      </w:r>
      <w:r>
        <w:tab/>
        <w:t>Euroopan parlamentin ja neuvoston direktiivi 2007/2/EY, annettu 14 päivänä maaliskuuta 2007, Euroopan yhteisön paikkatietoinfrastruktuurin (INSPIRE) perustamisesta (EUVL L 108, 25.4.2007, s. 1).</w:t>
      </w:r>
    </w:p>
  </w:footnote>
  <w:footnote w:id="109">
    <w:p>
      <w:pPr>
        <w:pStyle w:val="FootnoteText"/>
      </w:pPr>
      <w:r>
        <w:rPr>
          <w:rStyle w:val="FootnoteReference"/>
        </w:rPr>
        <w:footnoteRef/>
      </w:r>
      <w:r>
        <w:tab/>
        <w:t>COM(2008) 46, 1.2.2008.</w:t>
      </w:r>
    </w:p>
  </w:footnote>
  <w:footnote w:id="110">
    <w:p>
      <w:pPr>
        <w:pStyle w:val="FootnoteText"/>
      </w:pPr>
      <w:r>
        <w:rPr>
          <w:rStyle w:val="FootnoteReference"/>
        </w:rPr>
        <w:footnoteRef/>
      </w:r>
      <w:r>
        <w:tab/>
        <w:t>Euroopan parlamentin ja neuvoston asetus (EY) N:o 1907/2006, annettu 18 päivänä joulukuuta 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(EUVL L 396, 30.12.2006, s. 1).</w:t>
      </w:r>
    </w:p>
  </w:footnote>
  <w:footnote w:id="111">
    <w:p>
      <w:pPr>
        <w:pStyle w:val="FootnoteText"/>
      </w:pPr>
      <w:r>
        <w:rPr>
          <w:rStyle w:val="FootnoteReference"/>
        </w:rPr>
        <w:footnoteRef/>
      </w:r>
      <w:r>
        <w:tab/>
        <w:t>Euroopan parlamentin ja neuvoston direktiivi 94/62/EY, annettu 20 päivänä joulukuuta 1994, pakkauksista ja pakkausjätteistä (EYVL L 365, 31.12.1994, s. 10).</w:t>
      </w:r>
    </w:p>
  </w:footnote>
  <w:footnote w:id="112">
    <w:p>
      <w:pPr>
        <w:pStyle w:val="FootnoteText"/>
      </w:pPr>
      <w:r>
        <w:rPr>
          <w:rStyle w:val="FootnoteReference"/>
        </w:rPr>
        <w:footnoteRef/>
      </w:r>
      <w:r>
        <w:tab/>
        <w:t>Neuvoston direktiivi 1999/31/EY, annettu 26 päivänä huhtikuuta 1999, kaatopaikoista (EYVL L 182, 16.7.1999, s. 1).</w:t>
      </w:r>
    </w:p>
  </w:footnote>
  <w:footnote w:id="113">
    <w:p>
      <w:pPr>
        <w:pStyle w:val="FootnoteText"/>
      </w:pPr>
      <w:r>
        <w:rPr>
          <w:rStyle w:val="FootnoteReference"/>
        </w:rPr>
        <w:footnoteRef/>
      </w:r>
      <w:r>
        <w:tab/>
        <w:t>Euroopan parlamentin ja neuvoston direktiivi 2000/53/EY, annettu 18 päivänä syyskuuta 2000, romuajoneuvoista (EYVL L 269, 21.10.2000, s. 34).</w:t>
      </w:r>
    </w:p>
  </w:footnote>
  <w:footnote w:id="114">
    <w:p>
      <w:pPr>
        <w:pStyle w:val="FootnoteText"/>
        <w:rPr>
          <w:lang w:val="hu-HU"/>
        </w:rPr>
      </w:pPr>
      <w:r>
        <w:rPr>
          <w:rStyle w:val="FootnoteReference"/>
        </w:rPr>
        <w:footnoteRef/>
      </w:r>
      <w:r>
        <w:tab/>
        <w:t>Euroopan parlamentin ja neuvoston direktiivi 2003/87/EY, annettu 13 päivänä lokakuuta 2003, kasvihuonekaasujen päästöoikeuksien kaupan järjestelmän toteuttamisesta yhteisössä ja neuvoston direktiivin 96/61/EY muuttamisesta (EUVL L 275, 25.10.2003, s. 32).</w:t>
      </w:r>
    </w:p>
  </w:footnote>
  <w:footnote w:id="115">
    <w:p>
      <w:pPr>
        <w:pStyle w:val="FootnoteText"/>
      </w:pPr>
      <w:r>
        <w:rPr>
          <w:rStyle w:val="FootnoteReference"/>
        </w:rPr>
        <w:footnoteRef/>
      </w:r>
      <w:r>
        <w:tab/>
        <w:t>Euroopan parlamentin ja neuvoston direktiivi 2008/98/EY, annettu 19 päivänä marraskuuta 2008, jätteistä ja tiettyjen direktiivien kumoamisesta (EUVL L 312, 22.11.2008, s. 3).</w:t>
      </w:r>
    </w:p>
  </w:footnote>
  <w:footnote w:id="116">
    <w:p>
      <w:pPr>
        <w:pStyle w:val="FootnoteText"/>
      </w:pPr>
      <w:r>
        <w:rPr>
          <w:rStyle w:val="FootnoteReference"/>
        </w:rPr>
        <w:footnoteRef/>
      </w:r>
      <w:r>
        <w:tab/>
        <w:t>Euroopan parlamentin ja neuvoston direktiivi 2009/31/EY, annettu 23 päivänä huhtikuuta 2009, hiilidioksidin geologisesta varastoinnista ja neuvoston direktiivin 85/337/ETY sekä Euroopan parlamentin ja neuvoston direktiivien 2000/60/EY, 2001/80/EY, 2004/35/EY, 2006/12/EY ja 2008/1/EY ja asetuksen (EY) N:o 1013/2006 muuttamisesta (EUVL L 275, 25.10.2003, s. 32).</w:t>
      </w:r>
    </w:p>
  </w:footnote>
  <w:footnote w:id="117">
    <w:p>
      <w:pPr>
        <w:pStyle w:val="FootnoteText"/>
        <w:rPr>
          <w:lang w:val="hu-HU"/>
        </w:rPr>
      </w:pPr>
      <w:r>
        <w:rPr>
          <w:rStyle w:val="FootnoteReference"/>
        </w:rPr>
        <w:footnoteRef/>
      </w:r>
      <w:r>
        <w:tab/>
        <w:t>Euroopan parlamentin ja neuvoston asetus (EU) N:o 1257/2013, annettu 20 päivänä marraskuuta 2013, aluskierrätyksestä sekä asetuksen (EY) N:o 1013/2006 ja direktiivin 2009/16/EY muuttamisesta (EUVL L 330, 10.12.2013, s. 1).</w:t>
      </w:r>
    </w:p>
  </w:footnote>
  <w:footnote w:id="118">
    <w:p>
      <w:pPr>
        <w:pStyle w:val="FootnoteText"/>
        <w:rPr>
          <w:lang w:val="pt-PT"/>
        </w:rPr>
      </w:pPr>
      <w:r>
        <w:rPr>
          <w:rStyle w:val="FootnoteReference"/>
        </w:rPr>
        <w:footnoteRef/>
      </w:r>
      <w:r>
        <w:rPr>
          <w:lang w:val="pt-PT"/>
        </w:rPr>
        <w:tab/>
        <w:t>COM(2015) 614 final, 2.12.2015.</w:t>
      </w:r>
    </w:p>
  </w:footnote>
  <w:footnote w:id="119">
    <w:p>
      <w:pPr>
        <w:pStyle w:val="FootnoteText"/>
        <w:rPr>
          <w:lang w:val="hu-HU"/>
        </w:rPr>
      </w:pPr>
      <w:r>
        <w:rPr>
          <w:rStyle w:val="FootnoteReference"/>
        </w:rPr>
        <w:footnoteRef/>
      </w:r>
      <w:r>
        <w:rPr>
          <w:lang w:val="pt-PT"/>
        </w:rPr>
        <w:tab/>
        <w:t>COM(2015) 595 final.</w:t>
      </w:r>
    </w:p>
  </w:footnote>
  <w:footnote w:id="120">
    <w:p>
      <w:pPr>
        <w:pStyle w:val="FootnoteText"/>
        <w:rPr>
          <w:lang w:val="pt-PT"/>
        </w:rPr>
      </w:pPr>
      <w:r>
        <w:rPr>
          <w:rStyle w:val="FootnoteReference"/>
        </w:rPr>
        <w:footnoteRef/>
      </w:r>
      <w:r>
        <w:rPr>
          <w:lang w:val="pt-PT"/>
        </w:rPr>
        <w:tab/>
        <w:t>COM(2015) 593 final.</w:t>
      </w:r>
    </w:p>
  </w:footnote>
  <w:footnote w:id="121">
    <w:p>
      <w:pPr>
        <w:pStyle w:val="FootnoteText"/>
        <w:rPr>
          <w:lang w:val="hu-HU"/>
        </w:rPr>
      </w:pPr>
      <w:r>
        <w:rPr>
          <w:rStyle w:val="FootnoteReference"/>
        </w:rPr>
        <w:footnoteRef/>
      </w:r>
      <w:r>
        <w:rPr>
          <w:lang w:val="pt-PT"/>
        </w:rPr>
        <w:tab/>
        <w:t>COM(2015) 594 final.</w:t>
      </w:r>
    </w:p>
  </w:footnote>
  <w:footnote w:id="122">
    <w:p>
      <w:pPr>
        <w:pStyle w:val="FootnoteText"/>
        <w:rPr>
          <w:lang w:val="pt-PT"/>
        </w:rPr>
      </w:pPr>
      <w:r>
        <w:rPr>
          <w:rStyle w:val="FootnoteReference"/>
        </w:rPr>
        <w:footnoteRef/>
      </w:r>
      <w:r>
        <w:rPr>
          <w:lang w:val="pt-PT"/>
        </w:rPr>
        <w:tab/>
        <w:t>COM(2015) 596 final</w:t>
      </w:r>
      <w:r>
        <w:rPr>
          <w:rFonts w:ascii="Lucida Sans Unicode" w:hAnsi="Lucida Sans Unicode"/>
          <w:color w:val="444444"/>
          <w:sz w:val="19"/>
          <w:lang w:val="pt-PT"/>
        </w:rPr>
        <w:t xml:space="preserve"> </w:t>
      </w:r>
      <w:r>
        <w:rPr>
          <w:lang w:val="pt-PT"/>
        </w:rPr>
        <w:t>COM/2015/337.</w:t>
      </w:r>
    </w:p>
  </w:footnote>
  <w:footnote w:id="123">
    <w:p>
      <w:pPr>
        <w:pStyle w:val="FootnoteText"/>
        <w:rPr>
          <w:lang w:val="pt-PT"/>
        </w:rPr>
      </w:pPr>
      <w:r>
        <w:rPr>
          <w:rStyle w:val="FootnoteReference"/>
        </w:rPr>
        <w:footnoteRef/>
      </w:r>
      <w:r>
        <w:tab/>
        <w:t>COM/2015/337.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606B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3673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4EB1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C38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4E7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9494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F43626"/>
    <w:lvl w:ilvl="0">
      <w:start w:val="1"/>
      <w:numFmt w:val="decimal"/>
      <w:pStyle w:val="ListNumber"/>
      <w:lvlText w:val="%1."/>
      <w:lvlJc w:val="left"/>
      <w:pPr>
        <w:tabs>
          <w:tab w:val="num" w:pos="360"/>
        </w:tabs>
        <w:ind w:left="360" w:hanging="360"/>
      </w:pPr>
    </w:lvl>
  </w:abstractNum>
  <w:abstractNum w:abstractNumId="7">
    <w:nsid w:val="FFFFFF89"/>
    <w:multiLevelType w:val="singleLevel"/>
    <w:tmpl w:val="2A1AB3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DD12CB4"/>
    <w:multiLevelType w:val="hybridMultilevel"/>
    <w:tmpl w:val="6B70125C"/>
    <w:lvl w:ilvl="0" w:tplc="96BE6DC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777592"/>
    <w:multiLevelType w:val="hybridMultilevel"/>
    <w:tmpl w:val="86C6FDEA"/>
    <w:lvl w:ilvl="0" w:tplc="9E128954">
      <w:start w:val="1"/>
      <w:numFmt w:val="bullet"/>
      <w:lvlText w:val=""/>
      <w:lvlJc w:val="left"/>
      <w:pPr>
        <w:ind w:left="785" w:hanging="360"/>
      </w:pPr>
      <w:rPr>
        <w:rFonts w:ascii="Wingdings" w:hAnsi="Wingdings"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AA4A4E"/>
    <w:multiLevelType w:val="hybridMultilevel"/>
    <w:tmpl w:val="F6E416BE"/>
    <w:lvl w:ilvl="0" w:tplc="F258B910">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6"/>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20"/>
  </w:num>
  <w:num w:numId="16">
    <w:abstractNumId w:val="13"/>
  </w:num>
  <w:num w:numId="17">
    <w:abstractNumId w:val="22"/>
  </w:num>
  <w:num w:numId="18">
    <w:abstractNumId w:val="11"/>
  </w:num>
  <w:num w:numId="19">
    <w:abstractNumId w:val="14"/>
  </w:num>
  <w:num w:numId="20">
    <w:abstractNumId w:val="9"/>
  </w:num>
  <w:num w:numId="21">
    <w:abstractNumId w:val="21"/>
  </w:num>
  <w:num w:numId="22">
    <w:abstractNumId w:val="8"/>
  </w:num>
  <w:num w:numId="23">
    <w:abstractNumId w:val="15"/>
  </w:num>
  <w:num w:numId="24">
    <w:abstractNumId w:val="18"/>
  </w:num>
  <w:num w:numId="25">
    <w:abstractNumId w:val="19"/>
  </w:num>
  <w:num w:numId="26">
    <w:abstractNumId w:val="10"/>
  </w:num>
  <w:num w:numId="27">
    <w:abstractNumId w:val="17"/>
  </w:num>
  <w:num w:numId="28">
    <w:abstractNumId w:val="24"/>
  </w:num>
  <w:num w:numId="29">
    <w:abstractNumId w:val="20"/>
  </w:num>
  <w:num w:numId="30">
    <w:abstractNumId w:val="13"/>
  </w:num>
  <w:num w:numId="31">
    <w:abstractNumId w:val="22"/>
  </w:num>
  <w:num w:numId="32">
    <w:abstractNumId w:val="11"/>
  </w:num>
  <w:num w:numId="33">
    <w:abstractNumId w:val="14"/>
  </w:num>
  <w:num w:numId="34">
    <w:abstractNumId w:val="9"/>
  </w:num>
  <w:num w:numId="35">
    <w:abstractNumId w:val="21"/>
  </w:num>
  <w:num w:numId="36">
    <w:abstractNumId w:val="8"/>
  </w:num>
  <w:num w:numId="37">
    <w:abstractNumId w:val="15"/>
  </w:num>
  <w:num w:numId="38">
    <w:abstractNumId w:val="18"/>
  </w:num>
  <w:num w:numId="39">
    <w:abstractNumId w:val="19"/>
  </w:num>
  <w:num w:numId="40">
    <w:abstractNumId w:val="10"/>
  </w:num>
  <w:num w:numId="41">
    <w:abstractNumId w:val="17"/>
  </w:num>
  <w:num w:numId="42">
    <w:abstractNumId w:val="2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15:presenceInfo w15:providerId="None" w15:userId="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oNotTrackFormatting/>
  <w:defaultTabStop w:val="720"/>
  <w:drawingGridHorizontalSpacing w:val="120"/>
  <w:displayHorizontalDrawingGridEvery w:val="2"/>
  <w:characterSpacingControl w:val="doNotCompress"/>
  <w:hdrShapeDefaults>
    <o:shapedefaults v:ext="edit" spidmax="1597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7 17:34: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70D48698C40C415B98C36921E927E0C1"/>
    <w:docVar w:name="LW_CROSSREFERENCE" w:val="&lt;UNUSED&gt;"/>
    <w:docVar w:name="LW_DocType" w:val="COM"/>
    <w:docVar w:name="LW_EMISSION" w:val="15.12.2016"/>
    <w:docVar w:name="LW_EMISSION_ISODATE" w:val="2016-12-15"/>
    <w:docVar w:name="LW_EMISSION_LOCATION" w:val="BRX"/>
    <w:docVar w:name="LW_EMISSION_PREFIX" w:val="Bryssel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94"/>
    <w:docVar w:name="LW_REF.II.NEW.CP_YEAR" w:val="2016"/>
    <w:docVar w:name="LW_REF.INST.NEW" w:val="COM"/>
    <w:docVar w:name="LW_REF.INST.NEW_ADOPTED" w:val="final"/>
    <w:docVar w:name="LW_REF.INST.NEW_TEXT" w:val="(2016) 789"/>
    <w:docVar w:name="LW_REF.INTERNE" w:val="&lt;UNUSED&gt;"/>
    <w:docVar w:name="LW_SOUS.TITRE.OBJ.CP" w:val="&lt;UNUSED&gt;"/>
    <w:docVar w:name="LW_STATUT.CP" w:val="Ehdotus"/>
    <w:docVar w:name="LW_SUPERTITRE" w:val="&lt;UNUSED&gt;"/>
    <w:docVar w:name="LW_TITRE.OBJ.CP" w:val="neuvoston direktiivin 87/217/ETY, Euroopan parlamentin ja neuvoston direktiivin 2003/87/EY, Euroopan parlamentin ja neuvoston direktiivin 2009/31/EY, Euroopan parlamentin ja neuvoston asetuksen (EU) N:o 1257/2013, neuvoston direktiivin 86/278/ETY ja neuvoston direktiivin 94/63/EY muuttamisesta ympäristöalan seurantaa koskevien menettelysääntöjen osalta sekä neuvoston direktiivin 91/692/ETY kumoamisesta "/>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97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0"/>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italic1">
    <w:name w:val="italic1"/>
    <w:rPr>
      <w:i/>
      <w:iCs/>
    </w:rPr>
  </w:style>
  <w:style w:type="character" w:styleId="Hyperlink">
    <w:name w:val="Hyperlink"/>
    <w:uiPriority w:val="99"/>
    <w:unhideWhenUsed/>
    <w:rPr>
      <w:strike w:val="0"/>
      <w:dstrike w:val="0"/>
      <w:color w:val="3366CC"/>
      <w:u w:val="none"/>
      <w:effect w:val="none"/>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ps">
    <w:name w:val="hps"/>
  </w:style>
  <w:style w:type="character" w:styleId="Strong">
    <w:name w:val="Strong"/>
    <w:uiPriority w:val="22"/>
    <w:qFormat/>
    <w:rPr>
      <w:b/>
      <w:bCs/>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ListNumber5">
    <w:name w:val="List Number 5"/>
    <w:basedOn w:val="Normal"/>
    <w:pPr>
      <w:tabs>
        <w:tab w:val="num" w:pos="1492"/>
      </w:tabs>
      <w:spacing w:before="0" w:after="240"/>
      <w:ind w:left="1492" w:hanging="360"/>
    </w:pPr>
    <w:rPr>
      <w:rFonts w:eastAsia="Times New Roman"/>
      <w:szCs w:val="20"/>
    </w:rPr>
  </w:style>
  <w:style w:type="character" w:styleId="Emphasis">
    <w:name w:val="Emphasis"/>
    <w:uiPriority w:val="20"/>
    <w:qFormat/>
    <w:rPr>
      <w:i/>
      <w:iCs/>
    </w:rPr>
  </w:style>
  <w:style w:type="table" w:styleId="TableGrid">
    <w:name w:val="Table Grid"/>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apple-converted-space">
    <w:name w:val="apple-converted-space"/>
  </w:style>
  <w:style w:type="paragraph" w:customStyle="1" w:styleId="Footnote">
    <w:name w:val="Footnote"/>
    <w:basedOn w:val="Default"/>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0"/>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3">
      <w:bodyDiv w:val="1"/>
      <w:marLeft w:val="0"/>
      <w:marRight w:val="0"/>
      <w:marTop w:val="0"/>
      <w:marBottom w:val="0"/>
      <w:divBdr>
        <w:top w:val="none" w:sz="0" w:space="0" w:color="auto"/>
        <w:left w:val="none" w:sz="0" w:space="0" w:color="auto"/>
        <w:bottom w:val="none" w:sz="0" w:space="0" w:color="auto"/>
        <w:right w:val="none" w:sz="0" w:space="0" w:color="auto"/>
      </w:divBdr>
    </w:div>
    <w:div w:id="57484103">
      <w:bodyDiv w:val="1"/>
      <w:marLeft w:val="0"/>
      <w:marRight w:val="0"/>
      <w:marTop w:val="0"/>
      <w:marBottom w:val="0"/>
      <w:divBdr>
        <w:top w:val="none" w:sz="0" w:space="0" w:color="auto"/>
        <w:left w:val="none" w:sz="0" w:space="0" w:color="auto"/>
        <w:bottom w:val="none" w:sz="0" w:space="0" w:color="auto"/>
        <w:right w:val="none" w:sz="0" w:space="0" w:color="auto"/>
      </w:divBdr>
    </w:div>
    <w:div w:id="277370787">
      <w:bodyDiv w:val="1"/>
      <w:marLeft w:val="0"/>
      <w:marRight w:val="0"/>
      <w:marTop w:val="0"/>
      <w:marBottom w:val="0"/>
      <w:divBdr>
        <w:top w:val="none" w:sz="0" w:space="0" w:color="auto"/>
        <w:left w:val="none" w:sz="0" w:space="0" w:color="auto"/>
        <w:bottom w:val="none" w:sz="0" w:space="0" w:color="auto"/>
        <w:right w:val="none" w:sz="0" w:space="0" w:color="auto"/>
      </w:divBdr>
    </w:div>
    <w:div w:id="300187257">
      <w:bodyDiv w:val="1"/>
      <w:marLeft w:val="0"/>
      <w:marRight w:val="0"/>
      <w:marTop w:val="0"/>
      <w:marBottom w:val="0"/>
      <w:divBdr>
        <w:top w:val="none" w:sz="0" w:space="0" w:color="auto"/>
        <w:left w:val="none" w:sz="0" w:space="0" w:color="auto"/>
        <w:bottom w:val="none" w:sz="0" w:space="0" w:color="auto"/>
        <w:right w:val="none" w:sz="0" w:space="0" w:color="auto"/>
      </w:divBdr>
    </w:div>
    <w:div w:id="329330129">
      <w:bodyDiv w:val="1"/>
      <w:marLeft w:val="0"/>
      <w:marRight w:val="0"/>
      <w:marTop w:val="0"/>
      <w:marBottom w:val="0"/>
      <w:divBdr>
        <w:top w:val="none" w:sz="0" w:space="0" w:color="auto"/>
        <w:left w:val="none" w:sz="0" w:space="0" w:color="auto"/>
        <w:bottom w:val="none" w:sz="0" w:space="0" w:color="auto"/>
        <w:right w:val="none" w:sz="0" w:space="0" w:color="auto"/>
      </w:divBdr>
    </w:div>
    <w:div w:id="405803063">
      <w:bodyDiv w:val="1"/>
      <w:marLeft w:val="0"/>
      <w:marRight w:val="0"/>
      <w:marTop w:val="0"/>
      <w:marBottom w:val="0"/>
      <w:divBdr>
        <w:top w:val="none" w:sz="0" w:space="0" w:color="auto"/>
        <w:left w:val="none" w:sz="0" w:space="0" w:color="auto"/>
        <w:bottom w:val="none" w:sz="0" w:space="0" w:color="auto"/>
        <w:right w:val="none" w:sz="0" w:space="0" w:color="auto"/>
      </w:divBdr>
    </w:div>
    <w:div w:id="508524333">
      <w:bodyDiv w:val="1"/>
      <w:marLeft w:val="0"/>
      <w:marRight w:val="0"/>
      <w:marTop w:val="0"/>
      <w:marBottom w:val="0"/>
      <w:divBdr>
        <w:top w:val="none" w:sz="0" w:space="0" w:color="auto"/>
        <w:left w:val="none" w:sz="0" w:space="0" w:color="auto"/>
        <w:bottom w:val="none" w:sz="0" w:space="0" w:color="auto"/>
        <w:right w:val="none" w:sz="0" w:space="0" w:color="auto"/>
      </w:divBdr>
    </w:div>
    <w:div w:id="579949505">
      <w:bodyDiv w:val="1"/>
      <w:marLeft w:val="0"/>
      <w:marRight w:val="0"/>
      <w:marTop w:val="0"/>
      <w:marBottom w:val="0"/>
      <w:divBdr>
        <w:top w:val="none" w:sz="0" w:space="0" w:color="auto"/>
        <w:left w:val="none" w:sz="0" w:space="0" w:color="auto"/>
        <w:bottom w:val="none" w:sz="0" w:space="0" w:color="auto"/>
        <w:right w:val="none" w:sz="0" w:space="0" w:color="auto"/>
      </w:divBdr>
    </w:div>
    <w:div w:id="589242266">
      <w:bodyDiv w:val="1"/>
      <w:marLeft w:val="0"/>
      <w:marRight w:val="0"/>
      <w:marTop w:val="0"/>
      <w:marBottom w:val="0"/>
      <w:divBdr>
        <w:top w:val="none" w:sz="0" w:space="0" w:color="auto"/>
        <w:left w:val="none" w:sz="0" w:space="0" w:color="auto"/>
        <w:bottom w:val="none" w:sz="0" w:space="0" w:color="auto"/>
        <w:right w:val="none" w:sz="0" w:space="0" w:color="auto"/>
      </w:divBdr>
    </w:div>
    <w:div w:id="606735209">
      <w:bodyDiv w:val="1"/>
      <w:marLeft w:val="0"/>
      <w:marRight w:val="0"/>
      <w:marTop w:val="0"/>
      <w:marBottom w:val="0"/>
      <w:divBdr>
        <w:top w:val="none" w:sz="0" w:space="0" w:color="auto"/>
        <w:left w:val="none" w:sz="0" w:space="0" w:color="auto"/>
        <w:bottom w:val="none" w:sz="0" w:space="0" w:color="auto"/>
        <w:right w:val="none" w:sz="0" w:space="0" w:color="auto"/>
      </w:divBdr>
    </w:div>
    <w:div w:id="608390196">
      <w:bodyDiv w:val="1"/>
      <w:marLeft w:val="0"/>
      <w:marRight w:val="0"/>
      <w:marTop w:val="0"/>
      <w:marBottom w:val="0"/>
      <w:divBdr>
        <w:top w:val="none" w:sz="0" w:space="0" w:color="auto"/>
        <w:left w:val="none" w:sz="0" w:space="0" w:color="auto"/>
        <w:bottom w:val="none" w:sz="0" w:space="0" w:color="auto"/>
        <w:right w:val="none" w:sz="0" w:space="0" w:color="auto"/>
      </w:divBdr>
      <w:divsChild>
        <w:div w:id="1084033259">
          <w:marLeft w:val="0"/>
          <w:marRight w:val="0"/>
          <w:marTop w:val="0"/>
          <w:marBottom w:val="0"/>
          <w:divBdr>
            <w:top w:val="none" w:sz="0" w:space="0" w:color="auto"/>
            <w:left w:val="none" w:sz="0" w:space="0" w:color="auto"/>
            <w:bottom w:val="none" w:sz="0" w:space="0" w:color="auto"/>
            <w:right w:val="none" w:sz="0" w:space="0" w:color="auto"/>
          </w:divBdr>
        </w:div>
      </w:divsChild>
    </w:div>
    <w:div w:id="760568173">
      <w:bodyDiv w:val="1"/>
      <w:marLeft w:val="0"/>
      <w:marRight w:val="0"/>
      <w:marTop w:val="0"/>
      <w:marBottom w:val="0"/>
      <w:divBdr>
        <w:top w:val="none" w:sz="0" w:space="0" w:color="auto"/>
        <w:left w:val="none" w:sz="0" w:space="0" w:color="auto"/>
        <w:bottom w:val="none" w:sz="0" w:space="0" w:color="auto"/>
        <w:right w:val="none" w:sz="0" w:space="0" w:color="auto"/>
      </w:divBdr>
    </w:div>
    <w:div w:id="785004800">
      <w:bodyDiv w:val="1"/>
      <w:marLeft w:val="0"/>
      <w:marRight w:val="0"/>
      <w:marTop w:val="0"/>
      <w:marBottom w:val="0"/>
      <w:divBdr>
        <w:top w:val="none" w:sz="0" w:space="0" w:color="auto"/>
        <w:left w:val="none" w:sz="0" w:space="0" w:color="auto"/>
        <w:bottom w:val="none" w:sz="0" w:space="0" w:color="auto"/>
        <w:right w:val="none" w:sz="0" w:space="0" w:color="auto"/>
      </w:divBdr>
    </w:div>
    <w:div w:id="875123139">
      <w:bodyDiv w:val="1"/>
      <w:marLeft w:val="0"/>
      <w:marRight w:val="0"/>
      <w:marTop w:val="0"/>
      <w:marBottom w:val="0"/>
      <w:divBdr>
        <w:top w:val="none" w:sz="0" w:space="0" w:color="auto"/>
        <w:left w:val="none" w:sz="0" w:space="0" w:color="auto"/>
        <w:bottom w:val="none" w:sz="0" w:space="0" w:color="auto"/>
        <w:right w:val="none" w:sz="0" w:space="0" w:color="auto"/>
      </w:divBdr>
    </w:div>
    <w:div w:id="942035642">
      <w:bodyDiv w:val="1"/>
      <w:marLeft w:val="0"/>
      <w:marRight w:val="0"/>
      <w:marTop w:val="0"/>
      <w:marBottom w:val="0"/>
      <w:divBdr>
        <w:top w:val="none" w:sz="0" w:space="0" w:color="auto"/>
        <w:left w:val="none" w:sz="0" w:space="0" w:color="auto"/>
        <w:bottom w:val="none" w:sz="0" w:space="0" w:color="auto"/>
        <w:right w:val="none" w:sz="0" w:space="0" w:color="auto"/>
      </w:divBdr>
    </w:div>
    <w:div w:id="974136699">
      <w:bodyDiv w:val="1"/>
      <w:marLeft w:val="0"/>
      <w:marRight w:val="0"/>
      <w:marTop w:val="0"/>
      <w:marBottom w:val="0"/>
      <w:divBdr>
        <w:top w:val="none" w:sz="0" w:space="0" w:color="auto"/>
        <w:left w:val="none" w:sz="0" w:space="0" w:color="auto"/>
        <w:bottom w:val="none" w:sz="0" w:space="0" w:color="auto"/>
        <w:right w:val="none" w:sz="0" w:space="0" w:color="auto"/>
      </w:divBdr>
      <w:divsChild>
        <w:div w:id="72120557">
          <w:marLeft w:val="0"/>
          <w:marRight w:val="0"/>
          <w:marTop w:val="0"/>
          <w:marBottom w:val="0"/>
          <w:divBdr>
            <w:top w:val="none" w:sz="0" w:space="0" w:color="auto"/>
            <w:left w:val="none" w:sz="0" w:space="0" w:color="auto"/>
            <w:bottom w:val="none" w:sz="0" w:space="0" w:color="auto"/>
            <w:right w:val="none" w:sz="0" w:space="0" w:color="auto"/>
          </w:divBdr>
          <w:divsChild>
            <w:div w:id="888612126">
              <w:marLeft w:val="0"/>
              <w:marRight w:val="0"/>
              <w:marTop w:val="150"/>
              <w:marBottom w:val="0"/>
              <w:divBdr>
                <w:top w:val="none" w:sz="0" w:space="0" w:color="auto"/>
                <w:left w:val="none" w:sz="0" w:space="0" w:color="auto"/>
                <w:bottom w:val="none" w:sz="0" w:space="0" w:color="auto"/>
                <w:right w:val="none" w:sz="0" w:space="0" w:color="auto"/>
              </w:divBdr>
              <w:divsChild>
                <w:div w:id="1762528635">
                  <w:marLeft w:val="0"/>
                  <w:marRight w:val="0"/>
                  <w:marTop w:val="0"/>
                  <w:marBottom w:val="0"/>
                  <w:divBdr>
                    <w:top w:val="none" w:sz="0" w:space="0" w:color="auto"/>
                    <w:left w:val="none" w:sz="0" w:space="0" w:color="auto"/>
                    <w:bottom w:val="none" w:sz="0" w:space="0" w:color="auto"/>
                    <w:right w:val="none" w:sz="0" w:space="0" w:color="auto"/>
                  </w:divBdr>
                  <w:divsChild>
                    <w:div w:id="462777207">
                      <w:marLeft w:val="0"/>
                      <w:marRight w:val="0"/>
                      <w:marTop w:val="0"/>
                      <w:marBottom w:val="0"/>
                      <w:divBdr>
                        <w:top w:val="none" w:sz="0" w:space="0" w:color="auto"/>
                        <w:left w:val="none" w:sz="0" w:space="0" w:color="auto"/>
                        <w:bottom w:val="none" w:sz="0" w:space="0" w:color="auto"/>
                        <w:right w:val="none" w:sz="0" w:space="0" w:color="auto"/>
                      </w:divBdr>
                      <w:divsChild>
                        <w:div w:id="1172987805">
                          <w:marLeft w:val="0"/>
                          <w:marRight w:val="0"/>
                          <w:marTop w:val="0"/>
                          <w:marBottom w:val="0"/>
                          <w:divBdr>
                            <w:top w:val="none" w:sz="0" w:space="0" w:color="auto"/>
                            <w:left w:val="none" w:sz="0" w:space="0" w:color="auto"/>
                            <w:bottom w:val="none" w:sz="0" w:space="0" w:color="auto"/>
                            <w:right w:val="none" w:sz="0" w:space="0" w:color="auto"/>
                          </w:divBdr>
                          <w:divsChild>
                            <w:div w:id="285737349">
                              <w:marLeft w:val="0"/>
                              <w:marRight w:val="0"/>
                              <w:marTop w:val="0"/>
                              <w:marBottom w:val="0"/>
                              <w:divBdr>
                                <w:top w:val="none" w:sz="0" w:space="0" w:color="auto"/>
                                <w:left w:val="none" w:sz="0" w:space="0" w:color="auto"/>
                                <w:bottom w:val="none" w:sz="0" w:space="0" w:color="auto"/>
                                <w:right w:val="none" w:sz="0" w:space="0" w:color="auto"/>
                              </w:divBdr>
                              <w:divsChild>
                                <w:div w:id="830753297">
                                  <w:marLeft w:val="0"/>
                                  <w:marRight w:val="0"/>
                                  <w:marTop w:val="0"/>
                                  <w:marBottom w:val="0"/>
                                  <w:divBdr>
                                    <w:top w:val="none" w:sz="0" w:space="0" w:color="auto"/>
                                    <w:left w:val="none" w:sz="0" w:space="0" w:color="auto"/>
                                    <w:bottom w:val="none" w:sz="0" w:space="0" w:color="auto"/>
                                    <w:right w:val="none" w:sz="0" w:space="0" w:color="auto"/>
                                  </w:divBdr>
                                  <w:divsChild>
                                    <w:div w:id="1351105725">
                                      <w:marLeft w:val="0"/>
                                      <w:marRight w:val="0"/>
                                      <w:marTop w:val="0"/>
                                      <w:marBottom w:val="0"/>
                                      <w:divBdr>
                                        <w:top w:val="none" w:sz="0" w:space="0" w:color="auto"/>
                                        <w:left w:val="none" w:sz="0" w:space="0" w:color="auto"/>
                                        <w:bottom w:val="none" w:sz="0" w:space="0" w:color="auto"/>
                                        <w:right w:val="none" w:sz="0" w:space="0" w:color="auto"/>
                                      </w:divBdr>
                                      <w:divsChild>
                                        <w:div w:id="545871362">
                                          <w:marLeft w:val="0"/>
                                          <w:marRight w:val="0"/>
                                          <w:marTop w:val="0"/>
                                          <w:marBottom w:val="0"/>
                                          <w:divBdr>
                                            <w:top w:val="none" w:sz="0" w:space="0" w:color="auto"/>
                                            <w:left w:val="none" w:sz="0" w:space="0" w:color="auto"/>
                                            <w:bottom w:val="none" w:sz="0" w:space="0" w:color="auto"/>
                                            <w:right w:val="none" w:sz="0" w:space="0" w:color="auto"/>
                                          </w:divBdr>
                                        </w:div>
                                        <w:div w:id="1014069203">
                                          <w:marLeft w:val="0"/>
                                          <w:marRight w:val="0"/>
                                          <w:marTop w:val="0"/>
                                          <w:marBottom w:val="0"/>
                                          <w:divBdr>
                                            <w:top w:val="none" w:sz="0" w:space="0" w:color="auto"/>
                                            <w:left w:val="none" w:sz="0" w:space="0" w:color="auto"/>
                                            <w:bottom w:val="none" w:sz="0" w:space="0" w:color="auto"/>
                                            <w:right w:val="none" w:sz="0" w:space="0" w:color="auto"/>
                                          </w:divBdr>
                                        </w:div>
                                        <w:div w:id="49114985">
                                          <w:marLeft w:val="0"/>
                                          <w:marRight w:val="0"/>
                                          <w:marTop w:val="0"/>
                                          <w:marBottom w:val="0"/>
                                          <w:divBdr>
                                            <w:top w:val="none" w:sz="0" w:space="0" w:color="auto"/>
                                            <w:left w:val="none" w:sz="0" w:space="0" w:color="auto"/>
                                            <w:bottom w:val="none" w:sz="0" w:space="0" w:color="auto"/>
                                            <w:right w:val="none" w:sz="0" w:space="0" w:color="auto"/>
                                          </w:divBdr>
                                        </w:div>
                                        <w:div w:id="1037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26166">
      <w:bodyDiv w:val="1"/>
      <w:marLeft w:val="0"/>
      <w:marRight w:val="0"/>
      <w:marTop w:val="0"/>
      <w:marBottom w:val="0"/>
      <w:divBdr>
        <w:top w:val="none" w:sz="0" w:space="0" w:color="auto"/>
        <w:left w:val="none" w:sz="0" w:space="0" w:color="auto"/>
        <w:bottom w:val="none" w:sz="0" w:space="0" w:color="auto"/>
        <w:right w:val="none" w:sz="0" w:space="0" w:color="auto"/>
      </w:divBdr>
    </w:div>
    <w:div w:id="1123231126">
      <w:bodyDiv w:val="1"/>
      <w:marLeft w:val="0"/>
      <w:marRight w:val="0"/>
      <w:marTop w:val="0"/>
      <w:marBottom w:val="0"/>
      <w:divBdr>
        <w:top w:val="none" w:sz="0" w:space="0" w:color="auto"/>
        <w:left w:val="none" w:sz="0" w:space="0" w:color="auto"/>
        <w:bottom w:val="none" w:sz="0" w:space="0" w:color="auto"/>
        <w:right w:val="none" w:sz="0" w:space="0" w:color="auto"/>
      </w:divBdr>
    </w:div>
    <w:div w:id="1227381373">
      <w:bodyDiv w:val="1"/>
      <w:marLeft w:val="0"/>
      <w:marRight w:val="0"/>
      <w:marTop w:val="0"/>
      <w:marBottom w:val="0"/>
      <w:divBdr>
        <w:top w:val="none" w:sz="0" w:space="0" w:color="auto"/>
        <w:left w:val="none" w:sz="0" w:space="0" w:color="auto"/>
        <w:bottom w:val="none" w:sz="0" w:space="0" w:color="auto"/>
        <w:right w:val="none" w:sz="0" w:space="0" w:color="auto"/>
      </w:divBdr>
    </w:div>
    <w:div w:id="1295408798">
      <w:bodyDiv w:val="1"/>
      <w:marLeft w:val="0"/>
      <w:marRight w:val="0"/>
      <w:marTop w:val="0"/>
      <w:marBottom w:val="0"/>
      <w:divBdr>
        <w:top w:val="none" w:sz="0" w:space="0" w:color="auto"/>
        <w:left w:val="none" w:sz="0" w:space="0" w:color="auto"/>
        <w:bottom w:val="none" w:sz="0" w:space="0" w:color="auto"/>
        <w:right w:val="none" w:sz="0" w:space="0" w:color="auto"/>
      </w:divBdr>
    </w:div>
    <w:div w:id="1400521186">
      <w:bodyDiv w:val="1"/>
      <w:marLeft w:val="0"/>
      <w:marRight w:val="0"/>
      <w:marTop w:val="0"/>
      <w:marBottom w:val="0"/>
      <w:divBdr>
        <w:top w:val="none" w:sz="0" w:space="0" w:color="auto"/>
        <w:left w:val="none" w:sz="0" w:space="0" w:color="auto"/>
        <w:bottom w:val="none" w:sz="0" w:space="0" w:color="auto"/>
        <w:right w:val="none" w:sz="0" w:space="0" w:color="auto"/>
      </w:divBdr>
      <w:divsChild>
        <w:div w:id="483398743">
          <w:marLeft w:val="0"/>
          <w:marRight w:val="0"/>
          <w:marTop w:val="0"/>
          <w:marBottom w:val="0"/>
          <w:divBdr>
            <w:top w:val="none" w:sz="0" w:space="0" w:color="auto"/>
            <w:left w:val="none" w:sz="0" w:space="0" w:color="auto"/>
            <w:bottom w:val="none" w:sz="0" w:space="0" w:color="auto"/>
            <w:right w:val="none" w:sz="0" w:space="0" w:color="auto"/>
          </w:divBdr>
          <w:divsChild>
            <w:div w:id="1746491182">
              <w:marLeft w:val="0"/>
              <w:marRight w:val="0"/>
              <w:marTop w:val="0"/>
              <w:marBottom w:val="0"/>
              <w:divBdr>
                <w:top w:val="none" w:sz="0" w:space="0" w:color="auto"/>
                <w:left w:val="none" w:sz="0" w:space="0" w:color="auto"/>
                <w:bottom w:val="none" w:sz="0" w:space="0" w:color="auto"/>
                <w:right w:val="none" w:sz="0" w:space="0" w:color="auto"/>
              </w:divBdr>
              <w:divsChild>
                <w:div w:id="1928733718">
                  <w:marLeft w:val="0"/>
                  <w:marRight w:val="0"/>
                  <w:marTop w:val="0"/>
                  <w:marBottom w:val="0"/>
                  <w:divBdr>
                    <w:top w:val="none" w:sz="0" w:space="0" w:color="auto"/>
                    <w:left w:val="none" w:sz="0" w:space="0" w:color="auto"/>
                    <w:bottom w:val="none" w:sz="0" w:space="0" w:color="auto"/>
                    <w:right w:val="none" w:sz="0" w:space="0" w:color="auto"/>
                  </w:divBdr>
                  <w:divsChild>
                    <w:div w:id="681006139">
                      <w:marLeft w:val="1"/>
                      <w:marRight w:val="1"/>
                      <w:marTop w:val="0"/>
                      <w:marBottom w:val="0"/>
                      <w:divBdr>
                        <w:top w:val="none" w:sz="0" w:space="0" w:color="auto"/>
                        <w:left w:val="none" w:sz="0" w:space="0" w:color="auto"/>
                        <w:bottom w:val="none" w:sz="0" w:space="0" w:color="auto"/>
                        <w:right w:val="none" w:sz="0" w:space="0" w:color="auto"/>
                      </w:divBdr>
                      <w:divsChild>
                        <w:div w:id="1429081767">
                          <w:marLeft w:val="0"/>
                          <w:marRight w:val="0"/>
                          <w:marTop w:val="0"/>
                          <w:marBottom w:val="0"/>
                          <w:divBdr>
                            <w:top w:val="none" w:sz="0" w:space="0" w:color="auto"/>
                            <w:left w:val="none" w:sz="0" w:space="0" w:color="auto"/>
                            <w:bottom w:val="none" w:sz="0" w:space="0" w:color="auto"/>
                            <w:right w:val="none" w:sz="0" w:space="0" w:color="auto"/>
                          </w:divBdr>
                          <w:divsChild>
                            <w:div w:id="1770464901">
                              <w:marLeft w:val="0"/>
                              <w:marRight w:val="0"/>
                              <w:marTop w:val="0"/>
                              <w:marBottom w:val="360"/>
                              <w:divBdr>
                                <w:top w:val="none" w:sz="0" w:space="0" w:color="auto"/>
                                <w:left w:val="none" w:sz="0" w:space="0" w:color="auto"/>
                                <w:bottom w:val="none" w:sz="0" w:space="0" w:color="auto"/>
                                <w:right w:val="none" w:sz="0" w:space="0" w:color="auto"/>
                              </w:divBdr>
                              <w:divsChild>
                                <w:div w:id="1093015803">
                                  <w:marLeft w:val="0"/>
                                  <w:marRight w:val="0"/>
                                  <w:marTop w:val="0"/>
                                  <w:marBottom w:val="0"/>
                                  <w:divBdr>
                                    <w:top w:val="none" w:sz="0" w:space="0" w:color="auto"/>
                                    <w:left w:val="none" w:sz="0" w:space="0" w:color="auto"/>
                                    <w:bottom w:val="none" w:sz="0" w:space="0" w:color="auto"/>
                                    <w:right w:val="none" w:sz="0" w:space="0" w:color="auto"/>
                                  </w:divBdr>
                                  <w:divsChild>
                                    <w:div w:id="1597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262263">
      <w:bodyDiv w:val="1"/>
      <w:marLeft w:val="0"/>
      <w:marRight w:val="0"/>
      <w:marTop w:val="0"/>
      <w:marBottom w:val="0"/>
      <w:divBdr>
        <w:top w:val="none" w:sz="0" w:space="0" w:color="auto"/>
        <w:left w:val="none" w:sz="0" w:space="0" w:color="auto"/>
        <w:bottom w:val="none" w:sz="0" w:space="0" w:color="auto"/>
        <w:right w:val="none" w:sz="0" w:space="0" w:color="auto"/>
      </w:divBdr>
    </w:div>
    <w:div w:id="1477990944">
      <w:bodyDiv w:val="1"/>
      <w:marLeft w:val="0"/>
      <w:marRight w:val="0"/>
      <w:marTop w:val="0"/>
      <w:marBottom w:val="0"/>
      <w:divBdr>
        <w:top w:val="none" w:sz="0" w:space="0" w:color="auto"/>
        <w:left w:val="none" w:sz="0" w:space="0" w:color="auto"/>
        <w:bottom w:val="none" w:sz="0" w:space="0" w:color="auto"/>
        <w:right w:val="none" w:sz="0" w:space="0" w:color="auto"/>
      </w:divBdr>
      <w:divsChild>
        <w:div w:id="1637174983">
          <w:marLeft w:val="0"/>
          <w:marRight w:val="0"/>
          <w:marTop w:val="0"/>
          <w:marBottom w:val="0"/>
          <w:divBdr>
            <w:top w:val="none" w:sz="0" w:space="0" w:color="auto"/>
            <w:left w:val="none" w:sz="0" w:space="0" w:color="auto"/>
            <w:bottom w:val="none" w:sz="0" w:space="0" w:color="auto"/>
            <w:right w:val="none" w:sz="0" w:space="0" w:color="auto"/>
          </w:divBdr>
          <w:divsChild>
            <w:div w:id="1873346779">
              <w:marLeft w:val="0"/>
              <w:marRight w:val="0"/>
              <w:marTop w:val="0"/>
              <w:marBottom w:val="0"/>
              <w:divBdr>
                <w:top w:val="none" w:sz="0" w:space="0" w:color="auto"/>
                <w:left w:val="none" w:sz="0" w:space="0" w:color="auto"/>
                <w:bottom w:val="none" w:sz="0" w:space="0" w:color="auto"/>
                <w:right w:val="none" w:sz="0" w:space="0" w:color="auto"/>
              </w:divBdr>
              <w:divsChild>
                <w:div w:id="1852717116">
                  <w:marLeft w:val="0"/>
                  <w:marRight w:val="0"/>
                  <w:marTop w:val="0"/>
                  <w:marBottom w:val="0"/>
                  <w:divBdr>
                    <w:top w:val="none" w:sz="0" w:space="0" w:color="auto"/>
                    <w:left w:val="none" w:sz="0" w:space="0" w:color="auto"/>
                    <w:bottom w:val="none" w:sz="0" w:space="0" w:color="auto"/>
                    <w:right w:val="none" w:sz="0" w:space="0" w:color="auto"/>
                  </w:divBdr>
                  <w:divsChild>
                    <w:div w:id="936795812">
                      <w:marLeft w:val="1"/>
                      <w:marRight w:val="1"/>
                      <w:marTop w:val="0"/>
                      <w:marBottom w:val="0"/>
                      <w:divBdr>
                        <w:top w:val="none" w:sz="0" w:space="0" w:color="auto"/>
                        <w:left w:val="none" w:sz="0" w:space="0" w:color="auto"/>
                        <w:bottom w:val="none" w:sz="0" w:space="0" w:color="auto"/>
                        <w:right w:val="none" w:sz="0" w:space="0" w:color="auto"/>
                      </w:divBdr>
                      <w:divsChild>
                        <w:div w:id="740058240">
                          <w:marLeft w:val="0"/>
                          <w:marRight w:val="0"/>
                          <w:marTop w:val="0"/>
                          <w:marBottom w:val="0"/>
                          <w:divBdr>
                            <w:top w:val="none" w:sz="0" w:space="0" w:color="auto"/>
                            <w:left w:val="none" w:sz="0" w:space="0" w:color="auto"/>
                            <w:bottom w:val="none" w:sz="0" w:space="0" w:color="auto"/>
                            <w:right w:val="none" w:sz="0" w:space="0" w:color="auto"/>
                          </w:divBdr>
                          <w:divsChild>
                            <w:div w:id="2139106135">
                              <w:marLeft w:val="0"/>
                              <w:marRight w:val="0"/>
                              <w:marTop w:val="0"/>
                              <w:marBottom w:val="0"/>
                              <w:divBdr>
                                <w:top w:val="none" w:sz="0" w:space="0" w:color="auto"/>
                                <w:left w:val="none" w:sz="0" w:space="0" w:color="auto"/>
                                <w:bottom w:val="none" w:sz="0" w:space="0" w:color="auto"/>
                                <w:right w:val="none" w:sz="0" w:space="0" w:color="auto"/>
                              </w:divBdr>
                              <w:divsChild>
                                <w:div w:id="642655611">
                                  <w:marLeft w:val="0"/>
                                  <w:marRight w:val="0"/>
                                  <w:marTop w:val="0"/>
                                  <w:marBottom w:val="360"/>
                                  <w:divBdr>
                                    <w:top w:val="none" w:sz="0" w:space="0" w:color="auto"/>
                                    <w:left w:val="none" w:sz="0" w:space="0" w:color="auto"/>
                                    <w:bottom w:val="none" w:sz="0" w:space="0" w:color="auto"/>
                                    <w:right w:val="none" w:sz="0" w:space="0" w:color="auto"/>
                                  </w:divBdr>
                                  <w:divsChild>
                                    <w:div w:id="1350369511">
                                      <w:marLeft w:val="0"/>
                                      <w:marRight w:val="0"/>
                                      <w:marTop w:val="0"/>
                                      <w:marBottom w:val="0"/>
                                      <w:divBdr>
                                        <w:top w:val="none" w:sz="0" w:space="0" w:color="auto"/>
                                        <w:left w:val="none" w:sz="0" w:space="0" w:color="auto"/>
                                        <w:bottom w:val="none" w:sz="0" w:space="0" w:color="auto"/>
                                        <w:right w:val="none" w:sz="0" w:space="0" w:color="auto"/>
                                      </w:divBdr>
                                      <w:divsChild>
                                        <w:div w:id="293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54751">
      <w:bodyDiv w:val="1"/>
      <w:marLeft w:val="0"/>
      <w:marRight w:val="0"/>
      <w:marTop w:val="0"/>
      <w:marBottom w:val="0"/>
      <w:divBdr>
        <w:top w:val="none" w:sz="0" w:space="0" w:color="auto"/>
        <w:left w:val="none" w:sz="0" w:space="0" w:color="auto"/>
        <w:bottom w:val="none" w:sz="0" w:space="0" w:color="auto"/>
        <w:right w:val="none" w:sz="0" w:space="0" w:color="auto"/>
      </w:divBdr>
    </w:div>
    <w:div w:id="1522621227">
      <w:bodyDiv w:val="1"/>
      <w:marLeft w:val="0"/>
      <w:marRight w:val="0"/>
      <w:marTop w:val="0"/>
      <w:marBottom w:val="0"/>
      <w:divBdr>
        <w:top w:val="none" w:sz="0" w:space="0" w:color="auto"/>
        <w:left w:val="none" w:sz="0" w:space="0" w:color="auto"/>
        <w:bottom w:val="none" w:sz="0" w:space="0" w:color="auto"/>
        <w:right w:val="none" w:sz="0" w:space="0" w:color="auto"/>
      </w:divBdr>
    </w:div>
    <w:div w:id="1547067390">
      <w:bodyDiv w:val="1"/>
      <w:marLeft w:val="0"/>
      <w:marRight w:val="0"/>
      <w:marTop w:val="0"/>
      <w:marBottom w:val="0"/>
      <w:divBdr>
        <w:top w:val="none" w:sz="0" w:space="0" w:color="auto"/>
        <w:left w:val="none" w:sz="0" w:space="0" w:color="auto"/>
        <w:bottom w:val="none" w:sz="0" w:space="0" w:color="auto"/>
        <w:right w:val="none" w:sz="0" w:space="0" w:color="auto"/>
      </w:divBdr>
    </w:div>
    <w:div w:id="15709184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992">
          <w:marLeft w:val="0"/>
          <w:marRight w:val="0"/>
          <w:marTop w:val="0"/>
          <w:marBottom w:val="0"/>
          <w:divBdr>
            <w:top w:val="none" w:sz="0" w:space="0" w:color="auto"/>
            <w:left w:val="none" w:sz="0" w:space="0" w:color="auto"/>
            <w:bottom w:val="none" w:sz="0" w:space="0" w:color="auto"/>
            <w:right w:val="none" w:sz="0" w:space="0" w:color="auto"/>
          </w:divBdr>
        </w:div>
      </w:divsChild>
    </w:div>
    <w:div w:id="1784574892">
      <w:bodyDiv w:val="1"/>
      <w:marLeft w:val="0"/>
      <w:marRight w:val="0"/>
      <w:marTop w:val="0"/>
      <w:marBottom w:val="0"/>
      <w:divBdr>
        <w:top w:val="none" w:sz="0" w:space="0" w:color="auto"/>
        <w:left w:val="none" w:sz="0" w:space="0" w:color="auto"/>
        <w:bottom w:val="none" w:sz="0" w:space="0" w:color="auto"/>
        <w:right w:val="none" w:sz="0" w:space="0" w:color="auto"/>
      </w:divBdr>
    </w:div>
    <w:div w:id="1849638911">
      <w:bodyDiv w:val="1"/>
      <w:marLeft w:val="0"/>
      <w:marRight w:val="0"/>
      <w:marTop w:val="0"/>
      <w:marBottom w:val="0"/>
      <w:divBdr>
        <w:top w:val="none" w:sz="0" w:space="0" w:color="auto"/>
        <w:left w:val="none" w:sz="0" w:space="0" w:color="auto"/>
        <w:bottom w:val="none" w:sz="0" w:space="0" w:color="auto"/>
        <w:right w:val="none" w:sz="0" w:space="0" w:color="auto"/>
      </w:divBdr>
    </w:div>
    <w:div w:id="1882667281">
      <w:bodyDiv w:val="1"/>
      <w:marLeft w:val="0"/>
      <w:marRight w:val="0"/>
      <w:marTop w:val="0"/>
      <w:marBottom w:val="0"/>
      <w:divBdr>
        <w:top w:val="none" w:sz="0" w:space="0" w:color="auto"/>
        <w:left w:val="none" w:sz="0" w:space="0" w:color="auto"/>
        <w:bottom w:val="none" w:sz="0" w:space="0" w:color="auto"/>
        <w:right w:val="none" w:sz="0" w:space="0" w:color="auto"/>
      </w:divBdr>
      <w:divsChild>
        <w:div w:id="1157957902">
          <w:marLeft w:val="0"/>
          <w:marRight w:val="0"/>
          <w:marTop w:val="0"/>
          <w:marBottom w:val="0"/>
          <w:divBdr>
            <w:top w:val="none" w:sz="0" w:space="0" w:color="auto"/>
            <w:left w:val="none" w:sz="0" w:space="0" w:color="auto"/>
            <w:bottom w:val="none" w:sz="0" w:space="0" w:color="auto"/>
            <w:right w:val="none" w:sz="0" w:space="0" w:color="auto"/>
          </w:divBdr>
          <w:divsChild>
            <w:div w:id="1959794081">
              <w:marLeft w:val="0"/>
              <w:marRight w:val="0"/>
              <w:marTop w:val="0"/>
              <w:marBottom w:val="0"/>
              <w:divBdr>
                <w:top w:val="none" w:sz="0" w:space="0" w:color="auto"/>
                <w:left w:val="none" w:sz="0" w:space="0" w:color="auto"/>
                <w:bottom w:val="none" w:sz="0" w:space="0" w:color="auto"/>
                <w:right w:val="none" w:sz="0" w:space="0" w:color="auto"/>
              </w:divBdr>
              <w:divsChild>
                <w:div w:id="1153987779">
                  <w:marLeft w:val="0"/>
                  <w:marRight w:val="0"/>
                  <w:marTop w:val="0"/>
                  <w:marBottom w:val="0"/>
                  <w:divBdr>
                    <w:top w:val="none" w:sz="0" w:space="0" w:color="auto"/>
                    <w:left w:val="none" w:sz="0" w:space="0" w:color="auto"/>
                    <w:bottom w:val="none" w:sz="0" w:space="0" w:color="auto"/>
                    <w:right w:val="none" w:sz="0" w:space="0" w:color="auto"/>
                  </w:divBdr>
                  <w:divsChild>
                    <w:div w:id="841821993">
                      <w:marLeft w:val="1"/>
                      <w:marRight w:val="1"/>
                      <w:marTop w:val="0"/>
                      <w:marBottom w:val="0"/>
                      <w:divBdr>
                        <w:top w:val="none" w:sz="0" w:space="0" w:color="auto"/>
                        <w:left w:val="none" w:sz="0" w:space="0" w:color="auto"/>
                        <w:bottom w:val="none" w:sz="0" w:space="0" w:color="auto"/>
                        <w:right w:val="none" w:sz="0" w:space="0" w:color="auto"/>
                      </w:divBdr>
                      <w:divsChild>
                        <w:div w:id="800535717">
                          <w:marLeft w:val="0"/>
                          <w:marRight w:val="0"/>
                          <w:marTop w:val="0"/>
                          <w:marBottom w:val="0"/>
                          <w:divBdr>
                            <w:top w:val="none" w:sz="0" w:space="0" w:color="auto"/>
                            <w:left w:val="none" w:sz="0" w:space="0" w:color="auto"/>
                            <w:bottom w:val="none" w:sz="0" w:space="0" w:color="auto"/>
                            <w:right w:val="none" w:sz="0" w:space="0" w:color="auto"/>
                          </w:divBdr>
                          <w:divsChild>
                            <w:div w:id="1030103047">
                              <w:marLeft w:val="0"/>
                              <w:marRight w:val="0"/>
                              <w:marTop w:val="0"/>
                              <w:marBottom w:val="360"/>
                              <w:divBdr>
                                <w:top w:val="none" w:sz="0" w:space="0" w:color="auto"/>
                                <w:left w:val="none" w:sz="0" w:space="0" w:color="auto"/>
                                <w:bottom w:val="none" w:sz="0" w:space="0" w:color="auto"/>
                                <w:right w:val="none" w:sz="0" w:space="0" w:color="auto"/>
                              </w:divBdr>
                              <w:divsChild>
                                <w:div w:id="1180238539">
                                  <w:marLeft w:val="0"/>
                                  <w:marRight w:val="0"/>
                                  <w:marTop w:val="0"/>
                                  <w:marBottom w:val="0"/>
                                  <w:divBdr>
                                    <w:top w:val="none" w:sz="0" w:space="0" w:color="auto"/>
                                    <w:left w:val="none" w:sz="0" w:space="0" w:color="auto"/>
                                    <w:bottom w:val="none" w:sz="0" w:space="0" w:color="auto"/>
                                    <w:right w:val="none" w:sz="0" w:space="0" w:color="auto"/>
                                  </w:divBdr>
                                  <w:divsChild>
                                    <w:div w:id="1836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472510">
      <w:bodyDiv w:val="1"/>
      <w:marLeft w:val="0"/>
      <w:marRight w:val="0"/>
      <w:marTop w:val="0"/>
      <w:marBottom w:val="0"/>
      <w:divBdr>
        <w:top w:val="none" w:sz="0" w:space="0" w:color="auto"/>
        <w:left w:val="none" w:sz="0" w:space="0" w:color="auto"/>
        <w:bottom w:val="none" w:sz="0" w:space="0" w:color="auto"/>
        <w:right w:val="none" w:sz="0" w:space="0" w:color="auto"/>
      </w:divBdr>
    </w:div>
    <w:div w:id="1945529647">
      <w:bodyDiv w:val="1"/>
      <w:marLeft w:val="0"/>
      <w:marRight w:val="0"/>
      <w:marTop w:val="0"/>
      <w:marBottom w:val="0"/>
      <w:divBdr>
        <w:top w:val="none" w:sz="0" w:space="0" w:color="auto"/>
        <w:left w:val="none" w:sz="0" w:space="0" w:color="auto"/>
        <w:bottom w:val="none" w:sz="0" w:space="0" w:color="auto"/>
        <w:right w:val="none" w:sz="0" w:space="0" w:color="auto"/>
      </w:divBdr>
      <w:divsChild>
        <w:div w:id="125366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75863330">
      <w:bodyDiv w:val="1"/>
      <w:marLeft w:val="0"/>
      <w:marRight w:val="0"/>
      <w:marTop w:val="0"/>
      <w:marBottom w:val="0"/>
      <w:divBdr>
        <w:top w:val="none" w:sz="0" w:space="0" w:color="auto"/>
        <w:left w:val="none" w:sz="0" w:space="0" w:color="auto"/>
        <w:bottom w:val="none" w:sz="0" w:space="0" w:color="auto"/>
        <w:right w:val="none" w:sz="0" w:space="0" w:color="auto"/>
      </w:divBdr>
      <w:divsChild>
        <w:div w:id="336615763">
          <w:marLeft w:val="0"/>
          <w:marRight w:val="0"/>
          <w:marTop w:val="0"/>
          <w:marBottom w:val="0"/>
          <w:divBdr>
            <w:top w:val="none" w:sz="0" w:space="0" w:color="auto"/>
            <w:left w:val="none" w:sz="0" w:space="0" w:color="auto"/>
            <w:bottom w:val="none" w:sz="0" w:space="0" w:color="auto"/>
            <w:right w:val="none" w:sz="0" w:space="0" w:color="auto"/>
          </w:divBdr>
          <w:divsChild>
            <w:div w:id="1929072206">
              <w:marLeft w:val="0"/>
              <w:marRight w:val="0"/>
              <w:marTop w:val="0"/>
              <w:marBottom w:val="0"/>
              <w:divBdr>
                <w:top w:val="none" w:sz="0" w:space="0" w:color="auto"/>
                <w:left w:val="none" w:sz="0" w:space="0" w:color="auto"/>
                <w:bottom w:val="none" w:sz="0" w:space="0" w:color="auto"/>
                <w:right w:val="none" w:sz="0" w:space="0" w:color="auto"/>
              </w:divBdr>
              <w:divsChild>
                <w:div w:id="142704205">
                  <w:marLeft w:val="0"/>
                  <w:marRight w:val="0"/>
                  <w:marTop w:val="0"/>
                  <w:marBottom w:val="0"/>
                  <w:divBdr>
                    <w:top w:val="none" w:sz="0" w:space="0" w:color="auto"/>
                    <w:left w:val="none" w:sz="0" w:space="0" w:color="auto"/>
                    <w:bottom w:val="none" w:sz="0" w:space="0" w:color="auto"/>
                    <w:right w:val="none" w:sz="0" w:space="0" w:color="auto"/>
                  </w:divBdr>
                  <w:divsChild>
                    <w:div w:id="1028020497">
                      <w:marLeft w:val="1"/>
                      <w:marRight w:val="1"/>
                      <w:marTop w:val="0"/>
                      <w:marBottom w:val="0"/>
                      <w:divBdr>
                        <w:top w:val="none" w:sz="0" w:space="0" w:color="auto"/>
                        <w:left w:val="none" w:sz="0" w:space="0" w:color="auto"/>
                        <w:bottom w:val="none" w:sz="0" w:space="0" w:color="auto"/>
                        <w:right w:val="none" w:sz="0" w:space="0" w:color="auto"/>
                      </w:divBdr>
                      <w:divsChild>
                        <w:div w:id="1966111157">
                          <w:marLeft w:val="0"/>
                          <w:marRight w:val="0"/>
                          <w:marTop w:val="0"/>
                          <w:marBottom w:val="0"/>
                          <w:divBdr>
                            <w:top w:val="none" w:sz="0" w:space="0" w:color="auto"/>
                            <w:left w:val="none" w:sz="0" w:space="0" w:color="auto"/>
                            <w:bottom w:val="none" w:sz="0" w:space="0" w:color="auto"/>
                            <w:right w:val="none" w:sz="0" w:space="0" w:color="auto"/>
                          </w:divBdr>
                          <w:divsChild>
                            <w:div w:id="2090075259">
                              <w:marLeft w:val="0"/>
                              <w:marRight w:val="0"/>
                              <w:marTop w:val="0"/>
                              <w:marBottom w:val="360"/>
                              <w:divBdr>
                                <w:top w:val="none" w:sz="0" w:space="0" w:color="auto"/>
                                <w:left w:val="none" w:sz="0" w:space="0" w:color="auto"/>
                                <w:bottom w:val="none" w:sz="0" w:space="0" w:color="auto"/>
                                <w:right w:val="none" w:sz="0" w:space="0" w:color="auto"/>
                              </w:divBdr>
                              <w:divsChild>
                                <w:div w:id="1049762037">
                                  <w:marLeft w:val="0"/>
                                  <w:marRight w:val="0"/>
                                  <w:marTop w:val="0"/>
                                  <w:marBottom w:val="0"/>
                                  <w:divBdr>
                                    <w:top w:val="none" w:sz="0" w:space="0" w:color="auto"/>
                                    <w:left w:val="none" w:sz="0" w:space="0" w:color="auto"/>
                                    <w:bottom w:val="none" w:sz="0" w:space="0" w:color="auto"/>
                                    <w:right w:val="none" w:sz="0" w:space="0" w:color="auto"/>
                                  </w:divBdr>
                                  <w:divsChild>
                                    <w:div w:id="17641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0299">
      <w:bodyDiv w:val="1"/>
      <w:marLeft w:val="0"/>
      <w:marRight w:val="0"/>
      <w:marTop w:val="0"/>
      <w:marBottom w:val="0"/>
      <w:divBdr>
        <w:top w:val="none" w:sz="0" w:space="0" w:color="auto"/>
        <w:left w:val="none" w:sz="0" w:space="0" w:color="auto"/>
        <w:bottom w:val="none" w:sz="0" w:space="0" w:color="auto"/>
        <w:right w:val="none" w:sz="0" w:space="0" w:color="auto"/>
      </w:divBdr>
    </w:div>
    <w:div w:id="2038963934">
      <w:bodyDiv w:val="1"/>
      <w:marLeft w:val="0"/>
      <w:marRight w:val="0"/>
      <w:marTop w:val="0"/>
      <w:marBottom w:val="0"/>
      <w:divBdr>
        <w:top w:val="none" w:sz="0" w:space="0" w:color="auto"/>
        <w:left w:val="none" w:sz="0" w:space="0" w:color="auto"/>
        <w:bottom w:val="none" w:sz="0" w:space="0" w:color="auto"/>
        <w:right w:val="none" w:sz="0" w:space="0" w:color="auto"/>
      </w:divBdr>
    </w:div>
    <w:div w:id="2067295354">
      <w:bodyDiv w:val="1"/>
      <w:marLeft w:val="0"/>
      <w:marRight w:val="0"/>
      <w:marTop w:val="0"/>
      <w:marBottom w:val="0"/>
      <w:divBdr>
        <w:top w:val="none" w:sz="0" w:space="0" w:color="auto"/>
        <w:left w:val="none" w:sz="0" w:space="0" w:color="auto"/>
        <w:bottom w:val="none" w:sz="0" w:space="0" w:color="auto"/>
        <w:right w:val="none" w:sz="0" w:space="0" w:color="auto"/>
      </w:divBdr>
      <w:divsChild>
        <w:div w:id="845704143">
          <w:marLeft w:val="0"/>
          <w:marRight w:val="0"/>
          <w:marTop w:val="0"/>
          <w:marBottom w:val="0"/>
          <w:divBdr>
            <w:top w:val="none" w:sz="0" w:space="0" w:color="auto"/>
            <w:left w:val="none" w:sz="0" w:space="0" w:color="auto"/>
            <w:bottom w:val="none" w:sz="0" w:space="0" w:color="auto"/>
            <w:right w:val="none" w:sz="0" w:space="0" w:color="auto"/>
          </w:divBdr>
          <w:divsChild>
            <w:div w:id="905264280">
              <w:marLeft w:val="0"/>
              <w:marRight w:val="0"/>
              <w:marTop w:val="150"/>
              <w:marBottom w:val="0"/>
              <w:divBdr>
                <w:top w:val="none" w:sz="0" w:space="0" w:color="auto"/>
                <w:left w:val="none" w:sz="0" w:space="0" w:color="auto"/>
                <w:bottom w:val="none" w:sz="0" w:space="0" w:color="auto"/>
                <w:right w:val="none" w:sz="0" w:space="0" w:color="auto"/>
              </w:divBdr>
              <w:divsChild>
                <w:div w:id="935867387">
                  <w:marLeft w:val="0"/>
                  <w:marRight w:val="0"/>
                  <w:marTop w:val="0"/>
                  <w:marBottom w:val="0"/>
                  <w:divBdr>
                    <w:top w:val="none" w:sz="0" w:space="0" w:color="auto"/>
                    <w:left w:val="none" w:sz="0" w:space="0" w:color="auto"/>
                    <w:bottom w:val="none" w:sz="0" w:space="0" w:color="auto"/>
                    <w:right w:val="none" w:sz="0" w:space="0" w:color="auto"/>
                  </w:divBdr>
                  <w:divsChild>
                    <w:div w:id="1185248636">
                      <w:marLeft w:val="0"/>
                      <w:marRight w:val="0"/>
                      <w:marTop w:val="0"/>
                      <w:marBottom w:val="0"/>
                      <w:divBdr>
                        <w:top w:val="none" w:sz="0" w:space="0" w:color="auto"/>
                        <w:left w:val="none" w:sz="0" w:space="0" w:color="auto"/>
                        <w:bottom w:val="none" w:sz="0" w:space="0" w:color="auto"/>
                        <w:right w:val="none" w:sz="0" w:space="0" w:color="auto"/>
                      </w:divBdr>
                      <w:divsChild>
                        <w:div w:id="1915358931">
                          <w:marLeft w:val="0"/>
                          <w:marRight w:val="0"/>
                          <w:marTop w:val="0"/>
                          <w:marBottom w:val="0"/>
                          <w:divBdr>
                            <w:top w:val="none" w:sz="0" w:space="0" w:color="auto"/>
                            <w:left w:val="none" w:sz="0" w:space="0" w:color="auto"/>
                            <w:bottom w:val="none" w:sz="0" w:space="0" w:color="auto"/>
                            <w:right w:val="none" w:sz="0" w:space="0" w:color="auto"/>
                          </w:divBdr>
                          <w:divsChild>
                            <w:div w:id="2018536081">
                              <w:marLeft w:val="0"/>
                              <w:marRight w:val="0"/>
                              <w:marTop w:val="0"/>
                              <w:marBottom w:val="0"/>
                              <w:divBdr>
                                <w:top w:val="none" w:sz="0" w:space="0" w:color="auto"/>
                                <w:left w:val="none" w:sz="0" w:space="0" w:color="auto"/>
                                <w:bottom w:val="none" w:sz="0" w:space="0" w:color="auto"/>
                                <w:right w:val="none" w:sz="0" w:space="0" w:color="auto"/>
                              </w:divBdr>
                              <w:divsChild>
                                <w:div w:id="419790673">
                                  <w:marLeft w:val="0"/>
                                  <w:marRight w:val="0"/>
                                  <w:marTop w:val="0"/>
                                  <w:marBottom w:val="0"/>
                                  <w:divBdr>
                                    <w:top w:val="none" w:sz="0" w:space="0" w:color="auto"/>
                                    <w:left w:val="none" w:sz="0" w:space="0" w:color="auto"/>
                                    <w:bottom w:val="none" w:sz="0" w:space="0" w:color="auto"/>
                                    <w:right w:val="none" w:sz="0" w:space="0" w:color="auto"/>
                                  </w:divBdr>
                                  <w:divsChild>
                                    <w:div w:id="1528063334">
                                      <w:marLeft w:val="0"/>
                                      <w:marRight w:val="0"/>
                                      <w:marTop w:val="0"/>
                                      <w:marBottom w:val="0"/>
                                      <w:divBdr>
                                        <w:top w:val="none" w:sz="0" w:space="0" w:color="auto"/>
                                        <w:left w:val="none" w:sz="0" w:space="0" w:color="auto"/>
                                        <w:bottom w:val="none" w:sz="0" w:space="0" w:color="auto"/>
                                        <w:right w:val="none" w:sz="0" w:space="0" w:color="auto"/>
                                      </w:divBdr>
                                      <w:divsChild>
                                        <w:div w:id="1117410230">
                                          <w:marLeft w:val="0"/>
                                          <w:marRight w:val="0"/>
                                          <w:marTop w:val="0"/>
                                          <w:marBottom w:val="0"/>
                                          <w:divBdr>
                                            <w:top w:val="none" w:sz="0" w:space="0" w:color="auto"/>
                                            <w:left w:val="none" w:sz="0" w:space="0" w:color="auto"/>
                                            <w:bottom w:val="none" w:sz="0" w:space="0" w:color="auto"/>
                                            <w:right w:val="none" w:sz="0" w:space="0" w:color="auto"/>
                                          </w:divBdr>
                                        </w:div>
                                        <w:div w:id="2061904550">
                                          <w:marLeft w:val="0"/>
                                          <w:marRight w:val="0"/>
                                          <w:marTop w:val="0"/>
                                          <w:marBottom w:val="0"/>
                                          <w:divBdr>
                                            <w:top w:val="none" w:sz="0" w:space="0" w:color="auto"/>
                                            <w:left w:val="none" w:sz="0" w:space="0" w:color="auto"/>
                                            <w:bottom w:val="none" w:sz="0" w:space="0" w:color="auto"/>
                                            <w:right w:val="none" w:sz="0" w:space="0" w:color="auto"/>
                                          </w:divBdr>
                                        </w:div>
                                        <w:div w:id="1137256731">
                                          <w:marLeft w:val="0"/>
                                          <w:marRight w:val="0"/>
                                          <w:marTop w:val="0"/>
                                          <w:marBottom w:val="0"/>
                                          <w:divBdr>
                                            <w:top w:val="none" w:sz="0" w:space="0" w:color="auto"/>
                                            <w:left w:val="none" w:sz="0" w:space="0" w:color="auto"/>
                                            <w:bottom w:val="none" w:sz="0" w:space="0" w:color="auto"/>
                                            <w:right w:val="none" w:sz="0" w:space="0" w:color="auto"/>
                                          </w:divBdr>
                                        </w:div>
                                        <w:div w:id="65885355">
                                          <w:marLeft w:val="0"/>
                                          <w:marRight w:val="0"/>
                                          <w:marTop w:val="0"/>
                                          <w:marBottom w:val="0"/>
                                          <w:divBdr>
                                            <w:top w:val="none" w:sz="0" w:space="0" w:color="auto"/>
                                            <w:left w:val="none" w:sz="0" w:space="0" w:color="auto"/>
                                            <w:bottom w:val="none" w:sz="0" w:space="0" w:color="auto"/>
                                            <w:right w:val="none" w:sz="0" w:space="0" w:color="auto"/>
                                          </w:divBdr>
                                        </w:div>
                                        <w:div w:id="890111999">
                                          <w:marLeft w:val="0"/>
                                          <w:marRight w:val="0"/>
                                          <w:marTop w:val="0"/>
                                          <w:marBottom w:val="0"/>
                                          <w:divBdr>
                                            <w:top w:val="none" w:sz="0" w:space="0" w:color="auto"/>
                                            <w:left w:val="none" w:sz="0" w:space="0" w:color="auto"/>
                                            <w:bottom w:val="none" w:sz="0" w:space="0" w:color="auto"/>
                                            <w:right w:val="none" w:sz="0" w:space="0" w:color="auto"/>
                                          </w:divBdr>
                                        </w:div>
                                        <w:div w:id="1453476915">
                                          <w:marLeft w:val="0"/>
                                          <w:marRight w:val="0"/>
                                          <w:marTop w:val="0"/>
                                          <w:marBottom w:val="0"/>
                                          <w:divBdr>
                                            <w:top w:val="none" w:sz="0" w:space="0" w:color="auto"/>
                                            <w:left w:val="none" w:sz="0" w:space="0" w:color="auto"/>
                                            <w:bottom w:val="none" w:sz="0" w:space="0" w:color="auto"/>
                                            <w:right w:val="none" w:sz="0" w:space="0" w:color="auto"/>
                                          </w:divBdr>
                                        </w:div>
                                        <w:div w:id="1801918719">
                                          <w:marLeft w:val="0"/>
                                          <w:marRight w:val="0"/>
                                          <w:marTop w:val="0"/>
                                          <w:marBottom w:val="0"/>
                                          <w:divBdr>
                                            <w:top w:val="none" w:sz="0" w:space="0" w:color="auto"/>
                                            <w:left w:val="none" w:sz="0" w:space="0" w:color="auto"/>
                                            <w:bottom w:val="none" w:sz="0" w:space="0" w:color="auto"/>
                                            <w:right w:val="none" w:sz="0" w:space="0" w:color="auto"/>
                                          </w:divBdr>
                                        </w:div>
                                        <w:div w:id="2128161424">
                                          <w:marLeft w:val="0"/>
                                          <w:marRight w:val="0"/>
                                          <w:marTop w:val="0"/>
                                          <w:marBottom w:val="0"/>
                                          <w:divBdr>
                                            <w:top w:val="none" w:sz="0" w:space="0" w:color="auto"/>
                                            <w:left w:val="none" w:sz="0" w:space="0" w:color="auto"/>
                                            <w:bottom w:val="none" w:sz="0" w:space="0" w:color="auto"/>
                                            <w:right w:val="none" w:sz="0" w:space="0" w:color="auto"/>
                                          </w:divBdr>
                                        </w:div>
                                        <w:div w:id="2004775382">
                                          <w:marLeft w:val="0"/>
                                          <w:marRight w:val="0"/>
                                          <w:marTop w:val="0"/>
                                          <w:marBottom w:val="0"/>
                                          <w:divBdr>
                                            <w:top w:val="none" w:sz="0" w:space="0" w:color="auto"/>
                                            <w:left w:val="none" w:sz="0" w:space="0" w:color="auto"/>
                                            <w:bottom w:val="none" w:sz="0" w:space="0" w:color="auto"/>
                                            <w:right w:val="none" w:sz="0" w:space="0" w:color="auto"/>
                                          </w:divBdr>
                                        </w:div>
                                        <w:div w:id="1398283141">
                                          <w:marLeft w:val="0"/>
                                          <w:marRight w:val="0"/>
                                          <w:marTop w:val="0"/>
                                          <w:marBottom w:val="0"/>
                                          <w:divBdr>
                                            <w:top w:val="none" w:sz="0" w:space="0" w:color="auto"/>
                                            <w:left w:val="none" w:sz="0" w:space="0" w:color="auto"/>
                                            <w:bottom w:val="none" w:sz="0" w:space="0" w:color="auto"/>
                                            <w:right w:val="none" w:sz="0" w:space="0" w:color="auto"/>
                                          </w:divBdr>
                                        </w:div>
                                        <w:div w:id="1167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05:12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923D-B7DB-4C25-B136-490D8C9D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5345</Words>
  <Characters>44045</Characters>
  <Application>Microsoft Office Word</Application>
  <DocSecurity>0</DocSecurity>
  <Lines>937</Lines>
  <Paragraphs>331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49059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2016-10-19T10:14:00Z</cp:lastPrinted>
  <dcterms:created xsi:type="dcterms:W3CDTF">2017-01-23T16:40:00Z</dcterms:created>
  <dcterms:modified xsi:type="dcterms:W3CDTF">2017-01-27T16:34:00Z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_NewReviewCycle">
    <vt:lpwstr/>
  </property>
  <property fmtid="{D5CDD505-2E9C-101B-9397-08002B2CF9AE}" pid="11" name="DQCStatus">
    <vt:lpwstr>Green (DQC version 03)</vt:lpwstr>
  </property>
</Properties>
</file>