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690AB012C334F179CB850DE5162D0A2" style="width:450.8pt;height:435.7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Ficha resumen</w:t>
            </w:r>
          </w:p>
        </w:tc>
      </w:tr>
      <w:t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  <w:lang w:val="es-ES_tradnl"/>
              </w:rPr>
              <w:t>Evaluación de impacto sobre la propuesta de Directiva por la que se modifica la Directiva 2003/59/CE, relativa a la cualificación inicial y la formación continua de los conductores de determinados vehículos destinados al transporte de mercancías o de viajeros por carretera y la Directiva 2006/126/CE sobre el permiso de conducción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A. Necesidad de actuar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¿De qué se trata?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Principales problemas: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dificultades con el reconocimiento mutuo de los periodos de formación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contenido de la formación no enteramente pertinente para las necesidades de los conductores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dificultades e inseguridad jurídica en la interpretación de las exenciones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incoherencia en los requisitos de edad mínima entre la Directiva relativa a la cualificación inicial y la formación continua de los conductores (en lo sucesivo, la Directiva) y la Directiva sobre el permiso de Conducción (DPC)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¿Qué espera alcanzar esta iniciativa?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Objetivo general: contribuir a la seguridad vial y a la libertad de circulación de conductores profesionales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Objetivos específicos (OE):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1) agilizar las prácticas administrativas respecto al reconocimiento mutuo en los Estados miembros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2) hacer que el contenido de la formación abarque a las TIC, la seguridad vial y la eficiencia en el consumo de carburante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3) aumentar la claridad jurídica y la coherencia con otros actos jurídicos de la Unión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¿Cuál es el valor añadido de la acción a nivel de la UE?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Soluciones eficientes para problemas transnacionales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Sistemas de formación mejorados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Pie de igualdad para los operadores de transporte por carretera en términos de normas de seguridad vial </w:t>
            </w:r>
          </w:p>
        </w:tc>
      </w:tr>
    </w:tbl>
    <w:p>
      <w:pPr>
        <w:rPr>
          <w:rFonts w:ascii="Tahoma" w:hAnsi="Tahoma" w:cs="Tahoma"/>
          <w:noProof/>
          <w:lang w:val="es-ES_tradnl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B. Soluciones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¿Qué opciones legislativas y no legislativas se han estudiado? ¿Existe o no una opción preferida? ¿Por qué?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Opciones legislativas OE1: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a) reconocimiento obligatorio de certificados de aptitud profesional (CAP) entre Estados miembros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b) obligación de expedir tarjetas de cualificación del conductor (DQC) si en el permiso de conducción no puede inscribirse el código armonizado 95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c) ampliar la red de información RESPER para dar cabida a la formación CAP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Medidas alternativas para conductores de fuera de la UE: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 1) reconocimiento de certificados de conductor incluso si no figura el código 95, o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 2) consignar el código 95 en el certificado de conductor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Por lo que se refiere a OE2 y OE3:</w:t>
            </w:r>
          </w:p>
          <w:p>
            <w:pPr>
              <w:ind w:left="709" w:hanging="709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aumentar la pertinencia de la formación indicando claramente la posibilidad de recurrir al aprendizaje electrónico y al aprendizaje mixto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precisar el ámbito de aplicación de las exenciones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uniformizar las obligaciones de edad mínima con la DPC</w:t>
            </w:r>
          </w:p>
          <w:p>
            <w:pPr>
              <w:ind w:left="72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es-ES_tradnl"/>
              </w:rPr>
              <w:t>Opción preferida</w:t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: OE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  <w:lang w:val="es-ES_tradnl"/>
              </w:rPr>
              <w:t>1 b), más la medida alternativa</w:t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 1).</w:t>
            </w:r>
          </w:p>
        </w:tc>
      </w:tr>
      <w:tr>
        <w:tc>
          <w:tcPr>
            <w:tcW w:w="9747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¿Quién apoya cada opción?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Las partes interesadas apoyaban, en principio, todas las opciones. La Unión Internacional de Transporte por Carretera (IRU) abogó por mejorar el actual sistema de formación y adaptarlo a las necesidades actuales. Los Estados miembros temían que la emisión de DQCs constituyera una carga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C. Repercusiones de la opción preferida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¿Cuáles son los beneficios de la opción preferida (de haberlos; si no, los principales)?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Solución para los problemas de reconocimiento mutuo y ahorro de 2,30 millones EUR para las empresas y de 6,7 para los conductores (2018-2030)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Mayor eficiencia del sistema de formación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Mayor claridad y coherencia de la Directiva con otros actos legislativos pertinentes de la UE</w:t>
            </w:r>
          </w:p>
        </w:tc>
      </w:tr>
    </w:tbl>
    <w:p>
      <w:pPr>
        <w:widowControl w:val="0"/>
        <w:rPr>
          <w:rFonts w:ascii="Tahoma" w:hAnsi="Tahoma" w:cs="Tahoma"/>
          <w:noProof/>
          <w:lang w:val="es-ES_tradnl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¿Cuáles son los costes de la opción preferida (de haberlos; si no, los principales)?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Costes estimados (2018-2030):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costes reglamentarios: 6,3 millones EUR</w:t>
            </w:r>
          </w:p>
          <w:p>
            <w:pPr>
              <w:ind w:left="709" w:hanging="709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costes transitorios (durante cuatro años) por cambios en los contenidos de la formación: hasta 14,1 millones EUR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¿Cómo se verán afectadas las empresas, las pymes y las microempresas??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Se prevé que las pymes se beneficien de una mayor oferta de mano de obra y reducción de costes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Se piensa que los costes derivados de la revisión de los contenidos de la formación no superarán el 5 %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¿Se producirán efectos significativos sobre los presupuestos y las administraciones nacionales ?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No, con excepción de los costes reglamentarios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¿Se producirán otros efectos significativos??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es-ES_tradnl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No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D. Seguimiento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s-ES_tradnl"/>
              </w:rPr>
              <w:t>¿Cuándo se revisará la política?</w:t>
            </w: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La Comisión hará un seguimiento de los efectos de la nueva política, para lo que cooperará con los Estados miembros y las partes interesadas pertinentes.</w:t>
            </w:r>
          </w:p>
        </w:tc>
      </w:tr>
    </w:tbl>
    <w:p>
      <w:pPr>
        <w:rPr>
          <w:noProof/>
          <w:lang w:val="es-ES_tradnl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C0"/>
    <w:multiLevelType w:val="hybridMultilevel"/>
    <w:tmpl w:val="4740CCD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4FC"/>
    <w:multiLevelType w:val="hybridMultilevel"/>
    <w:tmpl w:val="37B6B524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6732"/>
    <w:multiLevelType w:val="hybridMultilevel"/>
    <w:tmpl w:val="6CD0BF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EA2"/>
    <w:multiLevelType w:val="hybridMultilevel"/>
    <w:tmpl w:val="E2F8F40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F24"/>
    <w:multiLevelType w:val="hybridMultilevel"/>
    <w:tmpl w:val="0B284BC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991"/>
    <w:multiLevelType w:val="hybridMultilevel"/>
    <w:tmpl w:val="E7787EB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que acompaña al documento"/>
    <w:docVar w:name="LW_CONFIDENCE" w:val=" "/>
    <w:docVar w:name="LW_CONST_RESTREINT_UE" w:val="RESTREINT UE"/>
    <w:docVar w:name="LW_CORRIGENDUM" w:val="&lt;UNUSED&gt;"/>
    <w:docVar w:name="LW_COVERPAGE_GUID" w:val="5690AB012C334F179CB850DE5162D0A2"/>
    <w:docVar w:name="LW_CROSSREFERENCE" w:val="{COM(2017) 47 final}_x000b_{SWD(2017) 27 final}"/>
    <w:docVar w:name="LW_DocType" w:val="NORMAL"/>
    <w:docVar w:name="LW_EMISSION" w:val="1.2.2017"/>
    <w:docVar w:name="LW_EMISSION_ISODATE" w:val="2017-02-01"/>
    <w:docVar w:name="LW_EMISSION_LOCATION" w:val="BRX"/>
    <w:docVar w:name="LW_EMISSION_PREFIX" w:val="Bruselas, "/>
    <w:docVar w:name="LW_EMISSION_SUFFIX" w:val=" "/>
    <w:docVar w:name="LW_ID_DOCTYPE_NONLW" w:val="CP-02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por la que se modifica la Directiva 2003/59/EC, relativa a la cualificación inicial y la formación continua de los conductores de determinados vehículos destinados al transporte de mercancias o de viajeros por carretera y la directiva 2006/126/EC sobre el permiso de conducción"/>
    <w:docVar w:name="LW_PART_NBR" w:val="1"/>
    <w:docVar w:name="LW_PART_NBR_TOTAL" w:val="1"/>
    <w:docVar w:name="LW_REF.INST.NEW" w:val="SWD"/>
    <w:docVar w:name="LW_REF.INST.NEW_ADOPTED" w:val="final"/>
    <w:docVar w:name="LW_REF.INST.NEW_TEXT" w:val="(2017) 26"/>
    <w:docVar w:name="LW_REF.INTERNE" w:val="&lt;UNUSED&gt;"/>
    <w:docVar w:name="LW_SUPERTITRE" w:val="&lt;UNUSED&gt;"/>
    <w:docVar w:name="LW_TITRE.OBJ.CP" w:val="&lt;UNUSED&gt;"/>
    <w:docVar w:name="LW_TYPE.DOC.CP" w:val="DOCUMENTO DE TRABAJO DE LOS SERVICIOS DE LA COMISIÓN_x000b__x000b_RESUMEN DE LA EVALUACIÓN DE IMPACTO_x000b_"/>
    <w:docVar w:name="LW_TYPEACTEPRINCIPAL.CP" w:val="Propuesta de Directiva del Parlamento Europeo y del Consejo"/>
    <w:docVar w:name="Stamp" w:val="\\dossiers.dgt.cec.eu.int\dossiers\MOVE\MOVE-2016-01397\MOVE-2016-01397-00-01-EN-REV-00.2016112318500481220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lang w:val="fr-B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lang w:val="fr-B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lang w:val="fr-B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lang w:val="fr-B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B949B9-0ECE-425F-840E-D641DB71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670</Words>
  <Characters>3641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22</cp:revision>
  <cp:lastPrinted>2016-11-23T18:02:00Z</cp:lastPrinted>
  <dcterms:created xsi:type="dcterms:W3CDTF">2016-11-24T11:24:00Z</dcterms:created>
  <dcterms:modified xsi:type="dcterms:W3CDTF">2017-02-01T08:09:00Z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