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CA3B1411E05B445CB083342CA3A37EC5" style="width:450.5pt;height:41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ANHÄNGE</w:t>
      </w:r>
    </w:p>
    <w:p>
      <w:pPr>
        <w:pStyle w:val="Titreobjet"/>
        <w:rPr>
          <w:noProof/>
        </w:rPr>
      </w:pPr>
      <w:r>
        <w:rPr>
          <w:noProof/>
        </w:rPr>
        <w:t>zur</w:t>
      </w:r>
      <w:r>
        <w:rPr>
          <w:noProof/>
        </w:rPr>
        <w:br/>
      </w:r>
      <w:r>
        <w:rPr>
          <w:noProof/>
        </w:rPr>
        <w:br/>
        <w:t>RICHTLINIE DES EUROPÄISCHEN PARLAMENTS UND DES RATES</w:t>
      </w:r>
      <w:r>
        <w:rPr>
          <w:noProof/>
        </w:rPr>
        <w:br/>
      </w:r>
      <w:r>
        <w:rPr>
          <w:noProof/>
        </w:rPr>
        <w:br/>
        <w:t>zur Änderung der Richtlinie 2003/59/EG über die Grundqualifikation und Weiterbildung der Fahrer bestimmter Kraftfahrzeuge für den Güter- oder Personenkraftverkehr und der Richtlinie 2006/126/EG über den Führerschein</w:t>
      </w:r>
    </w:p>
    <w:p>
      <w:pPr>
        <w:rPr>
          <w:noProof/>
        </w:rPr>
      </w:pPr>
      <w:r>
        <w:rPr>
          <w:noProof/>
        </w:rPr>
        <w:t>Die Anhänge I und II werden wie folgt geändert:</w:t>
      </w:r>
    </w:p>
    <w:p>
      <w:pPr>
        <w:rPr>
          <w:noProof/>
        </w:rPr>
      </w:pPr>
    </w:p>
    <w:p>
      <w:pPr>
        <w:pStyle w:val="Point0number"/>
        <w:numPr>
          <w:ilvl w:val="0"/>
          <w:numId w:val="11"/>
        </w:numPr>
        <w:rPr>
          <w:noProof/>
        </w:rPr>
      </w:pPr>
      <w:r>
        <w:rPr>
          <w:noProof/>
        </w:rPr>
        <w:t>Anhang I wird wie folgt geändert:</w:t>
      </w:r>
    </w:p>
    <w:p>
      <w:pPr>
        <w:pStyle w:val="Point1letter"/>
        <w:rPr>
          <w:noProof/>
        </w:rPr>
      </w:pPr>
      <w:r>
        <w:rPr>
          <w:noProof/>
        </w:rPr>
        <w:t>Abschnitt 1 wird wie folgt geändert:</w:t>
      </w:r>
    </w:p>
    <w:p>
      <w:pPr>
        <w:pStyle w:val="Point2letter"/>
        <w:rPr>
          <w:noProof/>
        </w:rPr>
      </w:pPr>
      <w:r>
        <w:rPr>
          <w:noProof/>
        </w:rPr>
        <w:t>Absatz 2 erhält folgende Fassung:</w:t>
      </w:r>
    </w:p>
    <w:p>
      <w:pPr>
        <w:pStyle w:val="Text2"/>
        <w:rPr>
          <w:noProof/>
        </w:rPr>
      </w:pPr>
      <w:r>
        <w:rPr>
          <w:noProof/>
        </w:rPr>
        <w:t>„Das Mindestqualifikationsniveau muss mindestens Niveau 2 des Europäischen Qualifikationsrahmens gemäß Anhang II der Empfehlung 2008/C 111/01 des Europäischen Parlaments und des Rates(*) vergleichbar sein.</w:t>
      </w:r>
    </w:p>
    <w:p>
      <w:pPr>
        <w:pStyle w:val="Text2"/>
        <w:rPr>
          <w:noProof/>
        </w:rPr>
      </w:pPr>
      <w:r>
        <w:rPr>
          <w:noProof/>
        </w:rPr>
        <w:t>_____</w:t>
      </w:r>
    </w:p>
    <w:p>
      <w:pPr>
        <w:pStyle w:val="Text2"/>
        <w:rPr>
          <w:noProof/>
        </w:rPr>
      </w:pPr>
      <w:r>
        <w:rPr>
          <w:noProof/>
        </w:rPr>
        <w:t>(*) Empfehlung des Europäischen Parlaments und des Rates vom 23. April 2008 zur Einrichtung des Europäischen Qualifikationsrahmens für lebenslanges Lernen (ABl. C 111 vom 6.5.2008, S. 1).“;</w:t>
      </w:r>
    </w:p>
    <w:p>
      <w:pPr>
        <w:rPr>
          <w:noProof/>
        </w:rPr>
      </w:pPr>
    </w:p>
    <w:p>
      <w:pPr>
        <w:pStyle w:val="Point2letter"/>
        <w:rPr>
          <w:noProof/>
        </w:rPr>
      </w:pPr>
      <w:r>
        <w:rPr>
          <w:noProof/>
        </w:rPr>
        <w:t>Nummer 1.2 erhält folgende Fassung:</w:t>
      </w:r>
    </w:p>
    <w:p>
      <w:pPr>
        <w:pStyle w:val="Text2"/>
        <w:rPr>
          <w:noProof/>
        </w:rPr>
      </w:pPr>
      <w:r>
        <w:rPr>
          <w:noProof/>
        </w:rPr>
        <w:t>„1.2. Ziel: Kenntnis der technischen Merkmale und der Funktionsweise der Sicherheitsausstattung, um das Fahrzeug zu beherrschen, seinen Verschleiß möglichst gering zu halten und Fehlfunktionen vorzubeugen:</w:t>
      </w:r>
    </w:p>
    <w:p>
      <w:pPr>
        <w:pStyle w:val="Text2"/>
        <w:rPr>
          <w:noProof/>
        </w:rPr>
      </w:pPr>
      <w:r>
        <w:rPr>
          <w:noProof/>
        </w:rPr>
        <w:t>Grenzen des Einsatzes der Bremsanlagen und der Dauerbremsanlage, kombinierter Einsatz von Brems- und Dauerbremsanlage, bestes Verhältnis zwischen Geschwindigkeit und Getriebeübersetzung, Einsatz der Trägheit des Fahrzeugs, Einsatz der Bremsanlagen im Gefälle, Verhalten bei Defekten, Verwendung von elektronischen und mechanischen Geräten wie elektronisches Stabilitätsprogramm (ESP), vorausschauende Notbremssysteme (AEBS), Antiblockiersystem (ABS), Traktionskontrollsysteme (TCS) und Überwachungssysteme im Fahrzeug (IVMS) sowie andere zur Verwendung zugelassene Fahrerassistenz- oder Automatisierungssysteme.“;</w:t>
      </w:r>
    </w:p>
    <w:p>
      <w:pPr>
        <w:rPr>
          <w:noProof/>
        </w:rPr>
      </w:pPr>
    </w:p>
    <w:p>
      <w:pPr>
        <w:pStyle w:val="Point2letter"/>
        <w:rPr>
          <w:noProof/>
        </w:rPr>
      </w:pPr>
      <w:r>
        <w:rPr>
          <w:noProof/>
        </w:rPr>
        <w:t xml:space="preserve">Nummer 1.3. Absatz 2 erhält folgende Fassung: </w:t>
      </w:r>
    </w:p>
    <w:p>
      <w:pPr>
        <w:pStyle w:val="Text2"/>
        <w:rPr>
          <w:noProof/>
        </w:rPr>
      </w:pPr>
      <w:r>
        <w:rPr>
          <w:noProof/>
        </w:rPr>
        <w:t xml:space="preserve">„Optimierung des Kraftstoffverbrauchs durch Anwendung der Kenntnisse gemäß den Nummern 1.1 und 1.2, Bedeutung der Antizipation des Verkehrsflusses, geeigneter Abstand und Nutzung der Fahrzeugdynamik, </w:t>
      </w:r>
      <w:r>
        <w:rPr>
          <w:noProof/>
        </w:rPr>
        <w:lastRenderedPageBreak/>
        <w:t>konstante Geschwindigkeit, ausgeglichener Fahrstil und angemessener Reifendruck.“;</w:t>
      </w:r>
    </w:p>
    <w:p>
      <w:pPr>
        <w:rPr>
          <w:noProof/>
        </w:rPr>
      </w:pPr>
    </w:p>
    <w:p>
      <w:pPr>
        <w:pStyle w:val="Point2letter"/>
        <w:rPr>
          <w:noProof/>
        </w:rPr>
      </w:pPr>
      <w:r>
        <w:rPr>
          <w:noProof/>
        </w:rPr>
        <w:t xml:space="preserve">Die folgende Nummer 1.3a wird vor der Überschrift „Führerscheinklassen C, C + E, C1, C1 + E“  eingefügt : </w:t>
      </w:r>
    </w:p>
    <w:p>
      <w:pPr>
        <w:pStyle w:val="Text2"/>
        <w:rPr>
          <w:noProof/>
        </w:rPr>
      </w:pPr>
      <w:r>
        <w:rPr>
          <w:noProof/>
        </w:rPr>
        <w:t>„1.3a. Ziel: Fähigkeit, Risiken im Straßenverkehr zu antizipieren, zu bewerten und sich daran anzupassen</w:t>
      </w:r>
    </w:p>
    <w:p>
      <w:pPr>
        <w:pStyle w:val="Text2"/>
        <w:rPr>
          <w:noProof/>
        </w:rPr>
      </w:pPr>
      <w:r>
        <w:rPr>
          <w:noProof/>
        </w:rPr>
        <w:t xml:space="preserve">Sich unterschiedlicher Straßen-, Verkehrs- und Witterungsbedingungen bewusst sein und sich daran anpassen, künftige Ereignisse antizipieren, sich an Verkehrsrisiken anpassen sowie Gefahrensituationen erkennen und sich daran anpassen, vor allem in Bezug auf Größe und Gewicht des Fahrzeugs und schwächere Verkehrsteilnehmer, beispielsweise Fußgänger, Radfahrer und motorisierte Zweiräder; </w:t>
      </w:r>
    </w:p>
    <w:p>
      <w:pPr>
        <w:pStyle w:val="Text2"/>
        <w:rPr>
          <w:noProof/>
        </w:rPr>
      </w:pPr>
      <w:r>
        <w:rPr>
          <w:noProof/>
        </w:rPr>
        <w:t>Mögliche Gefahrensituationen erkennen und korrekte Schlüsse ziehen, wie aus dieser potenziell gefährlichen Lage Situationen entstehen können, in denen Unfälle möglicherweise nicht mehr vermieden werden können, sowie Maßnahmen auswählen und durchführen, durch die die Sicherheitsmargen in einem solchen Umfang erhöht werden, dass ein Unfall noch verhindert werden kann, falls die potenziellen Gefahren auftreten sollten.“;</w:t>
      </w:r>
    </w:p>
    <w:p>
      <w:pPr>
        <w:rPr>
          <w:noProof/>
        </w:rPr>
      </w:pPr>
    </w:p>
    <w:p>
      <w:pPr>
        <w:pStyle w:val="Point2letter"/>
        <w:rPr>
          <w:noProof/>
        </w:rPr>
      </w:pPr>
      <w:r>
        <w:rPr>
          <w:noProof/>
        </w:rPr>
        <w:t>Nummer 1.4 erhält folgende Fassung:</w:t>
      </w:r>
    </w:p>
    <w:p>
      <w:pPr>
        <w:pStyle w:val="Text2"/>
        <w:rPr>
          <w:noProof/>
        </w:rPr>
      </w:pPr>
      <w:r>
        <w:rPr>
          <w:noProof/>
        </w:rPr>
        <w:t>„1.4. Ziel: Fähigkeit zur Gewährleistung der Sicherheit der Ladung unter Anwendung der Sicherheitsvorschriften und durch richtige Benutzung des Fahrzeugs</w:t>
      </w:r>
    </w:p>
    <w:p>
      <w:pPr>
        <w:pStyle w:val="Text2"/>
        <w:rPr>
          <w:noProof/>
        </w:rPr>
      </w:pPr>
      <w:r>
        <w:rPr>
          <w:noProof/>
        </w:rPr>
        <w:t>Bei der Fahrt auf das Fahrzeug wirkende Kräfte, Einsatz der Getriebeübersetzung entsprechend der Belastung des Fahrzeugs und dem Fahrbahnprofil, Nutzung von Automatikgetrieben, Berechnung der Nutzlast eines Fahrzeugs oder einer Fahrzeugkombination, Berechnung des Nutzvolumens, Verteilung der Ladung, Auswirkungen der Überladung auf die Achse, Fahrzeugstabilität und Schwerpunkt, Arten von Verpackungen und Lastträgern.</w:t>
      </w:r>
    </w:p>
    <w:p>
      <w:pPr>
        <w:pStyle w:val="Text2"/>
        <w:rPr>
          <w:noProof/>
        </w:rPr>
      </w:pPr>
      <w:r>
        <w:rPr>
          <w:noProof/>
        </w:rPr>
        <w:t>Wichtigste Kategorien von Gütern, bei denen eine Ladungssicherung erforderlich ist, Feststell- und Verzurrtechniken, Verwendung der Zurrgurte, Überprüfung der Haltevorrichtungen, Einsatz des Umschlaggeräts, Abdecken mit einer Plane und Entfernen der Plane.“;</w:t>
      </w:r>
    </w:p>
    <w:p>
      <w:pPr>
        <w:rPr>
          <w:noProof/>
        </w:rPr>
      </w:pPr>
    </w:p>
    <w:p>
      <w:pPr>
        <w:pStyle w:val="Point2letter"/>
        <w:rPr>
          <w:noProof/>
        </w:rPr>
      </w:pPr>
      <w:r>
        <w:rPr>
          <w:noProof/>
        </w:rPr>
        <w:t>Nummer 1.6 erhält folgende Fassung:</w:t>
      </w:r>
    </w:p>
    <w:p>
      <w:pPr>
        <w:pStyle w:val="Text2"/>
        <w:rPr>
          <w:noProof/>
        </w:rPr>
      </w:pPr>
      <w:r>
        <w:rPr>
          <w:noProof/>
        </w:rPr>
        <w:t>„1.6. Ziel: Fähigkeit zur Gewährleistung der Sicherheit der Ladung unter Anwendung der Sicherheitsvorschriften und durch richtige Benutzung des Fahrzeugs</w:t>
      </w:r>
    </w:p>
    <w:p>
      <w:pPr>
        <w:pStyle w:val="Text2"/>
        <w:rPr>
          <w:noProof/>
        </w:rPr>
      </w:pPr>
      <w:r>
        <w:rPr>
          <w:noProof/>
        </w:rPr>
        <w:t xml:space="preserve">Bei der Fahrt auf das Fahrzeug wirkende Kräfte, Einsatz der Getriebeübersetzung entsprechend der Belastung des Fahrzeugs und dem </w:t>
      </w:r>
      <w:r>
        <w:rPr>
          <w:noProof/>
        </w:rPr>
        <w:lastRenderedPageBreak/>
        <w:t>Fahrbahnprofil, Nutzung von Automatikgetrieben, Berechnung der Nutzlast eines Fahrzeugs oder einer Fahrzeugkombination, Verteilung der Ladung, Auswirkungen der Überladung auf die Achse, Fahrzeugstabilität und Schwerpunkt.“;</w:t>
      </w:r>
    </w:p>
    <w:p>
      <w:pPr>
        <w:rPr>
          <w:noProof/>
        </w:rPr>
      </w:pPr>
    </w:p>
    <w:p>
      <w:pPr>
        <w:pStyle w:val="Point2letter"/>
        <w:rPr>
          <w:noProof/>
        </w:rPr>
      </w:pPr>
      <w:r>
        <w:rPr>
          <w:noProof/>
        </w:rPr>
        <w:t>Nummer 2.1. Absatz 2 erhält folgende Fassung:</w:t>
      </w:r>
    </w:p>
    <w:p>
      <w:pPr>
        <w:pStyle w:val="Text2"/>
        <w:rPr>
          <w:noProof/>
        </w:rPr>
      </w:pPr>
      <w:r>
        <w:rPr>
          <w:noProof/>
        </w:rPr>
        <w:t>„Höchstzulässige Arbeitszeiten in der Verkehrsbranche; Grundsätze, Anwendung und Auswirkungen der Verordnungen (EG) Nr. 561/2006(*) und (EU) Nr. 165/2014(**) des Europäischen Parlaments und des Rates; Sanktionen für den Fall, dass der Fahrtenschreiber nicht benutzt, falsch benutzt oder verfälscht wird; Kenntnis der sozialrechtlichen Rahmenbedingungen für den Kraftverkehr: Rechte und Pflichten der Kraftfahrer im Bereich der Grundqualifikation und der Weiterbildung.</w:t>
      </w:r>
    </w:p>
    <w:p>
      <w:pPr>
        <w:pStyle w:val="Text2"/>
        <w:rPr>
          <w:noProof/>
        </w:rPr>
      </w:pPr>
      <w:r>
        <w:rPr>
          <w:noProof/>
        </w:rPr>
        <w:t>________</w:t>
      </w:r>
    </w:p>
    <w:p>
      <w:pPr>
        <w:pStyle w:val="Text2"/>
        <w:rPr>
          <w:noProof/>
        </w:rPr>
      </w:pPr>
      <w:r>
        <w:rPr>
          <w:noProof/>
        </w:rPr>
        <w:t>(*) Verordnung (EG) Nr. 561/2006 des Europäischen Parlaments und des Rates vom 15. März 2006 zur Harmonisierung bestimmter Sozialvorschriften im Straßenverkehr und zur Änderung der Verordnungen (EWG) Nr. 3821/85 und (EG) Nr. 2135/98 des Rates sowie zur Aufhebung der Verordnung (EWG) Nr. 3820/85 des Rates (ABl. L 102 vom 11.4.2006, S. 1).</w:t>
      </w:r>
    </w:p>
    <w:p>
      <w:pPr>
        <w:pStyle w:val="Text2"/>
        <w:rPr>
          <w:noProof/>
        </w:rPr>
      </w:pPr>
      <w:r>
        <w:rPr>
          <w:noProof/>
        </w:rPr>
        <w:t>(**) Verordnung (EU) Nr. 165/2014 des Europäischen Parlaments und des Rates vom 4. Februar 2014 über Fahrtenschreiber im Straßenverkehr, zur Aufhebung der Verordnung (EWG) Nr. 3821/85 des Rates über das Kontrollgerät im Straßenverkehr und zur Änderung der Verordnung (EG) Nr. 561/2006 des Europäischen Parlaments und des Rates zur Harmonisierung bestimmter Sozialvorschriften im Straßenverkehr (ABl. L 60 vom 28.2.2014, S. 1).“;</w:t>
      </w:r>
    </w:p>
    <w:p>
      <w:pPr>
        <w:rPr>
          <w:noProof/>
        </w:rPr>
      </w:pPr>
    </w:p>
    <w:p>
      <w:pPr>
        <w:pStyle w:val="Point2letter"/>
        <w:rPr>
          <w:noProof/>
        </w:rPr>
      </w:pPr>
      <w:r>
        <w:rPr>
          <w:noProof/>
        </w:rPr>
        <w:t>Nummer 3.7. Absatz 2 erhält folgende Fassung:</w:t>
      </w:r>
    </w:p>
    <w:p>
      <w:pPr>
        <w:pStyle w:val="Text2"/>
        <w:rPr>
          <w:noProof/>
        </w:rPr>
      </w:pPr>
      <w:r>
        <w:rPr>
          <w:noProof/>
        </w:rPr>
        <w:t>„Kraftverkehr im Verhältnis zu bestimmten Verkehrsmitteln (Wettbewerb, Verlader) unterschiedliche Tätigkeiten im Kraftverkehr (gewerblicher Güterverkehr, Werkverkehr, Transporthilfstätigkeiten), Organisation der wichtigsten Arten von Verkehrsunternehmen oder Transporthilfstätigkeiten, unterschiedliche Spezialisierungen (Tankwagen, temperaturgeführte Transporte, gefährliche Güter, Tiertransporte usw.), Weiterentwicklung der Branche (Diversifizierung des Leistungsangebots, Huckepackverkehr, Subunternehmer usw.).“;</w:t>
      </w:r>
    </w:p>
    <w:p>
      <w:pPr>
        <w:rPr>
          <w:noProof/>
        </w:rPr>
      </w:pPr>
    </w:p>
    <w:p>
      <w:pPr>
        <w:pStyle w:val="Point2letter"/>
        <w:rPr>
          <w:noProof/>
        </w:rPr>
      </w:pPr>
      <w:r>
        <w:rPr>
          <w:noProof/>
        </w:rPr>
        <w:t>Nummer 3.8. Absatz 2 erhält folgende Fassung:</w:t>
      </w:r>
    </w:p>
    <w:p>
      <w:pPr>
        <w:pStyle w:val="Text2"/>
        <w:rPr>
          <w:noProof/>
        </w:rPr>
      </w:pPr>
      <w:r>
        <w:rPr>
          <w:noProof/>
        </w:rPr>
        <w:t>„Personenkraftverkehr im Verhältnis zu den verschiedenen Verkehrsmitteln zur Beförderung von Personen (Bahn, Personenkraftwagen), unterschiedliche Tätigkeiten im Personenkraftverkehr, Sensibilisierung für Behindertenfragen, Überschreiten der Grenzen (internationaler Personenkraftverkehr), Organisation der wichtigsten Arten von Personenkraftverkehrsunternehmen.“;</w:t>
      </w:r>
    </w:p>
    <w:p>
      <w:pPr>
        <w:rPr>
          <w:noProof/>
        </w:rPr>
      </w:pPr>
    </w:p>
    <w:p>
      <w:pPr>
        <w:pStyle w:val="Point1letter"/>
        <w:rPr>
          <w:noProof/>
        </w:rPr>
      </w:pPr>
      <w:r>
        <w:rPr>
          <w:noProof/>
        </w:rPr>
        <w:t>Abschnitt 2 wird wie folgt geändert:</w:t>
      </w:r>
    </w:p>
    <w:p>
      <w:pPr>
        <w:pStyle w:val="Point2letter"/>
        <w:rPr>
          <w:noProof/>
        </w:rPr>
      </w:pPr>
      <w:r>
        <w:rPr>
          <w:noProof/>
        </w:rPr>
        <w:t>Nummer 2.1 erhält folgende Fassung:</w:t>
      </w:r>
    </w:p>
    <w:p>
      <w:pPr>
        <w:pStyle w:val="Text2"/>
        <w:rPr>
          <w:noProof/>
        </w:rPr>
      </w:pPr>
      <w:r>
        <w:rPr>
          <w:noProof/>
        </w:rPr>
        <w:t xml:space="preserve">„2.1. </w:t>
      </w:r>
      <w:r>
        <w:rPr>
          <w:i/>
          <w:noProof/>
        </w:rPr>
        <w:t>Option mit Kombination von Unterrichtsteilnahme und Prüfung</w:t>
      </w:r>
    </w:p>
    <w:p>
      <w:pPr>
        <w:pStyle w:val="Text2"/>
        <w:rPr>
          <w:noProof/>
        </w:rPr>
      </w:pPr>
      <w:r>
        <w:rPr>
          <w:noProof/>
        </w:rPr>
        <w:t>Die Grundqualifikation beinhaltet Unterricht in allen in der Liste in Abschnitt 1 aufgeführten Kenntnisbereichen. Die Unterrichtsdauer bei dieser Grundqualifikation beträgt 280 Stunden.</w:t>
      </w:r>
    </w:p>
    <w:p>
      <w:pPr>
        <w:pStyle w:val="Text2"/>
        <w:rPr>
          <w:noProof/>
        </w:rPr>
      </w:pPr>
      <w:r>
        <w:rPr>
          <w:noProof/>
        </w:rPr>
        <w:t>Jeder Bewerber für den Beruf des Kraftfahrers muss während mindestens zwanzig Fahrstunden persönlich ein Fahrzeug der betreffenden Klasse führen, das mindestens den in der Richtlinie 2006/126/EG festgelegten Kriterien für Prüffahrzeuge entspricht.</w:t>
      </w:r>
    </w:p>
    <w:p>
      <w:pPr>
        <w:pStyle w:val="Text2"/>
        <w:rPr>
          <w:noProof/>
        </w:rPr>
      </w:pPr>
      <w:r>
        <w:rPr>
          <w:noProof/>
        </w:rPr>
        <w:t>Während der persönlichen Führung eines Fahrzeugs wird der Bewerber für den Beruf des Kraftfahrers von einem Ausbilder begleitet, der bei einer anerkannten Ausbildungsstätte angestellt ist. Jeder Kraftfahrer kann während höchstens acht oder zwanzig Stunden persönlich ein Fahrzeug auf einem besonderen Gelände oder in einem leistungsfähigen Simulator führen, damit die Verbesserung des rationellen Fahrverhaltens des Bewerbers auf der Grundlage der Sicherheitsregeln bewertet werden kann, insbesondere seine Beherrschung des Fahrzeugs bei unterschiedlichem Zustand der Fahrbahn je nach Witterungsverhältnissen sowie Tages- und Nachtzeit und die Fähigkeit zur Optimierung des Kraftstoffverbrauchs.</w:t>
      </w:r>
    </w:p>
    <w:p>
      <w:pPr>
        <w:pStyle w:val="Text2"/>
        <w:rPr>
          <w:noProof/>
        </w:rPr>
      </w:pPr>
      <w:r>
        <w:rPr>
          <w:noProof/>
        </w:rPr>
        <w:t>Die Mitgliedstaaten können gestatten, dass die Ausbildung zum Teil mithilfe von Instrumenten der Informations- und Kommunikationstechnologie, beispielsweise E-Learning, erfolgt, wobei die angemessene Qualität der Ausbildung gewährleistet sein muss, und sie können nach anderen EU-Rechtsvorschriften vorgeschriebene spezielle Ausbildungsmaßnahmen als Teil der Ausbildung zählen. Dazu gehören u. a. die Ausbildung gemäß der Richtlinie 2008/68/EG des Europäischen Parlaments und des Rates(*) über die Beförderung gefährlicher Güter, die Ausbildung zur Sensibilisierung für Behindertenfragen gemäß der Verordnung (EU) Nr. 181/2011 des Europäischen Parlaments und des Rates(**) sowie die Ausbildung für den Transport von Tieren gemäß der Verordnung (EG) Nr. 1/2005 des Rates(***).</w:t>
      </w:r>
    </w:p>
    <w:p>
      <w:pPr>
        <w:pStyle w:val="Text2"/>
        <w:rPr>
          <w:noProof/>
        </w:rPr>
      </w:pPr>
      <w:r>
        <w:rPr>
          <w:noProof/>
        </w:rPr>
        <w:t>Für Kraftfahrer im Sinne von Artikel 5 Absatz 5 beträgt die Unterrichtsdauer bei der Grundqualifikation 70 Stunden, davon fünf Stunden mit persönlicher Führung eines Fahrzeugs.</w:t>
      </w:r>
    </w:p>
    <w:p>
      <w:pPr>
        <w:pStyle w:val="Text2"/>
        <w:rPr>
          <w:noProof/>
        </w:rPr>
      </w:pPr>
      <w:r>
        <w:rPr>
          <w:noProof/>
        </w:rPr>
        <w:t>Nach Abschluss dieser Ausbildung wird der Kraftfahrer von den zuständigen Behörden der Mitgliedstaaten oder der von ihnen benannten Stelle einer schriftlichen oder mündlichen Prüfung unterzogen. Diese Prüfung umfasst mindestens eine Frage zu jedem der in der Liste der Kenntnisbereiche in Abschnitt 1 genannten Ziele.</w:t>
      </w:r>
    </w:p>
    <w:p>
      <w:pPr>
        <w:pStyle w:val="Text2"/>
        <w:rPr>
          <w:noProof/>
        </w:rPr>
      </w:pPr>
      <w:r>
        <w:rPr>
          <w:noProof/>
        </w:rPr>
        <w:t>_________</w:t>
      </w:r>
    </w:p>
    <w:p>
      <w:pPr>
        <w:pStyle w:val="Text2"/>
        <w:rPr>
          <w:noProof/>
        </w:rPr>
      </w:pPr>
      <w:r>
        <w:rPr>
          <w:noProof/>
        </w:rPr>
        <w:t>(*) Richtlinie 2008/68/EG des Europäischen Parlaments und des Rates vom 24. September 2008 über die Beförderung gefährlicher Güter im Binnenland (ABl. L 260 vom 30.9.2008, S. 13).</w:t>
      </w:r>
    </w:p>
    <w:p>
      <w:pPr>
        <w:pStyle w:val="Text2"/>
        <w:rPr>
          <w:noProof/>
        </w:rPr>
      </w:pPr>
      <w:r>
        <w:rPr>
          <w:noProof/>
        </w:rPr>
        <w:lastRenderedPageBreak/>
        <w:t>(**) Verordnung (EU) Nr. 181/2011 des Europäischen Parlaments und des Rates vom 16. Februar 2011 über die Fahrgastrechte im Kraftomnibusverkehr und zur Änderung der Verordnung (EG) Nr. 2006/2004 (ABl. L 55 vom 28.2.2011, S. 1).</w:t>
      </w:r>
    </w:p>
    <w:p>
      <w:pPr>
        <w:pStyle w:val="Text2"/>
        <w:rPr>
          <w:noProof/>
        </w:rPr>
      </w:pPr>
      <w:r>
        <w:rPr>
          <w:noProof/>
        </w:rPr>
        <w:t>(***) Verordnung (EG) Nr. 1/2005 des Rates vom 22. Dezember 2004 über den Schutz von Tieren beim Transport und damit zusammenhängenden Vorgängen sowie zur Änderung der Richtlinien 64/432/EWG und 93/119/EG und der Verordnung (EG) Nr. 1255/97 (ABl. L 3 vom 5.1.2005, S. 1).</w:t>
      </w:r>
    </w:p>
    <w:p>
      <w:pPr>
        <w:rPr>
          <w:noProof/>
        </w:rPr>
      </w:pPr>
    </w:p>
    <w:p>
      <w:pPr>
        <w:pStyle w:val="Point2letter"/>
        <w:rPr>
          <w:noProof/>
        </w:rPr>
      </w:pPr>
      <w:r>
        <w:rPr>
          <w:noProof/>
        </w:rPr>
        <w:t>Nummer 2.2. Buchstabe b Absatz 2 erhält folgende Fassung:</w:t>
      </w:r>
    </w:p>
    <w:p>
      <w:pPr>
        <w:pStyle w:val="Text2"/>
        <w:rPr>
          <w:noProof/>
        </w:rPr>
      </w:pPr>
      <w:r>
        <w:rPr>
          <w:noProof/>
        </w:rPr>
        <w:t>„Die bei den praktischen Prüfungen verwendeten Fahrzeuge entsprechen mindestens den in der Richtlinie 2006/126/EG festgelegten Kriterien für Prüffahrzeuge.“;</w:t>
      </w:r>
    </w:p>
    <w:p>
      <w:pPr>
        <w:rPr>
          <w:noProof/>
        </w:rPr>
      </w:pPr>
    </w:p>
    <w:p>
      <w:pPr>
        <w:pStyle w:val="Point1letter"/>
        <w:rPr>
          <w:noProof/>
        </w:rPr>
      </w:pPr>
      <w:r>
        <w:rPr>
          <w:noProof/>
        </w:rPr>
        <w:t>Die Abschnitte 3 und 4 erhalten folgende Fassung:</w:t>
      </w:r>
    </w:p>
    <w:p>
      <w:pPr>
        <w:pStyle w:val="Text1"/>
        <w:rPr>
          <w:noProof/>
        </w:rPr>
      </w:pPr>
      <w:r>
        <w:rPr>
          <w:noProof/>
        </w:rPr>
        <w:t>„</w:t>
      </w:r>
      <w:r>
        <w:rPr>
          <w:b/>
          <w:noProof/>
        </w:rPr>
        <w:t>Abschnitt 3: Beschleunigte Grundqualifikation gemäß Artikel  3Absatz 2</w:t>
      </w:r>
    </w:p>
    <w:p>
      <w:pPr>
        <w:pStyle w:val="Text1"/>
        <w:rPr>
          <w:noProof/>
        </w:rPr>
      </w:pPr>
      <w:r>
        <w:rPr>
          <w:noProof/>
        </w:rPr>
        <w:t>Die beschleunigte Grundqualifikation beinhaltet Unterricht in allen in der Liste in Abschnitt 1 aufgeführten Kenntnisbereichen. Ihre Dauer beträgt 140 Stunden.</w:t>
      </w:r>
    </w:p>
    <w:p>
      <w:pPr>
        <w:pStyle w:val="Text1"/>
        <w:rPr>
          <w:noProof/>
        </w:rPr>
      </w:pPr>
      <w:r>
        <w:rPr>
          <w:noProof/>
        </w:rPr>
        <w:t>Jeder Bewerber für den Beruf des Kraftfahrers muss während mindestens zehn Fahrstunden persönlich ein Fahrzeug der betreffenden Klasse führen, das mindestens den in der Richtlinie 2006/126/EG festgelegten Kriterien für Prüffahrzeuge entspricht.</w:t>
      </w:r>
    </w:p>
    <w:p>
      <w:pPr>
        <w:pStyle w:val="Text1"/>
        <w:rPr>
          <w:noProof/>
        </w:rPr>
      </w:pPr>
      <w:r>
        <w:rPr>
          <w:noProof/>
        </w:rPr>
        <w:t>Während der persönlichen Führung eines Fahrzeugs wird der Bewerber für den Beruf des Kraftfahrers von einem Ausbilder begleitet, der bei einer anerkannten Ausbildungsstätte angestellt ist. Jeder Kraftfahrer kann während höchstens vier der zehn Stunden persönlich ein Fahrzeug auf einem besonderen Gelände oder in einem leistungsfähigen Simulator führen, damit die Verbesserung des rationellen Fahrverhaltens des Bewerbers auf der Grundlage der Sicherheitsregeln bewertet werden kann, insbesondere seine Beherrschung des Fahrzeugs bei unterschiedlichem Zustand der Fahrbahn je nach Witterungsverhältnissen sowie Tages- und Nachtzeit und die Fähigkeit zur Optimierung des Kraftstoffverbrauchs.</w:t>
      </w:r>
    </w:p>
    <w:p>
      <w:pPr>
        <w:pStyle w:val="Text1"/>
        <w:rPr>
          <w:noProof/>
        </w:rPr>
      </w:pPr>
      <w:r>
        <w:rPr>
          <w:noProof/>
        </w:rPr>
        <w:t>Die Bestimmungen von Nummer 2.1 Absatz 4 gelten auch für die beschleunigte Grundqualifikation.</w:t>
      </w:r>
    </w:p>
    <w:p>
      <w:pPr>
        <w:pStyle w:val="Text1"/>
        <w:rPr>
          <w:noProof/>
        </w:rPr>
      </w:pPr>
      <w:r>
        <w:rPr>
          <w:noProof/>
        </w:rPr>
        <w:t>Für Kraftfahrer im Sinne von Artikel 5 Absatz 5 beträgt die Unterrichtsdauer bei der beschleunigten Grundqualifikation 35 Stunden, davon 2 1/2 Stunden mit persönlicher Führung eines Fahrzeugs.</w:t>
      </w:r>
    </w:p>
    <w:p>
      <w:pPr>
        <w:pStyle w:val="Text1"/>
        <w:rPr>
          <w:noProof/>
        </w:rPr>
      </w:pPr>
      <w:r>
        <w:rPr>
          <w:noProof/>
        </w:rPr>
        <w:t>Nach Abschluss dieser Ausbildung wird der Kraftfahrer von den zuständigen Behörden der Mitgliedstaaten oder der von ihnen benannten Stelle einer schriftlichen oder mündlichen Prüfung unterzogen. Diese Prüfung umfasst mindestens eine Frage zu jedem der in der Liste der Kenntnisbereiche in Abschnitt 1 genannten Ziele.</w:t>
      </w:r>
    </w:p>
    <w:p>
      <w:pPr>
        <w:pStyle w:val="Text1"/>
        <w:rPr>
          <w:noProof/>
        </w:rPr>
      </w:pPr>
    </w:p>
    <w:p>
      <w:pPr>
        <w:pStyle w:val="Text1"/>
        <w:rPr>
          <w:noProof/>
        </w:rPr>
      </w:pPr>
      <w:r>
        <w:rPr>
          <w:b/>
          <w:noProof/>
        </w:rPr>
        <w:lastRenderedPageBreak/>
        <w:t>Abschnitt 4: Obligatorische Weiterbildung gemäß Artikel 3 Absatz 1 Buchstabe b</w:t>
      </w:r>
    </w:p>
    <w:p>
      <w:pPr>
        <w:pStyle w:val="Text1"/>
        <w:rPr>
          <w:noProof/>
        </w:rPr>
      </w:pPr>
      <w:r>
        <w:rPr>
          <w:noProof/>
        </w:rPr>
        <w:t>Obligatorische Weiterbildungskurse werden von einer anerkannten Ausbildungsstätte veranstaltet. Die Dauer der Weiterbildung beträgt 35 Stunden alle fünf Jahre, die in Zeiteinheiten von jeweils mindestens sieben Stunden erteilt werden. Ein Teil der Weiterbildung kann in leistungsfähigen Simulatoren und durch Nutzung von Instrumenten der Informations- und Kommunikationstechnologie wie E-Learning erteilt werden, wobei gleichzeitig die Qualität der Ausbildung zu gewährleisten ist. Mindestens eine der Zeiteinheiten von sieben Stunden umfasst einen die Straßenverkehrssicherheit betreffenden Kenntnisbereich. Der Inhalt der Ausbildung trägt dem speziellen Weiterbildungsbedarf Rechnung, der in Bezug auf die vom Fahrer durchgeführten Beförderungen und die Weiterentwicklung der einschlägigen Rechtsvorschriften und der Technik besteht. Die Zeiteinheiten von sieben Stunden decken unterschiedliche Kenntnisbereiche ab.</w:t>
      </w:r>
    </w:p>
    <w:p>
      <w:pPr>
        <w:pStyle w:val="Text1"/>
        <w:rPr>
          <w:noProof/>
        </w:rPr>
      </w:pPr>
      <w:r>
        <w:rPr>
          <w:noProof/>
        </w:rPr>
        <w:t>Gemäß anderen EU-Rechtsvorschriften vorgeschriebene abgeschlossene spezielle Ausbildungsmaßnahmen können als eine der Zeiteinheiten von sieben Stunden zählen. Dazu zählen u. a. die Ausbildung gemäß der Richtlinie 2008/68/EG über die Beförderung gefährlicher Güter, die Ausbildung für den Transport von Tieren gemäß der Verordnung (EG) Nr. 1/2005 sowie die Schulung zur Sensibilisierung für Behindertenfragen gemäß der Verordnung (EU) Nr. 181/2011 des Rates.“;</w:t>
      </w:r>
    </w:p>
    <w:p>
      <w:pPr>
        <w:rPr>
          <w:noProof/>
        </w:rPr>
      </w:pPr>
    </w:p>
    <w:p>
      <w:pPr>
        <w:pStyle w:val="Point0number"/>
        <w:rPr>
          <w:noProof/>
        </w:rPr>
      </w:pPr>
      <w:r>
        <w:rPr>
          <w:noProof/>
        </w:rPr>
        <w:t>Anhang II wird wie folgt geändert:</w:t>
      </w:r>
    </w:p>
    <w:p>
      <w:pPr>
        <w:rPr>
          <w:noProof/>
        </w:rPr>
      </w:pPr>
    </w:p>
    <w:p>
      <w:pPr>
        <w:pStyle w:val="Point1letter"/>
        <w:rPr>
          <w:noProof/>
        </w:rPr>
      </w:pPr>
      <w:r>
        <w:rPr>
          <w:noProof/>
        </w:rPr>
        <w:t>Der Titel erhält folgende Fassung:</w:t>
      </w:r>
    </w:p>
    <w:p>
      <w:pPr>
        <w:pStyle w:val="Text2"/>
        <w:rPr>
          <w:noProof/>
        </w:rPr>
      </w:pPr>
      <w:r>
        <w:rPr>
          <w:noProof/>
        </w:rPr>
        <w:t>„BESTIMMUNGEN ZUM MODELL DES FAHRERQUALIFIZIERUNGSNACHWEISES DER EUROPÄISCHEN UNION“;</w:t>
      </w:r>
    </w:p>
    <w:p>
      <w:pPr>
        <w:rPr>
          <w:noProof/>
        </w:rPr>
      </w:pPr>
    </w:p>
    <w:p>
      <w:pPr>
        <w:pStyle w:val="Point1letter"/>
        <w:rPr>
          <w:noProof/>
        </w:rPr>
      </w:pPr>
      <w:r>
        <w:rPr>
          <w:noProof/>
        </w:rPr>
        <w:t>Abschnitt 2 betreffend Seite 1 des Fahrerqualifizierungsnachweises wird wie folgt geändert:</w:t>
      </w:r>
    </w:p>
    <w:p>
      <w:pPr>
        <w:pStyle w:val="Point2letter"/>
        <w:rPr>
          <w:noProof/>
        </w:rPr>
      </w:pPr>
      <w:r>
        <w:rPr>
          <w:noProof/>
        </w:rPr>
        <w:t>Buchstabe d Nummer 9 erhält folgende Fassung:</w:t>
      </w:r>
    </w:p>
    <w:p>
      <w:pPr>
        <w:pStyle w:val="Text2"/>
        <w:rPr>
          <w:noProof/>
        </w:rPr>
      </w:pPr>
      <w:r>
        <w:rPr>
          <w:noProof/>
        </w:rPr>
        <w:t>„9. Fahrzeugklassen, für die der Fahrer die Grundqualifikations- und Weiterbildungsverpflichtungen erfüllt;“;</w:t>
      </w:r>
    </w:p>
    <w:p>
      <w:pPr>
        <w:pStyle w:val="Point2letter"/>
        <w:rPr>
          <w:noProof/>
        </w:rPr>
      </w:pPr>
      <w:r>
        <w:rPr>
          <w:noProof/>
        </w:rPr>
        <w:t>Buchstabe e Absatz 1 erhält folgende Fassung:</w:t>
      </w:r>
    </w:p>
    <w:p>
      <w:pPr>
        <w:pStyle w:val="Text2"/>
        <w:rPr>
          <w:noProof/>
        </w:rPr>
      </w:pPr>
      <w:r>
        <w:rPr>
          <w:noProof/>
        </w:rPr>
        <w:t>„die Aufschrift „Modell der Europäischen Union“ in der (den) Sprache(n) des Mitgliedstaats, der den Nachweis ausstellt, und die Aufschrift ‚Fahrerqualifizierungsnachweis‘ in den anderen Amtssprachen der Union in blaufarbenem Druck als Hintergrund des Fahrerqualifizierungsnachweises:“;</w:t>
      </w:r>
    </w:p>
    <w:p>
      <w:pPr>
        <w:rPr>
          <w:noProof/>
        </w:rPr>
      </w:pPr>
    </w:p>
    <w:p>
      <w:pPr>
        <w:pStyle w:val="Point1letter"/>
        <w:rPr>
          <w:noProof/>
        </w:rPr>
      </w:pPr>
      <w:r>
        <w:rPr>
          <w:noProof/>
        </w:rPr>
        <w:t>In Abschnitt 2 Buchstabe a betreffend Seite 2 des Fahrerqualifizierungsnachweises erhalten die Nummern 9 und 10 folgende Fassung:</w:t>
      </w:r>
    </w:p>
    <w:p>
      <w:pPr>
        <w:pStyle w:val="Text2"/>
        <w:rPr>
          <w:noProof/>
        </w:rPr>
      </w:pPr>
      <w:r>
        <w:rPr>
          <w:noProof/>
        </w:rPr>
        <w:lastRenderedPageBreak/>
        <w:t>„9. Fahrzeugklassen, für die der Fahrer die Grundqualifikations- und Weiterbildungsverpflichtungen erfüllt;</w:t>
      </w:r>
    </w:p>
    <w:p>
      <w:pPr>
        <w:pStyle w:val="Text2"/>
        <w:rPr>
          <w:noProof/>
        </w:rPr>
      </w:pPr>
      <w:r>
        <w:rPr>
          <w:noProof/>
        </w:rPr>
        <w:t>10. den harmonisierten Code 95 der Europäischen Union gemäß Anhang I der Richtlinie 2006/126/EG“.</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D261A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9160CB0"/>
    <w:lvl w:ilvl="0">
      <w:start w:val="1"/>
      <w:numFmt w:val="decimal"/>
      <w:pStyle w:val="ListNumber3"/>
      <w:lvlText w:val="%1."/>
      <w:lvlJc w:val="left"/>
      <w:pPr>
        <w:tabs>
          <w:tab w:val="num" w:pos="926"/>
        </w:tabs>
        <w:ind w:left="926" w:hanging="360"/>
      </w:pPr>
    </w:lvl>
  </w:abstractNum>
  <w:abstractNum w:abstractNumId="2">
    <w:nsid w:val="FFFFFF7F"/>
    <w:multiLevelType w:val="singleLevel"/>
    <w:tmpl w:val="A352312A"/>
    <w:lvl w:ilvl="0">
      <w:start w:val="1"/>
      <w:numFmt w:val="decimal"/>
      <w:pStyle w:val="ListNumber2"/>
      <w:lvlText w:val="%1."/>
      <w:lvlJc w:val="left"/>
      <w:pPr>
        <w:tabs>
          <w:tab w:val="num" w:pos="643"/>
        </w:tabs>
        <w:ind w:left="643" w:hanging="360"/>
      </w:pPr>
    </w:lvl>
  </w:abstractNum>
  <w:abstractNum w:abstractNumId="3">
    <w:nsid w:val="FFFFFF81"/>
    <w:multiLevelType w:val="singleLevel"/>
    <w:tmpl w:val="73A0527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8AA98E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A024DF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2CC46B4"/>
    <w:lvl w:ilvl="0">
      <w:start w:val="1"/>
      <w:numFmt w:val="decimal"/>
      <w:pStyle w:val="ListNumber"/>
      <w:lvlText w:val="%1."/>
      <w:lvlJc w:val="left"/>
      <w:pPr>
        <w:tabs>
          <w:tab w:val="num" w:pos="360"/>
        </w:tabs>
        <w:ind w:left="360" w:hanging="360"/>
      </w:pPr>
    </w:lvl>
  </w:abstractNum>
  <w:abstractNum w:abstractNumId="7">
    <w:nsid w:val="FFFFFF89"/>
    <w:multiLevelType w:val="singleLevel"/>
    <w:tmpl w:val="6372733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7AF240E"/>
    <w:multiLevelType w:val="hybridMultilevel"/>
    <w:tmpl w:val="C646F1F6"/>
    <w:styleLink w:val="Lettered"/>
    <w:lvl w:ilvl="0" w:tplc="C646F1F6">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14D04A">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6211B4">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3D6518E">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AC4A3E">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9C03AC">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EEA470C">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D4B93C">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50A79C">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30136F6"/>
    <w:multiLevelType w:val="hybridMultilevel"/>
    <w:tmpl w:val="84BE107A"/>
    <w:styleLink w:val="Dash"/>
    <w:lvl w:ilvl="0" w:tplc="750E125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F608308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BEFA2DB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479C972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26C23B9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72A45F7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7EAE6E7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2E8C30A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46C095D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num>
  <w:num w:numId="2">
    <w:abstractNumId w:val="10"/>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3"/>
  </w:num>
  <w:num w:numId="14">
    <w:abstractNumId w:val="21"/>
  </w:num>
  <w:num w:numId="15">
    <w:abstractNumId w:val="12"/>
  </w:num>
  <w:num w:numId="16">
    <w:abstractNumId w:val="14"/>
  </w:num>
  <w:num w:numId="17">
    <w:abstractNumId w:val="9"/>
  </w:num>
  <w:num w:numId="18">
    <w:abstractNumId w:val="20"/>
  </w:num>
  <w:num w:numId="19">
    <w:abstractNumId w:val="8"/>
  </w:num>
  <w:num w:numId="20">
    <w:abstractNumId w:val="15"/>
  </w:num>
  <w:num w:numId="21">
    <w:abstractNumId w:val="17"/>
  </w:num>
  <w:num w:numId="22">
    <w:abstractNumId w:val="18"/>
  </w:num>
  <w:num w:numId="23">
    <w:abstractNumId w:val="11"/>
  </w:num>
  <w:num w:numId="24">
    <w:abstractNumId w:val="16"/>
  </w:num>
  <w:num w:numId="25">
    <w:abstractNumId w:val="23"/>
  </w:num>
  <w:num w:numId="26">
    <w:abstractNumId w:val="19"/>
  </w:num>
  <w:num w:numId="27">
    <w:abstractNumId w:val="13"/>
  </w:num>
  <w:num w:numId="28">
    <w:abstractNumId w:val="21"/>
  </w:num>
  <w:num w:numId="29">
    <w:abstractNumId w:val="12"/>
  </w:num>
  <w:num w:numId="30">
    <w:abstractNumId w:val="14"/>
  </w:num>
  <w:num w:numId="31">
    <w:abstractNumId w:val="9"/>
  </w:num>
  <w:num w:numId="32">
    <w:abstractNumId w:val="20"/>
  </w:num>
  <w:num w:numId="33">
    <w:abstractNumId w:val="8"/>
  </w:num>
  <w:num w:numId="34">
    <w:abstractNumId w:val="15"/>
  </w:num>
  <w:num w:numId="35">
    <w:abstractNumId w:val="17"/>
  </w:num>
  <w:num w:numId="36">
    <w:abstractNumId w:val="18"/>
  </w:num>
  <w:num w:numId="37">
    <w:abstractNumId w:val="11"/>
  </w:num>
  <w:num w:numId="38">
    <w:abstractNumId w:val="16"/>
  </w:num>
  <w:num w:numId="39">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2-01 09:10:3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9"/>
    <w:docVar w:name="DQCResult_UnknownFonts" w:val="0;0"/>
    <w:docVar w:name="DQCResult_UnknownStyles" w:val="0;0"/>
    <w:docVar w:name="DQCStatus" w:val="Green"/>
    <w:docVar w:name="DQCVersion" w:val="3"/>
    <w:docVar w:name="DQCWithWarnings" w:val="0"/>
    <w:docVar w:name="LW_ACCOMPAGNANT.CP" w:val="&lt;UNUSED&gt;"/>
    <w:docVar w:name="LW_ANNEX_NBR_FIRST" w:val="1"/>
    <w:docVar w:name="LW_ANNEX_NBR_LAST" w:val="1"/>
    <w:docVar w:name="LW_CONFIDENCE" w:val=" "/>
    <w:docVar w:name="LW_CONST_RESTREINT_UE" w:val="RESTREINT UE"/>
    <w:docVar w:name="LW_CORRIGENDUM" w:val="&lt;UNUSED&gt;"/>
    <w:docVar w:name="LW_COVERPAGE_GUID" w:val="CA3B1411E05B445CB083342CA3A37EC5"/>
    <w:docVar w:name="LW_CROSSREFERENCE" w:val="{SWD(2017) 26 final}_x000b_{SWD(2017) 27 final}"/>
    <w:docVar w:name="LW_DocType" w:val="ANNEX"/>
    <w:docVar w:name="LW_EMISSION" w:val="1.2.2017"/>
    <w:docVar w:name="LW_EMISSION_ISODATE" w:val="2017-02-01"/>
    <w:docVar w:name="LW_EMISSION_LOCATION" w:val="BRX"/>
    <w:docVar w:name="LW_EMISSION_PREFIX" w:val="Brüssel, den "/>
    <w:docVar w:name="LW_EMISSION_SUFFIX" w:val=" "/>
    <w:docVar w:name="LW_ID_DOCSTRUCTURE" w:val="COM/ANNEX"/>
    <w:docVar w:name="LW_ID_DOCTYPE" w:val="SG-017"/>
    <w:docVar w:name="LW_LANGUE" w:val="DE"/>
    <w:docVar w:name="LW_MARKING" w:val="&lt;UNUSED&gt;"/>
    <w:docVar w:name="LW_NOM.INST" w:val="EUROPÄISCHE KOMMISSION"/>
    <w:docVar w:name="LW_NOM.INST_JOINTDOC" w:val="&lt;EMPTY&gt;"/>
    <w:docVar w:name="LW_OBJETACTEPRINCIPAL.CP" w:val="&lt;UNUSED&gt;"/>
    <w:docVar w:name="LW_PART_NBR" w:val="1"/>
    <w:docVar w:name="LW_PART_NBR_TOTAL" w:val="1"/>
    <w:docVar w:name="LW_REF.INST.NEW" w:val="COM"/>
    <w:docVar w:name="LW_REF.INST.NEW_ADOPTED" w:val="final"/>
    <w:docVar w:name="LW_REF.INST.NEW_TEXT" w:val="(2017) 47"/>
    <w:docVar w:name="LW_REF.INTERNE" w:val="&lt;UNUSED&gt;"/>
    <w:docVar w:name="LW_SUPERTITRE" w:val="&lt;UNUSED&gt;"/>
    <w:docVar w:name="LW_TITRE.OBJ.CP" w:val="zur_x000b__x000b_RICHTLINIE DES EUROPÄISCHEN PARLAMENTS UND DES RATES_x000b__x000b_zur Änderung der Richtlinie 2003/59/EG über die Grundqualifikation und Weiterbildung der Fahrer bestimmter Kraftfahrzeuge für den Güter- oder Personenkraftverkehr und der Richtlinie 2006/126/EG über den Führerschein"/>
    <w:docVar w:name="LW_TYPE.DOC.CP" w:val="ANHÄNGE"/>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Dash">
    <w:name w:val="Dash"/>
    <w:pPr>
      <w:numPr>
        <w:numId w:val="1"/>
      </w:numPr>
    </w:pPr>
  </w:style>
  <w:style w:type="numbering" w:customStyle="1" w:styleId="Lettered">
    <w:name w:val="Lettered"/>
    <w:pPr>
      <w:numPr>
        <w:numId w:val="2"/>
      </w:numPr>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customStyle="1" w:styleId="Pointlett">
    <w:name w:val="Point lett"/>
    <w:basedOn w:val="Normal"/>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Dash">
    <w:name w:val="Dash"/>
    <w:pPr>
      <w:numPr>
        <w:numId w:val="1"/>
      </w:numPr>
    </w:pPr>
  </w:style>
  <w:style w:type="numbering" w:customStyle="1" w:styleId="Lettered">
    <w:name w:val="Lettered"/>
    <w:pPr>
      <w:numPr>
        <w:numId w:val="2"/>
      </w:numPr>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customStyle="1" w:styleId="Pointlett">
    <w:name w:val="Point lett"/>
    <w:basedOn w:val="Normal"/>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27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EDD48-8E95-4F0B-892E-A1624E69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8</Pages>
  <Words>1829</Words>
  <Characters>12718</Characters>
  <Application>Microsoft Office Word</Application>
  <DocSecurity>0</DocSecurity>
  <Lines>259</Lines>
  <Paragraphs>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LUKAC Ivan (MOVE)</dc:creator>
  <cp:lastModifiedBy>DIGIT/A3</cp:lastModifiedBy>
  <cp:revision>8</cp:revision>
  <cp:lastPrinted>2016-11-29T10:18:00Z</cp:lastPrinted>
  <dcterms:created xsi:type="dcterms:W3CDTF">2017-01-19T15:24:00Z</dcterms:created>
  <dcterms:modified xsi:type="dcterms:W3CDTF">2017-02-01T08:10:00Z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