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8A2EDC6151394171B378A26D8E842870" style="width:450.75pt;height:392.2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0" w:name="_GoBack"/>
      <w:bookmarkEnd w:id="0"/>
      <w:r>
        <w:rPr>
          <w:noProof/>
        </w:rPr>
        <w:lastRenderedPageBreak/>
        <w:t>PŘÍLOHA</w:t>
      </w:r>
    </w:p>
    <w:p>
      <w:pPr>
        <w:pStyle w:val="Titreobjet"/>
        <w:rPr>
          <w:noProof/>
        </w:rPr>
      </w:pPr>
      <w:r>
        <w:rPr>
          <w:noProof/>
        </w:rPr>
        <w:t>SMĚRNICE EVROPSKÉHO PARLAMENTU A RADY,</w:t>
      </w:r>
      <w:r>
        <w:rPr>
          <w:noProof/>
        </w:rPr>
        <w:br/>
      </w:r>
      <w:r>
        <w:rPr>
          <w:noProof/>
        </w:rPr>
        <w:br/>
        <w:t>kterou se mění směrnice 2003/59/ES o výchozí kvalifikaci a pravidelném školení řidičů některých silničních vozidel pro nákladní nebo osobní dopravu a směrnice 2006/126/ES o řidičských průkazech</w:t>
      </w:r>
    </w:p>
    <w:p>
      <w:pPr>
        <w:rPr>
          <w:noProof/>
        </w:rPr>
      </w:pPr>
      <w:r>
        <w:rPr>
          <w:noProof/>
        </w:rPr>
        <w:t>Přílohy I a II se mění takto:</w:t>
      </w:r>
    </w:p>
    <w:p>
      <w:pPr>
        <w:rPr>
          <w:noProof/>
        </w:rPr>
      </w:pPr>
    </w:p>
    <w:p>
      <w:pPr>
        <w:pStyle w:val="Point0"/>
        <w:rPr>
          <w:noProof/>
        </w:rPr>
      </w:pPr>
      <w:r>
        <w:rPr>
          <w:noProof/>
        </w:rPr>
        <w:t>1)</w:t>
      </w:r>
      <w:r>
        <w:rPr>
          <w:noProof/>
        </w:rPr>
        <w:tab/>
        <w:t>příloha I se mění takto: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oddíl 1 se mění takto:</w:t>
      </w:r>
    </w:p>
    <w:p>
      <w:pPr>
        <w:pStyle w:val="Point2"/>
        <w:rPr>
          <w:noProof/>
        </w:rPr>
      </w:pPr>
      <w:r>
        <w:rPr>
          <w:noProof/>
        </w:rPr>
        <w:t>a)</w:t>
      </w:r>
      <w:r>
        <w:rPr>
          <w:noProof/>
        </w:rPr>
        <w:tab/>
        <w:t>druhý pododstavec se nahrazuje tímto:</w:t>
      </w:r>
    </w:p>
    <w:p>
      <w:pPr>
        <w:pStyle w:val="Text2"/>
        <w:rPr>
          <w:noProof/>
        </w:rPr>
      </w:pPr>
      <w:r>
        <w:rPr>
          <w:noProof/>
        </w:rPr>
        <w:t>„Minimální úroveň kvalifikace musí být srovnatelná alespoň s úrovní 2 evropského rámce kvalifikací stanovenou v příloze II doporučení evropského parlamentu a Rady 2008/C 111/01(*).</w:t>
      </w:r>
    </w:p>
    <w:p>
      <w:pPr>
        <w:pStyle w:val="Text2"/>
        <w:rPr>
          <w:noProof/>
        </w:rPr>
      </w:pPr>
      <w:r>
        <w:rPr>
          <w:noProof/>
        </w:rPr>
        <w:t>_____</w:t>
      </w:r>
    </w:p>
    <w:p>
      <w:pPr>
        <w:pStyle w:val="Text2"/>
        <w:rPr>
          <w:noProof/>
        </w:rPr>
      </w:pPr>
      <w:r>
        <w:rPr>
          <w:noProof/>
        </w:rPr>
        <w:t>(*) Doporučení Evropského parlamentu a Rady ze dne 23. dubna 2008 o zavedení evropského rámce kvalifikací pro celoživotní učení (Úř. věst. C 111, 6.5.2008, s. 1).“;</w:t>
      </w:r>
    </w:p>
    <w:p>
      <w:pPr>
        <w:rPr>
          <w:noProof/>
        </w:rPr>
      </w:pPr>
    </w:p>
    <w:p>
      <w:pPr>
        <w:pStyle w:val="Point2"/>
        <w:rPr>
          <w:noProof/>
        </w:rPr>
      </w:pPr>
      <w:r>
        <w:rPr>
          <w:noProof/>
        </w:rPr>
        <w:t>b)</w:t>
      </w:r>
      <w:r>
        <w:rPr>
          <w:noProof/>
        </w:rPr>
        <w:tab/>
        <w:t>bod 1.2 se nahrazuje tímto:</w:t>
      </w:r>
    </w:p>
    <w:p>
      <w:pPr>
        <w:pStyle w:val="Text2"/>
        <w:rPr>
          <w:noProof/>
        </w:rPr>
      </w:pPr>
      <w:r>
        <w:rPr>
          <w:noProof/>
        </w:rPr>
        <w:t>„1.2 Cíl: znát technické charakteristiky a obsluhu bezpečnostních ovládacích prvků pro řízení vozidla, umět minimalizovat jeho opotřebení a předcházet poruchám jeho funkcí:</w:t>
      </w:r>
    </w:p>
    <w:p>
      <w:pPr>
        <w:pStyle w:val="Text2"/>
        <w:rPr>
          <w:noProof/>
        </w:rPr>
      </w:pPr>
      <w:r>
        <w:rPr>
          <w:noProof/>
        </w:rPr>
        <w:t>meze použití brzd a zpomalovače, kombinované použití brzd a zpomalovače, lepší využívání vztahu mezi rychlostí a převodovým poměrem, využívání setrvačnosti vozidla, využívání způsobů zpomalení a brzdění na svazích, zásahy v případě poruchy, využívání elektronických a mechanických zařízení, jako jsou elektronický stabilizační program (ESP), vyspělé systémy nouzového brzdění (AEBS), protiblokovací brzdový systém (ABS), systémy řízení trakce (TCS) a palubní monitorovací systémy (IVMS) a další asistenční nebo automatizační zařízení, která jsou schválena k používání.“;</w:t>
      </w:r>
    </w:p>
    <w:p>
      <w:pPr>
        <w:rPr>
          <w:noProof/>
        </w:rPr>
      </w:pPr>
    </w:p>
    <w:p>
      <w:pPr>
        <w:pStyle w:val="Point2"/>
        <w:rPr>
          <w:noProof/>
        </w:rPr>
      </w:pPr>
      <w:r>
        <w:rPr>
          <w:noProof/>
        </w:rPr>
        <w:t>c)</w:t>
      </w:r>
      <w:r>
        <w:rPr>
          <w:noProof/>
        </w:rPr>
        <w:tab/>
        <w:t xml:space="preserve">v bodě 1.3 se druhý pododstavec nahrazuje tímto: </w:t>
      </w:r>
    </w:p>
    <w:p>
      <w:pPr>
        <w:pStyle w:val="Text2"/>
        <w:rPr>
          <w:noProof/>
        </w:rPr>
      </w:pPr>
      <w:r>
        <w:rPr>
          <w:noProof/>
        </w:rPr>
        <w:t>„optimalizace spotřeby pohonných hmot uplatňováním poznatků uvedených v bodech 1.1 a 1.2, důležitost předvídání dopravního toku, dodržování přiměřené vzdálenosti a využívání hybnosti vozidla, ustálená rychlost jízdy, plynulý styl jízdy a náležitý tlak v pneumatikách.“;</w:t>
      </w:r>
    </w:p>
    <w:p>
      <w:pPr>
        <w:rPr>
          <w:noProof/>
        </w:rPr>
      </w:pPr>
    </w:p>
    <w:p>
      <w:pPr>
        <w:pStyle w:val="Point2"/>
        <w:rPr>
          <w:noProof/>
        </w:rPr>
      </w:pPr>
      <w:r>
        <w:rPr>
          <w:noProof/>
        </w:rPr>
        <w:lastRenderedPageBreak/>
        <w:t>d)</w:t>
      </w:r>
      <w:r>
        <w:rPr>
          <w:noProof/>
        </w:rPr>
        <w:tab/>
        <w:t xml:space="preserve">před nadpis „Skupiny řidičských oprávnění C, C+E, C1, C1+E“ se vkládá nový bod, který zní: </w:t>
      </w:r>
    </w:p>
    <w:p>
      <w:pPr>
        <w:pStyle w:val="Text2"/>
        <w:rPr>
          <w:noProof/>
        </w:rPr>
      </w:pPr>
      <w:r>
        <w:rPr>
          <w:noProof/>
        </w:rPr>
        <w:t>„1.3a Cíl: schopnost předvídat a vyhodnocovat rizika v silničním provozu a přizpůsobovat jim způsob řízení:</w:t>
      </w:r>
    </w:p>
    <w:p>
      <w:pPr>
        <w:pStyle w:val="Text2"/>
        <w:rPr>
          <w:noProof/>
        </w:rPr>
      </w:pPr>
      <w:r>
        <w:rPr>
          <w:noProof/>
        </w:rPr>
        <w:t xml:space="preserve">uvědomovat si různé stavy vozovky, dopravní a povětrnostní podmínky a přizpůsobovat jim způsob řízení, předvídat blížící se události, přizpůsobovat způsob řízení rizikům provozu a umět rozpoznat nebezpečné situace, zejména ve vztahu k velikosti a hmotnosti vozidel a zranitelných účastníků silničního provozu, jako jsou chodci, cyklisté a řidiči dvoukolových motorových vozidel, a přizpůsobovat jim způsob řízení; </w:t>
      </w:r>
    </w:p>
    <w:p>
      <w:pPr>
        <w:pStyle w:val="Text2"/>
        <w:rPr>
          <w:noProof/>
        </w:rPr>
      </w:pPr>
      <w:r>
        <w:rPr>
          <w:noProof/>
        </w:rPr>
        <w:t>identifikovat možné nebezpečné situace a správně interpretovat, jak se tyto potenciálně nebezpečné situace mohou proměnit v situace, za kterých již nelze předejít srážce nebo nárazu, a volit a provádět taková opatření, která zvyšují bezpečnost do té míry, aby v případě, že potenciálně nebezpečná situace nastane, bylo možno hrozící srážce nebo nárazu ještě předejít.“;</w:t>
      </w:r>
    </w:p>
    <w:p>
      <w:pPr>
        <w:rPr>
          <w:noProof/>
        </w:rPr>
      </w:pPr>
    </w:p>
    <w:p>
      <w:pPr>
        <w:pStyle w:val="Point2"/>
        <w:rPr>
          <w:noProof/>
        </w:rPr>
      </w:pPr>
      <w:r>
        <w:rPr>
          <w:noProof/>
        </w:rPr>
        <w:t>e)</w:t>
      </w:r>
      <w:r>
        <w:rPr>
          <w:noProof/>
        </w:rPr>
        <w:tab/>
        <w:t>bod 1.4 se nahrazuje tímto:</w:t>
      </w:r>
    </w:p>
    <w:p>
      <w:pPr>
        <w:pStyle w:val="Text2"/>
        <w:rPr>
          <w:noProof/>
        </w:rPr>
      </w:pPr>
      <w:r>
        <w:rPr>
          <w:noProof/>
        </w:rPr>
        <w:t>„1.4 Cíl: schopnost naložit vozidlo s patřičným ohledem na pravidla bezpečnosti a řádné užívání vozidla:</w:t>
      </w:r>
    </w:p>
    <w:p>
      <w:pPr>
        <w:pStyle w:val="Text2"/>
        <w:rPr>
          <w:noProof/>
        </w:rPr>
      </w:pPr>
      <w:r>
        <w:rPr>
          <w:noProof/>
        </w:rPr>
        <w:t>síly působící na vozidlo v pohybu, užití převodového poměru odpovídajícího nákladu vozidla a profilu silnice, používání automatických převodových soustav, výpočet užitečného zatížení vozidla nebo kombinace vozidel, výpočet užitečného objemu, rozložení nákladu, důsledky přetížení nápravy, stabilita vozidla a jeho těžiště, typy obalů a palet;</w:t>
      </w:r>
    </w:p>
    <w:p>
      <w:pPr>
        <w:pStyle w:val="Text2"/>
        <w:rPr>
          <w:noProof/>
        </w:rPr>
      </w:pPr>
      <w:r>
        <w:rPr>
          <w:noProof/>
        </w:rPr>
        <w:t>hlavní skupiny věcí vyžadující zabezpečení, upínací a zajišťovací technika, užití zajišťovacích popruhů, kontrola zajišťovacích zařízení, užití manipulačního vybavení, přikrytí plachtovinou a její odstranění.“;</w:t>
      </w:r>
    </w:p>
    <w:p>
      <w:pPr>
        <w:rPr>
          <w:noProof/>
        </w:rPr>
      </w:pPr>
    </w:p>
    <w:p>
      <w:pPr>
        <w:pStyle w:val="Point2"/>
        <w:rPr>
          <w:noProof/>
        </w:rPr>
      </w:pPr>
      <w:r>
        <w:rPr>
          <w:noProof/>
        </w:rPr>
        <w:t>f)</w:t>
      </w:r>
      <w:r>
        <w:rPr>
          <w:noProof/>
        </w:rPr>
        <w:tab/>
        <w:t>bod 1.6 se nahrazuje tímto:</w:t>
      </w:r>
    </w:p>
    <w:p>
      <w:pPr>
        <w:pStyle w:val="Text2"/>
        <w:rPr>
          <w:noProof/>
        </w:rPr>
      </w:pPr>
      <w:r>
        <w:rPr>
          <w:noProof/>
        </w:rPr>
        <w:t>„1.6 Cíl: schopnost naložit vozidlo s patřičným ohledem na pravidla bezpečnosti a řádné užívání vozidla:</w:t>
      </w:r>
    </w:p>
    <w:p>
      <w:pPr>
        <w:pStyle w:val="Text2"/>
        <w:rPr>
          <w:noProof/>
        </w:rPr>
      </w:pPr>
      <w:r>
        <w:rPr>
          <w:noProof/>
        </w:rPr>
        <w:t>síly působící na vozidlo v pohybu, užití převodového poměru odpovídajícího nákladu vozidla a profilu silnice, používání automatických převodových soustav, výpočet užitečného zatížení vozidla nebo kombinace vozidel,  rozložení nákladu, důsledky přetížení nápravy, stabilita vozidla a jeho těžiště.“;</w:t>
      </w:r>
    </w:p>
    <w:p>
      <w:pPr>
        <w:rPr>
          <w:noProof/>
        </w:rPr>
      </w:pPr>
    </w:p>
    <w:p>
      <w:pPr>
        <w:pStyle w:val="Point2"/>
        <w:rPr>
          <w:noProof/>
        </w:rPr>
      </w:pPr>
      <w:r>
        <w:rPr>
          <w:noProof/>
        </w:rPr>
        <w:t>g)</w:t>
      </w:r>
      <w:r>
        <w:rPr>
          <w:noProof/>
        </w:rPr>
        <w:tab/>
        <w:t>v bodě 2.1 se druhý pododstavec nahrazuje tímto:</w:t>
      </w:r>
    </w:p>
    <w:p>
      <w:pPr>
        <w:pStyle w:val="Text2"/>
        <w:rPr>
          <w:noProof/>
        </w:rPr>
      </w:pPr>
      <w:r>
        <w:rPr>
          <w:noProof/>
        </w:rPr>
        <w:t xml:space="preserve">„nejdelší přípustné pracovní doby v odvětví dopravy; zásady, uplatňování a důsledky nařízení Evropského parlamentu a Rady (ES) č. 561/2006(*) a (EU) č. 165/2014(**); sankce v případě, že není užit tachograf nebo není užit správně a jsou v něm prováděny nedovolené změny; znalosti sociálně-právních </w:t>
      </w:r>
      <w:r>
        <w:rPr>
          <w:noProof/>
        </w:rPr>
        <w:lastRenderedPageBreak/>
        <w:t>podmínek silniční dopravy: práva a povinnosti řidičů, co se týče výchozí kvalifikace a pravidelného školení.</w:t>
      </w:r>
    </w:p>
    <w:p>
      <w:pPr>
        <w:pStyle w:val="Text2"/>
        <w:rPr>
          <w:noProof/>
        </w:rPr>
      </w:pPr>
      <w:r>
        <w:rPr>
          <w:noProof/>
        </w:rPr>
        <w:t>________</w:t>
      </w:r>
    </w:p>
    <w:p>
      <w:pPr>
        <w:pStyle w:val="Text2"/>
        <w:rPr>
          <w:noProof/>
        </w:rPr>
      </w:pPr>
      <w:r>
        <w:rPr>
          <w:noProof/>
        </w:rPr>
        <w:t>(*) Nařízení Evropského parlamentu a Rady (ES) č. 561/2006 ze dne 15. března 2006 o harmonizaci některých předpisů v sociální oblasti týkajících se silniční dopravy, o změně nařízení Rady (EHS) č. 3821/85 a (ES) č. 2135/98 a o zrušení nařízení Rady (EHS) č. 3820/85 (Úř. věst. L 102, 11.4.2006, s. 1).</w:t>
      </w:r>
    </w:p>
    <w:p>
      <w:pPr>
        <w:pStyle w:val="Text2"/>
        <w:rPr>
          <w:noProof/>
        </w:rPr>
      </w:pPr>
      <w:r>
        <w:rPr>
          <w:noProof/>
        </w:rPr>
        <w:t>(**) Nařízení Evropského parlamentu a Rady (EU) č. 165/2014 ze dne 4. února 2014 o tachografech v silniční dopravě, o zrušení nařízení Rady (EHS) č. 3821/85 o záznamovém zařízení v silniční dopravě a o změně nařízení Evropského parlamentu a Rady (ES) č. 561/2006 o harmonizaci některých předpisů v sociální oblasti týkajících se silniční dopravy (Úř. věst. L 60, 28.2.2014, s. 1).“;</w:t>
      </w:r>
    </w:p>
    <w:p>
      <w:pPr>
        <w:rPr>
          <w:noProof/>
        </w:rPr>
      </w:pPr>
    </w:p>
    <w:p>
      <w:pPr>
        <w:pStyle w:val="Point2"/>
        <w:rPr>
          <w:noProof/>
        </w:rPr>
      </w:pPr>
      <w:r>
        <w:rPr>
          <w:noProof/>
        </w:rPr>
        <w:t>h)</w:t>
      </w:r>
      <w:r>
        <w:rPr>
          <w:noProof/>
        </w:rPr>
        <w:tab/>
        <w:t>v bodě 3.7 se druhý pododstavec nahrazuje tímto:</w:t>
      </w:r>
    </w:p>
    <w:p>
      <w:pPr>
        <w:pStyle w:val="Text2"/>
        <w:rPr>
          <w:noProof/>
        </w:rPr>
      </w:pPr>
      <w:r>
        <w:rPr>
          <w:noProof/>
        </w:rPr>
        <w:t>„vztah silniční dopravy k ostatním druhům dopravy (hospodářská soutěž, přepravci), různé dopravní činnosti (doprava na zakázku a vnitropodniková doprava, pomocné dopravní činnosti), organizace hlavních druhů dopravních podniků a pomocných dopravních činností, různé dopravní specializace (autocisterny, přeprava s kontrolovanou teplotou, nebezpečné věci, přeprava zvířat atd.), změny v odvětví (diverzifikace poskytovaných služeb, kombinovaná doprava s železnicí, subdodávky atd.).“;</w:t>
      </w:r>
    </w:p>
    <w:p>
      <w:pPr>
        <w:rPr>
          <w:noProof/>
        </w:rPr>
      </w:pPr>
    </w:p>
    <w:p>
      <w:pPr>
        <w:pStyle w:val="Point2"/>
        <w:rPr>
          <w:noProof/>
        </w:rPr>
      </w:pPr>
      <w:r>
        <w:rPr>
          <w:noProof/>
        </w:rPr>
        <w:t>i)</w:t>
      </w:r>
      <w:r>
        <w:rPr>
          <w:noProof/>
        </w:rPr>
        <w:tab/>
        <w:t>v bodě 3.8 se druhý pododstavec nahrazuje tímto:</w:t>
      </w:r>
    </w:p>
    <w:p>
      <w:pPr>
        <w:pStyle w:val="Text2"/>
        <w:rPr>
          <w:noProof/>
        </w:rPr>
      </w:pPr>
      <w:r>
        <w:rPr>
          <w:noProof/>
        </w:rPr>
        <w:t>„vztah silniční osobní dopravy k ostatním druhům osobní dopravy (železnice, soukromý automobil), různé činnosti související se silniční osobní dopravou, povědomí o problematice zdravotního postižení, přejíždění hranic (mezinárodní doprava), organizace hlavních druhů podniků pro silniční osobní dopravu.“;</w:t>
      </w:r>
    </w:p>
    <w:p>
      <w:pPr>
        <w:rPr>
          <w:noProof/>
        </w:rPr>
      </w:pP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oddíl 2 se mění takto:</w:t>
      </w:r>
    </w:p>
    <w:p>
      <w:pPr>
        <w:pStyle w:val="Point2"/>
        <w:rPr>
          <w:noProof/>
        </w:rPr>
      </w:pPr>
      <w:r>
        <w:rPr>
          <w:noProof/>
        </w:rPr>
        <w:t>a)</w:t>
      </w:r>
      <w:r>
        <w:rPr>
          <w:noProof/>
        </w:rPr>
        <w:tab/>
        <w:t>bod 2.1 se nahrazuje tímto:</w:t>
      </w:r>
    </w:p>
    <w:p>
      <w:pPr>
        <w:pStyle w:val="Text2"/>
        <w:rPr>
          <w:noProof/>
        </w:rPr>
      </w:pPr>
      <w:r>
        <w:rPr>
          <w:noProof/>
        </w:rPr>
        <w:t xml:space="preserve">„2.1 </w:t>
      </w:r>
      <w:r>
        <w:rPr>
          <w:i/>
          <w:noProof/>
        </w:rPr>
        <w:t>Možnost kombinující návštěvu kurzu a zkoušku</w:t>
      </w:r>
    </w:p>
    <w:p>
      <w:pPr>
        <w:pStyle w:val="Text2"/>
        <w:rPr>
          <w:noProof/>
        </w:rPr>
      </w:pPr>
      <w:r>
        <w:rPr>
          <w:noProof/>
        </w:rPr>
        <w:t>Výchozí kvalifikace musí zahrnovat výuku všech předmětů uvedených na seznamu v oddílu 1. Výuka u této výchozí kvalifikace musí trvat 280 hodin.</w:t>
      </w:r>
    </w:p>
    <w:p>
      <w:pPr>
        <w:pStyle w:val="Text2"/>
        <w:rPr>
          <w:noProof/>
        </w:rPr>
      </w:pPr>
      <w:r>
        <w:rPr>
          <w:noProof/>
        </w:rPr>
        <w:t>Každý účastník řidičského výcviku musí osobně odřídit alespoň 20 hodin ve vozidle dané skupiny, které vyhovuje alespoň požadavkům na zkušební vozidla stanoveným ve směrnici 2006/126/ES.</w:t>
      </w:r>
    </w:p>
    <w:p>
      <w:pPr>
        <w:pStyle w:val="Text2"/>
        <w:rPr>
          <w:noProof/>
        </w:rPr>
      </w:pPr>
      <w:r>
        <w:rPr>
          <w:noProof/>
        </w:rPr>
        <w:t xml:space="preserve">Během osobního řízení vozidla musí být účastník řidičského výcviku doprovázen instruktorem, který je zaměstnán schváleným výcvikovým střediskem. Z 20 hodin osobního řízení smí každý řidič nejvýše osm hodin řídit vozidlo na zvláštním pozemku nebo na výkonném simulátoru, aby mohlo být </w:t>
      </w:r>
      <w:r>
        <w:rPr>
          <w:noProof/>
        </w:rPr>
        <w:lastRenderedPageBreak/>
        <w:t>posouzeno jeho zlepšení v racionálním řízení na základě bezpečnostních předpisů, zejména s ohledem na vedení vozidla za různých stavů vozovky a na způsob, jakým se tento stav mění za různých povětrnostních podmínek a v závislosti na denní nebo noční době, a schopnost optimalizovat spotřebu pohonných hmot.</w:t>
      </w:r>
    </w:p>
    <w:p>
      <w:pPr>
        <w:pStyle w:val="Text2"/>
        <w:rPr>
          <w:noProof/>
        </w:rPr>
      </w:pPr>
      <w:r>
        <w:rPr>
          <w:noProof/>
        </w:rPr>
        <w:t>Členské státy mohou povolit, aby školení částečně probíhalo prostřednictvím nástrojů informačních a komunikačních technologií, jako je elektronické učení, za předpokladu, že je zajištěna řádná kvalita školení, a mohou jako součást školení započítávat zvláštní školení požadované podle jiných právních předpisů Unie. Sem patří mimo jiné školení o přepravě nebezpečných věcí požadované podle směrnice Evropského parlamentu a Rady 2008/68/ES(*), školení zaměřené na zvyšování povědomí o problematice zdravotního postižení podle nařízení Evropského parlamentu a Rady (EU) č. 181/2011(**) a školení o přepravě zvířat podle nařízení Rady (ES) č. 1/2005(***).</w:t>
      </w:r>
    </w:p>
    <w:p>
      <w:pPr>
        <w:pStyle w:val="Text2"/>
        <w:rPr>
          <w:noProof/>
        </w:rPr>
      </w:pPr>
      <w:r>
        <w:rPr>
          <w:noProof/>
        </w:rPr>
        <w:t>Pro řidiče uvedené v čl. 5 odst. 5 musí výuka v rámci výchozí kvalifikace trvat 70 hodin včetně pěti hodin osobního řízení vozidla.</w:t>
      </w:r>
    </w:p>
    <w:p>
      <w:pPr>
        <w:pStyle w:val="Text2"/>
        <w:rPr>
          <w:noProof/>
        </w:rPr>
      </w:pPr>
      <w:r>
        <w:rPr>
          <w:noProof/>
        </w:rPr>
        <w:t>Ke konci této výuky příslušné orgány členských států nebo subjekt jimi jmenovaný podrobí řidiče písemné nebo ústní zkoušce. Zkouška musí zahrnovat alespoň jednu otázku z každého cíle uvedeného na seznamu předmětů v oddílu 1.</w:t>
      </w:r>
    </w:p>
    <w:p>
      <w:pPr>
        <w:pStyle w:val="Text2"/>
        <w:rPr>
          <w:noProof/>
        </w:rPr>
      </w:pPr>
      <w:r>
        <w:rPr>
          <w:noProof/>
        </w:rPr>
        <w:t>_________</w:t>
      </w:r>
    </w:p>
    <w:p>
      <w:pPr>
        <w:pStyle w:val="Text2"/>
        <w:rPr>
          <w:noProof/>
        </w:rPr>
      </w:pPr>
      <w:r>
        <w:rPr>
          <w:noProof/>
        </w:rPr>
        <w:t>(*) Směrnice Evropského parlamentu a Rady 2008/68/ES ze dne 24. září 2008 o pozemní přepravě nebezpečných věcí (Úř. věst. L 260, 30.9.2008, s. 13).</w:t>
      </w:r>
    </w:p>
    <w:p>
      <w:pPr>
        <w:pStyle w:val="Text2"/>
        <w:rPr>
          <w:noProof/>
        </w:rPr>
      </w:pPr>
      <w:r>
        <w:rPr>
          <w:noProof/>
        </w:rPr>
        <w:t>(**) Nařízení Evropského parlamentu a Rady (EU) č. 181/2011 ze dne 16. února 2011 o právech cestujících v autobusové a autokarové dopravě a o změně nařízení (ES) č. 2006/2004 (Úř. věst. L 55, 28.2.2011, s. 1).</w:t>
      </w:r>
    </w:p>
    <w:p>
      <w:pPr>
        <w:pStyle w:val="Text2"/>
        <w:rPr>
          <w:noProof/>
        </w:rPr>
      </w:pPr>
      <w:r>
        <w:rPr>
          <w:noProof/>
        </w:rPr>
        <w:t>(***) Nařízení Rady (ES) č. 1/2005 ze dne 22. prosince 2004 o ochraně zvířat během přepravy a souvisejících činností a o změně směrnic 64/432/EHS a 93/119/ES a nařízení (ES) č. 1255/97 (Úř. věst. L 3, 5.1.2005. s. 1).“;</w:t>
      </w:r>
    </w:p>
    <w:p>
      <w:pPr>
        <w:rPr>
          <w:noProof/>
        </w:rPr>
      </w:pPr>
    </w:p>
    <w:p>
      <w:pPr>
        <w:pStyle w:val="Point2"/>
        <w:rPr>
          <w:noProof/>
        </w:rPr>
      </w:pPr>
      <w:r>
        <w:rPr>
          <w:noProof/>
        </w:rPr>
        <w:t>b)</w:t>
      </w:r>
      <w:r>
        <w:rPr>
          <w:noProof/>
        </w:rPr>
        <w:tab/>
        <w:t>v bodě 2.2 písm. b) se druhý pododstavec nahrazuje tímto:</w:t>
      </w:r>
    </w:p>
    <w:p>
      <w:pPr>
        <w:pStyle w:val="Text2"/>
        <w:rPr>
          <w:noProof/>
        </w:rPr>
      </w:pPr>
      <w:r>
        <w:rPr>
          <w:noProof/>
        </w:rPr>
        <w:t>„Vozidlo užité pro praktickou zkoušku musí vyhovovat alespoň požadavkům na zkušební vozidla definovaným ve směrnici 2006/126/ES.“;</w:t>
      </w:r>
    </w:p>
    <w:p>
      <w:pPr>
        <w:rPr>
          <w:noProof/>
        </w:rPr>
      </w:pPr>
    </w:p>
    <w:p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oddíly 3 a 4 se nahrazují tímto:</w:t>
      </w:r>
    </w:p>
    <w:p>
      <w:pPr>
        <w:pStyle w:val="Text1"/>
        <w:rPr>
          <w:noProof/>
        </w:rPr>
      </w:pPr>
      <w:r>
        <w:rPr>
          <w:noProof/>
        </w:rPr>
        <w:t>„</w:t>
      </w:r>
      <w:r>
        <w:rPr>
          <w:b/>
          <w:noProof/>
        </w:rPr>
        <w:t>Oddíl 3: Zrychlená výchozí kvalifikace stanovená v čl. 3 odst. 2</w:t>
      </w:r>
    </w:p>
    <w:p>
      <w:pPr>
        <w:pStyle w:val="Text1"/>
        <w:rPr>
          <w:noProof/>
        </w:rPr>
      </w:pPr>
      <w:r>
        <w:rPr>
          <w:noProof/>
        </w:rPr>
        <w:t>Zrychlená výchozí kvalifikace musí zahrnovat výuku všech předmětů uvedených na seznamu v oddílu 1. Musí trvat 140 hodin.</w:t>
      </w:r>
    </w:p>
    <w:p>
      <w:pPr>
        <w:pStyle w:val="Text1"/>
        <w:rPr>
          <w:noProof/>
        </w:rPr>
      </w:pPr>
      <w:r>
        <w:rPr>
          <w:noProof/>
        </w:rPr>
        <w:t>Každý účastník řidičského výcviku musí osobně odřídit alespoň 10 hodin ve vozidle dané skupiny, které vyhovuje alespoň požadavkům na zkušební vozidla stanoveným definovaným ve směrnici 2006/126/ES.</w:t>
      </w:r>
    </w:p>
    <w:p>
      <w:pPr>
        <w:pStyle w:val="Text1"/>
        <w:rPr>
          <w:noProof/>
        </w:rPr>
      </w:pPr>
      <w:r>
        <w:rPr>
          <w:noProof/>
        </w:rPr>
        <w:lastRenderedPageBreak/>
        <w:t>Během osobního řízení vozidla musí být účastník řidičského výcviku doprovázen instruktorem, který je zaměstnán schváleným výcvikovým střediskem. Z 10 hodin osobního řízení smí každý řidič nejvýše čtyři hodiny řídit vozidlo na zvláštním pozemku nebo na výkonném simulátoru, aby mohlo být posouzeno jeho zlepšení v racionálním řízení na základě bezpečnostních předpisů, zejména s ohledem na vedení vozidla za různých stavů vozovky a na způsob, jakým se tento stav mění za různých povětrnostních podmínek a v závislosti na denní nebo noční době, a schopnost optimalizovat spotřebu pohonných hmot.</w:t>
      </w:r>
    </w:p>
    <w:p>
      <w:pPr>
        <w:pStyle w:val="Text1"/>
        <w:rPr>
          <w:noProof/>
        </w:rPr>
      </w:pPr>
      <w:r>
        <w:rPr>
          <w:noProof/>
        </w:rPr>
        <w:t>Na zrychlenou výchozí kvalifikaci se vztahují rovněž ustanovení bodu 2.1 čtvrtého pododstavce.</w:t>
      </w:r>
    </w:p>
    <w:p>
      <w:pPr>
        <w:pStyle w:val="Text1"/>
        <w:rPr>
          <w:noProof/>
        </w:rPr>
      </w:pPr>
      <w:r>
        <w:rPr>
          <w:noProof/>
        </w:rPr>
        <w:t>Pro řidiče uvedené v čl. 5 odst. 5 musí výuka v rámci zrychlené výchozí kvalifikace trvat 35 hodin včetně dvou a půl hodiny osobního řízení.</w:t>
      </w:r>
    </w:p>
    <w:p>
      <w:pPr>
        <w:pStyle w:val="Text1"/>
        <w:rPr>
          <w:noProof/>
        </w:rPr>
      </w:pPr>
      <w:r>
        <w:rPr>
          <w:noProof/>
        </w:rPr>
        <w:t>Ke konci této výuky příslušné orgány členských států nebo subjekt jimi jmenovaný podrobí řidiče písemné nebo ústní zkoušce. Zkouška musí zahrnovat alespoň jednu otázku z každého cíle uvedeného na seznamu předmětů v oddílu 1.</w:t>
      </w:r>
    </w:p>
    <w:p>
      <w:pPr>
        <w:pStyle w:val="Text1"/>
        <w:rPr>
          <w:noProof/>
        </w:rPr>
      </w:pPr>
    </w:p>
    <w:p>
      <w:pPr>
        <w:pStyle w:val="Text1"/>
        <w:rPr>
          <w:noProof/>
        </w:rPr>
      </w:pPr>
      <w:r>
        <w:rPr>
          <w:b/>
          <w:noProof/>
        </w:rPr>
        <w:t>Oddíl 4: Povinné pravidelné školení stanovené v čl. 3 odst. 1 písm. b)</w:t>
      </w:r>
    </w:p>
    <w:p>
      <w:pPr>
        <w:pStyle w:val="Text1"/>
        <w:rPr>
          <w:noProof/>
        </w:rPr>
      </w:pPr>
      <w:r>
        <w:rPr>
          <w:noProof/>
        </w:rPr>
        <w:t xml:space="preserve">Povinné kurzy pravidelného školení pořádají schválená výcviková střediska. Musí trvat 35 hodin jednou za pět let a být rozděleny do časových úseků trvajících vždy alespoň sedm hodin. Část tohoto pravidelného školení může probíhat na výkonných simulátorech a za použití nástrojů informačních a komunikačních technologií, jako je elektronické učení, za předpokladu, že je zajištěna řádná kvalita školení. Nejméně jeden ze sedmihodinových časových úseků je věnován předmětu souvisejícímu s bezpečností provozu na pozemních komunikacích. Obsah školení zohledňuje potřeby v oblasti odborné přípravy odpovídající konkrétním přepravním operacím prováděným řidičem a vývoji příslušných právních předpisů a techniky. Sedmihodinové časové úseky zahrnují různé předměty. </w:t>
      </w:r>
    </w:p>
    <w:p>
      <w:pPr>
        <w:pStyle w:val="Text1"/>
        <w:rPr>
          <w:noProof/>
        </w:rPr>
      </w:pPr>
      <w:r>
        <w:rPr>
          <w:noProof/>
        </w:rPr>
        <w:t>Jako jeden ze sedmihodinových časových úseků lez započítat absolvované zvláštní školení požadované podle jiných právních předpisů Unie. Sem patří mimo jiné školení o přepravě nebezpečných věcí požadované podle směrnice 2008/68/ES, školení o přepravě zvířat podle nařízení (ES) č. 1/2005 a v případě přepravy osob rovněž školení zaměřené na zvyšování povědomí o problematice zdravotního postižení podle nařízení Rady (EU) č. 181/2011.“;</w:t>
      </w:r>
    </w:p>
    <w:p>
      <w:pPr>
        <w:rPr>
          <w:noProof/>
        </w:rPr>
      </w:pPr>
    </w:p>
    <w:p>
      <w:pPr>
        <w:pStyle w:val="Point0"/>
        <w:rPr>
          <w:noProof/>
        </w:rPr>
      </w:pPr>
      <w:r>
        <w:rPr>
          <w:noProof/>
        </w:rPr>
        <w:t>2)</w:t>
      </w:r>
      <w:r>
        <w:rPr>
          <w:noProof/>
        </w:rPr>
        <w:tab/>
        <w:t>příloha II se mění takto:</w:t>
      </w:r>
    </w:p>
    <w:p>
      <w:pPr>
        <w:rPr>
          <w:noProof/>
        </w:rPr>
      </w:pP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název se nahrazuje tímto:</w:t>
      </w:r>
    </w:p>
    <w:p>
      <w:pPr>
        <w:pStyle w:val="Text2"/>
        <w:rPr>
          <w:noProof/>
        </w:rPr>
      </w:pPr>
      <w:r>
        <w:rPr>
          <w:noProof/>
        </w:rPr>
        <w:t>„STANOVENÍ VZORU EVROPSKÉ UNIE PRO PRŮKAZ KVALIFIKACE ŘIDIČE“;</w:t>
      </w:r>
    </w:p>
    <w:p>
      <w:pPr>
        <w:rPr>
          <w:noProof/>
        </w:rPr>
      </w:pP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ustanovení oddílu 2 týkající se strany 1 průkazu kvalifikace řidiče se mění takto:</w:t>
      </w:r>
    </w:p>
    <w:p>
      <w:pPr>
        <w:pStyle w:val="Point2"/>
        <w:rPr>
          <w:noProof/>
        </w:rPr>
      </w:pPr>
      <w:r>
        <w:rPr>
          <w:noProof/>
        </w:rPr>
        <w:lastRenderedPageBreak/>
        <w:t>a)</w:t>
      </w:r>
      <w:r>
        <w:rPr>
          <w:noProof/>
        </w:rPr>
        <w:tab/>
        <w:t>v písmenu d) se bod 9 nahrazuje tímto:</w:t>
      </w:r>
    </w:p>
    <w:p>
      <w:pPr>
        <w:pStyle w:val="Text2"/>
        <w:rPr>
          <w:noProof/>
        </w:rPr>
      </w:pPr>
      <w:r>
        <w:rPr>
          <w:noProof/>
        </w:rPr>
        <w:t>„9. skupiny vozidel, pro které řidič splňuje požadavky na výchozí kvalifikaci a pravidelné školení;“</w:t>
      </w:r>
    </w:p>
    <w:p>
      <w:pPr>
        <w:pStyle w:val="Point2"/>
        <w:rPr>
          <w:noProof/>
        </w:rPr>
      </w:pPr>
      <w:r>
        <w:rPr>
          <w:noProof/>
        </w:rPr>
        <w:t>b)</w:t>
      </w:r>
      <w:r>
        <w:rPr>
          <w:noProof/>
        </w:rPr>
        <w:tab/>
        <w:t>v písmenu e) se první pododstavec nahrazuje tímto:</w:t>
      </w:r>
    </w:p>
    <w:p>
      <w:pPr>
        <w:pStyle w:val="Text2"/>
        <w:rPr>
          <w:noProof/>
        </w:rPr>
      </w:pPr>
      <w:r>
        <w:rPr>
          <w:noProof/>
        </w:rPr>
        <w:t>„nápis „vzor Evropské unie“ v jazyce nebo jazycích členského státu vydávajícího průkaz a nápis „průkaz kvalifikace řidiče“ v ostatních úředních jazycích Unie vytištěný v modré barvě tak, aby tvořil pozadí průkazu:“;</w:t>
      </w:r>
    </w:p>
    <w:p>
      <w:pPr>
        <w:rPr>
          <w:noProof/>
        </w:rPr>
      </w:pPr>
    </w:p>
    <w:p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v ustanoveních oddílu 2 týkajících se strany 2 průkazu kvalifikace řidiče se v písmenu a) body 9 a 10 nahrazují tímto:</w:t>
      </w:r>
    </w:p>
    <w:p>
      <w:pPr>
        <w:pStyle w:val="Text2"/>
        <w:rPr>
          <w:noProof/>
        </w:rPr>
      </w:pPr>
      <w:r>
        <w:rPr>
          <w:noProof/>
        </w:rPr>
        <w:t>„9. skupiny vozidel, pro které řidič splňuje požadavky na výchozí kvalifikaci a pravidelné školení;</w:t>
      </w:r>
    </w:p>
    <w:p>
      <w:pPr>
        <w:pStyle w:val="Text2"/>
        <w:rPr>
          <w:noProof/>
        </w:rPr>
      </w:pPr>
      <w:r>
        <w:rPr>
          <w:noProof/>
        </w:rPr>
        <w:t>10. harmonizovaný kód Evropské unie 95 stanovený v příloze I směrnice 2006/126/ES;“.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D261A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9160C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35231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3A052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8AA98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A024DF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2CC46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37273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AF240E"/>
    <w:multiLevelType w:val="hybridMultilevel"/>
    <w:tmpl w:val="C646F1F6"/>
    <w:styleLink w:val="Lettered"/>
    <w:lvl w:ilvl="0" w:tplc="C646F1F6">
      <w:start w:val="1"/>
      <w:numFmt w:val="lowerLetter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4D04A">
      <w:start w:val="1"/>
      <w:numFmt w:val="lowerLetter"/>
      <w:lvlText w:val="(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6211B4">
      <w:start w:val="1"/>
      <w:numFmt w:val="lowerLetter"/>
      <w:lvlText w:val="(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D6518E">
      <w:start w:val="1"/>
      <w:numFmt w:val="lowerLetter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AC4A3E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9C03AC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EA470C">
      <w:start w:val="1"/>
      <w:numFmt w:val="lowerLetter"/>
      <w:lvlText w:val="(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D4B93C">
      <w:start w:val="1"/>
      <w:numFmt w:val="lowerLetter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50A79C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30136F6"/>
    <w:multiLevelType w:val="hybridMultilevel"/>
    <w:tmpl w:val="84BE107A"/>
    <w:styleLink w:val="Dash"/>
    <w:lvl w:ilvl="0" w:tplc="750E125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F608308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BEFA2DB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479C972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26C23B9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2A45F7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7EAE6E7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E8C30A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46C095D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3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2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3"/>
  </w:num>
  <w:num w:numId="13">
    <w:abstractNumId w:val="21"/>
  </w:num>
  <w:num w:numId="14">
    <w:abstractNumId w:val="12"/>
  </w:num>
  <w:num w:numId="15">
    <w:abstractNumId w:val="14"/>
  </w:num>
  <w:num w:numId="16">
    <w:abstractNumId w:val="9"/>
  </w:num>
  <w:num w:numId="17">
    <w:abstractNumId w:val="20"/>
  </w:num>
  <w:num w:numId="18">
    <w:abstractNumId w:val="8"/>
  </w:num>
  <w:num w:numId="19">
    <w:abstractNumId w:val="15"/>
  </w:num>
  <w:num w:numId="20">
    <w:abstractNumId w:val="17"/>
  </w:num>
  <w:num w:numId="21">
    <w:abstractNumId w:val="18"/>
  </w:num>
  <w:num w:numId="22">
    <w:abstractNumId w:val="11"/>
  </w:num>
  <w:num w:numId="23">
    <w:abstractNumId w:val="16"/>
  </w:num>
  <w:num w:numId="24">
    <w:abstractNumId w:val="23"/>
  </w:num>
  <w:num w:numId="25">
    <w:abstractNumId w:val="19"/>
  </w:num>
  <w:num w:numId="26">
    <w:abstractNumId w:val="13"/>
  </w:num>
  <w:num w:numId="27">
    <w:abstractNumId w:val="21"/>
  </w:num>
  <w:num w:numId="28">
    <w:abstractNumId w:val="12"/>
  </w:num>
  <w:num w:numId="29">
    <w:abstractNumId w:val="14"/>
  </w:num>
  <w:num w:numId="30">
    <w:abstractNumId w:val="9"/>
  </w:num>
  <w:num w:numId="31">
    <w:abstractNumId w:val="20"/>
  </w:num>
  <w:num w:numId="32">
    <w:abstractNumId w:val="8"/>
  </w:num>
  <w:num w:numId="33">
    <w:abstractNumId w:val="15"/>
  </w:num>
  <w:num w:numId="34">
    <w:abstractNumId w:val="17"/>
  </w:num>
  <w:num w:numId="35">
    <w:abstractNumId w:val="18"/>
  </w:num>
  <w:num w:numId="36">
    <w:abstractNumId w:val="11"/>
  </w:num>
  <w:num w:numId="37">
    <w:abstractNumId w:val="16"/>
  </w:num>
  <w:num w:numId="38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2-01 09:10:3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&lt;UNUSED&gt;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8A2EDC6151394171B378A26D8E842870"/>
    <w:docVar w:name="LW_CROSSREFERENCE" w:val="{SWD(2017) 26 final}_x000b_{SWD(2017) 27 final}"/>
    <w:docVar w:name="LW_DocType" w:val="ANNEX"/>
    <w:docVar w:name="LW_EMISSION" w:val="1.2.2017"/>
    <w:docVar w:name="LW_EMISSION_ISODATE" w:val="2017-02-01"/>
    <w:docVar w:name="LW_EMISSION_LOCATION" w:val="BRX"/>
    <w:docVar w:name="LW_EMISSION_PREFIX" w:val="V Bruselu dne "/>
    <w:docVar w:name="LW_EMISSION_SUFFIX" w:val=" "/>
    <w:docVar w:name="LW_ID_DOCSTRUCTURE" w:val="COM/ANNEX"/>
    <w:docVar w:name="LW_ID_DOCTYPE" w:val="SG-017"/>
    <w:docVar w:name="LW_LANGUE" w:val="CS"/>
    <w:docVar w:name="LW_MARKING" w:val="&lt;UNUSED&gt;"/>
    <w:docVar w:name="LW_NOM.INST" w:val="EVROPSKÁ KOMISE"/>
    <w:docVar w:name="LW_NOM.INST_JOINTDOC" w:val="&lt;EMPTY&gt;"/>
    <w:docVar w:name="LW_OBJETACTEPRINCIPAL.CP" w:val="&lt;UNUSED&gt;"/>
    <w:docVar w:name="LW_PART_NBR" w:val="1"/>
    <w:docVar w:name="LW_PART_NBR_TOTAL" w:val="1"/>
    <w:docVar w:name="LW_REF.INST.NEW" w:val="COM"/>
    <w:docVar w:name="LW_REF.INST.NEW_ADOPTED" w:val="final"/>
    <w:docVar w:name="LW_REF.INST.NEW_TEXT" w:val="(2017) 47"/>
    <w:docVar w:name="LW_REF.INTERNE" w:val="&lt;UNUSED&gt;"/>
    <w:docVar w:name="LW_SUPERTITRE" w:val="&lt;UNUSED&gt;"/>
    <w:docVar w:name="LW_TITRE.OBJ.CP" w:val="SM\u282?RNICE EVROPSKÉHO PARLAMENTU A RADY,_x000b__x000b_kterou se m\u283?ní sm\u283?rnice 2003/59/ES o výchozí kvalifikaci a pravidelném \u353?kolení \u345?idi\u269?\u367? n\u283?kterých silni\u269?ních vozidel pro nákladní nebo osobní dopravu a sm\u283?rnice 2006/126/ES o \u345?idi\u269?ských pr\u367?kazech"/>
    <w:docVar w:name="LW_TYPE.DOC.CP" w:val="P\u344?ÍLOHA"/>
    <w:docVar w:name="LW_TYPEACTEPRINCIPAL.CP" w:val="&lt;UNUSED&gt;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Dash">
    <w:name w:val="Dash"/>
    <w:pPr>
      <w:numPr>
        <w:numId w:val="1"/>
      </w:numPr>
    </w:pPr>
  </w:style>
  <w:style w:type="numbering" w:customStyle="1" w:styleId="Lettered">
    <w:name w:val="Lettere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customStyle="1" w:styleId="Pointlett">
    <w:name w:val="Point lett"/>
    <w:basedOn w:val="Normal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Dash">
    <w:name w:val="Dash"/>
    <w:pPr>
      <w:numPr>
        <w:numId w:val="1"/>
      </w:numPr>
    </w:pPr>
  </w:style>
  <w:style w:type="numbering" w:customStyle="1" w:styleId="Lettered">
    <w:name w:val="Lettere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customStyle="1" w:styleId="Pointlett">
    <w:name w:val="Point lett"/>
    <w:basedOn w:val="Normal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99EA-9C25-4E5E-8356-1771F4B9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7</Pages>
  <Words>1786</Words>
  <Characters>10700</Characters>
  <Application>Microsoft Office Word</Application>
  <DocSecurity>0</DocSecurity>
  <Lines>222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LUKAC Ivan (MOVE)</dc:creator>
  <cp:lastModifiedBy>DIGIT/A3</cp:lastModifiedBy>
  <cp:revision>8</cp:revision>
  <cp:lastPrinted>2016-11-29T10:18:00Z</cp:lastPrinted>
  <dcterms:created xsi:type="dcterms:W3CDTF">2017-01-26T09:50:00Z</dcterms:created>
  <dcterms:modified xsi:type="dcterms:W3CDTF">2017-02-01T08:10:00Z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