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F134DDAA8399460E88B41A5E3431BE12" style="width:450.75pt;height:419.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lastRenderedPageBreak/>
        <w:t>MELLÉKLET</w:t>
      </w:r>
    </w:p>
    <w:p>
      <w:pPr>
        <w:pStyle w:val="Titreobjet"/>
        <w:rPr>
          <w:noProof/>
        </w:rPr>
      </w:pPr>
      <w:r>
        <w:rPr>
          <w:noProof/>
        </w:rPr>
        <w:t>a következőhöz:</w:t>
      </w:r>
      <w:r>
        <w:rPr>
          <w:noProof/>
        </w:rPr>
        <w:br/>
      </w:r>
      <w:r>
        <w:rPr>
          <w:noProof/>
        </w:rPr>
        <w:br/>
        <w:t>AZ EURÓPAI PARLAMENT ÉS A TANÁCS IRÁNYELVE</w:t>
      </w:r>
      <w:r>
        <w:rPr>
          <w:noProof/>
        </w:rPr>
        <w:br/>
      </w:r>
      <w:r>
        <w:rPr>
          <w:noProof/>
        </w:rPr>
        <w:br/>
        <w:t>az egyes közúti árufuvarozást vagy személyszállítást végző járművek vezetőinek alapképzéséről és továbbképzéséről szóló 2003/59/EK irányelv és a vezetői engedélyekről szóló 2006/126/EK irányelv módosításáról</w:t>
      </w:r>
    </w:p>
    <w:p>
      <w:pPr>
        <w:rPr>
          <w:noProof/>
        </w:rPr>
      </w:pPr>
      <w:r>
        <w:rPr>
          <w:noProof/>
        </w:rPr>
        <w:t>Az I. és a II. melléklet a következőképpen módosul:</w:t>
      </w:r>
    </w:p>
    <w:p>
      <w:pPr>
        <w:rPr>
          <w:noProof/>
        </w:rPr>
      </w:pPr>
    </w:p>
    <w:p>
      <w:pPr>
        <w:pStyle w:val="Point0"/>
        <w:rPr>
          <w:noProof/>
        </w:rPr>
      </w:pPr>
      <w:r>
        <w:rPr>
          <w:noProof/>
        </w:rPr>
        <w:t>1.</w:t>
      </w:r>
      <w:r>
        <w:rPr>
          <w:noProof/>
        </w:rPr>
        <w:tab/>
        <w:t>Az I. melléklet a következőképpen módosul:</w:t>
      </w:r>
    </w:p>
    <w:p>
      <w:pPr>
        <w:pStyle w:val="Point1"/>
        <w:rPr>
          <w:noProof/>
        </w:rPr>
      </w:pPr>
      <w:r>
        <w:rPr>
          <w:noProof/>
        </w:rPr>
        <w:t>a)</w:t>
      </w:r>
      <w:r>
        <w:rPr>
          <w:noProof/>
        </w:rPr>
        <w:tab/>
        <w:t>az 1. szakasz a következőképpen módosul:</w:t>
      </w:r>
    </w:p>
    <w:p>
      <w:pPr>
        <w:pStyle w:val="Point2"/>
        <w:rPr>
          <w:noProof/>
        </w:rPr>
      </w:pPr>
      <w:r>
        <w:rPr>
          <w:noProof/>
        </w:rPr>
        <w:t>a)</w:t>
      </w:r>
      <w:r>
        <w:rPr>
          <w:noProof/>
        </w:rPr>
        <w:tab/>
        <w:t>a második bekezdés helyébe a következő szöveg lép:</w:t>
      </w:r>
    </w:p>
    <w:p>
      <w:pPr>
        <w:pStyle w:val="Text2"/>
        <w:rPr>
          <w:noProof/>
        </w:rPr>
      </w:pPr>
      <w:r>
        <w:rPr>
          <w:noProof/>
        </w:rPr>
        <w:t>„A képesítés minimumszintjének legalább a 2008/C 111/01 európai parlamenti és tanácsi ajánlás(*) II. mellékletében előírt európai képesítési keretrendszer 2. szintjével összehasonlíthatónak kell lennie.</w:t>
      </w:r>
    </w:p>
    <w:p>
      <w:pPr>
        <w:pStyle w:val="Text2"/>
        <w:rPr>
          <w:noProof/>
        </w:rPr>
      </w:pPr>
      <w:r>
        <w:rPr>
          <w:noProof/>
        </w:rPr>
        <w:t>_____</w:t>
      </w:r>
    </w:p>
    <w:p>
      <w:pPr>
        <w:pStyle w:val="Text2"/>
        <w:rPr>
          <w:noProof/>
        </w:rPr>
      </w:pPr>
      <w:r>
        <w:rPr>
          <w:noProof/>
        </w:rPr>
        <w:t>(*) Az Európai Parlament és a Tanács ajánlása (2008. április 23.) az egész életen át tartó tanulás Európai Képesítési Keretrendszerének létrehozásáról (HL C 111., 2008.5.6., 1. o.).”;</w:t>
      </w:r>
    </w:p>
    <w:p>
      <w:pPr>
        <w:rPr>
          <w:noProof/>
        </w:rPr>
      </w:pPr>
    </w:p>
    <w:p>
      <w:pPr>
        <w:pStyle w:val="Point2"/>
        <w:rPr>
          <w:noProof/>
        </w:rPr>
      </w:pPr>
      <w:r>
        <w:rPr>
          <w:noProof/>
        </w:rPr>
        <w:t>b)</w:t>
      </w:r>
      <w:r>
        <w:rPr>
          <w:noProof/>
        </w:rPr>
        <w:tab/>
        <w:t>az 1.2. pont helyébe a következő szöveg lép:</w:t>
      </w:r>
    </w:p>
    <w:p>
      <w:pPr>
        <w:pStyle w:val="Text2"/>
        <w:rPr>
          <w:noProof/>
        </w:rPr>
      </w:pPr>
      <w:r>
        <w:rPr>
          <w:noProof/>
        </w:rPr>
        <w:t>„1.2. Célkitűzés: a biztonsági berendezések műszaki jellemzőinek és működésének ismerete annak érdekében, hogy a gépjárművezető a járművet uralni tudja, minimalizálja a használatból eredő kopást, megelőzze a meghibásodást:</w:t>
      </w:r>
    </w:p>
    <w:p>
      <w:pPr>
        <w:pStyle w:val="Text2"/>
        <w:rPr>
          <w:noProof/>
        </w:rPr>
      </w:pPr>
      <w:r>
        <w:rPr>
          <w:noProof/>
        </w:rPr>
        <w:t>a fékek és a lassítófék használatának korlátai, a fékek és a lassítófék együttes használata, a sebességváltó-áttétel jobb kihasználása, a jármű tehetetlenségének kihasználása, lassítási és fékezési módok lejtős útszakaszokon, eljárás meghibásodás esetén, az olyan elektronikus és mechanikus eszközök használata, mint például az elektronikus stabilizáló program (ESP), a fejlett vészfékező rendszer (AEBS), a blokkolásgátló fékrendszere (ABS), a hajtásvezérlő rendszerek (TCS) és a fedélzeti járműmegfigyelő rendszer (IVMS), valamint az egyéb, alkalmazásra jóváhagyott, a járművezetőt támogató vagy automatizálási eszközök.”;</w:t>
      </w:r>
    </w:p>
    <w:p>
      <w:pPr>
        <w:rPr>
          <w:noProof/>
        </w:rPr>
      </w:pPr>
    </w:p>
    <w:p>
      <w:pPr>
        <w:pStyle w:val="Point2"/>
        <w:rPr>
          <w:noProof/>
        </w:rPr>
      </w:pPr>
      <w:r>
        <w:rPr>
          <w:noProof/>
        </w:rPr>
        <w:t>c)</w:t>
      </w:r>
      <w:r>
        <w:rPr>
          <w:noProof/>
        </w:rPr>
        <w:tab/>
        <w:t xml:space="preserve">az 1.3. pont második bekezdése helyébe a következő szöveg lép: </w:t>
      </w:r>
    </w:p>
    <w:p>
      <w:pPr>
        <w:pStyle w:val="Text2"/>
        <w:rPr>
          <w:noProof/>
        </w:rPr>
      </w:pPr>
      <w:r>
        <w:rPr>
          <w:noProof/>
        </w:rPr>
        <w:t xml:space="preserve">„a tüzelőanyag-fogyasztás optimalizálása az 1.1. és az 1.2. pontban leírt know-how alkalmazásával, a forgalomáramlás előrejelzésének, a megfelelő távolságnak és a jármű lendülete felhasználásának, az állandó sebességnek, az </w:t>
      </w:r>
      <w:r>
        <w:rPr>
          <w:noProof/>
        </w:rPr>
        <w:lastRenderedPageBreak/>
        <w:t>egyenletes vezetési stílusnak és a megfelelő gumiabroncsnyomásnak a fontossága.”;</w:t>
      </w:r>
    </w:p>
    <w:p>
      <w:pPr>
        <w:rPr>
          <w:noProof/>
        </w:rPr>
      </w:pPr>
    </w:p>
    <w:p>
      <w:pPr>
        <w:pStyle w:val="Point2"/>
        <w:rPr>
          <w:noProof/>
        </w:rPr>
      </w:pPr>
      <w:r>
        <w:rPr>
          <w:noProof/>
        </w:rPr>
        <w:t>d)</w:t>
      </w:r>
      <w:r>
        <w:rPr>
          <w:noProof/>
        </w:rPr>
        <w:tab/>
        <w:t xml:space="preserve">a szöveg a „C, C + E, C1, C1 + E kategóriájú vezetői engedélyek” cím előtt a következő 1.3a. ponttal egészül ki: </w:t>
      </w:r>
    </w:p>
    <w:p>
      <w:pPr>
        <w:pStyle w:val="Text2"/>
        <w:rPr>
          <w:noProof/>
        </w:rPr>
      </w:pPr>
      <w:r>
        <w:rPr>
          <w:noProof/>
        </w:rPr>
        <w:t>„1.3a. Célkitűzés: a forgalmi kockázatok előrejelzésének, értékelésének és a hozzájuk való alkalmazkodásnak a képessége:</w:t>
      </w:r>
    </w:p>
    <w:p>
      <w:pPr>
        <w:pStyle w:val="Text2"/>
        <w:rPr>
          <w:noProof/>
        </w:rPr>
      </w:pPr>
      <w:r>
        <w:rPr>
          <w:noProof/>
        </w:rPr>
        <w:t xml:space="preserve">a gépjárművezetőnek tudatában kell lennie a különböző közúti, forgalmi és időjárási viszonyoknak, és alkalmazkodnia kell azokhoz, képesnek kell lennie előre jelezni a bekövetkező eseményeket, alkalmazkodnia kell a forgalmi kockázatokhoz, továbbá fel kell ismernie különösen a járművek méretével és tömegével, valamint a veszélyeztetett úthasználókkal, például a gyalogosokkal, a kerékpárosokkal és a kétkerekű gépjárművekkel összefüggő veszélyes helyzeteket, és alkalmazkodnia kell azokhoz; </w:t>
      </w:r>
    </w:p>
    <w:p>
      <w:pPr>
        <w:pStyle w:val="Text2"/>
        <w:rPr>
          <w:noProof/>
        </w:rPr>
      </w:pPr>
      <w:r>
        <w:rPr>
          <w:noProof/>
        </w:rPr>
        <w:t>a gépjárművezetőnek azonosítana kell a lehetséges veszélyes helyzeteket, és megfelelően értelmeznie kell, hogy ezekből a potenciálisan veszélyes helyzetekből miként alakulhat ki olyan helyzet, amelyben már nem lehet elkerülni az ütközést, továbbá olyan válaszlépéseket kell választania és végrehajtania, amelyek olyan mértékben növelik a biztonsági tűrést, hogy potenciális kockázat bekövetkezése esetén is el lehessen kerülni az ütközést.”;</w:t>
      </w:r>
    </w:p>
    <w:p>
      <w:pPr>
        <w:rPr>
          <w:noProof/>
        </w:rPr>
      </w:pPr>
    </w:p>
    <w:p>
      <w:pPr>
        <w:pStyle w:val="Point2"/>
        <w:rPr>
          <w:noProof/>
        </w:rPr>
      </w:pPr>
      <w:r>
        <w:rPr>
          <w:noProof/>
        </w:rPr>
        <w:t>e)</w:t>
      </w:r>
      <w:r>
        <w:rPr>
          <w:noProof/>
        </w:rPr>
        <w:tab/>
        <w:t>az 1.4. pont helyébe a következő szöveg lép:</w:t>
      </w:r>
    </w:p>
    <w:p>
      <w:pPr>
        <w:pStyle w:val="Text2"/>
        <w:rPr>
          <w:noProof/>
        </w:rPr>
      </w:pPr>
      <w:r>
        <w:rPr>
          <w:noProof/>
        </w:rPr>
        <w:t>„1.4. Célkitűzés: a gépjárművezető legyen képes a biztonsági szabályok és a megfelelő járműhasználat kellő figyelembevételével berakodni a járművet:</w:t>
      </w:r>
    </w:p>
    <w:p>
      <w:pPr>
        <w:pStyle w:val="Text2"/>
        <w:rPr>
          <w:noProof/>
        </w:rPr>
      </w:pPr>
      <w:r>
        <w:rPr>
          <w:noProof/>
        </w:rPr>
        <w:t>a mozgásban lévő járműre ható erők, a sebességváltó-áttétel használata a jármű terhelésének és az út jellemzőinek megfelelően, az automatikus erőátviteli rendszerek használata, a jármű vagy szerelvény raksúlyának kiszámítása, a teljes térfogat kiszámítása, a rakomány elosztása, a tengely túlterhelésének következményei, a jármű stabilitása és súlypontja, csomagolás- és raklaptípusok;</w:t>
      </w:r>
    </w:p>
    <w:p>
      <w:pPr>
        <w:pStyle w:val="Text2"/>
        <w:rPr>
          <w:noProof/>
        </w:rPr>
      </w:pPr>
      <w:r>
        <w:rPr>
          <w:noProof/>
        </w:rPr>
        <w:t>a rögzítést igénylő áruk fő kategóriái, lefogási és rögzítési technikák, rögzítőhevederek használata, rögzítőeszközök ellenőrzése, kezelőberendezések használata, ponyvák felhelyezése és levétele.”;</w:t>
      </w:r>
    </w:p>
    <w:p>
      <w:pPr>
        <w:rPr>
          <w:noProof/>
        </w:rPr>
      </w:pPr>
    </w:p>
    <w:p>
      <w:pPr>
        <w:pStyle w:val="Point2"/>
        <w:rPr>
          <w:noProof/>
        </w:rPr>
      </w:pPr>
      <w:r>
        <w:rPr>
          <w:noProof/>
        </w:rPr>
        <w:t>f)</w:t>
      </w:r>
      <w:r>
        <w:rPr>
          <w:noProof/>
        </w:rPr>
        <w:tab/>
        <w:t>az 1.6. pont helyébe a következő szöveg lép:</w:t>
      </w:r>
    </w:p>
    <w:p>
      <w:pPr>
        <w:pStyle w:val="Text2"/>
        <w:rPr>
          <w:noProof/>
        </w:rPr>
      </w:pPr>
      <w:r>
        <w:rPr>
          <w:noProof/>
        </w:rPr>
        <w:t>„1.6. Célkitűzés: a gépjárművezető legyen képes a biztonsági szabályok és a megfelelő járműhasználat kellő figyelembevételével berakodni a járművet:</w:t>
      </w:r>
    </w:p>
    <w:p>
      <w:pPr>
        <w:pStyle w:val="Text2"/>
        <w:rPr>
          <w:noProof/>
        </w:rPr>
      </w:pPr>
      <w:r>
        <w:rPr>
          <w:noProof/>
        </w:rPr>
        <w:t>a mozgásban lévő járműre ható erők, a sebességváltó-áttétel használata a jármű terhelésének és az út jellemzőinek megfelelően, az automatikus erőátviteli rendszerek használata, a jármű vagy szerelvény raksúlyának kiszámítása, a rakomány elosztása, a tengely túlterhelésének következményei, a jármű stabilitása és súlypontja.”;</w:t>
      </w:r>
    </w:p>
    <w:p>
      <w:pPr>
        <w:rPr>
          <w:noProof/>
        </w:rPr>
      </w:pPr>
    </w:p>
    <w:p>
      <w:pPr>
        <w:pStyle w:val="Point2"/>
        <w:rPr>
          <w:noProof/>
        </w:rPr>
      </w:pPr>
      <w:r>
        <w:rPr>
          <w:noProof/>
        </w:rPr>
        <w:t>g)</w:t>
      </w:r>
      <w:r>
        <w:rPr>
          <w:noProof/>
        </w:rPr>
        <w:tab/>
        <w:t>a 2.1. pont második bekezdése helyébe a következő szöveg lép:</w:t>
      </w:r>
    </w:p>
    <w:p>
      <w:pPr>
        <w:pStyle w:val="Text2"/>
        <w:rPr>
          <w:noProof/>
        </w:rPr>
      </w:pPr>
      <w:r>
        <w:rPr>
          <w:noProof/>
        </w:rPr>
        <w:t>„a szállítási iparra jellemző maximális munkaidőszakok; az 561/2006/EK európai parlamenti és tanácsi rendelet(*) és a 165/2014/EU európai parlamenti és tanácsi rendelet(**) alapelvei, alkalmazása és következményei; a menetíró készülék használatának elmulasztásáért, nem megfelelő használatáért és meghamisításáért járó szankciók; a közúti szállítás társadalmi környezetének ismerete: a gépjárművezetők jogai és kötelességei az alapképesítés és a továbbképzés tekintetében.</w:t>
      </w:r>
    </w:p>
    <w:p>
      <w:pPr>
        <w:pStyle w:val="Text2"/>
        <w:rPr>
          <w:noProof/>
        </w:rPr>
      </w:pPr>
      <w:r>
        <w:rPr>
          <w:noProof/>
        </w:rPr>
        <w:t>________</w:t>
      </w:r>
    </w:p>
    <w:p>
      <w:pPr>
        <w:pStyle w:val="Text2"/>
        <w:rPr>
          <w:noProof/>
        </w:rPr>
      </w:pPr>
      <w:r>
        <w:rPr>
          <w:noProof/>
        </w:rPr>
        <w:t>(*) Az Európai Parlament és a Tanács 561/2006/EK rendelete (2006. március 15.) a közúti szállításra vonatkozó egyes szociális jogszabályok összehangolásáról, a 3821/85/EGK és a 2135/98/EK tanácsi rendelet módosításáról, valamint a 3820/85/EGK tanácsi rendelet hatályon kívül helyezéséről (HL L 102., 2006.4.11., 1. o.).</w:t>
      </w:r>
    </w:p>
    <w:p>
      <w:pPr>
        <w:pStyle w:val="Text2"/>
        <w:rPr>
          <w:noProof/>
        </w:rPr>
      </w:pPr>
      <w:r>
        <w:rPr>
          <w:noProof/>
        </w:rPr>
        <w:t>(**) Az Európai Parlament és a Tanács 165/2014/EU rendelete (2014. február 4.) a közúti közlekedésben használt menetíró készülékekről, a közúti közlekedésben használt menetíró készülékekről szóló 3821/85/EGK tanácsi rendelet hatályon kívül helyezéséről és a közúti szállításra vonatkozó egyes szociális jogszabályok összehangolásáról szóló 561/2006/EK európai parlamenti és tanácsi rendelet módosításáról (HL L 60., 2014.2.28., 1. o.).”;</w:t>
      </w:r>
    </w:p>
    <w:p>
      <w:pPr>
        <w:rPr>
          <w:noProof/>
        </w:rPr>
      </w:pPr>
    </w:p>
    <w:p>
      <w:pPr>
        <w:pStyle w:val="Point2"/>
        <w:rPr>
          <w:noProof/>
        </w:rPr>
      </w:pPr>
      <w:r>
        <w:rPr>
          <w:noProof/>
        </w:rPr>
        <w:t>h)</w:t>
      </w:r>
      <w:r>
        <w:rPr>
          <w:noProof/>
        </w:rPr>
        <w:tab/>
        <w:t>a 3.7. pont második bekezdése helyébe a következő szöveg lép:</w:t>
      </w:r>
    </w:p>
    <w:p>
      <w:pPr>
        <w:pStyle w:val="Text2"/>
        <w:rPr>
          <w:noProof/>
        </w:rPr>
      </w:pPr>
      <w:r>
        <w:rPr>
          <w:noProof/>
        </w:rPr>
        <w:t>„a közúti fuvarozás más szállítási módok viszonylatában (verseny, szállítók), különböző közúti fuvarozási tevékenységek (ellenszolgáltatás fejében végzett szállítás, saját számla, kiegészítő szállítási tevékenységek), a szállítási vállalatok és a kiegészítő szállítási tevékenységek fő fajtáinak szervezése, szállítási szakosodások (közúti tartálykocsi, szabályozott hőmérsékletű jármű, veszélyes áruk, állatok szállítása stb.), az iparág változásai (a nyújtott szolgáltatások diverzifikációja, vasút és közút kombinálása, alvállalkozók stb.).”;</w:t>
      </w:r>
    </w:p>
    <w:p>
      <w:pPr>
        <w:rPr>
          <w:noProof/>
        </w:rPr>
      </w:pPr>
    </w:p>
    <w:p>
      <w:pPr>
        <w:pStyle w:val="Point2"/>
        <w:rPr>
          <w:noProof/>
        </w:rPr>
      </w:pPr>
      <w:r>
        <w:rPr>
          <w:noProof/>
        </w:rPr>
        <w:t>i)</w:t>
      </w:r>
      <w:r>
        <w:rPr>
          <w:noProof/>
        </w:rPr>
        <w:tab/>
        <w:t>a 3.8. pont második bekezdése helyébe a következő szöveg lép:</w:t>
      </w:r>
    </w:p>
    <w:p>
      <w:pPr>
        <w:pStyle w:val="Text2"/>
        <w:rPr>
          <w:noProof/>
        </w:rPr>
      </w:pPr>
      <w:r>
        <w:rPr>
          <w:noProof/>
        </w:rPr>
        <w:t>„a közúti személyszállítás más személyszállítási módok viszonylatában (vasút, személygépkocsi), közúti személyszállítást magukban foglaló különböző tevékenységek, a fogyatékossággal kapcsolatos tudatosság, határátlépés (nemzetközi szállítás), a közúti személyszállítással foglalkozó vállalatok főbb típusainak szervezési módja.”;</w:t>
      </w:r>
    </w:p>
    <w:p>
      <w:pPr>
        <w:rPr>
          <w:noProof/>
        </w:rPr>
      </w:pPr>
    </w:p>
    <w:p>
      <w:pPr>
        <w:pStyle w:val="Point1"/>
        <w:rPr>
          <w:noProof/>
        </w:rPr>
      </w:pPr>
      <w:r>
        <w:rPr>
          <w:noProof/>
        </w:rPr>
        <w:t>b)</w:t>
      </w:r>
      <w:r>
        <w:rPr>
          <w:noProof/>
        </w:rPr>
        <w:tab/>
        <w:t>a 2. szakasz a következőképpen módosul:</w:t>
      </w:r>
    </w:p>
    <w:p>
      <w:pPr>
        <w:pStyle w:val="Point2"/>
        <w:rPr>
          <w:noProof/>
        </w:rPr>
      </w:pPr>
      <w:r>
        <w:rPr>
          <w:noProof/>
        </w:rPr>
        <w:t>a)</w:t>
      </w:r>
      <w:r>
        <w:rPr>
          <w:noProof/>
        </w:rPr>
        <w:tab/>
        <w:t>a 2.1. pont helyébe a következő szöveg lép:</w:t>
      </w:r>
    </w:p>
    <w:p>
      <w:pPr>
        <w:pStyle w:val="Text2"/>
        <w:rPr>
          <w:noProof/>
        </w:rPr>
      </w:pPr>
      <w:r>
        <w:rPr>
          <w:noProof/>
        </w:rPr>
        <w:lastRenderedPageBreak/>
        <w:t xml:space="preserve">„2.1. </w:t>
      </w:r>
      <w:r>
        <w:rPr>
          <w:i/>
          <w:noProof/>
        </w:rPr>
        <w:t>A tanfolyamon való részvétel és vizsga együttese</w:t>
      </w:r>
    </w:p>
    <w:p>
      <w:pPr>
        <w:pStyle w:val="Text2"/>
        <w:rPr>
          <w:noProof/>
        </w:rPr>
      </w:pPr>
      <w:r>
        <w:rPr>
          <w:noProof/>
        </w:rPr>
        <w:t>Az alapképzés az 1. szakaszban felsorolt összes tantárgy oktatására kiterjed. Az alapképzés időtartama 280 óra.</w:t>
      </w:r>
    </w:p>
    <w:p>
      <w:pPr>
        <w:pStyle w:val="Text2"/>
        <w:rPr>
          <w:noProof/>
        </w:rPr>
      </w:pPr>
      <w:r>
        <w:rPr>
          <w:noProof/>
        </w:rPr>
        <w:t>Minden tanuló gépjárművezetőnek legalább 20 órát kell önállóan vezetnie az adott kategóriának megfelelő olyan járművön, amely megfelel legalább a 2006/126/EK irányelvben a vizsgajárművekre meghatározott követelményeknek.</w:t>
      </w:r>
    </w:p>
    <w:p>
      <w:pPr>
        <w:pStyle w:val="Text2"/>
        <w:rPr>
          <w:noProof/>
        </w:rPr>
      </w:pPr>
      <w:r>
        <w:rPr>
          <w:noProof/>
        </w:rPr>
        <w:t>Az önálló vezetés során a tanuló gépjárművezetőt a jóváhagyott képzési központ alkalmazásában álló oktatónak kell kísérnie. A 20 órás önálló vezetésből valamennyi vezető legfeljebb nyolc órát speciális terepen vagy korszerű szimulátoron vezethet, hogy értékelni lehessen a biztonsági szabályozásokon alapuló észszerű vezetésre vonatkozó képzés elsajátítását, különösen a jármű különböző útviszonyok, valamint a különböző légköri feltételek, illetve a napszakok függvényében megváltozó útviszonyok közötti kezelése, továbbá a tüzelőanyag-fogyasztás optimalizálására való képesség tekintetében.</w:t>
      </w:r>
    </w:p>
    <w:p>
      <w:pPr>
        <w:pStyle w:val="Text2"/>
        <w:rPr>
          <w:noProof/>
        </w:rPr>
      </w:pPr>
      <w:r>
        <w:rPr>
          <w:noProof/>
        </w:rPr>
        <w:t>A tagállamok engedélyezhetik, hogy a képzést részben információs és kommunikációs technológiai eszközök – például e-tanulás – alkalmazásával bonyolítsák le, mindeközben biztosítva a képzés minőségét, és az egyéb uniós jogszabályok által előírt speciális képzést a képzés részének tekinthetik. Az ilyen speciális képzések közé tartozik többek között a 2008/68/EK európai parlamenti és tanácsi irányelv(*) által a veszélyes áruk szállításához előírt képzés, a 181/2011/EU európai parlamenti és tanácsi rendelet(**) által előírt, a fogyatékossággal kapcsolatos tudatosság növelésére irányuló képzés, valamint az 1/2005/EK tanácsi rendelet(***) által előírt, az állatok szállításáról szóló képzés.</w:t>
      </w:r>
    </w:p>
    <w:p>
      <w:pPr>
        <w:pStyle w:val="Text2"/>
        <w:rPr>
          <w:noProof/>
        </w:rPr>
      </w:pPr>
      <w:r>
        <w:rPr>
          <w:noProof/>
        </w:rPr>
        <w:t>Az 5. cikk (5) bekezdésében említett gépjárművezetők esetében az alapképzés 70 óra, beleértve öt óra önálló vezetést.</w:t>
      </w:r>
    </w:p>
    <w:p>
      <w:pPr>
        <w:pStyle w:val="Text2"/>
        <w:rPr>
          <w:noProof/>
        </w:rPr>
      </w:pPr>
      <w:r>
        <w:rPr>
          <w:noProof/>
        </w:rPr>
        <w:t>A gépjárművezetőket a képzés befejezésekor a tagállamok illetékes hatóságai vagy az általuk kijelölt szerv írásban vagy szóban levizsgáztatja. A vizsga az 1. szakasz szerinti tantárgyjegyzékben felsorolt minden egyes célkitűzéssel kapcsolatban legalább egy kérdést tartalmaz.</w:t>
      </w:r>
    </w:p>
    <w:p>
      <w:pPr>
        <w:pStyle w:val="Text2"/>
        <w:rPr>
          <w:noProof/>
        </w:rPr>
      </w:pPr>
      <w:r>
        <w:rPr>
          <w:noProof/>
        </w:rPr>
        <w:t>_________</w:t>
      </w:r>
    </w:p>
    <w:p>
      <w:pPr>
        <w:pStyle w:val="Text2"/>
        <w:rPr>
          <w:noProof/>
        </w:rPr>
      </w:pPr>
      <w:r>
        <w:rPr>
          <w:noProof/>
        </w:rPr>
        <w:t>(*) Az Európai Parlament és a Tanács 2008/68/EK irányelve (2008. szeptember 24.) a veszélyes áruk szárazföldi szállításáról (HL L 260., 2008.9.30., 13. o.).</w:t>
      </w:r>
    </w:p>
    <w:p>
      <w:pPr>
        <w:pStyle w:val="Text2"/>
        <w:rPr>
          <w:noProof/>
        </w:rPr>
      </w:pPr>
      <w:r>
        <w:rPr>
          <w:noProof/>
        </w:rPr>
        <w:t>(**) Az Európai Parlament és a Tanács 181/2011/EU rendelete (2011. február 16.) az autóbusszal közlekedő utasok jogairól és a 2006/2004/EK rendelet módosításáról (HL L 55., 2011.2.28., 1. o.).</w:t>
      </w:r>
    </w:p>
    <w:p>
      <w:pPr>
        <w:pStyle w:val="Text2"/>
        <w:rPr>
          <w:noProof/>
        </w:rPr>
      </w:pPr>
      <w:r>
        <w:rPr>
          <w:noProof/>
        </w:rPr>
        <w:t>A Tanács 2005/1/EK rendelete (2004. december 22.) az állatoknak a szállítás és a kapcsolódó műveletek közbeni védelméről, valamint a 64/432/EGK és a 93/119/EK irányelv és az 1255/97/EK rendelet módosításáról (HL L 3., 2005.1.5., 1. o.).”;</w:t>
      </w:r>
    </w:p>
    <w:p>
      <w:pPr>
        <w:rPr>
          <w:noProof/>
        </w:rPr>
      </w:pPr>
    </w:p>
    <w:p>
      <w:pPr>
        <w:pStyle w:val="Point2"/>
        <w:rPr>
          <w:noProof/>
        </w:rPr>
      </w:pPr>
      <w:r>
        <w:rPr>
          <w:noProof/>
        </w:rPr>
        <w:lastRenderedPageBreak/>
        <w:t>b)</w:t>
      </w:r>
      <w:r>
        <w:rPr>
          <w:noProof/>
        </w:rPr>
        <w:tab/>
        <w:t>a 2.2. pont b) alpontjában a második bekezdés helyébe a következő szöveg lép:</w:t>
      </w:r>
    </w:p>
    <w:p>
      <w:pPr>
        <w:pStyle w:val="Text2"/>
        <w:rPr>
          <w:noProof/>
        </w:rPr>
      </w:pPr>
      <w:r>
        <w:rPr>
          <w:noProof/>
        </w:rPr>
        <w:t>„A gyakorlati vizsga során használt járműnek meg kell felelnie legalább a 2006/126/EK irányelv által a vizsgajárművekre meghatározott követelményeknek.”;</w:t>
      </w:r>
    </w:p>
    <w:p>
      <w:pPr>
        <w:rPr>
          <w:noProof/>
        </w:rPr>
      </w:pPr>
    </w:p>
    <w:p>
      <w:pPr>
        <w:pStyle w:val="Point1"/>
        <w:rPr>
          <w:noProof/>
        </w:rPr>
      </w:pPr>
      <w:r>
        <w:rPr>
          <w:noProof/>
        </w:rPr>
        <w:t>c)</w:t>
      </w:r>
      <w:r>
        <w:rPr>
          <w:noProof/>
        </w:rPr>
        <w:tab/>
        <w:t>a 3. és 4. szakasz helyébe a következő szöveg lép:</w:t>
      </w:r>
    </w:p>
    <w:p>
      <w:pPr>
        <w:pStyle w:val="Text1"/>
        <w:rPr>
          <w:noProof/>
        </w:rPr>
      </w:pPr>
      <w:r>
        <w:rPr>
          <w:noProof/>
        </w:rPr>
        <w:t>„</w:t>
      </w:r>
      <w:r>
        <w:rPr>
          <w:b/>
          <w:noProof/>
        </w:rPr>
        <w:t>3. szakasz: A 3. cikk (2) bekezdésének a) pontjában előírt gyorsított alapképzés</w:t>
      </w:r>
    </w:p>
    <w:p>
      <w:pPr>
        <w:pStyle w:val="Text1"/>
        <w:rPr>
          <w:noProof/>
        </w:rPr>
      </w:pPr>
      <w:r>
        <w:rPr>
          <w:noProof/>
        </w:rPr>
        <w:t>A gyorsított alapképzés az 1. szakaszban felsorolt összes tantárgy oktatására kiterjed. Időtartama 140 óra.</w:t>
      </w:r>
    </w:p>
    <w:p>
      <w:pPr>
        <w:pStyle w:val="Text1"/>
        <w:rPr>
          <w:noProof/>
        </w:rPr>
      </w:pPr>
      <w:r>
        <w:rPr>
          <w:noProof/>
        </w:rPr>
        <w:t>Minden tanuló gépjárművezetőnek legalább 10 órát kell önállóan vezetnie az adott kategóriának megfelelő olyan járművön, amely megfelel legalább a 2006/126/EK irányelvben a vizsgajárművekre meghatározott követelményeknek.</w:t>
      </w:r>
    </w:p>
    <w:p>
      <w:pPr>
        <w:pStyle w:val="Text1"/>
        <w:rPr>
          <w:noProof/>
        </w:rPr>
      </w:pPr>
      <w:r>
        <w:rPr>
          <w:noProof/>
        </w:rPr>
        <w:t>Az önálló vezetés során a tanuló gépjárművezetőt a jóváhagyott képzési központ alkalmazásában álló oktatónak kell kísérnie. A 10 órás önálló vezetésből valamennyi vezető legfeljebb négy órát speciális terepen vagy korszerű szimulátoron vezethet, hogy értékelni lehessen a biztonsági szabályozásokon alapuló észszerű vezetésre vonatkozó képzés elsajátítását, különösen a jármű különböző útviszonyok, valamint a különböző légköri feltételek, illetve a napszakok függvényében megváltozó útviszonyok közötti kezelése, továbbá a tüzelőanyag-fogyasztás optimalizálására való képesség tekintetében.</w:t>
      </w:r>
    </w:p>
    <w:p>
      <w:pPr>
        <w:pStyle w:val="Text1"/>
        <w:rPr>
          <w:noProof/>
        </w:rPr>
      </w:pPr>
      <w:r>
        <w:rPr>
          <w:noProof/>
        </w:rPr>
        <w:t>A 2.1. pont negyedik bekezdésének rendelkezései a gyorsított alapképzésre is vonatkoznak.</w:t>
      </w:r>
    </w:p>
    <w:p>
      <w:pPr>
        <w:pStyle w:val="Text1"/>
        <w:rPr>
          <w:noProof/>
        </w:rPr>
      </w:pPr>
      <w:r>
        <w:rPr>
          <w:noProof/>
        </w:rPr>
        <w:t>Az 5. cikk (5) bekezdésében említett gépjárművezetők esetében a gyorsított alapképzés 35 óra, beleértve két és fél óra önálló vezetést.</w:t>
      </w:r>
    </w:p>
    <w:p>
      <w:pPr>
        <w:pStyle w:val="Text1"/>
        <w:rPr>
          <w:noProof/>
        </w:rPr>
      </w:pPr>
      <w:r>
        <w:rPr>
          <w:noProof/>
        </w:rPr>
        <w:t>A gépjárművezetőket a képzés befejezésekor a tagállamok illetékes hatóságai vagy az általuk kijelölt szerv írásban vagy szóban levizsgáztatja. A vizsga az 1. szakasz szerinti tantárgyjegyzékben felsorolt minden egyes célkitűzéssel kapcsolatban legalább egy kérdést tartalmaz.</w:t>
      </w:r>
    </w:p>
    <w:p>
      <w:pPr>
        <w:pStyle w:val="Text1"/>
        <w:rPr>
          <w:noProof/>
        </w:rPr>
      </w:pPr>
    </w:p>
    <w:p>
      <w:pPr>
        <w:pStyle w:val="Text1"/>
        <w:rPr>
          <w:noProof/>
        </w:rPr>
      </w:pPr>
      <w:r>
        <w:rPr>
          <w:b/>
          <w:noProof/>
        </w:rPr>
        <w:t>4. szakasz: A 3. cikk (1) bekezdésének b) pontjában előírt kötelező továbbképzés</w:t>
      </w:r>
    </w:p>
    <w:p>
      <w:pPr>
        <w:pStyle w:val="Text1"/>
        <w:rPr>
          <w:noProof/>
        </w:rPr>
      </w:pPr>
      <w:r>
        <w:rPr>
          <w:noProof/>
        </w:rPr>
        <w:t>A kötelező továbbképzési tanfolyamokat jóváhagyott képzési központok szervezik. Időtartamuk ötévente 35 óra, legalább hétórás szakaszokban. E továbbképzés részben korszerű szimulátorokon, valamint információs és kommunikációs technológiai eszközök – például e-tanulás – alkalmazásával is lebonyolítható, mindeközben biztosítva a képzés minőségét. A hétórás szakaszok közül legalább egyben a közúti közlekedés biztonságával összefüggő tantárgyat kell oktatni. A képzés tartalmának összeállításánál figyelembe kell venni a gépjárművezető által végzett szállítási műveletekkel összefüggő sajátos képzési igényeket, valamint a vonatkozó jogszabályok és technológia terén bekövetkezett fejleményeket. A hétórás szakaszoknak különböző témákról kell szólniuk.</w:t>
      </w:r>
    </w:p>
    <w:p>
      <w:pPr>
        <w:pStyle w:val="Text1"/>
        <w:rPr>
          <w:noProof/>
        </w:rPr>
      </w:pPr>
      <w:r>
        <w:rPr>
          <w:noProof/>
        </w:rPr>
        <w:lastRenderedPageBreak/>
        <w:t>Az egyéb uniós jogszabályok által előírt, elvégzett speciális képzést a hétórás szakaszok egyikének lehet tekinteni. Az ilyen speciális képzések közé tartozik többek között a 2008/68/EK irányelv által a veszélyes áruk szállításához előírt képzés, az 1/2005/EK rendelet által előírt, az állatok szállításáról szóló képzés, valamint a közúti személyszállításhoz a 181/2011/EU rendelet által előírt, a fogyatékossággal kapcsolatos tudatosság növelésére irányuló képzés.”.</w:t>
      </w:r>
    </w:p>
    <w:p>
      <w:pPr>
        <w:rPr>
          <w:noProof/>
        </w:rPr>
      </w:pPr>
    </w:p>
    <w:p>
      <w:pPr>
        <w:pStyle w:val="Point0"/>
        <w:keepNext/>
        <w:rPr>
          <w:noProof/>
        </w:rPr>
      </w:pPr>
      <w:r>
        <w:rPr>
          <w:noProof/>
        </w:rPr>
        <w:t>2.</w:t>
      </w:r>
      <w:r>
        <w:rPr>
          <w:noProof/>
        </w:rPr>
        <w:tab/>
        <w:t>A II. melléklet a következőképpen módosul:</w:t>
      </w:r>
    </w:p>
    <w:p>
      <w:pPr>
        <w:keepNext/>
        <w:rPr>
          <w:noProof/>
        </w:rPr>
      </w:pPr>
    </w:p>
    <w:p>
      <w:pPr>
        <w:pStyle w:val="Point1"/>
        <w:rPr>
          <w:noProof/>
        </w:rPr>
      </w:pPr>
      <w:r>
        <w:rPr>
          <w:noProof/>
        </w:rPr>
        <w:t>a)</w:t>
      </w:r>
      <w:r>
        <w:rPr>
          <w:noProof/>
        </w:rPr>
        <w:tab/>
        <w:t>a cím helyébe a következő szöveg lép:</w:t>
      </w:r>
    </w:p>
    <w:p>
      <w:pPr>
        <w:pStyle w:val="Text2"/>
        <w:rPr>
          <w:noProof/>
        </w:rPr>
      </w:pPr>
      <w:r>
        <w:rPr>
          <w:noProof/>
        </w:rPr>
        <w:t>„A GÉPJÁRMŰ-VEZETŐI KÉPESÍTÉSI IGAZOLVÁNY EURÓPAI UNIÓS MINTÁJÁRA VONATKOZÓ MEGÁLLAPODÁSOK”;</w:t>
      </w:r>
    </w:p>
    <w:p>
      <w:pPr>
        <w:rPr>
          <w:noProof/>
        </w:rPr>
      </w:pPr>
    </w:p>
    <w:p>
      <w:pPr>
        <w:pStyle w:val="Point1"/>
        <w:rPr>
          <w:noProof/>
        </w:rPr>
      </w:pPr>
      <w:r>
        <w:rPr>
          <w:noProof/>
        </w:rPr>
        <w:t>b)</w:t>
      </w:r>
      <w:r>
        <w:rPr>
          <w:noProof/>
        </w:rPr>
        <w:tab/>
        <w:t>a 2. szakasznak a gépjármű-vezetői képesítési igazolvány elülső oldaláról szóló része a következőképpen módosul:</w:t>
      </w:r>
    </w:p>
    <w:p>
      <w:pPr>
        <w:pStyle w:val="Point2letter"/>
        <w:numPr>
          <w:ilvl w:val="5"/>
          <w:numId w:val="25"/>
        </w:numPr>
        <w:rPr>
          <w:noProof/>
        </w:rPr>
      </w:pPr>
      <w:r>
        <w:rPr>
          <w:noProof/>
        </w:rPr>
        <w:t>a d) pont 9. alpontja helyébe a következő szöveg lép:</w:t>
      </w:r>
    </w:p>
    <w:p>
      <w:pPr>
        <w:pStyle w:val="Text2"/>
        <w:rPr>
          <w:noProof/>
        </w:rPr>
      </w:pPr>
      <w:r>
        <w:rPr>
          <w:noProof/>
        </w:rPr>
        <w:t>„9. azon járművek kategóriái, amelyekre vonatkozóan a gépjárművezető megfelel az alapképesítés és a továbbképzés követelményeinek;”;</w:t>
      </w:r>
    </w:p>
    <w:p>
      <w:pPr>
        <w:pStyle w:val="Point2letter"/>
        <w:rPr>
          <w:noProof/>
        </w:rPr>
      </w:pPr>
      <w:r>
        <w:rPr>
          <w:noProof/>
        </w:rPr>
        <w:t>az e) pontban az első albekezdés helyébe a következő szöveg lép:</w:t>
      </w:r>
    </w:p>
    <w:p>
      <w:pPr>
        <w:pStyle w:val="Text2"/>
        <w:rPr>
          <w:noProof/>
        </w:rPr>
      </w:pPr>
      <w:r>
        <w:rPr>
          <w:noProof/>
        </w:rPr>
        <w:t>„az »Európai uniós minta« cím az igazolványt kiállító tagállam nyelvén vagy nyelvein, valamint a »gépjármű-vezetői képesítési igazolvány« felirat az Unió többi hivatalos nyelvén, kék színű nyomtatásban, az igazolvány háttereként:”;</w:t>
      </w:r>
    </w:p>
    <w:p>
      <w:pPr>
        <w:rPr>
          <w:noProof/>
        </w:rPr>
      </w:pPr>
    </w:p>
    <w:p>
      <w:pPr>
        <w:pStyle w:val="Point1"/>
        <w:rPr>
          <w:noProof/>
        </w:rPr>
      </w:pPr>
      <w:r>
        <w:rPr>
          <w:noProof/>
        </w:rPr>
        <w:t>c)</w:t>
      </w:r>
      <w:r>
        <w:rPr>
          <w:noProof/>
        </w:rPr>
        <w:tab/>
        <w:t>a 2. szakasznak a gépjármű-vezetői képesítési igazolvány hátoldaláról szóló részének a) pontjában a 9. és a 10. alpont a következőképpen módosul:</w:t>
      </w:r>
    </w:p>
    <w:p>
      <w:pPr>
        <w:pStyle w:val="Text2"/>
        <w:rPr>
          <w:noProof/>
        </w:rPr>
      </w:pPr>
      <w:r>
        <w:rPr>
          <w:noProof/>
        </w:rPr>
        <w:t>„9. azon járművek kategóriái, amelyekre vonatkozóan a gépjárművezető megfelel az alapképesítés és a továbbképzés követelményeinek;</w:t>
      </w:r>
    </w:p>
    <w:p>
      <w:pPr>
        <w:pStyle w:val="Text2"/>
        <w:rPr>
          <w:noProof/>
        </w:rPr>
      </w:pPr>
      <w:r>
        <w:rPr>
          <w:noProof/>
        </w:rPr>
        <w:t>10. a 2006/126/EK irányelv I. mellékletében előírt 95. harmonizált európai uniós kód;”.</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D261A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9160CB0"/>
    <w:lvl w:ilvl="0">
      <w:start w:val="1"/>
      <w:numFmt w:val="decimal"/>
      <w:pStyle w:val="ListNumber3"/>
      <w:lvlText w:val="%1."/>
      <w:lvlJc w:val="left"/>
      <w:pPr>
        <w:tabs>
          <w:tab w:val="num" w:pos="926"/>
        </w:tabs>
        <w:ind w:left="926" w:hanging="360"/>
      </w:pPr>
    </w:lvl>
  </w:abstractNum>
  <w:abstractNum w:abstractNumId="2">
    <w:nsid w:val="FFFFFF7F"/>
    <w:multiLevelType w:val="singleLevel"/>
    <w:tmpl w:val="A352312A"/>
    <w:lvl w:ilvl="0">
      <w:start w:val="1"/>
      <w:numFmt w:val="decimal"/>
      <w:pStyle w:val="ListNumber2"/>
      <w:lvlText w:val="%1."/>
      <w:lvlJc w:val="left"/>
      <w:pPr>
        <w:tabs>
          <w:tab w:val="num" w:pos="643"/>
        </w:tabs>
        <w:ind w:left="643" w:hanging="360"/>
      </w:pPr>
    </w:lvl>
  </w:abstractNum>
  <w:abstractNum w:abstractNumId="3">
    <w:nsid w:val="FFFFFF81"/>
    <w:multiLevelType w:val="singleLevel"/>
    <w:tmpl w:val="73A0527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8AA98E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A024DF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2CC46B4"/>
    <w:lvl w:ilvl="0">
      <w:start w:val="1"/>
      <w:numFmt w:val="decimal"/>
      <w:pStyle w:val="ListNumber"/>
      <w:lvlText w:val="%1."/>
      <w:lvlJc w:val="left"/>
      <w:pPr>
        <w:tabs>
          <w:tab w:val="num" w:pos="360"/>
        </w:tabs>
        <w:ind w:left="360" w:hanging="360"/>
      </w:pPr>
    </w:lvl>
  </w:abstractNum>
  <w:abstractNum w:abstractNumId="7">
    <w:nsid w:val="FFFFFF89"/>
    <w:multiLevelType w:val="singleLevel"/>
    <w:tmpl w:val="6372733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7AF240E"/>
    <w:multiLevelType w:val="hybridMultilevel"/>
    <w:tmpl w:val="C646F1F6"/>
    <w:styleLink w:val="Lettered"/>
    <w:lvl w:ilvl="0" w:tplc="C646F1F6">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14D04A">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6211B4">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3D6518E">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7AC4A3E">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9C03AC">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EEA470C">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D4B93C">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50A79C">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30136F6"/>
    <w:multiLevelType w:val="hybridMultilevel"/>
    <w:tmpl w:val="84BE107A"/>
    <w:styleLink w:val="Dash"/>
    <w:lvl w:ilvl="0" w:tplc="750E125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F608308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BEFA2DB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479C972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26C23B9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72A45F7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7EAE6E7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2E8C30A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46C095D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2"/>
  </w:num>
  <w:num w:numId="2">
    <w:abstractNumId w:val="10"/>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9"/>
  </w:num>
  <w:num w:numId="12">
    <w:abstractNumId w:val="13"/>
  </w:num>
  <w:num w:numId="13">
    <w:abstractNumId w:val="21"/>
  </w:num>
  <w:num w:numId="14">
    <w:abstractNumId w:val="12"/>
  </w:num>
  <w:num w:numId="15">
    <w:abstractNumId w:val="14"/>
  </w:num>
  <w:num w:numId="16">
    <w:abstractNumId w:val="9"/>
  </w:num>
  <w:num w:numId="17">
    <w:abstractNumId w:val="20"/>
  </w:num>
  <w:num w:numId="18">
    <w:abstractNumId w:val="8"/>
  </w:num>
  <w:num w:numId="19">
    <w:abstractNumId w:val="15"/>
  </w:num>
  <w:num w:numId="20">
    <w:abstractNumId w:val="17"/>
  </w:num>
  <w:num w:numId="21">
    <w:abstractNumId w:val="18"/>
  </w:num>
  <w:num w:numId="22">
    <w:abstractNumId w:val="11"/>
  </w:num>
  <w:num w:numId="23">
    <w:abstractNumId w:val="16"/>
  </w:num>
  <w:num w:numId="24">
    <w:abstractNumId w:val="23"/>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3"/>
  </w:num>
  <w:num w:numId="28">
    <w:abstractNumId w:val="21"/>
  </w:num>
  <w:num w:numId="29">
    <w:abstractNumId w:val="12"/>
  </w:num>
  <w:num w:numId="30">
    <w:abstractNumId w:val="14"/>
  </w:num>
  <w:num w:numId="31">
    <w:abstractNumId w:val="9"/>
  </w:num>
  <w:num w:numId="32">
    <w:abstractNumId w:val="20"/>
  </w:num>
  <w:num w:numId="33">
    <w:abstractNumId w:val="8"/>
  </w:num>
  <w:num w:numId="34">
    <w:abstractNumId w:val="15"/>
  </w:num>
  <w:num w:numId="35">
    <w:abstractNumId w:val="17"/>
  </w:num>
  <w:num w:numId="36">
    <w:abstractNumId w:val="18"/>
  </w:num>
  <w:num w:numId="37">
    <w:abstractNumId w:val="11"/>
  </w:num>
  <w:num w:numId="38">
    <w:abstractNumId w:val="16"/>
  </w:num>
  <w:num w:numId="39">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displayBackgroundShape/>
  <w:hideSpellingErrors/>
  <w:hideGrammaticalErrors/>
  <w:attachedTemplate r:id="rId1"/>
  <w:revisionView w:markup="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26 14:52:0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7"/>
    <w:docVar w:name="DQCResult_UnknownFonts" w:val="0;0"/>
    <w:docVar w:name="DQCResult_UnknownStyles" w:val="0;0"/>
    <w:docVar w:name="DQCStatus" w:val="Yellow"/>
    <w:docVar w:name="DQCVersion" w:val="3"/>
    <w:docVar w:name="DQCWithWarnings" w:val="0"/>
    <w:docVar w:name="LW_ACCOMPAGNANT.CP" w:val="&lt;UNUSED&gt;"/>
    <w:docVar w:name="LW_ANNEX_NBR_FIRST" w:val="1"/>
    <w:docVar w:name="LW_ANNEX_NBR_LAST" w:val="1"/>
    <w:docVar w:name="LW_CONFIDENCE" w:val=" "/>
    <w:docVar w:name="LW_CONST_RESTREINT_UE" w:val="RESTREINT UE"/>
    <w:docVar w:name="LW_CORRIGENDUM" w:val="&lt;UNUSED&gt;"/>
    <w:docVar w:name="LW_COVERPAGE_GUID" w:val="F134DDAA8399460E88B41A5E3431BE12"/>
    <w:docVar w:name="LW_CROSSREFERENCE" w:val="{SWD(2017) 26 final}_x000b_{SWD(2017) 27 final}"/>
    <w:docVar w:name="LW_DocType" w:val="ANNEX"/>
    <w:docVar w:name="LW_EMISSION" w:val="2017.2.1."/>
    <w:docVar w:name="LW_EMISSION_ISODATE" w:val="2017-02-01"/>
    <w:docVar w:name="LW_EMISSION_LOCATION" w:val="BRX"/>
    <w:docVar w:name="LW_EMISSION_PREFIX" w:val="Brüsszel, "/>
    <w:docVar w:name="LW_EMISSION_SUFFIX" w:val=" "/>
    <w:docVar w:name="LW_ID_DOCSTRUCTURE" w:val="COM/ANNEX"/>
    <w:docVar w:name="LW_ID_DOCTYPE" w:val="SG-017"/>
    <w:docVar w:name="LW_LANGUE" w:val="HU"/>
    <w:docVar w:name="LW_MARKING" w:val="&lt;UNUSED&gt;"/>
    <w:docVar w:name="LW_NOM.INST" w:val="EURÓPAI BIZOTTSÁG"/>
    <w:docVar w:name="LW_NOM.INST_JOINTDOC" w:val="&lt;EMPTY&gt;"/>
    <w:docVar w:name="LW_OBJETACTEPRINCIPAL.CP" w:val="&lt;UNUSED&gt;"/>
    <w:docVar w:name="LW_PART_NBR" w:val="1"/>
    <w:docVar w:name="LW_PART_NBR_TOTAL" w:val="1"/>
    <w:docVar w:name="LW_REF.INST.NEW" w:val="COM"/>
    <w:docVar w:name="LW_REF.INST.NEW_ADOPTED" w:val="final"/>
    <w:docVar w:name="LW_REF.INST.NEW_TEXT" w:val="(2017) 47"/>
    <w:docVar w:name="LW_REF.INTERNE" w:val="&lt;UNUSED&gt;"/>
    <w:docVar w:name="LW_SUPERTITRE" w:val="&lt;UNUSED&gt;"/>
    <w:docVar w:name="LW_TITRE.OBJ.CP" w:val="a következ\u337?höz:_x000b__x000b_AZ EURÓPAI PARLAMENT ÉS A TANÁCS IRÁNYELVE_x000b__x000b_az egyes közúti árufuvarozást vagy személyszállítást végz\u337? járm\u369?vek vezet\u337?inek alapképzésér\u337?l és továbbképzésér\u337?l szóló 2003/59/EK irányelv és a vezet\u337?i engedélyekr\u337?l szóló 2006/126/EK irányelv módosításáról"/>
    <w:docVar w:name="LW_TYPE.DOC.CP" w:val="MELLÉKLET"/>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Dash">
    <w:name w:val="Dash"/>
    <w:pPr>
      <w:numPr>
        <w:numId w:val="1"/>
      </w:numPr>
    </w:pPr>
  </w:style>
  <w:style w:type="numbering" w:customStyle="1" w:styleId="Lettered">
    <w:name w:val="Lettered"/>
    <w:pPr>
      <w:numPr>
        <w:numId w:val="2"/>
      </w:numPr>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customStyle="1" w:styleId="Pointlett">
    <w:name w:val="Point lett"/>
    <w:basedOn w:val="Normal"/>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Dash">
    <w:name w:val="Dash"/>
    <w:pPr>
      <w:numPr>
        <w:numId w:val="1"/>
      </w:numPr>
    </w:pPr>
  </w:style>
  <w:style w:type="numbering" w:customStyle="1" w:styleId="Lettered">
    <w:name w:val="Lettered"/>
    <w:pPr>
      <w:numPr>
        <w:numId w:val="2"/>
      </w:numPr>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customStyle="1" w:styleId="Pointlett">
    <w:name w:val="Point lett"/>
    <w:basedOn w:val="Normal"/>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27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EEBFC-B946-497A-9238-2646588B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7</Pages>
  <Words>1756</Words>
  <Characters>12192</Characters>
  <Application>Microsoft Office Word</Application>
  <DocSecurity>0</DocSecurity>
  <Lines>243</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LUKAC Ivan (MOVE)</dc:creator>
  <cp:lastModifiedBy>DIGIT/A3</cp:lastModifiedBy>
  <cp:revision>9</cp:revision>
  <cp:lastPrinted>2016-11-29T10:18:00Z</cp:lastPrinted>
  <dcterms:created xsi:type="dcterms:W3CDTF">2017-01-26T13:51:00Z</dcterms:created>
  <dcterms:modified xsi:type="dcterms:W3CDTF">2017-02-01T08:10:00Z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Yellow (DQC version 03)</vt:lpwstr>
  </property>
</Properties>
</file>