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064FCB2C4EA14911BB0627C198FE7172" style="width:450.35pt;height:422.5pt">
            <v:imagedata r:id="rId11" o:title=""/>
          </v:shape>
        </w:pict>
      </w:r>
    </w:p>
    <w:bookmarkEnd w:id="0"/>
    <w:p>
      <w:pPr>
        <w:pStyle w:val="Pagedecouverture"/>
        <w:rPr>
          <w:noProof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Tahoma" w:hAnsi="Tahoma"/>
                <w:b/>
                <w:noProof/>
                <w:sz w:val="22"/>
              </w:rPr>
              <w:lastRenderedPageBreak/>
              <w:t>Sažetak</w:t>
            </w:r>
          </w:p>
        </w:tc>
      </w:tr>
      <w:t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>
            <w:pPr>
              <w:spacing w:before="120" w:after="120"/>
              <w:jc w:val="both"/>
              <w:rPr>
                <w:rFonts w:ascii="Tahoma" w:hAnsi="Tahoma" w:cs="Tahoma"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/>
                <w:noProof/>
                <w:color w:val="FFFFFF" w:themeColor="background1"/>
                <w:sz w:val="20"/>
              </w:rPr>
              <w:t xml:space="preserve">Procjena učinka Prijedloga uredbe Europskog parlamenta i Vijeća o izmjeni Direktive 2003/87/EZ kako bi se nastavila postojeća ograničenja područja primjene za zrakoplovne djelatnosti i pripremila provedba globalne tržišno utemeljene mjere od 2021.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A. Potreba za djelovanjem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0E0E0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Zašto? O kakvom je problemu riječ? </w:t>
            </w:r>
            <w:r>
              <w:rPr>
                <w:rFonts w:ascii="Tahoma" w:hAnsi="Tahoma"/>
                <w:noProof/>
                <w:sz w:val="20"/>
                <w:u w:val="single"/>
              </w:rPr>
              <w:t>Najviše 11 redaka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eastAsiaTheme="minorHAnsi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Sporazum o globalnoj mjeri (GMBM) za rješavanje pitanja emisija iz međunarodnog zrakoplovstva od 2021. postignut je 2016. Zakonodavstvo EU-a mora se izmijeniti kako bi se to uzelo u obzir. Bez ikakvih izmjena, od 2017. sustavom trgovanja emisijskim jedinicama EU-a uz trenutačno obuhvaćene letove unutar EGP-a bit će obuhvaćeni letovi između EU-a i trećih zemalja.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Što se nastoji postići ovom inicijativom? </w:t>
            </w:r>
            <w:r>
              <w:rPr>
                <w:rFonts w:ascii="Tahoma" w:hAnsi="Tahoma"/>
                <w:noProof/>
                <w:sz w:val="20"/>
                <w:u w:val="single"/>
              </w:rPr>
              <w:t>Najviše 8 redaka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I dalje treba težiti ostvarenju ciljeva sustava trgovanja emisijama EU-a u pogledu okoliša kako bi se ispunili unutarnji klimatski ciljevi EU-a i međunarodne obveze, uz istovremeno pružanje podrške provedbi globalne tržišno utemeljene mjere u svrhu postizanja maksimalnog učinka u pogledu ublažavanja klimatskih promjena na globalnoj razini.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Koja je dodana vrijednost djelovanja na razini EU-a?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  <w:r>
              <w:rPr>
                <w:rFonts w:ascii="Tahoma" w:hAnsi="Tahoma"/>
                <w:noProof/>
                <w:sz w:val="20"/>
                <w:u w:val="single"/>
              </w:rPr>
              <w:t>Najviše 7 redaka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Theme="minorHAnsi" w:hAnsi="Arial" w:cs="Arial"/>
                <w:noProof/>
                <w:sz w:val="20"/>
                <w:szCs w:val="20"/>
              </w:rPr>
            </w:pPr>
            <w:r>
              <w:rPr>
                <w:rFonts w:ascii="Arial" w:eastAsiaTheme="minorHAnsi" w:hAnsi="Arial"/>
                <w:noProof/>
                <w:sz w:val="20"/>
              </w:rPr>
              <w:t xml:space="preserve">Jedinstveno tržište u području zrakoplovstva predstavlja ključni cilj za EU. Djelovanjem EU-a sprječava se narušavanje tržišnog natjecanja na unutarnjem tržištu osiguravanjem jedinstvene provedbe globalne tržišno utemeljene mjere u EU-u.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B. Rješenja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Koje su se zakonodavne i nezakonodavne mogućnosti politika uzele u obzir? Ima li koja od njih prednost? Zašto?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  <w:r>
              <w:rPr>
                <w:rFonts w:ascii="Tahoma" w:hAnsi="Tahoma"/>
                <w:noProof/>
                <w:sz w:val="20"/>
                <w:u w:val="single"/>
              </w:rPr>
              <w:t>Najviše 14 redaka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U mogućnostima za razdoblje od 2017. do 2020. predviđa se sustav trgovanja emisijama EU-a s različitim područjima primjene: područje primjene u punom opsegu (nulta mogućnost), letovi iz EGP-a (druga mogućnost) te trenutačno područje primjene kojim su obuhvaćeni letovi unutar EGP-a (prva mogućnost). </w:t>
            </w:r>
          </w:p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Nakon 2020. osnovna nulta mogućnost ostaje kao područje primjene u punom opsegu. U okviru ostalih mogućnosti svi letovi izvan EGP-a isključivo su obuhvaćeni globalnom tržišno utemeljenom mjerom. U okviru prve mogućnosti sustav trgovanja emisijama EU-a primjenjuje se na letove unutar EGP-a. U okviru druge mogućnosti sustav trgovanja emisijama EU-a za letove unutar EGP-a usklađen je s globalnom tržišno utemeljenom mjerom. U okviru treće mogućnosti globalna tržišno utemeljena mjera primjenjuje se na letove unutar EGP-a. </w:t>
            </w:r>
          </w:p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Mogućnost kojoj se daje prednost je proširenje područja primjene kojim su obuhvaćeni letovi unutar EGP-a (prva mogućnost) dok ne bude dovoljno jasno kakve će instrumente Međunarodna organizacija za civilno zrakoplovstvo (ICAO) donijeti za provedbu globalne tržišno utemeljene mjere.</w:t>
            </w:r>
          </w:p>
        </w:tc>
      </w:tr>
      <w:tr>
        <w:tc>
          <w:tcPr>
            <w:tcW w:w="10188" w:type="dxa"/>
            <w:shd w:val="clear" w:color="auto" w:fill="CCCCCC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Tko podržava koju mogućnost?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  <w:r>
              <w:rPr>
                <w:rFonts w:ascii="Tahoma" w:hAnsi="Tahoma"/>
                <w:noProof/>
                <w:sz w:val="20"/>
                <w:u w:val="single"/>
              </w:rPr>
              <w:t>Najviše 7 redaka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2017. – 2020. Organizacije civilnog društva i pojedinci daju prednost nultoj mogućnosti, a javna tijela prvoj mogućnosti. Privatna poduzeća, profesionalne organizacije i međunarodne organizacije podijeljene su između prve mogućnosti i stavljanja izvan snage sustava trgovanja emisijama EU-a. </w:t>
            </w:r>
          </w:p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Nakon 2020.: Organizacije civilnog društva i pojedinci podupiru nastavak primjene sustava trgovanja emisijama EU-a (nulta, prva i druga mogućnost). Neka javna tijela podržavaju nastavak primjene sustava trgovanja emisijama EU-a za letove unutar EGP-a (prva i druga mogućnost), dok druga, kao i zračni prijevoznici i zrakoplovna udruženja, daju prednost trećoj mogućnosti.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C. Učinci mogućnosti kojoj se daje prednost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Koje su koristi mogućnosti kojoj se daje prednost (ako ih ima, navesti glavne)?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  <w:r>
              <w:rPr>
                <w:rFonts w:ascii="Tahoma" w:hAnsi="Tahoma"/>
                <w:noProof/>
                <w:sz w:val="20"/>
                <w:u w:val="single"/>
              </w:rPr>
              <w:t>Najviše 12 redaka</w:t>
            </w:r>
            <w:r>
              <w:rPr>
                <w:rFonts w:ascii="Tahoma" w:hAnsi="Tahoma"/>
                <w:noProof/>
                <w:sz w:val="20"/>
              </w:rPr>
              <w:t xml:space="preserve">                                     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Zrakoplovstvo nastavlja pridonositi ciljevima klimatske politike EU-a. Očekuje se da će ta mogućnost 2020. dovesti do godišnje potražnje za 25,10 Mt emisijskih jedinica drugih sektora sustava trgovanja emisijama i međunarodnih emisijskih jedinica te 2030. do godišnje potražnje za 49,3 Mt emisijskih jedinica EU-a prvotno dodijeljenih drugim sektorima sustava trgovanja emisijama. U usporedbi s osnovnom vrijednošću operativni troškovi za mogućnost kojoj se daje prednost su niži (– 0,1 % 2020. te – 0,43 % 2030.), što dovodi do povećanja potražnje za letovima (povećanje za 0,5 % 2020. te za 1,44 % 2030.). Vjerojatno će doći i do rasta zapošljavanja u zrakoplovnom sektoru za 0,4 % 2020. te za 1,5 % 2030.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Koliki su troškovi mogućnosti kojoj se daje prednost (ako ih ima, navesti glavne)?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  <w:r>
              <w:rPr>
                <w:rFonts w:ascii="Tahoma" w:hAnsi="Tahoma"/>
                <w:noProof/>
                <w:sz w:val="20"/>
                <w:u w:val="single"/>
              </w:rPr>
              <w:t>Najviše 12 redaka</w:t>
            </w:r>
            <w:r>
              <w:rPr>
                <w:rFonts w:ascii="Tahoma" w:hAnsi="Tahoma"/>
                <w:noProof/>
                <w:sz w:val="20"/>
              </w:rPr>
              <w:t xml:space="preserve">                                     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Niski troškovi za emisijske jedinice dovode do manjeg dodatnog povećanja operativnih troškova te imaju zanemariv utjecaj na konkurentnost zrakoplovnog i turističkog sektora EU-a.</w:t>
            </w:r>
          </w:p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U okviru svih mogućnosti nastaju administrativni troškovi za operatere zrakoplova i nacionalna tijela. Ti će troškovi u okviru mogućnosti kojoj se daje prednost vjerojatno biti najniži, ali ih je teško izračunati za razdoblje nakon 2020. zbog nesigurnosti u pogledu administrativnih pravila koja se primjenjuju na globalnu tržišno utemeljenu mjeru.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Kako će to utjecati na poduzeća, MSP-ove i mikropoduzeća? </w:t>
            </w:r>
            <w:r>
              <w:rPr>
                <w:rFonts w:ascii="Tahoma" w:hAnsi="Tahoma"/>
                <w:noProof/>
                <w:sz w:val="20"/>
                <w:u w:val="single"/>
              </w:rPr>
              <w:t>Najviše 8 redaka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U okviru sustava trgovanja emisijama EU-a oko 2 600 nekomercijalnih malih emitera odgovorno je za 1 % emisija. Prethodnim izmjenama sustava trgovanja emisijama EU-a mali, nekomercijalni operateri zrakoplova izuzeti su do 2020. Predlaže se produljenje izuzeća kako bi se smanjili administrativni teret i troškovi.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Hoće li to bitno utjecati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  <w:r>
              <w:rPr>
                <w:rFonts w:ascii="Tahoma" w:hAnsi="Tahoma"/>
                <w:b/>
                <w:noProof/>
                <w:sz w:val="20"/>
              </w:rPr>
              <w:t>na nacionalne proračune i uprave?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  <w:r>
              <w:rPr>
                <w:rFonts w:ascii="Tahoma" w:hAnsi="Tahoma"/>
                <w:noProof/>
                <w:sz w:val="20"/>
                <w:u w:val="single"/>
              </w:rPr>
              <w:t>Najviše 4 retka</w:t>
            </w:r>
          </w:p>
        </w:tc>
      </w:tr>
      <w:tr>
        <w:tc>
          <w:tcPr>
            <w:tcW w:w="10188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Prihodi od dražbovnih prodaja ostvaruju se za javna tijela (godišnji prihodi od dražbovnih prodaja od 123,6 milijuna EUR 2020. te od 302,3 milijuna EUR 2030.).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Hoće li biti drugih bitnih učinaka?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  <w:r>
              <w:rPr>
                <w:rFonts w:ascii="Tahoma" w:hAnsi="Tahoma"/>
                <w:noProof/>
                <w:sz w:val="20"/>
                <w:u w:val="single"/>
              </w:rPr>
              <w:t xml:space="preserve">Najviše 6 redaka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Zbog ograničenog područja primjene smanjeni su rizici povezani s protivljenjem trećih zemalja ili njihovim neispunjavanjem obveza.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0C0C0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D. Daljnje mjere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Kad će se ta politika preispitati? </w:t>
            </w:r>
            <w:r>
              <w:rPr>
                <w:rFonts w:ascii="Tahoma" w:hAnsi="Tahoma"/>
                <w:noProof/>
                <w:sz w:val="20"/>
                <w:u w:val="single"/>
              </w:rPr>
              <w:t>Najviše 4 retka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Kada budu na raspolaganju preciznije informacije o obilježjima globalne tržišno utemeljene mjere koja nedostaju te o njezinoj provedbi.</w:t>
            </w:r>
          </w:p>
        </w:tc>
      </w:tr>
    </w:tbl>
    <w:p>
      <w:pPr>
        <w:rPr>
          <w:noProof/>
        </w:rPr>
      </w:pPr>
    </w:p>
    <w:sectPr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775996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018"/>
    <w:multiLevelType w:val="multilevel"/>
    <w:tmpl w:val="D124D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79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revisionView w:markup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Prilo\u382?en dokumentu"/>
    <w:docVar w:name="LW_CONFIDENCE" w:val=" "/>
    <w:docVar w:name="LW_CONST_RESTREINT_UE" w:val="RESTREINT UE"/>
    <w:docVar w:name="LW_CORRIGENDUM" w:val="&lt;UNUSED&gt;"/>
    <w:docVar w:name="LW_COVERPAGE_GUID" w:val="064FCB2C4EA14911BB0627C198FE7172"/>
    <w:docVar w:name="LW_CROSSREFERENCE" w:val="{COM(2017) 54 final}_x000b_{SWD(2017) 31 final}"/>
    <w:docVar w:name="LW_DocType" w:val="NORMAL"/>
    <w:docVar w:name="LW_EMISSION" w:val="3.2.2017."/>
    <w:docVar w:name="LW_EMISSION_ISODATE" w:val="2017-02-03"/>
    <w:docVar w:name="LW_EMISSION_LOCATION" w:val="BRX"/>
    <w:docVar w:name="LW_EMISSION_PREFIX" w:val="Bruxelles, "/>
    <w:docVar w:name="LW_EMISSION_SUFFIX" w:val="&lt;EMPTY&gt;"/>
    <w:docVar w:name="LW_ID_DOCTYPE_NONLW" w:val="CP-027"/>
    <w:docVar w:name="LW_LANGUE" w:val="HR"/>
    <w:docVar w:name="LW_MARKING" w:val="&lt;UNUSED&gt;"/>
    <w:docVar w:name="LW_NOM.INST" w:val="EUROPSKA KOMISIJA"/>
    <w:docVar w:name="LW_NOM.INST_JOINTDOC" w:val="&lt;EMPTY&gt;"/>
    <w:docVar w:name="LW_OBJETACTEPRINCIPAL.CP" w:val="o izmjeni Direktive 2003/87/EZ kako bi se nastavila postoje\u263?a ograni\u269?enja podru\u269?ja primjene za zrakoplovne djelatnosti i pripremila provedba globalne tr\u382?i\u353?no utemeljene mjere od 2021."/>
    <w:docVar w:name="LW_PART_NBR" w:val="1"/>
    <w:docVar w:name="LW_PART_NBR_TOTAL" w:val="1"/>
    <w:docVar w:name="LW_REF.INST.NEW" w:val="SWD"/>
    <w:docVar w:name="LW_REF.INST.NEW_ADOPTED" w:val="final"/>
    <w:docVar w:name="LW_REF.INST.NEW_TEXT" w:val="(2017) 30"/>
    <w:docVar w:name="LW_REF.INTERNE" w:val="&lt;UNUSED&gt;"/>
    <w:docVar w:name="LW_SUPERTITRE" w:val="&lt;UNUSED&gt;"/>
    <w:docVar w:name="LW_TITRE.OBJ.CP" w:val="&lt;UNUSED&gt;"/>
    <w:docVar w:name="LW_TYPE.DOC.CP" w:val="RADNI DOKUMENT SLU\u381?BI KOMISIJE_x000b__x000b_SA\u381?ETAK PROCJENE U\u268?INKA_x000b_"/>
    <w:docVar w:name="LW_TYPEACTEPRINCIPAL.CP" w:val="PRIJEDLOG UREDBE EUROPSKOG PARLAMENTA I VIJE\u262?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aliases w:val="-E Fußnotenzeichen,number,SUPERS,Footnote Reference Superscript,EN Footnote Reference,-E Fuﬂnotenzeichen,-E Fuûnotenzeichen,Footnote number,stylish,Footnote symbol,(Footnote Reference),Footnote reference number,note TESI,BVI fnr"/>
    <w:basedOn w:val="DefaultParagraphFont"/>
    <w:uiPriority w:val="99"/>
    <w:unhideWhenUsed/>
    <w:qFormat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aliases w:val="-E Fußnotentext,Fußnotentext Ursprung,Fußnote,-E Fußnotentext1,-E Fußnotentext2,-E Fußnotentext3,Fußnotentextf,Footnote text,Fußnotentext Char1,Fußnotentext Char Char,Fußnotentext Char1 Char Char,Fußnotentext Cha,Footnote Te,Footnote"/>
    <w:basedOn w:val="Normal"/>
    <w:link w:val="FootnoteTextChar"/>
    <w:uiPriority w:val="99"/>
    <w:unhideWhenUsed/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aliases w:val="-E Fußnotentext Char,Fußnotentext Ursprung Char,Fußnote Char,-E Fußnotentext1 Char,-E Fußnotentext2 Char,-E Fußnotentext3 Char,Fußnotentextf Char,Footnote text Char,Fußnotentext Char1 Char,Fußnotentext Char Char Char,Footnote Te Char"/>
    <w:basedOn w:val="DefaultParagraphFont"/>
    <w:link w:val="FootnoteText"/>
    <w:uiPriority w:val="99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aliases w:val="-E Fußnotenzeichen,number,SUPERS,Footnote Reference Superscript,EN Footnote Reference,-E Fuﬂnotenzeichen,-E Fuûnotenzeichen,Footnote number,stylish,Footnote symbol,(Footnote Reference),Footnote reference number,note TESI,BVI fnr"/>
    <w:basedOn w:val="DefaultParagraphFont"/>
    <w:uiPriority w:val="99"/>
    <w:unhideWhenUsed/>
    <w:qFormat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aliases w:val="-E Fußnotentext,Fußnotentext Ursprung,Fußnote,-E Fußnotentext1,-E Fußnotentext2,-E Fußnotentext3,Fußnotentextf,Footnote text,Fußnotentext Char1,Fußnotentext Char Char,Fußnotentext Char1 Char Char,Fußnotentext Cha,Footnote Te,Footnote"/>
    <w:basedOn w:val="Normal"/>
    <w:link w:val="FootnoteTextChar"/>
    <w:uiPriority w:val="99"/>
    <w:unhideWhenUsed/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aliases w:val="-E Fußnotentext Char,Fußnotentext Ursprung Char,Fußnote Char,-E Fußnotentext1 Char,-E Fußnotentext2 Char,-E Fußnotentext3 Char,Fußnotentextf Char,Footnote text Char,Fußnotentext Char1 Char,Fußnotentext Char Char Char,Footnote Te Char"/>
    <w:basedOn w:val="DefaultParagraphFont"/>
    <w:link w:val="FootnoteText"/>
    <w:uiPriority w:val="99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DCF41F10D214DBDDF7E1F5EB8F7C1" ma:contentTypeVersion="1" ma:contentTypeDescription="Create a new document." ma:contentTypeScope="" ma:versionID="4d11a2104eb79e191fab213970d36f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B228E3-FEEC-429F-8C93-CFCC37DE565D}">
  <ds:schemaRefs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1588CBB-D78F-412D-9B35-4671E1A44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CCE80E-734A-4297-8D0E-984F7E32D7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851</Words>
  <Characters>5128</Characters>
  <Application>Microsoft Office Word</Application>
  <DocSecurity>0</DocSecurity>
  <Lines>76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19</cp:revision>
  <cp:lastPrinted>2016-12-05T13:32:00Z</cp:lastPrinted>
  <dcterms:created xsi:type="dcterms:W3CDTF">2017-01-24T16:10:00Z</dcterms:created>
  <dcterms:modified xsi:type="dcterms:W3CDTF">2017-01-27T14:38:00Z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Classification">
    <vt:lpwstr> </vt:lpwstr>
  </property>
  <property fmtid="{D5CDD505-2E9C-101B-9397-08002B2CF9AE}" pid="6" name="Order">
    <vt:r8>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NewReviewCycle">
    <vt:lpwstr/>
  </property>
  <property fmtid="{D5CDD505-2E9C-101B-9397-08002B2CF9AE}" pid="10" name="ContentTypeId">
    <vt:lpwstr>0x010100AB6DCF41F10D214DBDDF7E1F5EB8F7C1</vt:lpwstr>
  </property>
  <property fmtid="{D5CDD505-2E9C-101B-9397-08002B2CF9AE}" pid="11" name="TemplateUrl">
    <vt:lpwstr/>
  </property>
</Properties>
</file>