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2AFE1C85CC24150A2A7B807BBBCE6FD" style="width:450.5pt;height:422.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Bileog Achoimre Feidhmiúcháin</w:t>
            </w:r>
          </w:p>
        </w:tc>
      </w:tr>
      <w:t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Measúnú tionchair ar Thogra le haghaidh Treoir lena leasaítear Treoir 2003/59/CE maidir le cáiliú tosaigh agus le hoiliúint thréimhsiúil tiománaithe feithiclí áirithe bóthair i gcomhair iompair earraí nó paisinéirí agus Treoir 2006/126/CE maidir le ceadúnais tiomána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An gá atá le beart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é an fhadhb atá i gceist?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Príomhfhadhbanna: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deacrachtaí a bhaineann le haithint fhrithpháirteach oiliúna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ábhar oiliúna nach bhfuil ábhartha go hiomlán do riachtanais tiománaithe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na deacrachtaí agus an éiginnteacht dhlíthiúil atá ann agus díolúintí á léirmhíniú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neamhréireachtaí maidir leis na ceanglais aoise íosta idir an Treoir maidir le cáiliú tosaigh agus le hoiliúint thréimhsiúil tiománaithe (an Treoir) agus an Treoir maidir le ceadúnais tiomána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leis a bhfuiltear ag súil ón tionscnamh seo?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Cuspóir ginearálta: rannchuidiú a dhéanamh le sábháilteacht ar bhóithre agus le saorghluaiseacht tiománaithe gairmiúla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Cuspóirí sonracha: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1) cleachtais riaracháin a chuíchóiriú le haghaidh aithint fhrithpháirteach sna Ballstáit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2) ábhar oiliúna a sholáthar ina gcuimseofar teicneolaíocht faisnéise agus cumarsáide (TFC), sábháilteacht ar bhóithre agus éifeachtúlacht breosla</w:t>
            </w:r>
          </w:p>
          <w:p>
            <w:pPr>
              <w:pStyle w:val="ListParagraph"/>
              <w:ind w:left="71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3) feabhas a chur ar shoiléire dhlíthiúil agus ar chomhsheasmhacht le reachtaíocht eile ón Aontas Eorpach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é an breisluach atá le beart a dhéanamh ar leibhéal an Aontais?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Réitigh éifeachtúla ar fhadhbanna trasnáisiúnta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Feabhas ar chórais oiliúna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Cothroime iomaíochta d’oibreoirí iompair de bhóthar i dtaca le caighdeáin sábháilteachta ar bhóithre </w:t>
            </w:r>
          </w:p>
        </w:tc>
      </w:tr>
    </w:tbl>
    <w:p>
      <w:pPr>
        <w:rPr>
          <w:rFonts w:ascii="Tahoma" w:hAnsi="Tahoma" w:cs="Tahoma"/>
          <w:noProof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Réitigh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iad na roghanna beartais reachtacha agus neamhreachtacha a breithníodh? An bhfuil rogha thosaíochta ann nó nach bhfuil? Cén fáth?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Na roghanna beartais reachtaigh a bhaineann le cuspóir sonrach 1: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a) aithint éigeantach deimhnithe ar inniúlacht ghairmiúil idir na Ballstáit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b) an ceanglas chun Cártaí Cáilíochta Tiománaí a eisiúint i gcás nach féidir cód 95 a léiriú ar an gceadúnas tiomána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c) an córas faisnéise le haghaidh ceadúnais tiomána (RESPER) a leathnú chun go n-áireofar oiliúint um dheimhniú ar inniúlacht ghairmiúil leis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Bearta malartacha a bhaineann le tiománaithe nach saoránaigh den Aontas Eorpach iad: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 1) fianuithe tiománaí a aithint fiú mura bhfuil cód 95 sonraithe orthu, nó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 2) cód 95 a shonrú ar an bhfianú tiománaí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Na roghanna beartais reachtaigh a bhaineann le cuspóirí sonracha 2 agus 3: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      feabhas a chur ar ábharthacht na hoiliúna, á lua go soiléir gur féidir ríomhfhoghlaim agus oiliúint chumaisc a úsáid</w:t>
            </w:r>
          </w:p>
          <w:p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raon feidhme na ndíolúintí a shoiléiriú</w:t>
            </w:r>
          </w:p>
          <w:p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ceanglais aoise íosta a chur ar chomhréim leis an Treoir maidir le ceadúnais tiomána</w:t>
            </w:r>
          </w:p>
          <w:p>
            <w:pPr>
              <w:ind w:left="7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u w:val="single"/>
              </w:rPr>
              <w:t>An rogha thosaíochta</w:t>
            </w:r>
            <w:r>
              <w:rPr>
                <w:rFonts w:ascii="Tahoma" w:hAnsi="Tahoma"/>
                <w:noProof/>
                <w:sz w:val="20"/>
              </w:rPr>
              <w:t>: Cuspóir sonrach 1(b) móide beart malartach (1).</w:t>
            </w:r>
          </w:p>
        </w:tc>
      </w:tr>
      <w:tr>
        <w:tc>
          <w:tcPr>
            <w:tcW w:w="9747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Na páirtithe leasmhara éagsúla agus na bearta is rogha leo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Bhí na páirtithe leasmhara i bhfách, i bprionsabal, leis na roghanna beartais uile.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Bhí an Cumann Idirnáisiúnta um Iompar de Bhóthar (IRU) i bhfách le feabhas a chur ar an gcóras oiliúna reatha agus le é a chur in oiriúint do riachtanais reatha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Bhí imní ar na Ballstáit go mbeadh ualach mór ag baint le cártaí cáilíochta tiománaí a eisiúint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Tionchar na rogha tosaíochta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iad buntáistí na rogha tosaíochta (más ann di; murab ann, cad iad buntáistí na bpríomhroghanna)?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Deacrachtaí aitheanta frithpháirtí a réiteach, coigilteas costais is fiú €2.30 milliún a sholáthar do ghnólachtaí agus coigilteas costais is fiú €6.7 milliún a sholáthar do thiománaithe (2018-2030)</w:t>
            </w:r>
          </w:p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Feabhas ar éifeachtúlacht an chórais oiliúna</w:t>
            </w:r>
          </w:p>
          <w:p>
            <w:pPr>
              <w:pStyle w:val="ListParagraph"/>
              <w:ind w:left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Soiléire mhéadaithe agus comhsheasmhacht mhéadaithe leis an Treoir agus le gníomhartha ábhartha eile dlí ón Aontas Eorpach</w:t>
            </w:r>
          </w:p>
        </w:tc>
      </w:tr>
    </w:tbl>
    <w:p>
      <w:pPr>
        <w:widowControl w:val="0"/>
        <w:rPr>
          <w:rFonts w:ascii="Tahoma" w:hAnsi="Tahoma" w:cs="Tahoma"/>
          <w:noProof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Cad iad costais na rogha tosaíochta (más ann di; murab ann, cad iad costais na bpríomhroghanna)?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Costais mheasta (2018-2030):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   costais rialála: €6.3 milliún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   costais idirthréimhseacha (thar thréimhse ceithre bliana) a bheidh ag baint le hathruithe a dhéanamh ar ábhar na hoiliúna: suas le €14.1 milliún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Cén difear a dhéanfar do ghnólachtaí, do FBManna agus do mhicrifhiontair?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Meastar go mbainfidh FBManna san earnáil iompair tairbhe as soláthar méadaithe saothair agus as costais laghdaithe araon</w:t>
            </w: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Ní mheastar gur mó ná 5 % de chostas iomlán na hoiliúna na costais bhreise a bheidh ag baint le hábhar na hoiliúna a athbhreithniú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An imreofar tionchar suntasach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ar bhuiséid náisiúnta agus ar údaráis riaracháin náisiúnta?</w:t>
            </w:r>
          </w:p>
        </w:tc>
      </w:tr>
      <w:tr>
        <w:tc>
          <w:tcPr>
            <w:tcW w:w="9747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Ceann ar bith seachas costais rialála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An mbeidh aon tionchar suntasach eile i gceist?</w:t>
            </w:r>
            <w:r>
              <w:rPr>
                <w:rFonts w:ascii="Tahoma" w:hAnsi="Tahoma"/>
                <w:noProof/>
                <w:sz w:val="20"/>
                <w:u w:val="single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Ní bheidh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Iarobair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Cathain a dhéanfar athbhreithniú ar an mbeartas?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Déanfaidh an Coimisiún faireachán ar éifeachtaí an bheartais nua i gcomhar leis na Ballstáit agus le páirtithe leasmhara ábhartha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C0"/>
    <w:multiLevelType w:val="hybridMultilevel"/>
    <w:tmpl w:val="4740CCDC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4FC"/>
    <w:multiLevelType w:val="hybridMultilevel"/>
    <w:tmpl w:val="37B6B524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6732"/>
    <w:multiLevelType w:val="hybridMultilevel"/>
    <w:tmpl w:val="6CD0BF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EA2"/>
    <w:multiLevelType w:val="hybridMultilevel"/>
    <w:tmpl w:val="E2F8F40E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F24"/>
    <w:multiLevelType w:val="hybridMultilevel"/>
    <w:tmpl w:val="0B284BCC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991"/>
    <w:multiLevelType w:val="hybridMultilevel"/>
    <w:tmpl w:val="E7787EBE"/>
    <w:lvl w:ilvl="0" w:tplc="5D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 ghabhann leis an doiciméad"/>
    <w:docVar w:name="LW_CONFIDENCE" w:val=" "/>
    <w:docVar w:name="LW_CONST_RESTREINT_UE" w:val="RESTREINT UE"/>
    <w:docVar w:name="LW_CORRIGENDUM" w:val="&lt;UNUSED&gt;"/>
    <w:docVar w:name="LW_COVERPAGE_GUID" w:val="82AFE1C85CC24150A2A7B807BBBCE6FD"/>
    <w:docVar w:name="LW_CROSSREFERENCE" w:val="{COM(2017) 47 final}_x000b_{SWD(2017) 27 final}"/>
    <w:docVar w:name="LW_DocType" w:val="NORMAL"/>
    <w:docVar w:name="LW_EMISSION" w:val="1.2.2017"/>
    <w:docVar w:name="LW_EMISSION_ISODATE" w:val="2017-02-01"/>
    <w:docVar w:name="LW_EMISSION_LOCATION" w:val="BRX"/>
    <w:docVar w:name="LW_EMISSION_PREFIX" w:val="An Bhruiséil,"/>
    <w:docVar w:name="LW_EMISSION_SUFFIX" w:val=" "/>
    <w:docVar w:name="LW_ID_DOCTYPE_NONLW" w:val="CP-02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.CP" w:val="lena leasaítear Treoir 2003/59/EC maidir le cáiliú tosaigh agus le hoiliúint thréimhsiúil tiománaithe feithiclí áirithe bóthair i gcomhair iompar earraí nó paisinéirí agus Treoir 2006/126/CE maidir le ceadúnais tiomána"/>
    <w:docVar w:name="LW_PART_NBR" w:val="1"/>
    <w:docVar w:name="LW_PART_NBR_TOTAL" w:val="1"/>
    <w:docVar w:name="LW_REF.INST.NEW" w:val="SWD"/>
    <w:docVar w:name="LW_REF.INST.NEW_ADOPTED" w:val="final"/>
    <w:docVar w:name="LW_REF.INST.NEW_TEXT" w:val="(2017) 26"/>
    <w:docVar w:name="LW_REF.INTERNE" w:val="&lt;UNUSED&gt;"/>
    <w:docVar w:name="LW_SUPERTITRE" w:val="&lt;UNUSED&gt;"/>
    <w:docVar w:name="LW_TITRE.OBJ.CP" w:val="&lt;UNUSED&gt;"/>
    <w:docVar w:name="LW_TYPE.DOC.CP" w:val="DOICIMÉAD INMHEÁNACH OIBRE DE CHUID AN CHOIMISIÚIN_x000b__x000b_ACHOIMRE FEIDHMIÚCHÁIN AR AN MEASÚNÚ TIONCHAIR_x000b_"/>
    <w:docVar w:name="LW_TYPEACTEPRINCIPAL.CP" w:val="Togra le haghaidh Treoir ó Pharlaimint na hEorpa agus ón gComhairle"/>
    <w:docVar w:name="Stamp" w:val="\\dossiers.dgt.cec.eu.int\dossiers\MOVE\MOVE-2016-01397\MOVE-2016-01397-00-01-EN-REV-00.2016112318500481220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ga-I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ga-I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0C9C92-4276-4D30-A997-3E552C0C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712</Words>
  <Characters>4012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2016-11-23T18:02:00Z</cp:lastPrinted>
  <dcterms:created xsi:type="dcterms:W3CDTF">2017-02-17T07:47:00Z</dcterms:created>
  <dcterms:modified xsi:type="dcterms:W3CDTF">2017-02-17T14:03:00Z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