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4E" w:rsidRDefault="00BB7A98" w:rsidP="00BB7A9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6933A854FFE47AEB35EED38D7B3D93D" style="width:450.25pt;height:424.5pt">
            <v:imagedata r:id="rId12" o:title=""/>
          </v:shape>
        </w:pict>
      </w:r>
    </w:p>
    <w:p w:rsidR="008D284E" w:rsidRDefault="008D284E">
      <w:pPr>
        <w:rPr>
          <w:noProof/>
        </w:rPr>
        <w:sectPr w:rsidR="008D284E" w:rsidSect="00BB7A9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8D284E" w:rsidRDefault="008D284E">
      <w:pPr>
        <w:pStyle w:val="CRSeparator"/>
        <w:rPr>
          <w:noProof/>
        </w:rPr>
      </w:pPr>
      <w:bookmarkStart w:id="0" w:name="_GoBack"/>
      <w:bookmarkEnd w:id="0"/>
    </w:p>
    <w:p w:rsidR="008D284E" w:rsidRDefault="00BB7A98">
      <w:pPr>
        <w:pStyle w:val="CRReference"/>
        <w:rPr>
          <w:noProof/>
        </w:rPr>
      </w:pPr>
      <w:r>
        <w:rPr>
          <w:noProof/>
        </w:rPr>
        <w:fldChar w:fldCharType="begin"/>
      </w:r>
      <w:r>
        <w:rPr>
          <w:noProof/>
        </w:rPr>
        <w:instrText xml:space="preserve"> QUOTE "</w:instrText>
      </w:r>
      <w:r>
        <w:rPr>
          <w:rStyle w:val="CRMarker"/>
          <w:noProof/>
          <w:lang w:val="da-DK"/>
        </w:rPr>
        <w:instrText>ê</w:instrText>
      </w:r>
      <w:r>
        <w:rPr>
          <w:noProof/>
        </w:rPr>
        <w:instrText xml:space="preserve">" </w:instrText>
      </w:r>
      <w:r>
        <w:rPr>
          <w:noProof/>
        </w:rPr>
        <w:fldChar w:fldCharType="separate"/>
      </w:r>
      <w:r>
        <w:rPr>
          <w:rStyle w:val="CRMarker"/>
          <w:noProof/>
          <w:lang w:val="da-DK"/>
        </w:rPr>
        <w:t>ê</w:t>
      </w:r>
      <w:r>
        <w:rPr>
          <w:noProof/>
        </w:rPr>
        <w:fldChar w:fldCharType="end"/>
      </w:r>
      <w:r>
        <w:rPr>
          <w:noProof/>
        </w:rPr>
        <w:t> 714/2009</w:t>
      </w:r>
    </w:p>
    <w:p w:rsidR="008D284E" w:rsidRDefault="00BB7A98">
      <w:pPr>
        <w:pStyle w:val="Annexetitre"/>
        <w:rPr>
          <w:rStyle w:val="CRRefonteDeleted"/>
          <w:noProof/>
        </w:rPr>
      </w:pPr>
      <w:r>
        <w:rPr>
          <w:noProof/>
        </w:rPr>
        <w:t>BILAG I</w:t>
      </w:r>
    </w:p>
    <w:p w:rsidR="008D284E" w:rsidRDefault="008D284E">
      <w:pPr>
        <w:rPr>
          <w:rStyle w:val="CRRefonteDeleted"/>
          <w:noProof/>
          <w:highlight w:val="lightGray"/>
        </w:rPr>
      </w:pPr>
    </w:p>
    <w:p w:rsidR="008D284E" w:rsidRDefault="00BB7A98">
      <w:pPr>
        <w:rPr>
          <w:rStyle w:val="CRRefonteDeleted"/>
          <w:noProof/>
          <w:highlight w:val="lightGray"/>
        </w:rPr>
      </w:pPr>
      <w:r>
        <w:rPr>
          <w:rStyle w:val="CRRefonteDeleted"/>
          <w:noProof/>
          <w:highlight w:val="lightGray"/>
        </w:rPr>
        <w:t xml:space="preserve">RETNINGSLINJER FOR ADMINISTRATION OG FORDELING AF LEDIG </w:t>
      </w:r>
      <w:r>
        <w:rPr>
          <w:rStyle w:val="CRRefonteDeleted"/>
          <w:noProof/>
          <w:highlight w:val="lightGray"/>
        </w:rPr>
        <w:t>OVERFØRSELSKAPACITET PÅ SAMKØRINGSLINJERNE MELLEM NATIONALE SYSTEMER</w:t>
      </w:r>
    </w:p>
    <w:p w:rsidR="008D284E" w:rsidRDefault="008D284E">
      <w:pPr>
        <w:rPr>
          <w:rStyle w:val="CRRefonteDeleted"/>
          <w:noProof/>
          <w:highlight w:val="lightGray"/>
        </w:rPr>
      </w:pPr>
    </w:p>
    <w:p w:rsidR="008D284E" w:rsidRDefault="00BB7A98">
      <w:pPr>
        <w:rPr>
          <w:rStyle w:val="CRRefonteDeleted"/>
          <w:noProof/>
          <w:highlight w:val="lightGray"/>
        </w:rPr>
      </w:pPr>
      <w:r>
        <w:rPr>
          <w:rStyle w:val="CRRefonteDeleted"/>
          <w:noProof/>
          <w:highlight w:val="lightGray"/>
        </w:rPr>
        <w:t>1.   Almindelige bestemmelser</w:t>
      </w:r>
    </w:p>
    <w:p w:rsidR="008D284E" w:rsidRDefault="00BB7A98">
      <w:pPr>
        <w:rPr>
          <w:rStyle w:val="CRRefonteDeleted"/>
          <w:noProof/>
          <w:highlight w:val="lightGray"/>
        </w:rPr>
      </w:pPr>
      <w:r>
        <w:rPr>
          <w:rStyle w:val="CRRefonteDeleted"/>
          <w:noProof/>
          <w:highlight w:val="lightGray"/>
        </w:rPr>
        <w:t>1.1. Transmissionssystemoperatører (TSO'er) skal bestræbe sig på at acceptere alle kommercielle transaktioner, herunder sådanne, som indebærer grænseoverskr</w:t>
      </w:r>
      <w:r>
        <w:rPr>
          <w:rStyle w:val="CRRefonteDeleted"/>
          <w:noProof/>
          <w:highlight w:val="lightGray"/>
        </w:rPr>
        <w:t>idende handel.</w:t>
      </w:r>
    </w:p>
    <w:p w:rsidR="008D284E" w:rsidRDefault="00BB7A98">
      <w:pPr>
        <w:rPr>
          <w:rStyle w:val="CRRefonteDeleted"/>
          <w:noProof/>
          <w:highlight w:val="lightGray"/>
        </w:rPr>
      </w:pPr>
      <w:r>
        <w:rPr>
          <w:rStyle w:val="CRRefonteDeleted"/>
          <w:noProof/>
          <w:highlight w:val="lightGray"/>
        </w:rPr>
        <w:t xml:space="preserve">1.2. Hvis der ikke er nogen kapacitetsbegrænsninger, må der ikke fastsættes begrænsninger af adgangen til samkøringslinjen. Hvis dette normalt er tilfældet, er det ikke nødvendigt med en permanent almindelig fordelingsprocedure for adgangen </w:t>
      </w:r>
      <w:r>
        <w:rPr>
          <w:rStyle w:val="CRRefonteDeleted"/>
          <w:noProof/>
          <w:highlight w:val="lightGray"/>
        </w:rPr>
        <w:t>til en grænseoverskridende transmissionstjeneste.</w:t>
      </w:r>
    </w:p>
    <w:p w:rsidR="008D284E" w:rsidRDefault="00BB7A98">
      <w:pPr>
        <w:rPr>
          <w:rStyle w:val="CRRefonteDeleted"/>
          <w:noProof/>
          <w:highlight w:val="lightGray"/>
        </w:rPr>
      </w:pPr>
      <w:r>
        <w:rPr>
          <w:rStyle w:val="CRRefonteDeleted"/>
          <w:noProof/>
          <w:highlight w:val="lightGray"/>
        </w:rPr>
        <w:t>1.3. Hvis de planlagte kommercielle transaktioner ikke er forenelige med en sikker netdrift, skal TSO'erne afhjælpe kapacitetsbegrænsningerne i overensstemmelse med de krav, som hensynet til nettets driftsm</w:t>
      </w:r>
      <w:r>
        <w:rPr>
          <w:rStyle w:val="CRRefonteDeleted"/>
          <w:noProof/>
          <w:highlight w:val="lightGray"/>
        </w:rPr>
        <w:t>æssige sikkerhed stiller, og samtidig bestræbe sig på at sikre, at alle dermed forbundne omkostninger bevares på et økonomisk effektivt niveau. Der skal foretages afhjælpende belastningsomfordeling eller modkøb, hvis der ikke kan træffes mindre udgiftskræv</w:t>
      </w:r>
      <w:r>
        <w:rPr>
          <w:rStyle w:val="CRRefonteDeleted"/>
          <w:noProof/>
          <w:highlight w:val="lightGray"/>
        </w:rPr>
        <w:t>ende foranstaltninger.</w:t>
      </w:r>
    </w:p>
    <w:p w:rsidR="008D284E" w:rsidRDefault="00BB7A98">
      <w:pPr>
        <w:rPr>
          <w:rStyle w:val="CRRefonteDeleted"/>
          <w:noProof/>
          <w:highlight w:val="lightGray"/>
        </w:rPr>
      </w:pPr>
      <w:r>
        <w:rPr>
          <w:rStyle w:val="CRRefonteDeleted"/>
          <w:noProof/>
          <w:highlight w:val="lightGray"/>
        </w:rPr>
        <w:t>1.4. Hvis der optræder strukturelle kapacitetsbegrænsninger, skal TSO'erne straks iværksætte egnede metoder og ordninger til håndtering af kapacitetsbegrænsninger, som i forvejen er fastlagt og aftalt. Metoderne til håndtering af kap</w:t>
      </w:r>
      <w:r>
        <w:rPr>
          <w:rStyle w:val="CRRefonteDeleted"/>
          <w:noProof/>
          <w:highlight w:val="lightGray"/>
        </w:rPr>
        <w:t>acitetsbegrænsninger skal sikre, at de fysiske elektricitetsstrømme i forbindelse med enhver fordelt transmissionskapacitet er forenelige med standarderne for netsikkerhed.</w:t>
      </w:r>
    </w:p>
    <w:p w:rsidR="008D284E" w:rsidRDefault="00BB7A98">
      <w:pPr>
        <w:rPr>
          <w:rStyle w:val="CRRefonteDeleted"/>
          <w:noProof/>
          <w:highlight w:val="lightGray"/>
        </w:rPr>
      </w:pPr>
      <w:r>
        <w:rPr>
          <w:rStyle w:val="CRRefonteDeleted"/>
          <w:noProof/>
          <w:highlight w:val="lightGray"/>
        </w:rPr>
        <w:t xml:space="preserve">1.5. De metoder, der fastlægges til håndtering af kapacitetsbegrænsninger, skal </w:t>
      </w:r>
      <w:r>
        <w:rPr>
          <w:rStyle w:val="CRRefonteDeleted"/>
          <w:noProof/>
          <w:highlight w:val="lightGray"/>
        </w:rPr>
        <w:t>give markedsdeltagerne og TSO'erne effektive økonomiske signaler, fremme konkurrencen og være egnede til regional anvendelse og anvendelse på EU-plan.</w:t>
      </w:r>
    </w:p>
    <w:p w:rsidR="008D284E" w:rsidRDefault="00BB7A98">
      <w:pPr>
        <w:rPr>
          <w:rStyle w:val="CRRefonteDeleted"/>
          <w:noProof/>
          <w:highlight w:val="lightGray"/>
        </w:rPr>
      </w:pPr>
      <w:r>
        <w:rPr>
          <w:rStyle w:val="CRRefonteDeleted"/>
          <w:noProof/>
          <w:highlight w:val="lightGray"/>
        </w:rPr>
        <w:t>1.6. Der må ikke foretages nogen transaktionsbaserede sondringer i forbindelse med håndtering af kapacite</w:t>
      </w:r>
      <w:r>
        <w:rPr>
          <w:rStyle w:val="CRRefonteDeleted"/>
          <w:noProof/>
          <w:highlight w:val="lightGray"/>
        </w:rPr>
        <w:t>tsbegrænsninger. En bestemt anmodning om transmissionstjeneste må kun afvises, hvis alle nedenstående betingelser er opfyldt:</w:t>
      </w:r>
    </w:p>
    <w:p w:rsidR="008D284E" w:rsidRDefault="00BB7A98">
      <w:pPr>
        <w:rPr>
          <w:rStyle w:val="CRRefonteDeleted"/>
          <w:noProof/>
          <w:highlight w:val="lightGray"/>
        </w:rPr>
      </w:pPr>
      <w:r>
        <w:rPr>
          <w:rStyle w:val="CRRefonteDeleted"/>
          <w:noProof/>
          <w:highlight w:val="lightGray"/>
        </w:rPr>
        <w:t>a) de ekstra fysiske elektricitetsstrømme som følge af accepten af denne anmodning indebærer, at den sikre drift af elsystemet ikk</w:t>
      </w:r>
      <w:r>
        <w:rPr>
          <w:rStyle w:val="CRRefonteDeleted"/>
          <w:noProof/>
          <w:highlight w:val="lightGray"/>
        </w:rPr>
        <w:t>e længere kan garanteres, og</w:t>
      </w:r>
    </w:p>
    <w:p w:rsidR="008D284E" w:rsidRDefault="00BB7A98">
      <w:pPr>
        <w:rPr>
          <w:rStyle w:val="CRRefonteDeleted"/>
          <w:noProof/>
          <w:highlight w:val="lightGray"/>
        </w:rPr>
      </w:pPr>
      <w:r>
        <w:rPr>
          <w:rStyle w:val="CRRefonteDeleted"/>
          <w:noProof/>
          <w:highlight w:val="lightGray"/>
        </w:rPr>
        <w:t>b) den værdi udtrykt i penge, som knytter sig til denne anmodning som led i proceduren for håndtering af kapacitetsbegrænsninger, er lavere end alle andre anmodninger, der planmæssigt skal accepteres for samme tjeneste og på de</w:t>
      </w:r>
      <w:r>
        <w:rPr>
          <w:rStyle w:val="CRRefonteDeleted"/>
          <w:noProof/>
          <w:highlight w:val="lightGray"/>
        </w:rPr>
        <w:t xml:space="preserve"> samme betingelser.</w:t>
      </w:r>
    </w:p>
    <w:p w:rsidR="008D284E" w:rsidRDefault="00BB7A98">
      <w:pPr>
        <w:rPr>
          <w:rStyle w:val="CRRefonteDeleted"/>
          <w:noProof/>
          <w:highlight w:val="lightGray"/>
        </w:rPr>
      </w:pPr>
      <w:r>
        <w:rPr>
          <w:rStyle w:val="CRRefonteDeleted"/>
          <w:noProof/>
          <w:highlight w:val="lightGray"/>
        </w:rPr>
        <w:t>1.7. Ved fastlæggelsen af egnede netområder, i og mellem hvilke der skal håndteres kapacitetsbegrænsninger, skal TSO'ernes indsats baseres på principperne om lønsomhed og minimering af de negative virkninger på det indre marked for elek</w:t>
      </w:r>
      <w:r>
        <w:rPr>
          <w:rStyle w:val="CRRefonteDeleted"/>
          <w:noProof/>
          <w:highlight w:val="lightGray"/>
        </w:rPr>
        <w:t xml:space="preserve">tricitet. Navnlig må TSO'erne ikke begrænse kapaciteten på samkøringslinjerne for at afhjælpe kapacitetsbegrænsningerne inden for deres eget systemområde, medmindre det sker af hensyn </w:t>
      </w:r>
      <w:r>
        <w:rPr>
          <w:rStyle w:val="CRRefonteDeleted"/>
          <w:noProof/>
          <w:highlight w:val="lightGray"/>
        </w:rPr>
        <w:lastRenderedPageBreak/>
        <w:t>til ovennævnte forhold og den driftsmæssige sikkerhed</w:t>
      </w:r>
      <w:r>
        <w:rPr>
          <w:rStyle w:val="CRRefonteDeleted"/>
          <w:noProof/>
          <w:highlight w:val="lightGray"/>
          <w:vertAlign w:val="superscript"/>
        </w:rPr>
        <w:footnoteReference w:id="1"/>
      </w:r>
      <w:r>
        <w:rPr>
          <w:rStyle w:val="CRRefonteDeleted"/>
          <w:noProof/>
          <w:highlight w:val="lightGray"/>
        </w:rPr>
        <w:t>. Hvis en sådan si</w:t>
      </w:r>
      <w:r>
        <w:rPr>
          <w:rStyle w:val="CRRefonteDeleted"/>
          <w:noProof/>
          <w:highlight w:val="lightGray"/>
        </w:rPr>
        <w:t>tuation opstår, skal TSO'erne gøre rede for dette og på en gennemsigtig måde forelægge det alle systembrugerne. En sådan situation kan kun godtages, indtil der er fundet en langsigtet løsning. TSO'erne skal beskrive og på en gennemsigtig måde forelægge all</w:t>
      </w:r>
      <w:r>
        <w:rPr>
          <w:rStyle w:val="CRRefonteDeleted"/>
          <w:noProof/>
          <w:highlight w:val="lightGray"/>
        </w:rPr>
        <w:t>e systembrugerne metoden og planerne for virkeliggørelsen af den langsigtede løsning.</w:t>
      </w:r>
    </w:p>
    <w:p w:rsidR="008D284E" w:rsidRDefault="00BB7A98">
      <w:pPr>
        <w:rPr>
          <w:rStyle w:val="CRRefonteDeleted"/>
          <w:noProof/>
          <w:highlight w:val="lightGray"/>
        </w:rPr>
      </w:pPr>
      <w:r>
        <w:rPr>
          <w:rStyle w:val="CRRefonteDeleted"/>
          <w:noProof/>
          <w:highlight w:val="lightGray"/>
        </w:rPr>
        <w:t>1.8. Ved afbalanceringen af nettet inden for systemområdet ved hjælp af driftsmæssige foranstaltninger på nettet og belastningsomfordeling skal TSO'en tage hensyn til dis</w:t>
      </w:r>
      <w:r>
        <w:rPr>
          <w:rStyle w:val="CRRefonteDeleted"/>
          <w:noProof/>
          <w:highlight w:val="lightGray"/>
        </w:rPr>
        <w:t>se foranstaltningers virkninger i de tilgrænsende systemområder.</w:t>
      </w:r>
    </w:p>
    <w:p w:rsidR="008D284E" w:rsidRDefault="00BB7A98">
      <w:pPr>
        <w:rPr>
          <w:rStyle w:val="CRRefonteDeleted"/>
          <w:noProof/>
          <w:highlight w:val="lightGray"/>
        </w:rPr>
      </w:pPr>
      <w:r>
        <w:rPr>
          <w:rStyle w:val="CRRefonteDeleted"/>
          <w:noProof/>
          <w:highlight w:val="lightGray"/>
        </w:rPr>
        <w:t>1.9. Senest den 1. januar 2008 skal der på en koordineret måde og under driftsmæssigt sikre betingelser være indført ordninger for håndtering af begrænsninger af kapaciteten på samkøringslinj</w:t>
      </w:r>
      <w:r>
        <w:rPr>
          <w:rStyle w:val="CRRefonteDeleted"/>
          <w:noProof/>
          <w:highlight w:val="lightGray"/>
        </w:rPr>
        <w:t>erne flere gange om dagen (intradag-håndtering) for at gøre mulighederne for handel så store som muligt og sikre grænseoverskridende udligning.</w:t>
      </w:r>
    </w:p>
    <w:p w:rsidR="008D284E" w:rsidRDefault="00BB7A98">
      <w:pPr>
        <w:rPr>
          <w:rStyle w:val="CRRefonteDeleted"/>
          <w:noProof/>
          <w:highlight w:val="lightGray"/>
        </w:rPr>
      </w:pPr>
      <w:r>
        <w:rPr>
          <w:rStyle w:val="CRRefonteDeleted"/>
          <w:noProof/>
          <w:highlight w:val="lightGray"/>
        </w:rPr>
        <w:t>1.10. De nationale regulerende myndigheder skal med jævne mellemrum evaluere metoderne til håndtering af kapacit</w:t>
      </w:r>
      <w:r>
        <w:rPr>
          <w:rStyle w:val="CRRefonteDeleted"/>
          <w:noProof/>
          <w:highlight w:val="lightGray"/>
        </w:rPr>
        <w:t>etsbegrænsninger og skal i den forbindelse lægge særlig vægt på overholdelsen af de principper og regler, der er fastsat i denne forordning og disse retningslinjer, og de bestemmelser og betingelser, som de regulerende myndigheder selv har fastsat i henhol</w:t>
      </w:r>
      <w:r>
        <w:rPr>
          <w:rStyle w:val="CRRefonteDeleted"/>
          <w:noProof/>
          <w:highlight w:val="lightGray"/>
        </w:rPr>
        <w:t>d til disse principper og regler. Denne evaluering skal bl.a. bygge på en høring af alle markedsdeltagere og særlige undersøgelser.</w:t>
      </w:r>
    </w:p>
    <w:p w:rsidR="008D284E" w:rsidRDefault="00BB7A98">
      <w:pPr>
        <w:rPr>
          <w:rStyle w:val="CRRefonteDeleted"/>
          <w:noProof/>
          <w:highlight w:val="lightGray"/>
        </w:rPr>
      </w:pPr>
      <w:r>
        <w:rPr>
          <w:rStyle w:val="CRRefonteDeleted"/>
          <w:noProof/>
          <w:highlight w:val="lightGray"/>
        </w:rPr>
        <w:t>2.   Metoder til håndtering af kapacitetsbegrænsninger</w:t>
      </w:r>
    </w:p>
    <w:p w:rsidR="008D284E" w:rsidRDefault="00BB7A98">
      <w:pPr>
        <w:rPr>
          <w:rStyle w:val="CRRefonteDeleted"/>
          <w:noProof/>
          <w:highlight w:val="lightGray"/>
        </w:rPr>
      </w:pPr>
      <w:r>
        <w:rPr>
          <w:rStyle w:val="CRRefonteDeleted"/>
          <w:noProof/>
          <w:highlight w:val="lightGray"/>
        </w:rPr>
        <w:t>2.1. Metoderne til håndtering af kapacitetsbegrænsninger skal være ma</w:t>
      </w:r>
      <w:r>
        <w:rPr>
          <w:rStyle w:val="CRRefonteDeleted"/>
          <w:noProof/>
          <w:highlight w:val="lightGray"/>
        </w:rPr>
        <w:t>rkedsbaserede for at lette en effektiv grænseoverskridende handel. Med dette for øje fordeles kapaciteten kun ved hjælp af eksplicitte (kapacitet) eller implicitte (kapacitet og energi) auktioner. De to metoder kan eksistere side om side på samme samkøring</w:t>
      </w:r>
      <w:r>
        <w:rPr>
          <w:rStyle w:val="CRRefonteDeleted"/>
          <w:noProof/>
          <w:highlight w:val="lightGray"/>
        </w:rPr>
        <w:t>slinje. Ved foranstaltninger flere gange om dagen kan der benyttes kontinuerlig handel.</w:t>
      </w:r>
    </w:p>
    <w:p w:rsidR="008D284E" w:rsidRDefault="00BB7A98">
      <w:pPr>
        <w:rPr>
          <w:rStyle w:val="CRRefonteDeleted"/>
          <w:noProof/>
          <w:highlight w:val="lightGray"/>
        </w:rPr>
      </w:pPr>
      <w:r>
        <w:rPr>
          <w:rStyle w:val="CRRefonteDeleted"/>
          <w:noProof/>
          <w:highlight w:val="lightGray"/>
        </w:rPr>
        <w:t xml:space="preserve">2.2. Afhængigt af konkurrencevilkårene kan det være nødvendigt, at mekanismerne for håndtering af kapacitetsbegrænsninger åbner mulighed for at fordele </w:t>
      </w:r>
      <w:r>
        <w:rPr>
          <w:rStyle w:val="CRRefonteDeleted"/>
          <w:noProof/>
          <w:highlight w:val="lightGray"/>
        </w:rPr>
        <w:t>transmissionskapacitet både på kort og lang sigt.</w:t>
      </w:r>
    </w:p>
    <w:p w:rsidR="008D284E" w:rsidRDefault="00BB7A98">
      <w:pPr>
        <w:rPr>
          <w:rStyle w:val="CRRefonteDeleted"/>
          <w:noProof/>
          <w:highlight w:val="lightGray"/>
        </w:rPr>
      </w:pPr>
      <w:r>
        <w:rPr>
          <w:rStyle w:val="CRRefonteDeleted"/>
          <w:noProof/>
          <w:highlight w:val="lightGray"/>
        </w:rPr>
        <w:t>2.3. Ved hver kapacitetsfordelingsprocedure skal der fordeles en bestemt del af den ledige kapacitet på samkøringslinjerne plus enhver resterende kapacitet, der ikke tidligere er fordelt, og enhver kapacite</w:t>
      </w:r>
      <w:r>
        <w:rPr>
          <w:rStyle w:val="CRRefonteDeleted"/>
          <w:noProof/>
          <w:highlight w:val="lightGray"/>
        </w:rPr>
        <w:t>t, som kapacitetsindehaverne har frigivet fra tidligere fordelinger.</w:t>
      </w:r>
    </w:p>
    <w:p w:rsidR="008D284E" w:rsidRDefault="00BB7A98">
      <w:pPr>
        <w:rPr>
          <w:rStyle w:val="CRRefonteDeleted"/>
          <w:noProof/>
          <w:highlight w:val="lightGray"/>
        </w:rPr>
      </w:pPr>
      <w:r>
        <w:rPr>
          <w:rStyle w:val="CRRefonteDeleted"/>
          <w:noProof/>
          <w:highlight w:val="lightGray"/>
        </w:rPr>
        <w:t xml:space="preserve">2.4. TSO'erne skal optimere det omfang, hvori kapaciteten er stabil, under hensyn til de involverede TSO'ers og markedsdeltagernes forpligtelser og rettigheder med henblik på at lette en </w:t>
      </w:r>
      <w:r>
        <w:rPr>
          <w:rStyle w:val="CRRefonteDeleted"/>
          <w:noProof/>
          <w:highlight w:val="lightGray"/>
        </w:rPr>
        <w:t>effektiv konkurrence. En rimelig del af kapaciteten kan udbydes på markedet ved en lavere stabilitetsgrad, men markedsdeltagerne skal til enhver tid gøres bekendt med de nøjagtige betingelser for transport ad de grænseoverskridende linjer.</w:t>
      </w:r>
    </w:p>
    <w:p w:rsidR="008D284E" w:rsidRDefault="00BB7A98">
      <w:pPr>
        <w:rPr>
          <w:rStyle w:val="CRRefonteDeleted"/>
          <w:noProof/>
          <w:highlight w:val="lightGray"/>
        </w:rPr>
      </w:pPr>
      <w:r>
        <w:rPr>
          <w:rStyle w:val="CRRefonteDeleted"/>
          <w:noProof/>
          <w:highlight w:val="lightGray"/>
        </w:rPr>
        <w:t>2.5. Adgangsrett</w:t>
      </w:r>
      <w:r>
        <w:rPr>
          <w:rStyle w:val="CRRefonteDeleted"/>
          <w:noProof/>
          <w:highlight w:val="lightGray"/>
        </w:rPr>
        <w:t>ighederne for fordelinger på lang og mellemlang sigt skal være stabile transmissionskapacitetsrettigheder. De skal på nomineringstidspunktet være omfattet af princippet »forbrug eller tab« eller »forbrug eller salg«.</w:t>
      </w:r>
    </w:p>
    <w:p w:rsidR="008D284E" w:rsidRDefault="00BB7A98">
      <w:pPr>
        <w:rPr>
          <w:rStyle w:val="CRRefonteDeleted"/>
          <w:noProof/>
          <w:highlight w:val="lightGray"/>
        </w:rPr>
      </w:pPr>
      <w:r>
        <w:rPr>
          <w:rStyle w:val="CRRefonteDeleted"/>
          <w:noProof/>
          <w:highlight w:val="lightGray"/>
        </w:rPr>
        <w:t>2.6. TSO'erne fastlægger en egnet struk</w:t>
      </w:r>
      <w:r>
        <w:rPr>
          <w:rStyle w:val="CRRefonteDeleted"/>
          <w:noProof/>
          <w:highlight w:val="lightGray"/>
        </w:rPr>
        <w:t>tur til fordeling af kapacitet mellem forskellige tidsrammer. Denne kan omfatte en mulighed for at reservere en minimal del af kapaciteten på samkøringslinjerne til fordeling en eller flere gange om dagen. En sådan fordelingsstruktur skal kunne revideres a</w:t>
      </w:r>
      <w:r>
        <w:rPr>
          <w:rStyle w:val="CRRefonteDeleted"/>
          <w:noProof/>
          <w:highlight w:val="lightGray"/>
        </w:rPr>
        <w:t>f de respektive regulerende myndigheder. TSO'erne tager ved udarbejdelsen af deres forslag hensyn til følgende:</w:t>
      </w:r>
    </w:p>
    <w:p w:rsidR="008D284E" w:rsidRDefault="00BB7A98">
      <w:pPr>
        <w:rPr>
          <w:rStyle w:val="CRRefonteDeleted"/>
          <w:noProof/>
          <w:highlight w:val="lightGray"/>
        </w:rPr>
      </w:pPr>
      <w:r>
        <w:rPr>
          <w:rStyle w:val="CRRefonteDeleted"/>
          <w:noProof/>
          <w:highlight w:val="lightGray"/>
        </w:rPr>
        <w:lastRenderedPageBreak/>
        <w:t>a) markedernes karakteristika</w:t>
      </w:r>
    </w:p>
    <w:p w:rsidR="008D284E" w:rsidRDefault="00BB7A98">
      <w:pPr>
        <w:rPr>
          <w:rStyle w:val="CRRefonteDeleted"/>
          <w:noProof/>
          <w:highlight w:val="lightGray"/>
        </w:rPr>
      </w:pPr>
      <w:r>
        <w:rPr>
          <w:rStyle w:val="CRRefonteDeleted"/>
          <w:noProof/>
          <w:highlight w:val="lightGray"/>
        </w:rPr>
        <w:t>b) de driftsmæssige betingelser såsom virkningerne af at dirigere fast anmeldte planer</w:t>
      </w:r>
    </w:p>
    <w:p w:rsidR="008D284E" w:rsidRDefault="00BB7A98">
      <w:pPr>
        <w:rPr>
          <w:rStyle w:val="CRRefonteDeleted"/>
          <w:noProof/>
          <w:highlight w:val="lightGray"/>
        </w:rPr>
      </w:pPr>
      <w:r>
        <w:rPr>
          <w:rStyle w:val="CRRefonteDeleted"/>
          <w:noProof/>
          <w:highlight w:val="lightGray"/>
        </w:rPr>
        <w:t>c) harmoniseringsomfanget f</w:t>
      </w:r>
      <w:r>
        <w:rPr>
          <w:rStyle w:val="CRRefonteDeleted"/>
          <w:noProof/>
          <w:highlight w:val="lightGray"/>
        </w:rPr>
        <w:t>or de procentsatser og tidsrammer, der er fastsat for de forskellige foreliggende mekanismer for kapacitetsfordeling.</w:t>
      </w:r>
    </w:p>
    <w:p w:rsidR="008D284E" w:rsidRDefault="00BB7A98">
      <w:pPr>
        <w:rPr>
          <w:rStyle w:val="CRRefonteDeleted"/>
          <w:noProof/>
          <w:highlight w:val="lightGray"/>
        </w:rPr>
      </w:pPr>
      <w:r>
        <w:rPr>
          <w:rStyle w:val="CRRefonteDeleted"/>
          <w:noProof/>
          <w:highlight w:val="lightGray"/>
        </w:rPr>
        <w:t>2.7. Der må ikke ved fordelingen af kapacitet diskrimineres mellem markedsdeltagere, som ønsker at benytte sig af deres ret til at gøre br</w:t>
      </w:r>
      <w:r>
        <w:rPr>
          <w:rStyle w:val="CRRefonteDeleted"/>
          <w:noProof/>
          <w:highlight w:val="lightGray"/>
        </w:rPr>
        <w:t>ug af bilaterale leveringskontrakter eller afgive bud på elektricitetsbørser. De højeste bud honoreres, uanset om de er implicitte eller eksplicitte inden for en given tidsramme.</w:t>
      </w:r>
    </w:p>
    <w:p w:rsidR="008D284E" w:rsidRDefault="00BB7A98">
      <w:pPr>
        <w:rPr>
          <w:rStyle w:val="CRRefonteDeleted"/>
          <w:noProof/>
          <w:highlight w:val="lightGray"/>
        </w:rPr>
      </w:pPr>
      <w:r>
        <w:rPr>
          <w:rStyle w:val="CRRefonteDeleted"/>
          <w:noProof/>
          <w:highlight w:val="lightGray"/>
        </w:rPr>
        <w:t>2.8. I regioner, hvor de finansielle terminselektricitetsmarkeder er veludvik</w:t>
      </w:r>
      <w:r>
        <w:rPr>
          <w:rStyle w:val="CRRefonteDeleted"/>
          <w:noProof/>
          <w:highlight w:val="lightGray"/>
        </w:rPr>
        <w:t>lede og har demonstreret deres effektivitet, kan al kapacitet på samkøringslinjerne fordeles via implicitte auktioner.</w:t>
      </w:r>
    </w:p>
    <w:p w:rsidR="008D284E" w:rsidRDefault="00BB7A98">
      <w:pPr>
        <w:rPr>
          <w:rStyle w:val="CRRefonteDeleted"/>
          <w:noProof/>
          <w:highlight w:val="lightGray"/>
        </w:rPr>
      </w:pPr>
      <w:r>
        <w:rPr>
          <w:rStyle w:val="CRRefonteDeleted"/>
          <w:noProof/>
          <w:highlight w:val="lightGray"/>
        </w:rPr>
        <w:t>2.9. Medmindre der er tale om nye samkøringslinjer, som er omfattet af en undtagelse i henhold til artikel 7 i forordning (EF) nr. 1228/2</w:t>
      </w:r>
      <w:r>
        <w:rPr>
          <w:rStyle w:val="CRRefonteDeleted"/>
          <w:noProof/>
          <w:highlight w:val="lightGray"/>
        </w:rPr>
        <w:t>003 eller nærværende forordnings artikel 17, er det ikke tilladt at fastsætte limiterede priser som led i kapacitetsfordelingsmetoder.</w:t>
      </w:r>
    </w:p>
    <w:p w:rsidR="008D284E" w:rsidRDefault="00BB7A98">
      <w:pPr>
        <w:rPr>
          <w:rStyle w:val="CRRefonteDeleted"/>
          <w:noProof/>
          <w:highlight w:val="lightGray"/>
        </w:rPr>
      </w:pPr>
      <w:r>
        <w:rPr>
          <w:rStyle w:val="CRRefonteDeleted"/>
          <w:noProof/>
          <w:highlight w:val="lightGray"/>
        </w:rPr>
        <w:t>2.10. Principielt skal alle potentielle markedsdeltagere kunne deltage i fordelingsprocessen uden nogen begrænsninger. Fo</w:t>
      </w:r>
      <w:r>
        <w:rPr>
          <w:rStyle w:val="CRRefonteDeleted"/>
          <w:noProof/>
          <w:highlight w:val="lightGray"/>
        </w:rPr>
        <w:t>r at undgå at skabe eller forstærke problemer med en markedsdeltagers potentielle udnyttelse af en dominerende stilling kan den relevante regulerende myndighed og/eller konkurrencemyndighed i påkommende tilfælde fastsætte restriktioner generelt eller for e</w:t>
      </w:r>
      <w:r>
        <w:rPr>
          <w:rStyle w:val="CRRefonteDeleted"/>
          <w:noProof/>
          <w:highlight w:val="lightGray"/>
        </w:rPr>
        <w:t>t individuelt selskab som følge af dominerende markedsstilling.</w:t>
      </w:r>
    </w:p>
    <w:p w:rsidR="008D284E" w:rsidRDefault="00BB7A98">
      <w:pPr>
        <w:rPr>
          <w:rStyle w:val="CRRefonteDeleted"/>
          <w:noProof/>
          <w:highlight w:val="lightGray"/>
        </w:rPr>
      </w:pPr>
      <w:r>
        <w:rPr>
          <w:rStyle w:val="CRRefonteDeleted"/>
          <w:noProof/>
          <w:highlight w:val="lightGray"/>
        </w:rPr>
        <w:t>2.11. For hver tidsramme nominerer markedsdeltagerne endeligt inden for en fastlagt frist deres brug af kapacitet over for TSO'erne. Fristen fastsættes på en sådan måde, at det gøres muligt fo</w:t>
      </w:r>
      <w:r>
        <w:rPr>
          <w:rStyle w:val="CRRefonteDeleted"/>
          <w:noProof/>
          <w:highlight w:val="lightGray"/>
        </w:rPr>
        <w:t>r TSO'erne at anvende den ikke anvendte kapacitet til omfordeling i den næste relevante tidsramme — herunder foranstaltninger flere gange om dagen.</w:t>
      </w:r>
    </w:p>
    <w:p w:rsidR="008D284E" w:rsidRDefault="00BB7A98">
      <w:pPr>
        <w:rPr>
          <w:rStyle w:val="CRRefonteDeleted"/>
          <w:noProof/>
          <w:highlight w:val="lightGray"/>
        </w:rPr>
      </w:pPr>
      <w:r>
        <w:rPr>
          <w:rStyle w:val="CRRefonteDeleted"/>
          <w:noProof/>
          <w:highlight w:val="lightGray"/>
        </w:rPr>
        <w:t>2.12. Kapaciteten skal frit kunne omsættes på et sekundært grundlag, forudsat at TSO'en underrettes tilstræk</w:t>
      </w:r>
      <w:r>
        <w:rPr>
          <w:rStyle w:val="CRRefonteDeleted"/>
          <w:noProof/>
          <w:highlight w:val="lightGray"/>
        </w:rPr>
        <w:t>kelig god tid i forvejen. Afviser en TSO en sekundær handel (transaktion), skal dette meddeles på en tydelig og gennemsigtig måde, og den pågældende TSO skal gøre rede derfor over for alle markedsdeltagere, og også den regulerende myndighed skal have oplys</w:t>
      </w:r>
      <w:r>
        <w:rPr>
          <w:rStyle w:val="CRRefonteDeleted"/>
          <w:noProof/>
          <w:highlight w:val="lightGray"/>
        </w:rPr>
        <w:t>ning derom.</w:t>
      </w:r>
    </w:p>
    <w:p w:rsidR="008D284E" w:rsidRDefault="00BB7A98">
      <w:pPr>
        <w:rPr>
          <w:rStyle w:val="CRRefonteDeleted"/>
          <w:noProof/>
          <w:highlight w:val="lightGray"/>
        </w:rPr>
      </w:pPr>
      <w:r>
        <w:rPr>
          <w:rStyle w:val="CRRefonteDeleted"/>
          <w:noProof/>
          <w:highlight w:val="lightGray"/>
        </w:rPr>
        <w:t>2.13. De finansielle konsekvenser af, at forpligtelser i forbindelse med fordeling af kapacitet ikke opfyldes, pålægges dem, der er ansvarlige for den pågældende undladelse. Hvis markedsdeltagerne ikke udnytter den kapacitet, som de har forplig</w:t>
      </w:r>
      <w:r>
        <w:rPr>
          <w:rStyle w:val="CRRefonteDeleted"/>
          <w:noProof/>
          <w:highlight w:val="lightGray"/>
        </w:rPr>
        <w:t>tet sig til at anvende, eller i forbindelse med eksplicit bortauktioneret kapacitet undlader at handle på et sekundært grundlag eller tilbageføre kapaciteten i tide, fortaber de retten til en sådan kapacitet og betaler en takst, der afspejler omkostningern</w:t>
      </w:r>
      <w:r>
        <w:rPr>
          <w:rStyle w:val="CRRefonteDeleted"/>
          <w:noProof/>
          <w:highlight w:val="lightGray"/>
        </w:rPr>
        <w:t>e. Enhver takst, der afspejler omkostningerne, i forbindelse med manglende anvendelse af kapacitet skal være velbegrundet og stå i et rimeligt forhold til de faktiske udgifter. Tilsvarende skal en TSO, dersom den ikke opfylder sin forpligtelse, yde markeds</w:t>
      </w:r>
      <w:r>
        <w:rPr>
          <w:rStyle w:val="CRRefonteDeleted"/>
          <w:noProof/>
          <w:highlight w:val="lightGray"/>
        </w:rPr>
        <w:t>deltageren erstatning for tabet af kapacitetsrettigheder. Der tages i den sammenhæng ikke hensyn til dermed forbundne tab. De centrale koncepter for og metoder til fastlæggelse af ansvar i forbindelse med, at forpligtelser ikke opfyldes, fastsættes i forve</w:t>
      </w:r>
      <w:r>
        <w:rPr>
          <w:rStyle w:val="CRRefonteDeleted"/>
          <w:noProof/>
          <w:highlight w:val="lightGray"/>
        </w:rPr>
        <w:t>jen med hensyn til de finansielle konsekvenser og skal kunne revideres af den eller de relevante regulerende myndigheder.</w:t>
      </w:r>
    </w:p>
    <w:p w:rsidR="008D284E" w:rsidRDefault="00BB7A98">
      <w:pPr>
        <w:rPr>
          <w:rStyle w:val="CRRefonteDeleted"/>
          <w:noProof/>
          <w:highlight w:val="lightGray"/>
        </w:rPr>
      </w:pPr>
      <w:r>
        <w:rPr>
          <w:rStyle w:val="CRRefonteDeleted"/>
          <w:noProof/>
          <w:highlight w:val="lightGray"/>
        </w:rPr>
        <w:t>3.   Koordinering</w:t>
      </w:r>
    </w:p>
    <w:p w:rsidR="008D284E" w:rsidRDefault="00BB7A98">
      <w:pPr>
        <w:rPr>
          <w:rStyle w:val="CRRefonteDeleted"/>
          <w:noProof/>
          <w:highlight w:val="lightGray"/>
        </w:rPr>
      </w:pPr>
      <w:r>
        <w:rPr>
          <w:rStyle w:val="CRRefonteDeleted"/>
          <w:noProof/>
          <w:highlight w:val="lightGray"/>
        </w:rPr>
        <w:t xml:space="preserve">3.1. Fordeling af kapacitet i forbindelse med en samkøring skal koordineres og gennemføres af de involverede TSO'er </w:t>
      </w:r>
      <w:r>
        <w:rPr>
          <w:rStyle w:val="CRRefonteDeleted"/>
          <w:noProof/>
          <w:highlight w:val="lightGray"/>
        </w:rPr>
        <w:t xml:space="preserve">ved anvendelse af fælles fordelingsprocedurer. Hvis de kommercielle udvekslinger mellem to lande (TSO'er) forventes at øve betydelig indflydelse </w:t>
      </w:r>
      <w:r>
        <w:rPr>
          <w:rStyle w:val="CRRefonteDeleted"/>
          <w:noProof/>
          <w:highlight w:val="lightGray"/>
        </w:rPr>
        <w:lastRenderedPageBreak/>
        <w:t xml:space="preserve">på betingelserne for de fysiske strømme i et givet tredjeland (en given TSO), skal metoderne til håndtering af </w:t>
      </w:r>
      <w:r>
        <w:rPr>
          <w:rStyle w:val="CRRefonteDeleted"/>
          <w:noProof/>
          <w:highlight w:val="lightGray"/>
        </w:rPr>
        <w:t xml:space="preserve">kapacitetsbegrænsninger koordineres mellem alle de TSO'er, der påvirkes deraf, via en fælles procedure for håndtering af kapacitetsbegrænsninger. De nationale regulerende myndigheder og TSO'er skal påse, at der ikke ensidigt fastsættes nogen procedure for </w:t>
      </w:r>
      <w:r>
        <w:rPr>
          <w:rStyle w:val="CRRefonteDeleted"/>
          <w:noProof/>
          <w:highlight w:val="lightGray"/>
        </w:rPr>
        <w:t>håndtering af kapacitetsbegrænsninger, som øver betydelig indflydelse på de fysiske elektricitetsstrømme i andre net.</w:t>
      </w:r>
    </w:p>
    <w:p w:rsidR="008D284E" w:rsidRDefault="00BB7A98">
      <w:pPr>
        <w:rPr>
          <w:rStyle w:val="CRRefonteDeleted"/>
          <w:noProof/>
          <w:highlight w:val="lightGray"/>
        </w:rPr>
      </w:pPr>
      <w:r>
        <w:rPr>
          <w:rStyle w:val="CRRefonteDeleted"/>
          <w:noProof/>
          <w:highlight w:val="lightGray"/>
        </w:rPr>
        <w:t>3.2. Senest den 1. januar 2007 skal der anvendes en fælles koordineret metode til håndtering af kapacitetsbegrænsninger og en fælles koord</w:t>
      </w:r>
      <w:r>
        <w:rPr>
          <w:rStyle w:val="CRRefonteDeleted"/>
          <w:noProof/>
          <w:highlight w:val="lightGray"/>
        </w:rPr>
        <w:t>ineret procedure for fordeling af kapacitet på markedet mindst årligt, månedligt og for den kommende dag for landene i følgende regioner:</w:t>
      </w:r>
    </w:p>
    <w:p w:rsidR="008D284E" w:rsidRDefault="00BB7A98">
      <w:pPr>
        <w:rPr>
          <w:rStyle w:val="CRRefonteDeleted"/>
          <w:noProof/>
          <w:highlight w:val="lightGray"/>
        </w:rPr>
      </w:pPr>
      <w:r>
        <w:rPr>
          <w:rStyle w:val="CRRefonteDeleted"/>
          <w:noProof/>
          <w:highlight w:val="lightGray"/>
        </w:rPr>
        <w:t>a) Nordeuropa (dvs. Danmark, Sverige, Finland, Tyskland og Polen)</w:t>
      </w:r>
    </w:p>
    <w:p w:rsidR="008D284E" w:rsidRDefault="00BB7A98">
      <w:pPr>
        <w:rPr>
          <w:rStyle w:val="CRRefonteDeleted"/>
          <w:noProof/>
          <w:highlight w:val="lightGray"/>
        </w:rPr>
      </w:pPr>
      <w:r>
        <w:rPr>
          <w:rStyle w:val="CRRefonteDeleted"/>
          <w:noProof/>
          <w:highlight w:val="lightGray"/>
        </w:rPr>
        <w:t xml:space="preserve">b) Nordvesteuropa (dvs. Benelux, Tyskland og </w:t>
      </w:r>
      <w:r>
        <w:rPr>
          <w:rStyle w:val="CRRefonteDeleted"/>
          <w:noProof/>
          <w:highlight w:val="lightGray"/>
        </w:rPr>
        <w:t>Frankrig)</w:t>
      </w:r>
    </w:p>
    <w:p w:rsidR="008D284E" w:rsidRDefault="00BB7A98">
      <w:pPr>
        <w:rPr>
          <w:rStyle w:val="CRRefonteDeleted"/>
          <w:noProof/>
          <w:highlight w:val="lightGray"/>
        </w:rPr>
      </w:pPr>
      <w:r>
        <w:rPr>
          <w:rStyle w:val="CRRefonteDeleted"/>
          <w:noProof/>
          <w:highlight w:val="lightGray"/>
        </w:rPr>
        <w:t>c) Italien (dvs. Italien, Frankrig, Tyskland, Østrig, Slovenien og Grækenland)</w:t>
      </w:r>
    </w:p>
    <w:p w:rsidR="008D284E" w:rsidRDefault="00BB7A98">
      <w:pPr>
        <w:rPr>
          <w:rStyle w:val="CRRefonteDeleted"/>
          <w:noProof/>
          <w:highlight w:val="lightGray"/>
        </w:rPr>
      </w:pPr>
      <w:r>
        <w:rPr>
          <w:rStyle w:val="CRRefonteDeleted"/>
          <w:noProof/>
          <w:highlight w:val="lightGray"/>
        </w:rPr>
        <w:t>d) det centrale Østeuropa (dvs. Tyskland, Polen, Tjekkiet, Slovakiet, Ungarn, Østrig og Slovenien)</w:t>
      </w:r>
    </w:p>
    <w:p w:rsidR="008D284E" w:rsidRDefault="00BB7A98">
      <w:pPr>
        <w:rPr>
          <w:rStyle w:val="CRRefonteDeleted"/>
          <w:noProof/>
          <w:highlight w:val="lightGray"/>
        </w:rPr>
      </w:pPr>
      <w:r>
        <w:rPr>
          <w:rStyle w:val="CRRefonteDeleted"/>
          <w:noProof/>
          <w:highlight w:val="lightGray"/>
        </w:rPr>
        <w:t>e) Sydvesteuropa (dvs. Spanien, Portugal og Frankrig)</w:t>
      </w:r>
    </w:p>
    <w:p w:rsidR="008D284E" w:rsidRDefault="00BB7A98">
      <w:pPr>
        <w:rPr>
          <w:rStyle w:val="CRRefonteDeleted"/>
          <w:noProof/>
          <w:highlight w:val="lightGray"/>
        </w:rPr>
      </w:pPr>
      <w:r>
        <w:rPr>
          <w:rStyle w:val="CRRefonteDeleted"/>
          <w:noProof/>
          <w:highlight w:val="lightGray"/>
        </w:rPr>
        <w:t>f) Det Forened</w:t>
      </w:r>
      <w:r>
        <w:rPr>
          <w:rStyle w:val="CRRefonteDeleted"/>
          <w:noProof/>
          <w:highlight w:val="lightGray"/>
        </w:rPr>
        <w:t>e Kongerige, Irland og Frankrig</w:t>
      </w:r>
    </w:p>
    <w:p w:rsidR="008D284E" w:rsidRDefault="00BB7A98">
      <w:pPr>
        <w:rPr>
          <w:rStyle w:val="CRRefonteDeleted"/>
          <w:noProof/>
          <w:highlight w:val="lightGray"/>
        </w:rPr>
      </w:pPr>
      <w:r>
        <w:rPr>
          <w:rStyle w:val="CRRefonteDeleted"/>
          <w:noProof/>
          <w:highlight w:val="lightGray"/>
        </w:rPr>
        <w:t>g) De baltiske stater (dvs. Estland, Letland og Litauen).</w:t>
      </w:r>
    </w:p>
    <w:p w:rsidR="008D284E" w:rsidRDefault="00BB7A98">
      <w:pPr>
        <w:rPr>
          <w:rStyle w:val="CRRefonteDeleted"/>
          <w:noProof/>
          <w:highlight w:val="lightGray"/>
        </w:rPr>
      </w:pPr>
      <w:r>
        <w:rPr>
          <w:rStyle w:val="CRRefonteDeleted"/>
          <w:noProof/>
          <w:highlight w:val="lightGray"/>
        </w:rPr>
        <w:t xml:space="preserve">Ved en samkøring, som involverer lande, der tilhører mere end én region, kan der anvendes en anden metode til håndtering af kapacitetsbegrænsninger med henblik på at </w:t>
      </w:r>
      <w:r>
        <w:rPr>
          <w:rStyle w:val="CRRefonteDeleted"/>
          <w:noProof/>
          <w:highlight w:val="lightGray"/>
        </w:rPr>
        <w:t>sikre forenelighed med de metoder, der anvendes i de andre regioner, som disse lande tilhører. I så fald foreslår de relevante TSO'er metoden, der skal kunne revideres af de relevante regulerende myndigheder.</w:t>
      </w:r>
    </w:p>
    <w:p w:rsidR="008D284E" w:rsidRDefault="00BB7A98">
      <w:pPr>
        <w:rPr>
          <w:rStyle w:val="CRRefonteDeleted"/>
          <w:noProof/>
          <w:highlight w:val="lightGray"/>
        </w:rPr>
      </w:pPr>
      <w:r>
        <w:rPr>
          <w:rStyle w:val="CRRefonteDeleted"/>
          <w:noProof/>
          <w:highlight w:val="lightGray"/>
        </w:rPr>
        <w:t>3.3. De regioner, der er nævnt i punkt 2.8, kan</w:t>
      </w:r>
      <w:r>
        <w:rPr>
          <w:rStyle w:val="CRRefonteDeleted"/>
          <w:noProof/>
          <w:highlight w:val="lightGray"/>
        </w:rPr>
        <w:t xml:space="preserve"> fordele al kapacitet på samkøringslinjerne via fordeling for den kommende dag.</w:t>
      </w:r>
    </w:p>
    <w:p w:rsidR="008D284E" w:rsidRDefault="00BB7A98">
      <w:pPr>
        <w:rPr>
          <w:rStyle w:val="CRRefonteDeleted"/>
          <w:noProof/>
          <w:highlight w:val="lightGray"/>
        </w:rPr>
      </w:pPr>
      <w:r>
        <w:rPr>
          <w:rStyle w:val="CRRefonteDeleted"/>
          <w:noProof/>
          <w:highlight w:val="lightGray"/>
        </w:rPr>
        <w:t xml:space="preserve">3.4. Der skal fastsættes kompatible procedurer for håndtering af kapacitetsbegrænsninger i alle disse syv regioner med henblik på at skabe et virkeligt integreret indre marked </w:t>
      </w:r>
      <w:r>
        <w:rPr>
          <w:rStyle w:val="CRRefonteDeleted"/>
          <w:noProof/>
          <w:highlight w:val="lightGray"/>
        </w:rPr>
        <w:t>for elektricitet. Markedets parter må ikke stå over for inkompatible regionale systemer.</w:t>
      </w:r>
    </w:p>
    <w:p w:rsidR="008D284E" w:rsidRDefault="00BB7A98">
      <w:pPr>
        <w:rPr>
          <w:rStyle w:val="CRRefonteDeleted"/>
          <w:noProof/>
          <w:highlight w:val="lightGray"/>
        </w:rPr>
      </w:pPr>
      <w:r>
        <w:rPr>
          <w:rStyle w:val="CRRefonteDeleted"/>
          <w:noProof/>
          <w:highlight w:val="lightGray"/>
        </w:rPr>
        <w:t>3.5. For at fremme en fair og effektiv konkurrence og grænseoverskridende handel skal koordinationen mellem TSO'erne i de i punkt 3.2 fastsatte regioner omfatte alle t</w:t>
      </w:r>
      <w:r>
        <w:rPr>
          <w:rStyle w:val="CRRefonteDeleted"/>
          <w:noProof/>
          <w:highlight w:val="lightGray"/>
        </w:rPr>
        <w:t>rin lige fra kapacitetsberegning og optimering af fordelingen til sikker drift af nettet med en utvetydig ansvarsfordeling. Denne koordination skal navnlig omfatte:</w:t>
      </w:r>
    </w:p>
    <w:p w:rsidR="008D284E" w:rsidRDefault="00BB7A98">
      <w:pPr>
        <w:rPr>
          <w:rStyle w:val="CRRefonteDeleted"/>
          <w:noProof/>
          <w:highlight w:val="lightGray"/>
        </w:rPr>
      </w:pPr>
      <w:r>
        <w:rPr>
          <w:rStyle w:val="CRRefonteDeleted"/>
          <w:noProof/>
          <w:highlight w:val="lightGray"/>
        </w:rPr>
        <w:t>a) brug af en fælles transmissionsmodel, som effektivt behandler indbyrdes afhængige fysisk</w:t>
      </w:r>
      <w:r>
        <w:rPr>
          <w:rStyle w:val="CRRefonteDeleted"/>
          <w:noProof/>
          <w:highlight w:val="lightGray"/>
        </w:rPr>
        <w:t>e »loop-flows« (sløjfestrømme) under hensyn til uoverensstemmelser mellem fysiske og kommercielle strømme</w:t>
      </w:r>
    </w:p>
    <w:p w:rsidR="008D284E" w:rsidRDefault="00BB7A98">
      <w:pPr>
        <w:rPr>
          <w:rStyle w:val="CRRefonteDeleted"/>
          <w:noProof/>
          <w:highlight w:val="lightGray"/>
        </w:rPr>
      </w:pPr>
      <w:r>
        <w:rPr>
          <w:rStyle w:val="CRRefonteDeleted"/>
          <w:noProof/>
          <w:highlight w:val="lightGray"/>
        </w:rPr>
        <w:t>b) fordeling og nominering af kapacitet med henblik på effektiv behandling af indbyrdes afhængige fysiske »loop-flows« (sløjfestrømme)</w:t>
      </w:r>
    </w:p>
    <w:p w:rsidR="008D284E" w:rsidRDefault="00BB7A98">
      <w:pPr>
        <w:rPr>
          <w:rStyle w:val="CRRefonteDeleted"/>
          <w:noProof/>
          <w:highlight w:val="lightGray"/>
        </w:rPr>
      </w:pPr>
      <w:r>
        <w:rPr>
          <w:rStyle w:val="CRRefonteDeleted"/>
          <w:noProof/>
          <w:highlight w:val="lightGray"/>
        </w:rPr>
        <w:t>c) identiske fo</w:t>
      </w:r>
      <w:r>
        <w:rPr>
          <w:rStyle w:val="CRRefonteDeleted"/>
          <w:noProof/>
          <w:highlight w:val="lightGray"/>
        </w:rPr>
        <w:t>rpligtelser for kapacitetsindehaverne til at afgive oplysninger om deres påtænkte anvendelse af kapaciteten, dvs. nominering af kapacitet (til eksplicitte auktioner)</w:t>
      </w:r>
    </w:p>
    <w:p w:rsidR="008D284E" w:rsidRDefault="00BB7A98">
      <w:pPr>
        <w:rPr>
          <w:rStyle w:val="CRRefonteDeleted"/>
          <w:noProof/>
          <w:highlight w:val="lightGray"/>
        </w:rPr>
      </w:pPr>
      <w:r>
        <w:rPr>
          <w:rStyle w:val="CRRefonteDeleted"/>
          <w:noProof/>
          <w:highlight w:val="lightGray"/>
        </w:rPr>
        <w:t>d) identiske tidsrammer og sluttider</w:t>
      </w:r>
    </w:p>
    <w:p w:rsidR="008D284E" w:rsidRDefault="00BB7A98">
      <w:pPr>
        <w:rPr>
          <w:rStyle w:val="CRRefonteDeleted"/>
          <w:noProof/>
          <w:highlight w:val="lightGray"/>
        </w:rPr>
      </w:pPr>
      <w:r>
        <w:rPr>
          <w:rStyle w:val="CRRefonteDeleted"/>
          <w:noProof/>
          <w:highlight w:val="lightGray"/>
        </w:rPr>
        <w:t>e) identisk struktur for fordeling af kapacitet melle</w:t>
      </w:r>
      <w:r>
        <w:rPr>
          <w:rStyle w:val="CRRefonteDeleted"/>
          <w:noProof/>
          <w:highlight w:val="lightGray"/>
        </w:rPr>
        <w:t>m forskellige tidsrammer (f.eks. 1 dag, 3 timer, 1 uge osv.) og med hensyn til solgte kapacitetsblokke (strøm i MW, MWh osv.)</w:t>
      </w:r>
    </w:p>
    <w:p w:rsidR="008D284E" w:rsidRDefault="00BB7A98">
      <w:pPr>
        <w:rPr>
          <w:rStyle w:val="CRRefonteDeleted"/>
          <w:noProof/>
          <w:highlight w:val="lightGray"/>
        </w:rPr>
      </w:pPr>
      <w:r>
        <w:rPr>
          <w:rStyle w:val="CRRefonteDeleted"/>
          <w:noProof/>
          <w:highlight w:val="lightGray"/>
        </w:rPr>
        <w:t>f) konsistent kontraktmæssig ramme for forbindelserne med markedsdeltagerne</w:t>
      </w:r>
    </w:p>
    <w:p w:rsidR="008D284E" w:rsidRDefault="00BB7A98">
      <w:pPr>
        <w:rPr>
          <w:rStyle w:val="CRRefonteDeleted"/>
          <w:noProof/>
          <w:highlight w:val="lightGray"/>
        </w:rPr>
      </w:pPr>
      <w:r>
        <w:rPr>
          <w:rStyle w:val="CRRefonteDeleted"/>
          <w:noProof/>
          <w:highlight w:val="lightGray"/>
        </w:rPr>
        <w:lastRenderedPageBreak/>
        <w:t>g) efterprøvning af, at strømmene er forenelige med si</w:t>
      </w:r>
      <w:r>
        <w:rPr>
          <w:rStyle w:val="CRRefonteDeleted"/>
          <w:noProof/>
          <w:highlight w:val="lightGray"/>
        </w:rPr>
        <w:t>kkerhedskravene til nettet med henblik på driftsmæssig planlægning og tidstro drift</w:t>
      </w:r>
    </w:p>
    <w:p w:rsidR="008D284E" w:rsidRDefault="00BB7A98">
      <w:pPr>
        <w:rPr>
          <w:rStyle w:val="CRRefonteDeleted"/>
          <w:noProof/>
          <w:highlight w:val="lightGray"/>
        </w:rPr>
      </w:pPr>
      <w:r>
        <w:rPr>
          <w:rStyle w:val="CRRefonteDeleted"/>
          <w:noProof/>
          <w:highlight w:val="lightGray"/>
        </w:rPr>
        <w:t>h) bogføring og afregning af foranstaltninger til håndtering af kapacitetsbegrænsninger.</w:t>
      </w:r>
    </w:p>
    <w:p w:rsidR="008D284E" w:rsidRDefault="00BB7A98">
      <w:pPr>
        <w:rPr>
          <w:rStyle w:val="CRRefonteDeleted"/>
          <w:noProof/>
          <w:highlight w:val="lightGray"/>
        </w:rPr>
      </w:pPr>
      <w:r>
        <w:rPr>
          <w:rStyle w:val="CRRefonteDeleted"/>
          <w:noProof/>
          <w:highlight w:val="lightGray"/>
        </w:rPr>
        <w:t xml:space="preserve">3.6. Koordinationen skal også omfatte udvekslingen af oplysninger mellem TSO'erne. </w:t>
      </w:r>
      <w:r>
        <w:rPr>
          <w:rStyle w:val="CRRefonteDeleted"/>
          <w:noProof/>
          <w:highlight w:val="lightGray"/>
        </w:rPr>
        <w:t>Informationsudvekslingens egenart, tidspunkterne derfor og hyppigheden deraf skal være forenelige med aktiviteterne i punkt 3.5 og elektricitetsmarkedernes funktionsmåde. Denne informationsudveksling skal navnlig gøre det muligt for TSO'erne at opstille de</w:t>
      </w:r>
      <w:r>
        <w:rPr>
          <w:rStyle w:val="CRRefonteDeleted"/>
          <w:noProof/>
          <w:highlight w:val="lightGray"/>
        </w:rPr>
        <w:t xml:space="preserve"> bedst mulige prognoser for den overordnede situation på nettet med henblik på at vurdere strømmene på deres net og den ledige kapacitet på samkøringslinjerne. En TSO, som indsamler oplysninger på vegne af andre TSO'er, skal tilbagesende resultaterne af in</w:t>
      </w:r>
      <w:r>
        <w:rPr>
          <w:rStyle w:val="CRRefonteDeleted"/>
          <w:noProof/>
          <w:highlight w:val="lightGray"/>
        </w:rPr>
        <w:t>dsamlingen af data til den deltagende TSO.</w:t>
      </w:r>
    </w:p>
    <w:p w:rsidR="008D284E" w:rsidRDefault="00BB7A98">
      <w:pPr>
        <w:rPr>
          <w:rStyle w:val="CRRefonteDeleted"/>
          <w:noProof/>
          <w:highlight w:val="lightGray"/>
        </w:rPr>
      </w:pPr>
      <w:r>
        <w:rPr>
          <w:rStyle w:val="CRRefonteDeleted"/>
          <w:noProof/>
          <w:highlight w:val="lightGray"/>
        </w:rPr>
        <w:t>4.   Tidsplan for markedsforanstaltninger</w:t>
      </w:r>
    </w:p>
    <w:p w:rsidR="008D284E" w:rsidRDefault="00BB7A98">
      <w:pPr>
        <w:rPr>
          <w:rStyle w:val="CRRefonteDeleted"/>
          <w:noProof/>
          <w:highlight w:val="lightGray"/>
        </w:rPr>
      </w:pPr>
      <w:r>
        <w:rPr>
          <w:rStyle w:val="CRRefonteDeleted"/>
          <w:noProof/>
          <w:highlight w:val="lightGray"/>
        </w:rPr>
        <w:t>4.1. Den ledige transmissionskapacitet fordeles tilstrækkelig god tid i forvejen. Før hver fordeling offentliggør de involverede TSO'er i fællesskab den kapacitet, der ska</w:t>
      </w:r>
      <w:r>
        <w:rPr>
          <w:rStyle w:val="CRRefonteDeleted"/>
          <w:noProof/>
          <w:highlight w:val="lightGray"/>
        </w:rPr>
        <w:t>l fordeles, i påkommende tilfælde under hensyn til den kapacitet, der er frigjort fra alle stabile transmissionsrettigheder, og, hvor det er relevant, dermed forbundne dirigerede nomineringer, samt alle tidsrum, i hvilke kapaciteten vil være reduceret elle</w:t>
      </w:r>
      <w:r>
        <w:rPr>
          <w:rStyle w:val="CRRefonteDeleted"/>
          <w:noProof/>
          <w:highlight w:val="lightGray"/>
        </w:rPr>
        <w:t>r ikke være ledig (eksempelvis på grund af vedligeholdelse).</w:t>
      </w:r>
    </w:p>
    <w:p w:rsidR="008D284E" w:rsidRDefault="00BB7A98">
      <w:pPr>
        <w:rPr>
          <w:rStyle w:val="CRRefonteDeleted"/>
          <w:noProof/>
          <w:highlight w:val="lightGray"/>
        </w:rPr>
      </w:pPr>
      <w:r>
        <w:rPr>
          <w:rStyle w:val="CRRefonteDeleted"/>
          <w:noProof/>
          <w:highlight w:val="lightGray"/>
        </w:rPr>
        <w:t xml:space="preserve">4.2. Under fuldt hensyn til netsikkerheden nomineres transmissionsrettighederne tilstrækkelig god tid i forvejen før den kommende dags foranstaltninger på alle de relevante organiserede markeder </w:t>
      </w:r>
      <w:r>
        <w:rPr>
          <w:rStyle w:val="CRRefonteDeleted"/>
          <w:noProof/>
          <w:highlight w:val="lightGray"/>
        </w:rPr>
        <w:t>og før offentliggørelsen af den kapacitet, der skal fordeles under fordelingsordningen for den kommende dag eller den intradaglige fordelingsordning. Nomineringer af transmissionsrettigheder i den modsatte retning dirigeres med sigte på at gøre effektiv br</w:t>
      </w:r>
      <w:r>
        <w:rPr>
          <w:rStyle w:val="CRRefonteDeleted"/>
          <w:noProof/>
          <w:highlight w:val="lightGray"/>
        </w:rPr>
        <w:t>ug af samkøringen.</w:t>
      </w:r>
    </w:p>
    <w:p w:rsidR="008D284E" w:rsidRDefault="00BB7A98">
      <w:pPr>
        <w:rPr>
          <w:rStyle w:val="CRRefonteDeleted"/>
          <w:noProof/>
          <w:highlight w:val="lightGray"/>
        </w:rPr>
      </w:pPr>
      <w:r>
        <w:rPr>
          <w:rStyle w:val="CRRefonteDeleted"/>
          <w:noProof/>
          <w:highlight w:val="lightGray"/>
        </w:rPr>
        <w:t>4.3. De successive intradaglige fordelinger af ledig transmissionskapacitet for dag D foretages på dag D1 og D, efter at de anførte eller faktiske produktionsplaner for den kommende dag er udarbejdet.</w:t>
      </w:r>
    </w:p>
    <w:p w:rsidR="008D284E" w:rsidRDefault="00BB7A98">
      <w:pPr>
        <w:rPr>
          <w:rStyle w:val="CRRefonteDeleted"/>
          <w:noProof/>
          <w:highlight w:val="lightGray"/>
        </w:rPr>
      </w:pPr>
      <w:r>
        <w:rPr>
          <w:rStyle w:val="CRRefonteDeleted"/>
          <w:noProof/>
          <w:highlight w:val="lightGray"/>
        </w:rPr>
        <w:t>4.4. Ved forberedelsen af den kommen</w:t>
      </w:r>
      <w:r>
        <w:rPr>
          <w:rStyle w:val="CRRefonteDeleted"/>
          <w:noProof/>
          <w:highlight w:val="lightGray"/>
        </w:rPr>
        <w:t xml:space="preserve">de dags nettransaktioner skal TSO'erne udveksle oplysninger med de tilgrænsende TSO'er, bl.a. om deres prognosticerede nettopologi, de disponible produktionsenheder og disses prognosticerede produktion samt laststrømmene, med henblik på at optimere brugen </w:t>
      </w:r>
      <w:r>
        <w:rPr>
          <w:rStyle w:val="CRRefonteDeleted"/>
          <w:noProof/>
          <w:highlight w:val="lightGray"/>
        </w:rPr>
        <w:t>af det samlede net via driftsmæssige foranstaltninger i overensstemmelse med reglerne for sikker netdrift.</w:t>
      </w:r>
    </w:p>
    <w:p w:rsidR="008D284E" w:rsidRDefault="00BB7A98">
      <w:pPr>
        <w:rPr>
          <w:rStyle w:val="CRRefonteDeleted"/>
          <w:noProof/>
          <w:highlight w:val="lightGray"/>
        </w:rPr>
      </w:pPr>
      <w:r>
        <w:rPr>
          <w:rStyle w:val="CRRefonteDeleted"/>
          <w:noProof/>
          <w:highlight w:val="lightGray"/>
        </w:rPr>
        <w:t>5.   Gennemsigtighed</w:t>
      </w:r>
    </w:p>
    <w:p w:rsidR="008D284E" w:rsidRDefault="00BB7A98">
      <w:pPr>
        <w:rPr>
          <w:rStyle w:val="CRRefonteDeleted"/>
          <w:noProof/>
          <w:highlight w:val="lightGray"/>
        </w:rPr>
      </w:pPr>
      <w:r>
        <w:rPr>
          <w:rStyle w:val="CRRefonteDeleted"/>
          <w:noProof/>
          <w:highlight w:val="lightGray"/>
        </w:rPr>
        <w:t xml:space="preserve">5.1. TSO'erne skal offentliggøre alle relevante data om nettilgængelighed, netadgang og brug af nettet, herunder en rapport om, </w:t>
      </w:r>
      <w:r>
        <w:rPr>
          <w:rStyle w:val="CRRefonteDeleted"/>
          <w:noProof/>
          <w:highlight w:val="lightGray"/>
        </w:rPr>
        <w:t>hvor og hvorfor der foreligger kapacitetsbegrænsninger, de anvendte metoder til håndtering af kapacitetsbegrænsningen og planerne for den fremtidige håndtering heraf.</w:t>
      </w:r>
    </w:p>
    <w:p w:rsidR="008D284E" w:rsidRDefault="00BB7A98">
      <w:pPr>
        <w:rPr>
          <w:rStyle w:val="CRRefonteDeleted"/>
          <w:noProof/>
          <w:highlight w:val="lightGray"/>
        </w:rPr>
      </w:pPr>
      <w:r>
        <w:rPr>
          <w:rStyle w:val="CRRefonteDeleted"/>
          <w:noProof/>
          <w:highlight w:val="lightGray"/>
        </w:rPr>
        <w:t>5.2. TSO'erne skal offentliggøre en generel beskrivelse af den metode til håndtering af k</w:t>
      </w:r>
      <w:r>
        <w:rPr>
          <w:rStyle w:val="CRRefonteDeleted"/>
          <w:noProof/>
          <w:highlight w:val="lightGray"/>
        </w:rPr>
        <w:t>apacitetsbegrænsninger, der anvendes under forskellige omstændigheder for at maksimere den ledige kapacitet på markedet, og en generel ordning til beregning af kapaciteten på samkøringslinjerne for de forskellige tidsrammer baseret på de faktiske elektrisk</w:t>
      </w:r>
      <w:r>
        <w:rPr>
          <w:rStyle w:val="CRRefonteDeleted"/>
          <w:noProof/>
          <w:highlight w:val="lightGray"/>
        </w:rPr>
        <w:t>e og fysiske forhold på nettet. Denne ordning skal kunne revideres af de berørte medlemsstaters regulerende myndigheder.</w:t>
      </w:r>
    </w:p>
    <w:p w:rsidR="008D284E" w:rsidRDefault="00BB7A98">
      <w:pPr>
        <w:rPr>
          <w:rStyle w:val="CRRefonteDeleted"/>
          <w:noProof/>
          <w:highlight w:val="lightGray"/>
        </w:rPr>
      </w:pPr>
      <w:r>
        <w:rPr>
          <w:rStyle w:val="CRRefonteDeleted"/>
          <w:noProof/>
          <w:highlight w:val="lightGray"/>
        </w:rPr>
        <w:t>5.3. De anvendte procedurer for håndtering af kapacitetsbegrænsninger og fordeling af kapacitet, tidspunkterne og procedurerne for anmo</w:t>
      </w:r>
      <w:r>
        <w:rPr>
          <w:rStyle w:val="CRRefonteDeleted"/>
          <w:noProof/>
          <w:highlight w:val="lightGray"/>
        </w:rPr>
        <w:t xml:space="preserve">dning om kapacitet, en beskrivelse af de tilbudte produkter og forpligtelserne og rettighederne for såvel TSO'erne som den part, der </w:t>
      </w:r>
      <w:r>
        <w:rPr>
          <w:rStyle w:val="CRRefonteDeleted"/>
          <w:noProof/>
          <w:highlight w:val="lightGray"/>
        </w:rPr>
        <w:lastRenderedPageBreak/>
        <w:t xml:space="preserve">erhverver kapaciteten, herunder det ansvar, der påhviler disse, hvis de undlader at opfylde deres forpligtelser, beskrives </w:t>
      </w:r>
      <w:r>
        <w:rPr>
          <w:rStyle w:val="CRRefonteDeleted"/>
          <w:noProof/>
          <w:highlight w:val="lightGray"/>
        </w:rPr>
        <w:t>i detaljer og gøres af TSO'erne på en gennemsigtig måde tilgængelige for alle potentielle netbrugere.</w:t>
      </w:r>
    </w:p>
    <w:p w:rsidR="008D284E" w:rsidRDefault="00BB7A98">
      <w:pPr>
        <w:rPr>
          <w:rStyle w:val="CRRefonteDeleted"/>
          <w:noProof/>
          <w:highlight w:val="lightGray"/>
        </w:rPr>
      </w:pPr>
      <w:r>
        <w:rPr>
          <w:rStyle w:val="CRRefonteDeleted"/>
          <w:noProof/>
          <w:highlight w:val="lightGray"/>
        </w:rPr>
        <w:t xml:space="preserve">5.4. De drifts- og planlægningsmæssige sikkerhedsstandarder skal udgøre en integrerende del af de oplysninger, som TSO'erne offentliggør i et åbent og </w:t>
      </w:r>
      <w:r>
        <w:rPr>
          <w:rStyle w:val="CRRefonteDeleted"/>
          <w:noProof/>
          <w:highlight w:val="lightGray"/>
        </w:rPr>
        <w:t>offentligt dokument. Dette dokument skal også kunne revideres af de nationale regulerende myndigheder.</w:t>
      </w:r>
    </w:p>
    <w:p w:rsidR="008D284E" w:rsidRDefault="00BB7A98">
      <w:pPr>
        <w:rPr>
          <w:rStyle w:val="CRRefonteDeleted"/>
          <w:noProof/>
          <w:highlight w:val="lightGray"/>
        </w:rPr>
      </w:pPr>
      <w:r>
        <w:rPr>
          <w:rStyle w:val="CRRefonteDeleted"/>
          <w:noProof/>
          <w:highlight w:val="lightGray"/>
        </w:rPr>
        <w:t xml:space="preserve">5.10. TSO'erne skal med jævne mellemrum udveksle et sæt tilstrækkeligt nøjagtige data om net og laststrømme, således at hver TSO får mulighed for at </w:t>
      </w:r>
      <w:r>
        <w:rPr>
          <w:rStyle w:val="CRRefonteDeleted"/>
          <w:noProof/>
          <w:highlight w:val="lightGray"/>
        </w:rPr>
        <w:t>beregne laststrømmene i sit relevante område. Samme sæt data skal på begæring stilles til rådighed for de regulerende myndigheder og Kommissionen. De regulerende myndigheder og Kommissionen påser, at de selv og enhver konsulent, der udfører et analytisk ar</w:t>
      </w:r>
      <w:r>
        <w:rPr>
          <w:rStyle w:val="CRRefonteDeleted"/>
          <w:noProof/>
          <w:highlight w:val="lightGray"/>
        </w:rPr>
        <w:t>bejde for dem på grundlag af disse data, behandler dataene fortroligt.</w:t>
      </w:r>
    </w:p>
    <w:p w:rsidR="008D284E" w:rsidRDefault="00BB7A98">
      <w:pPr>
        <w:rPr>
          <w:rStyle w:val="CRRefonteDeleted"/>
          <w:noProof/>
          <w:highlight w:val="lightGray"/>
        </w:rPr>
      </w:pPr>
      <w:r>
        <w:rPr>
          <w:rStyle w:val="CRRefonteDeleted"/>
          <w:noProof/>
          <w:highlight w:val="lightGray"/>
        </w:rPr>
        <w:t>6.   Brug af indtægter fra kapacitetsbegrænsninger</w:t>
      </w:r>
    </w:p>
    <w:p w:rsidR="008D284E" w:rsidRDefault="00BB7A98">
      <w:pPr>
        <w:rPr>
          <w:rStyle w:val="CRRefonteDeleted"/>
          <w:noProof/>
          <w:highlight w:val="lightGray"/>
        </w:rPr>
      </w:pPr>
      <w:r>
        <w:rPr>
          <w:rStyle w:val="CRRefonteDeleted"/>
          <w:noProof/>
          <w:highlight w:val="lightGray"/>
        </w:rPr>
        <w:t>6.1. Procedurerne for håndtering af kapacitetsbegrænsninger forbundet med en på forhånd fastsat tidsramme kan kun frembringe indtægter</w:t>
      </w:r>
      <w:r>
        <w:rPr>
          <w:rStyle w:val="CRRefonteDeleted"/>
          <w:noProof/>
          <w:highlight w:val="lightGray"/>
        </w:rPr>
        <w:t>, hvis der foreligger kapacitetsbegrænsninger, som opstår for den pågældende tidsramme, medmindre der er tale om nye samkøringslinjer, der er omfattet af en undtagelse i henhold til artikel 7 i forordning (EF) nr. 1228/2003 eller nærværende forordnings art</w:t>
      </w:r>
      <w:r>
        <w:rPr>
          <w:rStyle w:val="CRRefonteDeleted"/>
          <w:noProof/>
          <w:highlight w:val="lightGray"/>
        </w:rPr>
        <w:t>ikel 17. Proceduren for fordelingen af disse indtægter skal kunne revideres af de regulerende myndigheder og må hverken fordreje fordelingsprocessen til gavn for en part, der anmoder om kapacitet eller energi, eller anspore til, at man undlader at gøre kap</w:t>
      </w:r>
      <w:r>
        <w:rPr>
          <w:rStyle w:val="CRRefonteDeleted"/>
          <w:noProof/>
          <w:highlight w:val="lightGray"/>
        </w:rPr>
        <w:t>acitetsbegrænsningerne mindre.</w:t>
      </w:r>
    </w:p>
    <w:p w:rsidR="008D284E" w:rsidRDefault="00BB7A98">
      <w:pPr>
        <w:rPr>
          <w:rStyle w:val="CRRefonteDeleted"/>
          <w:noProof/>
          <w:highlight w:val="lightGray"/>
        </w:rPr>
      </w:pPr>
      <w:r>
        <w:rPr>
          <w:rStyle w:val="CRRefonteDeleted"/>
          <w:noProof/>
          <w:highlight w:val="lightGray"/>
        </w:rPr>
        <w:t>6.2. De nationale regulerende myndigheder skal åbent gøre rede for anvendelsen af indtægterne fra fordelingen af kapacitet på samkøringslinjerne.</w:t>
      </w:r>
    </w:p>
    <w:p w:rsidR="008D284E" w:rsidRDefault="00BB7A98">
      <w:pPr>
        <w:rPr>
          <w:rStyle w:val="CRRefonteDeleted"/>
          <w:noProof/>
          <w:highlight w:val="lightGray"/>
        </w:rPr>
      </w:pPr>
      <w:r>
        <w:rPr>
          <w:rStyle w:val="CRRefonteDeleted"/>
          <w:noProof/>
          <w:highlight w:val="lightGray"/>
        </w:rPr>
        <w:t>6.3. Indtægterne fra kapacitetsbegrænsninger skal deles af de involverede TSO'e</w:t>
      </w:r>
      <w:r>
        <w:rPr>
          <w:rStyle w:val="CRRefonteDeleted"/>
          <w:noProof/>
          <w:highlight w:val="lightGray"/>
        </w:rPr>
        <w:t>r på grundlag af kriterier, som de involverede TSO'er er nået til enighed om, og som er revideret af de respektive regulerende myndigheder.</w:t>
      </w:r>
    </w:p>
    <w:p w:rsidR="008D284E" w:rsidRDefault="00BB7A98">
      <w:pPr>
        <w:rPr>
          <w:rStyle w:val="CRRefonteDeleted"/>
          <w:noProof/>
          <w:highlight w:val="lightGray"/>
        </w:rPr>
      </w:pPr>
      <w:r>
        <w:rPr>
          <w:rStyle w:val="CRRefonteDeleted"/>
          <w:noProof/>
          <w:highlight w:val="lightGray"/>
        </w:rPr>
        <w:t>6.4. TSO'erne skal på forhånd tydeligt gøre rede for den brug, de agter at gøre af alle indtægter fra kapacitetsbegr</w:t>
      </w:r>
      <w:r>
        <w:rPr>
          <w:rStyle w:val="CRRefonteDeleted"/>
          <w:noProof/>
          <w:highlight w:val="lightGray"/>
        </w:rPr>
        <w:t>ænsninger, som de måtte oppebære, og for den faktiske brug af disse indtægter. De regulerende myndigheder skal efterprøve, at denne brug er i overensstemmelse med denne forordning og disse retningslinjer, og at de samlede indtægter fra kapacitetsbegrænsnin</w:t>
      </w:r>
      <w:r>
        <w:rPr>
          <w:rStyle w:val="CRRefonteDeleted"/>
          <w:noProof/>
          <w:highlight w:val="lightGray"/>
        </w:rPr>
        <w:t>ger, der oppebæres i forbindelse med fordeling af kapacitet på samkøringslinjerne, anvendes til et eller flere af de tre formål, der er fastlagt i artikel 16, stk. 6, i denne forordning.</w:t>
      </w:r>
    </w:p>
    <w:p w:rsidR="008D284E" w:rsidRDefault="00BB7A98">
      <w:pPr>
        <w:rPr>
          <w:rStyle w:val="CRRefonteDeleted"/>
          <w:noProof/>
          <w:highlight w:val="lightGray"/>
        </w:rPr>
      </w:pPr>
      <w:r>
        <w:rPr>
          <w:rStyle w:val="CRRefonteDeleted"/>
          <w:noProof/>
          <w:highlight w:val="lightGray"/>
        </w:rPr>
        <w:t>6.5. På et årligt grundlag og senest den 31. juli hvert år offentligg</w:t>
      </w:r>
      <w:r>
        <w:rPr>
          <w:rStyle w:val="CRRefonteDeleted"/>
          <w:noProof/>
          <w:highlight w:val="lightGray"/>
        </w:rPr>
        <w:t>ør de regulerende myndigheder en rapport, som indeholder oplysninger om de indtægter, der er oppebåret i 12-månedersperioden indtil den 30. juni samme år, og om den brug, der er gjort af de pågældende indtægter, samt en efterprøvning af, at denne brug er i</w:t>
      </w:r>
      <w:r>
        <w:rPr>
          <w:rStyle w:val="CRRefonteDeleted"/>
          <w:noProof/>
          <w:highlight w:val="lightGray"/>
        </w:rPr>
        <w:t xml:space="preserve"> overensstemmelse med denne forordning og disse retningslinjer, og at de samlede indtægter fra kapacitetsbegrænsningerne er anvendt til et eller flere af de tre fastsatte formål.</w:t>
      </w:r>
    </w:p>
    <w:p w:rsidR="008D284E" w:rsidRDefault="00BB7A98">
      <w:pPr>
        <w:rPr>
          <w:rStyle w:val="CRRefonteDeleted"/>
          <w:noProof/>
          <w:highlight w:val="lightGray"/>
        </w:rPr>
      </w:pPr>
      <w:r>
        <w:rPr>
          <w:rStyle w:val="CRRefonteDeleted"/>
          <w:noProof/>
          <w:highlight w:val="lightGray"/>
        </w:rPr>
        <w:t>6.6. Brugen af indtægterne fra kapacitetsbegrænsningerne til investeringer me</w:t>
      </w:r>
      <w:r>
        <w:rPr>
          <w:rStyle w:val="CRRefonteDeleted"/>
          <w:noProof/>
          <w:highlight w:val="lightGray"/>
        </w:rPr>
        <w:t xml:space="preserve">d henblik på at bevare eller forøge kapaciteten på samkøringslinjerne bør forbeholdes særlige på forhånd fastlagte projekter, som bidrager til at afhjælpe de foreliggende relevante kapacitetsbegrænsninger, og som også kan gennemføres inden for et rimeligt </w:t>
      </w:r>
      <w:r>
        <w:rPr>
          <w:rStyle w:val="CRRefonteDeleted"/>
          <w:noProof/>
          <w:highlight w:val="lightGray"/>
        </w:rPr>
        <w:t>tidsrum, navnlig hvad angår godkendelsesprocessen.</w:t>
      </w:r>
    </w:p>
    <w:p w:rsidR="008D284E" w:rsidRDefault="008D284E">
      <w:pPr>
        <w:pStyle w:val="CRSeparator"/>
        <w:rPr>
          <w:noProof/>
        </w:rPr>
      </w:pPr>
    </w:p>
    <w:p w:rsidR="008D284E" w:rsidRDefault="00BB7A98">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lang w:val="da-DK"/>
        </w:rPr>
        <w:instrText>ò</w:instrText>
      </w:r>
      <w:r>
        <w:rPr>
          <w:noProof/>
          <w:highlight w:val="lightGray"/>
        </w:rPr>
        <w:instrText xml:space="preserve">" </w:instrText>
      </w:r>
      <w:r>
        <w:rPr>
          <w:noProof/>
          <w:highlight w:val="lightGray"/>
        </w:rPr>
        <w:fldChar w:fldCharType="separate"/>
      </w:r>
      <w:r>
        <w:rPr>
          <w:rStyle w:val="CRMarker"/>
          <w:noProof/>
          <w:highlight w:val="lightGray"/>
          <w:lang w:val="da-DK"/>
        </w:rPr>
        <w:t>ò</w:t>
      </w:r>
      <w:r>
        <w:rPr>
          <w:noProof/>
          <w:highlight w:val="lightGray"/>
        </w:rPr>
        <w:fldChar w:fldCharType="end"/>
      </w:r>
      <w:r>
        <w:rPr>
          <w:noProof/>
          <w:highlight w:val="lightGray"/>
        </w:rPr>
        <w:t> nyt</w:t>
      </w:r>
    </w:p>
    <w:p w:rsidR="008D284E" w:rsidRDefault="00BB7A98">
      <w:pPr>
        <w:jc w:val="center"/>
        <w:rPr>
          <w:b/>
          <w:noProof/>
          <w:szCs w:val="24"/>
          <w:highlight w:val="lightGray"/>
        </w:rPr>
      </w:pPr>
      <w:r>
        <w:rPr>
          <w:b/>
          <w:noProof/>
          <w:szCs w:val="24"/>
          <w:highlight w:val="lightGray"/>
        </w:rPr>
        <w:t>REGIONALE DRIFTCENTRES FUNKTIONER</w:t>
      </w:r>
    </w:p>
    <w:p w:rsidR="008D284E" w:rsidRDefault="008D284E">
      <w:pPr>
        <w:rPr>
          <w:noProof/>
          <w:szCs w:val="24"/>
          <w:highlight w:val="lightGray"/>
        </w:rPr>
      </w:pPr>
    </w:p>
    <w:p w:rsidR="008D284E" w:rsidRDefault="00BB7A98">
      <w:pPr>
        <w:pStyle w:val="NumPar1"/>
        <w:numPr>
          <w:ilvl w:val="0"/>
          <w:numId w:val="6"/>
        </w:numPr>
        <w:rPr>
          <w:b/>
          <w:noProof/>
          <w:highlight w:val="lightGray"/>
        </w:rPr>
      </w:pPr>
      <w:r>
        <w:rPr>
          <w:b/>
          <w:noProof/>
          <w:highlight w:val="lightGray"/>
        </w:rPr>
        <w:t>Koordineret kapacitetsberegning</w:t>
      </w:r>
    </w:p>
    <w:p w:rsidR="008D284E" w:rsidRDefault="00BB7A98">
      <w:pPr>
        <w:pStyle w:val="NumPar2"/>
        <w:rPr>
          <w:noProof/>
          <w:highlight w:val="lightGray"/>
        </w:rPr>
      </w:pPr>
      <w:r>
        <w:rPr>
          <w:noProof/>
          <w:highlight w:val="lightGray"/>
        </w:rPr>
        <w:t xml:space="preserve">De regionale driftscentre skal foretage en koordineret beregning af overførselskapaciteter. </w:t>
      </w:r>
    </w:p>
    <w:p w:rsidR="008D284E" w:rsidRDefault="00BB7A98">
      <w:pPr>
        <w:pStyle w:val="NumPar2"/>
        <w:rPr>
          <w:noProof/>
          <w:highlight w:val="lightGray"/>
        </w:rPr>
      </w:pPr>
      <w:r>
        <w:rPr>
          <w:noProof/>
          <w:highlight w:val="lightGray"/>
        </w:rPr>
        <w:t>Der skal foretages en ko</w:t>
      </w:r>
      <w:r>
        <w:rPr>
          <w:noProof/>
          <w:highlight w:val="lightGray"/>
        </w:rPr>
        <w:t xml:space="preserve">ordineret kapacitetsberegning rettidigt for hver tidsramme for markedet og så ofte som nødvendigt i løbet af intraday-tidsrammen.  </w:t>
      </w:r>
    </w:p>
    <w:p w:rsidR="008D284E" w:rsidRDefault="00BB7A98">
      <w:pPr>
        <w:pStyle w:val="NumPar2"/>
        <w:rPr>
          <w:noProof/>
          <w:highlight w:val="lightGray"/>
        </w:rPr>
      </w:pPr>
      <w:r>
        <w:rPr>
          <w:noProof/>
          <w:highlight w:val="lightGray"/>
        </w:rPr>
        <w:t>Der skal foretages en koordineret kapacitetsberegning på grundlag af en fælles model i overensstemmelse med punkt 2 og en ko</w:t>
      </w:r>
      <w:r>
        <w:rPr>
          <w:noProof/>
          <w:highlight w:val="lightGray"/>
        </w:rPr>
        <w:t xml:space="preserve">ordineret kapacitetsberegningsmetode, der opstilles af transmissionssystemoperatørerne i det relevante systemdriftsområde. </w:t>
      </w:r>
    </w:p>
    <w:p w:rsidR="008D284E" w:rsidRDefault="00BB7A98">
      <w:pPr>
        <w:pStyle w:val="NumPar2"/>
        <w:rPr>
          <w:noProof/>
          <w:highlight w:val="lightGray"/>
        </w:rPr>
      </w:pPr>
      <w:r>
        <w:rPr>
          <w:noProof/>
          <w:highlight w:val="lightGray"/>
        </w:rPr>
        <w:t>Den koordinerede kapacitetsberegning skal sikre en effektiv håndtering af kapacitetsbegrænsninger i overensstemmelse med princippern</w:t>
      </w:r>
      <w:r>
        <w:rPr>
          <w:noProof/>
          <w:highlight w:val="lightGray"/>
        </w:rPr>
        <w:t>e for håndtering af kapacitetsbegrænsninger som defineret i denne forordning.</w:t>
      </w:r>
    </w:p>
    <w:p w:rsidR="008D284E" w:rsidRDefault="00BB7A98">
      <w:pPr>
        <w:pStyle w:val="NumPar1"/>
        <w:rPr>
          <w:b/>
          <w:noProof/>
          <w:highlight w:val="lightGray"/>
        </w:rPr>
      </w:pPr>
      <w:r>
        <w:rPr>
          <w:b/>
          <w:noProof/>
          <w:highlight w:val="lightGray"/>
        </w:rPr>
        <w:t xml:space="preserve">Koordineret sikkerhedsanalyse </w:t>
      </w:r>
    </w:p>
    <w:p w:rsidR="008D284E" w:rsidRDefault="00BB7A98">
      <w:pPr>
        <w:pStyle w:val="NumPar2"/>
        <w:rPr>
          <w:noProof/>
          <w:highlight w:val="lightGray"/>
        </w:rPr>
      </w:pPr>
      <w:r>
        <w:rPr>
          <w:noProof/>
          <w:highlight w:val="lightGray"/>
        </w:rPr>
        <w:t xml:space="preserve">De regionale driftscentre skal foretage en koordineret sikkerhedsanalyse med henblik på at sørge for en sikker drift af systemet. </w:t>
      </w:r>
    </w:p>
    <w:p w:rsidR="008D284E" w:rsidRDefault="00BB7A98">
      <w:pPr>
        <w:pStyle w:val="NumPar2"/>
        <w:rPr>
          <w:noProof/>
          <w:highlight w:val="lightGray"/>
        </w:rPr>
      </w:pPr>
      <w:r>
        <w:rPr>
          <w:noProof/>
          <w:highlight w:val="lightGray"/>
        </w:rPr>
        <w:t>Sikkerhedsanalys</w:t>
      </w:r>
      <w:r>
        <w:rPr>
          <w:noProof/>
          <w:highlight w:val="lightGray"/>
        </w:rPr>
        <w:t xml:space="preserve">en skal foretages for alle driftsplanlægningstidsrammer på grundlag af de fælles systemmodeller. </w:t>
      </w:r>
    </w:p>
    <w:p w:rsidR="008D284E" w:rsidRDefault="00BB7A98">
      <w:pPr>
        <w:pStyle w:val="NumPar2"/>
        <w:rPr>
          <w:noProof/>
          <w:highlight w:val="lightGray"/>
        </w:rPr>
      </w:pPr>
      <w:r>
        <w:rPr>
          <w:noProof/>
          <w:highlight w:val="lightGray"/>
        </w:rPr>
        <w:t>De regionale driftscentre skal dele resultaterne af den koordinerede sikkerhedsanalyse med som minimum transmissionssystemoperatørerne i systemdriftområdet.</w:t>
      </w:r>
    </w:p>
    <w:p w:rsidR="008D284E" w:rsidRDefault="00BB7A98">
      <w:pPr>
        <w:pStyle w:val="NumPar2"/>
        <w:rPr>
          <w:noProof/>
          <w:highlight w:val="lightGray"/>
        </w:rPr>
      </w:pPr>
      <w:r>
        <w:rPr>
          <w:noProof/>
          <w:highlight w:val="lightGray"/>
        </w:rPr>
        <w:t>H</w:t>
      </w:r>
      <w:r>
        <w:rPr>
          <w:noProof/>
          <w:highlight w:val="lightGray"/>
        </w:rPr>
        <w:t>vis et regionalt driftscenter som følge af den koordinerede sikkerhedsanalyse konstaterer en mulig begrænsning, skal det udforme afhjælpende foranstaltninger, hvormed den økonomiske effektivitet maksimeres.</w:t>
      </w:r>
    </w:p>
    <w:p w:rsidR="008D284E" w:rsidRDefault="00BB7A98">
      <w:pPr>
        <w:pStyle w:val="NumPar1"/>
        <w:rPr>
          <w:b/>
          <w:noProof/>
          <w:highlight w:val="lightGray"/>
        </w:rPr>
      </w:pPr>
      <w:r>
        <w:rPr>
          <w:b/>
          <w:noProof/>
          <w:highlight w:val="lightGray"/>
        </w:rPr>
        <w:t>Indførelse af fælles systemmodeller</w:t>
      </w:r>
    </w:p>
    <w:p w:rsidR="008D284E" w:rsidRDefault="00BB7A98">
      <w:pPr>
        <w:pStyle w:val="NumPar2"/>
        <w:rPr>
          <w:noProof/>
          <w:highlight w:val="lightGray"/>
        </w:rPr>
      </w:pPr>
      <w:r>
        <w:rPr>
          <w:noProof/>
          <w:highlight w:val="lightGray"/>
        </w:rPr>
        <w:t xml:space="preserve">De regionale </w:t>
      </w:r>
      <w:r>
        <w:rPr>
          <w:noProof/>
          <w:highlight w:val="lightGray"/>
        </w:rPr>
        <w:t xml:space="preserve">driftscentre skal fastlægge effektive procedurer for indførelse af en fælles systemmodel for hver driftsplanlægningstidsramme. </w:t>
      </w:r>
    </w:p>
    <w:p w:rsidR="008D284E" w:rsidRDefault="00BB7A98">
      <w:pPr>
        <w:pStyle w:val="NumPar2"/>
        <w:rPr>
          <w:noProof/>
          <w:highlight w:val="lightGray"/>
        </w:rPr>
      </w:pPr>
      <w:r>
        <w:rPr>
          <w:noProof/>
          <w:highlight w:val="lightGray"/>
        </w:rPr>
        <w:t xml:space="preserve">Transmissionssystemoperatørerne skal udpege et regionalt driftscenter til at opbygge den fælles systemmodel for alle regioner. </w:t>
      </w:r>
    </w:p>
    <w:p w:rsidR="008D284E" w:rsidRDefault="00BB7A98">
      <w:pPr>
        <w:pStyle w:val="NumPar2"/>
        <w:rPr>
          <w:noProof/>
          <w:highlight w:val="lightGray"/>
        </w:rPr>
      </w:pPr>
      <w:r>
        <w:rPr>
          <w:noProof/>
          <w:highlight w:val="lightGray"/>
        </w:rPr>
        <w:t xml:space="preserve">De fælles systemmodeller skal omfatte relevante data for effektiv driftsplanlægning og kapacitetsberegning i alle driftplanlægningstidsrammer. </w:t>
      </w:r>
    </w:p>
    <w:p w:rsidR="008D284E" w:rsidRDefault="00BB7A98">
      <w:pPr>
        <w:pStyle w:val="NumPar2"/>
        <w:rPr>
          <w:noProof/>
          <w:highlight w:val="lightGray"/>
        </w:rPr>
      </w:pPr>
      <w:r>
        <w:rPr>
          <w:noProof/>
          <w:highlight w:val="lightGray"/>
        </w:rPr>
        <w:t xml:space="preserve">De fælles systemmodeller skal stilles til rådighed for alle regionale driftscentre, </w:t>
      </w:r>
      <w:r>
        <w:rPr>
          <w:noProof/>
          <w:highlight w:val="lightGray"/>
        </w:rPr>
        <w:t>transmissionssystemoperatørerne, ENTSO for elektricitet og agenturet på dets anmodning.</w:t>
      </w:r>
    </w:p>
    <w:p w:rsidR="008D284E" w:rsidRDefault="00BB7A98">
      <w:pPr>
        <w:pStyle w:val="NumPar1"/>
        <w:rPr>
          <w:b/>
          <w:noProof/>
          <w:highlight w:val="lightGray"/>
        </w:rPr>
      </w:pPr>
      <w:r>
        <w:rPr>
          <w:b/>
          <w:noProof/>
          <w:highlight w:val="lightGray"/>
        </w:rPr>
        <w:t xml:space="preserve">Overensstemmelsesvurdering af transmissionssystemoperatørernes forsvarsplaner og genoprettelsesplaner </w:t>
      </w:r>
    </w:p>
    <w:p w:rsidR="008D284E" w:rsidRDefault="00BB7A98">
      <w:pPr>
        <w:pStyle w:val="NumPar2"/>
        <w:rPr>
          <w:noProof/>
          <w:highlight w:val="lightGray"/>
        </w:rPr>
      </w:pPr>
      <w:r>
        <w:rPr>
          <w:noProof/>
          <w:highlight w:val="lightGray"/>
        </w:rPr>
        <w:t xml:space="preserve">Alle transmissionssystemoperatørerne enes om en tærskel, som, </w:t>
      </w:r>
      <w:r>
        <w:rPr>
          <w:noProof/>
          <w:highlight w:val="lightGray"/>
        </w:rPr>
        <w:t>hvis den overskrides, foranlediger, at konsekvenserne af en eller flere transmissionssystemoperatørers tiltag i nødsituationer, ved blackout eller i forbindelse med genoprettelse betragtes som væsentlige for andre synkront eller ikke-synkront sammenkoblede</w:t>
      </w:r>
      <w:r>
        <w:rPr>
          <w:noProof/>
          <w:highlight w:val="lightGray"/>
        </w:rPr>
        <w:t xml:space="preserve"> transmissionssystemoperatører.</w:t>
      </w:r>
    </w:p>
    <w:p w:rsidR="008D284E" w:rsidRDefault="00BB7A98">
      <w:pPr>
        <w:pStyle w:val="NumPar2"/>
        <w:rPr>
          <w:noProof/>
          <w:highlight w:val="lightGray"/>
        </w:rPr>
      </w:pPr>
      <w:r>
        <w:rPr>
          <w:noProof/>
          <w:highlight w:val="lightGray"/>
        </w:rPr>
        <w:t>Ved anvendelse af den tærskel, der er fastlagt i henhold til punkt 4.1, skal hvert regionalt driftscenter yde støtte til transmissionssystemoperatørerne i systemdriftområdet for så vidt angår vurderingen af dets transmission</w:t>
      </w:r>
      <w:r>
        <w:rPr>
          <w:noProof/>
          <w:highlight w:val="lightGray"/>
        </w:rPr>
        <w:t xml:space="preserve">ssystemoperatørers systemforsvarsplaner og genoprettelsesplanerne. </w:t>
      </w:r>
    </w:p>
    <w:p w:rsidR="008D284E" w:rsidRDefault="00BB7A98">
      <w:pPr>
        <w:pStyle w:val="NumPar2"/>
        <w:rPr>
          <w:noProof/>
          <w:highlight w:val="lightGray"/>
        </w:rPr>
      </w:pPr>
      <w:r>
        <w:rPr>
          <w:noProof/>
          <w:highlight w:val="lightGray"/>
        </w:rPr>
        <w:t>De regionale driftscentre skal i forbindelse med den ydede støtte til transmissionssystemoperatørerne:</w:t>
      </w:r>
    </w:p>
    <w:p w:rsidR="008D284E" w:rsidRDefault="00BB7A98">
      <w:pPr>
        <w:pStyle w:val="Point1letter"/>
        <w:numPr>
          <w:ilvl w:val="3"/>
          <w:numId w:val="7"/>
        </w:numPr>
        <w:rPr>
          <w:noProof/>
          <w:highlight w:val="lightGray"/>
        </w:rPr>
      </w:pPr>
      <w:r>
        <w:rPr>
          <w:noProof/>
          <w:highlight w:val="lightGray"/>
        </w:rPr>
        <w:t>kortlægge potentielle inkompatibiliteter</w:t>
      </w:r>
    </w:p>
    <w:p w:rsidR="008D284E" w:rsidRDefault="00BB7A98">
      <w:pPr>
        <w:pStyle w:val="Point1letter"/>
        <w:rPr>
          <w:noProof/>
          <w:highlight w:val="lightGray"/>
        </w:rPr>
      </w:pPr>
      <w:r>
        <w:rPr>
          <w:noProof/>
          <w:highlight w:val="lightGray"/>
        </w:rPr>
        <w:t>foreslå afbødende foranstaltninger.</w:t>
      </w:r>
    </w:p>
    <w:p w:rsidR="008D284E" w:rsidRDefault="00BB7A98">
      <w:pPr>
        <w:pStyle w:val="NumPar2"/>
        <w:rPr>
          <w:noProof/>
          <w:highlight w:val="lightGray"/>
        </w:rPr>
      </w:pPr>
      <w:r>
        <w:rPr>
          <w:noProof/>
          <w:highlight w:val="lightGray"/>
        </w:rPr>
        <w:t>Transmis</w:t>
      </w:r>
      <w:r>
        <w:rPr>
          <w:noProof/>
          <w:highlight w:val="lightGray"/>
        </w:rPr>
        <w:t>sionssystemoperatørerne skal tage de foreslåede afbødende foranstaltninger i betragtning.</w:t>
      </w:r>
    </w:p>
    <w:p w:rsidR="008D284E" w:rsidRDefault="00BB7A98">
      <w:pPr>
        <w:pStyle w:val="NumPar1"/>
        <w:rPr>
          <w:b/>
          <w:noProof/>
          <w:highlight w:val="lightGray"/>
        </w:rPr>
      </w:pPr>
      <w:r>
        <w:rPr>
          <w:b/>
          <w:noProof/>
          <w:highlight w:val="lightGray"/>
        </w:rPr>
        <w:t xml:space="preserve">Koordinering og optimering af den regionale genoprettelse </w:t>
      </w:r>
    </w:p>
    <w:p w:rsidR="008D284E" w:rsidRDefault="00BB7A98">
      <w:pPr>
        <w:pStyle w:val="NumPar2"/>
        <w:rPr>
          <w:noProof/>
          <w:highlight w:val="lightGray"/>
        </w:rPr>
      </w:pPr>
      <w:r>
        <w:rPr>
          <w:noProof/>
          <w:highlight w:val="lightGray"/>
        </w:rPr>
        <w:t>De regionale driftscentre skal udstyres med systemer til overvågningskontrol, dataindsamling tæt på realtid</w:t>
      </w:r>
      <w:r>
        <w:rPr>
          <w:noProof/>
          <w:highlight w:val="lightGray"/>
        </w:rPr>
        <w:t xml:space="preserve">, hvis observerbarhed defineres på grundlag af den tærskel, som er fastsat i henhold til punkt 4.1. </w:t>
      </w:r>
    </w:p>
    <w:p w:rsidR="008D284E" w:rsidRDefault="00BB7A98">
      <w:pPr>
        <w:pStyle w:val="NumPar2"/>
        <w:rPr>
          <w:noProof/>
          <w:highlight w:val="lightGray"/>
        </w:rPr>
      </w:pPr>
      <w:r>
        <w:rPr>
          <w:noProof/>
          <w:highlight w:val="lightGray"/>
        </w:rPr>
        <w:t>Hvert relevant regionalt driftscenter skal yde bistand til de udpegede frekvensledere og omsynkroniseringsledere med henblik på at forbedre produktiviteten</w:t>
      </w:r>
      <w:r>
        <w:rPr>
          <w:noProof/>
          <w:highlight w:val="lightGray"/>
        </w:rPr>
        <w:t xml:space="preserve"> og effektiviteten af systemgenoprettelsen. Transmissionssystemoperatørerne skal have beføjelse til at anmode de regionale driftscentre om bistand ved blackout eller i forbindelse med genoprettelse af deres system. </w:t>
      </w:r>
    </w:p>
    <w:p w:rsidR="008D284E" w:rsidRDefault="00BB7A98">
      <w:pPr>
        <w:pStyle w:val="NumPar1"/>
        <w:rPr>
          <w:b/>
          <w:noProof/>
          <w:highlight w:val="lightGray"/>
        </w:rPr>
      </w:pPr>
      <w:r>
        <w:rPr>
          <w:b/>
          <w:noProof/>
          <w:highlight w:val="lightGray"/>
        </w:rPr>
        <w:t>Analyse og rapportering efter driftsfase</w:t>
      </w:r>
      <w:r>
        <w:rPr>
          <w:b/>
          <w:noProof/>
          <w:highlight w:val="lightGray"/>
        </w:rPr>
        <w:t xml:space="preserve">ns ophør henholdsvis driftsforstyrrelsen </w:t>
      </w:r>
    </w:p>
    <w:p w:rsidR="008D284E" w:rsidRDefault="00BB7A98">
      <w:pPr>
        <w:pStyle w:val="NumPar2"/>
        <w:rPr>
          <w:noProof/>
          <w:highlight w:val="lightGray"/>
        </w:rPr>
      </w:pPr>
      <w:r>
        <w:rPr>
          <w:noProof/>
          <w:highlight w:val="lightGray"/>
        </w:rPr>
        <w:t>De regionale driftscentre skal efterforske og udarbejde en rapport om eventuelle hændelser over den tærskel, der er fastsat i henhold til punkt 4.1. Systemdriftområdets regulerende myndigheder og agenturet kan efte</w:t>
      </w:r>
      <w:r>
        <w:rPr>
          <w:noProof/>
          <w:highlight w:val="lightGray"/>
        </w:rPr>
        <w:t>r deres anmodning medvirke i undersøgelsen.  Rapporten skal indeholde henstillinger, der tager sigte på at forebygge lignende hændelser fremover.</w:t>
      </w:r>
    </w:p>
    <w:p w:rsidR="008D284E" w:rsidRDefault="00BB7A98">
      <w:pPr>
        <w:pStyle w:val="NumPar2"/>
        <w:rPr>
          <w:noProof/>
          <w:highlight w:val="lightGray"/>
        </w:rPr>
      </w:pPr>
      <w:r>
        <w:rPr>
          <w:noProof/>
          <w:highlight w:val="lightGray"/>
        </w:rPr>
        <w:t>Rapporten stilles til rådighed for alle transmissionssystemoperatørerne, de regulerende myndigheder, Kommissio</w:t>
      </w:r>
      <w:r>
        <w:rPr>
          <w:noProof/>
          <w:highlight w:val="lightGray"/>
        </w:rPr>
        <w:t>nen og agenturet. Agenturet kan udstede henstillinger, der tager sigte på at forebygge lignende hændelser fremover.</w:t>
      </w:r>
    </w:p>
    <w:p w:rsidR="008D284E" w:rsidRDefault="00BB7A98">
      <w:pPr>
        <w:pStyle w:val="NumPar1"/>
        <w:rPr>
          <w:b/>
          <w:noProof/>
          <w:highlight w:val="lightGray"/>
        </w:rPr>
      </w:pPr>
      <w:r>
        <w:rPr>
          <w:b/>
          <w:noProof/>
          <w:highlight w:val="lightGray"/>
        </w:rPr>
        <w:t xml:space="preserve">Regional dimensionering af reservekapacitet </w:t>
      </w:r>
    </w:p>
    <w:p w:rsidR="008D284E" w:rsidRDefault="00BB7A98">
      <w:pPr>
        <w:pStyle w:val="NumPar2"/>
        <w:rPr>
          <w:noProof/>
          <w:highlight w:val="lightGray"/>
        </w:rPr>
      </w:pPr>
      <w:r>
        <w:rPr>
          <w:noProof/>
          <w:highlight w:val="lightGray"/>
        </w:rPr>
        <w:t>De regionale driftscentre skal fastlægge krav til systemdriftområdets reservekapacitet. Fastlæg</w:t>
      </w:r>
      <w:r>
        <w:rPr>
          <w:noProof/>
          <w:highlight w:val="lightGray"/>
        </w:rPr>
        <w:t>gelsen af kravene til reservekapacitet skal:</w:t>
      </w:r>
    </w:p>
    <w:p w:rsidR="008D284E" w:rsidRDefault="00BB7A98">
      <w:pPr>
        <w:pStyle w:val="Point0letter"/>
        <w:numPr>
          <w:ilvl w:val="1"/>
          <w:numId w:val="44"/>
        </w:numPr>
        <w:rPr>
          <w:noProof/>
          <w:highlight w:val="lightGray"/>
        </w:rPr>
      </w:pPr>
      <w:r>
        <w:rPr>
          <w:noProof/>
          <w:highlight w:val="lightGray"/>
        </w:rPr>
        <w:t>forfølge en almen målsætning om at opretholde driftssikkerheden på den mest omkostningseffektive måde</w:t>
      </w:r>
    </w:p>
    <w:p w:rsidR="008D284E" w:rsidRDefault="00BB7A98">
      <w:pPr>
        <w:pStyle w:val="Point0letter"/>
        <w:numPr>
          <w:ilvl w:val="1"/>
          <w:numId w:val="7"/>
        </w:numPr>
        <w:rPr>
          <w:noProof/>
          <w:highlight w:val="lightGray"/>
        </w:rPr>
      </w:pPr>
      <w:r>
        <w:rPr>
          <w:noProof/>
          <w:highlight w:val="lightGray"/>
        </w:rPr>
        <w:t>foretages for day-ahead- og/eller intraday-tidsrammen</w:t>
      </w:r>
    </w:p>
    <w:p w:rsidR="008D284E" w:rsidRDefault="00BB7A98">
      <w:pPr>
        <w:pStyle w:val="Point0letter"/>
        <w:numPr>
          <w:ilvl w:val="1"/>
          <w:numId w:val="7"/>
        </w:numPr>
        <w:rPr>
          <w:noProof/>
          <w:highlight w:val="lightGray"/>
        </w:rPr>
      </w:pPr>
      <w:r>
        <w:rPr>
          <w:noProof/>
          <w:highlight w:val="lightGray"/>
        </w:rPr>
        <w:t>bestemme den samlede mængde påkrævet reservekapacitet f</w:t>
      </w:r>
      <w:r>
        <w:rPr>
          <w:noProof/>
          <w:highlight w:val="lightGray"/>
        </w:rPr>
        <w:t>or systemdriftområdet</w:t>
      </w:r>
    </w:p>
    <w:p w:rsidR="008D284E" w:rsidRDefault="00BB7A98">
      <w:pPr>
        <w:pStyle w:val="Point0letter"/>
        <w:numPr>
          <w:ilvl w:val="1"/>
          <w:numId w:val="7"/>
        </w:numPr>
        <w:rPr>
          <w:noProof/>
          <w:highlight w:val="lightGray"/>
        </w:rPr>
      </w:pPr>
      <w:r>
        <w:rPr>
          <w:noProof/>
          <w:highlight w:val="lightGray"/>
        </w:rPr>
        <w:t>fastlægge minimumskrav til reservekapacitet for hver type reservekapacitet</w:t>
      </w:r>
    </w:p>
    <w:p w:rsidR="008D284E" w:rsidRDefault="00BB7A98">
      <w:pPr>
        <w:pStyle w:val="Point0letter"/>
        <w:numPr>
          <w:ilvl w:val="1"/>
          <w:numId w:val="7"/>
        </w:numPr>
        <w:rPr>
          <w:noProof/>
          <w:highlight w:val="lightGray"/>
        </w:rPr>
      </w:pPr>
      <w:r>
        <w:rPr>
          <w:noProof/>
          <w:highlight w:val="lightGray"/>
        </w:rPr>
        <w:t>tage højde for muligheder for substitution mellem de forskellige typer af reservekapacitet med det formål at minimere anskaffelsesomkostningerne</w:t>
      </w:r>
    </w:p>
    <w:p w:rsidR="008D284E" w:rsidRDefault="00BB7A98">
      <w:pPr>
        <w:pStyle w:val="Point0letter"/>
        <w:numPr>
          <w:ilvl w:val="1"/>
          <w:numId w:val="7"/>
        </w:numPr>
        <w:rPr>
          <w:noProof/>
          <w:highlight w:val="lightGray"/>
        </w:rPr>
      </w:pPr>
      <w:r>
        <w:rPr>
          <w:noProof/>
          <w:highlight w:val="lightGray"/>
        </w:rPr>
        <w:t>opstille de nø</w:t>
      </w:r>
      <w:r>
        <w:rPr>
          <w:noProof/>
          <w:highlight w:val="lightGray"/>
        </w:rPr>
        <w:t>dvendige krav til den geografiske fordeling af påkrævet reservekapacitet, hvis dette er relevant.</w:t>
      </w:r>
    </w:p>
    <w:p w:rsidR="008D284E" w:rsidRDefault="00BB7A98">
      <w:pPr>
        <w:pStyle w:val="NumPar1"/>
        <w:rPr>
          <w:noProof/>
          <w:highlight w:val="lightGray"/>
        </w:rPr>
      </w:pPr>
      <w:r>
        <w:rPr>
          <w:b/>
          <w:noProof/>
          <w:highlight w:val="lightGray"/>
        </w:rPr>
        <w:t>Fremme af anskaffelse af balanceringskapacitet på regionalt niveau</w:t>
      </w:r>
    </w:p>
    <w:p w:rsidR="008D284E" w:rsidRDefault="00BB7A98">
      <w:pPr>
        <w:pStyle w:val="NumPar2"/>
        <w:rPr>
          <w:noProof/>
          <w:highlight w:val="lightGray"/>
        </w:rPr>
      </w:pPr>
      <w:r>
        <w:rPr>
          <w:noProof/>
          <w:highlight w:val="lightGray"/>
        </w:rPr>
        <w:t xml:space="preserve">De regionale driftscentre skal bistå systemdriftområdets transmissionssystemoperatører ved </w:t>
      </w:r>
      <w:r>
        <w:rPr>
          <w:noProof/>
          <w:highlight w:val="lightGray"/>
        </w:rPr>
        <w:t>fastlæggelsen af den mængde balanceringskapacitet, som der er behov for at anskaffe. Fastlæggelsen af mængden af balanceringskapacitet skal:</w:t>
      </w:r>
    </w:p>
    <w:p w:rsidR="008D284E" w:rsidRDefault="00BB7A98">
      <w:pPr>
        <w:pStyle w:val="Point0letter"/>
        <w:numPr>
          <w:ilvl w:val="1"/>
          <w:numId w:val="45"/>
        </w:numPr>
        <w:rPr>
          <w:noProof/>
          <w:highlight w:val="lightGray"/>
        </w:rPr>
      </w:pPr>
      <w:r>
        <w:rPr>
          <w:noProof/>
          <w:highlight w:val="lightGray"/>
        </w:rPr>
        <w:t>foretages for day-ahead- og/eller intraday-tidsrammen</w:t>
      </w:r>
    </w:p>
    <w:p w:rsidR="008D284E" w:rsidRDefault="00BB7A98">
      <w:pPr>
        <w:pStyle w:val="Point0letter"/>
        <w:numPr>
          <w:ilvl w:val="1"/>
          <w:numId w:val="7"/>
        </w:numPr>
        <w:rPr>
          <w:noProof/>
          <w:highlight w:val="lightGray"/>
        </w:rPr>
      </w:pPr>
      <w:r>
        <w:rPr>
          <w:noProof/>
          <w:highlight w:val="lightGray"/>
        </w:rPr>
        <w:t>tage højde for muligheder for substitution mellem de forskell</w:t>
      </w:r>
      <w:r>
        <w:rPr>
          <w:noProof/>
          <w:highlight w:val="lightGray"/>
        </w:rPr>
        <w:t>ige typer af reservekapacitet med det formål at minimere anskaffelsesomkostningerne</w:t>
      </w:r>
    </w:p>
    <w:p w:rsidR="008D284E" w:rsidRDefault="00BB7A98">
      <w:pPr>
        <w:pStyle w:val="Point0letter"/>
        <w:numPr>
          <w:ilvl w:val="1"/>
          <w:numId w:val="7"/>
        </w:numPr>
        <w:rPr>
          <w:noProof/>
          <w:highlight w:val="lightGray"/>
        </w:rPr>
      </w:pPr>
      <w:r>
        <w:rPr>
          <w:noProof/>
          <w:highlight w:val="lightGray"/>
        </w:rPr>
        <w:t>tage højde for de mængder af påkrævet reservekapacitet, som forventes at blive tilvejebragt gennem bud på balanceringsenergi, som ikke indgives på grundlag af en kontrakt o</w:t>
      </w:r>
      <w:r>
        <w:rPr>
          <w:noProof/>
          <w:highlight w:val="lightGray"/>
        </w:rPr>
        <w:t>m balanceringsenergi.</w:t>
      </w:r>
    </w:p>
    <w:p w:rsidR="008D284E" w:rsidRDefault="00BB7A98">
      <w:pPr>
        <w:pStyle w:val="NumPar2"/>
        <w:rPr>
          <w:noProof/>
          <w:highlight w:val="lightGray"/>
        </w:rPr>
      </w:pPr>
      <w:r>
        <w:rPr>
          <w:noProof/>
          <w:highlight w:val="lightGray"/>
        </w:rPr>
        <w:t xml:space="preserve">De regionale driftscentre skal bistå systemdriftområdets transmissionssystemoperatører ved anskaffelsen af den påkrævede mængde balanceringskapacitet, der er fastlagt i overensstemmelse med punkt 8.1. Anskaffelsen af </w:t>
      </w:r>
      <w:r>
        <w:rPr>
          <w:noProof/>
          <w:highlight w:val="lightGray"/>
        </w:rPr>
        <w:t>balanceringskapacitet skal:</w:t>
      </w:r>
    </w:p>
    <w:p w:rsidR="008D284E" w:rsidRDefault="00BB7A98">
      <w:pPr>
        <w:pStyle w:val="Point0letter"/>
        <w:numPr>
          <w:ilvl w:val="1"/>
          <w:numId w:val="46"/>
        </w:numPr>
        <w:rPr>
          <w:noProof/>
          <w:highlight w:val="lightGray"/>
        </w:rPr>
      </w:pPr>
      <w:r>
        <w:rPr>
          <w:noProof/>
          <w:highlight w:val="lightGray"/>
        </w:rPr>
        <w:t>foretages for day-ahead- og/eller intraday-tidsrammen</w:t>
      </w:r>
    </w:p>
    <w:p w:rsidR="008D284E" w:rsidRDefault="00BB7A98">
      <w:pPr>
        <w:pStyle w:val="Point0letter"/>
        <w:numPr>
          <w:ilvl w:val="1"/>
          <w:numId w:val="7"/>
        </w:numPr>
        <w:rPr>
          <w:noProof/>
          <w:highlight w:val="lightGray"/>
        </w:rPr>
      </w:pPr>
      <w:r>
        <w:rPr>
          <w:noProof/>
          <w:highlight w:val="lightGray"/>
        </w:rPr>
        <w:t>tage højde for muligheder for substitution mellem de forskellige typer af reservekapacitet med det formål at minimere anskaffelsesomkostningerne.</w:t>
      </w:r>
    </w:p>
    <w:p w:rsidR="008D284E" w:rsidRDefault="00BB7A98">
      <w:pPr>
        <w:pStyle w:val="NumPar1"/>
        <w:rPr>
          <w:b/>
          <w:noProof/>
          <w:highlight w:val="lightGray"/>
        </w:rPr>
      </w:pPr>
      <w:r>
        <w:rPr>
          <w:b/>
          <w:noProof/>
          <w:highlight w:val="lightGray"/>
        </w:rPr>
        <w:t>Prognoser for tilstrækkeligh</w:t>
      </w:r>
      <w:r>
        <w:rPr>
          <w:b/>
          <w:noProof/>
          <w:highlight w:val="lightGray"/>
        </w:rPr>
        <w:t>ed i det regionale system og forberedelse af risikoreducerende foranstaltninger</w:t>
      </w:r>
    </w:p>
    <w:p w:rsidR="008D284E" w:rsidRDefault="00BB7A98">
      <w:pPr>
        <w:pStyle w:val="NumPar2"/>
        <w:rPr>
          <w:noProof/>
          <w:highlight w:val="lightGray"/>
        </w:rPr>
      </w:pPr>
      <w:r>
        <w:rPr>
          <w:noProof/>
          <w:highlight w:val="lightGray"/>
        </w:rPr>
        <w:t xml:space="preserve">De regionale driftscentre skal udføre regionale tilstrækkelighedsvurderinger for week ahead til intraday. </w:t>
      </w:r>
    </w:p>
    <w:p w:rsidR="008D284E" w:rsidRDefault="00BB7A98">
      <w:pPr>
        <w:pStyle w:val="NumPar2"/>
        <w:rPr>
          <w:noProof/>
          <w:highlight w:val="lightGray"/>
        </w:rPr>
      </w:pPr>
      <w:r>
        <w:rPr>
          <w:noProof/>
          <w:highlight w:val="lightGray"/>
        </w:rPr>
        <w:t xml:space="preserve">De regionale driftscentre skal basere tilstrækkelighedsvurderingerne </w:t>
      </w:r>
      <w:r>
        <w:rPr>
          <w:noProof/>
          <w:highlight w:val="lightGray"/>
        </w:rPr>
        <w:t>på de oplysninger, som systemdriftområdets transmissionssystemoperatører forelægger, med henblik på at afdække situationer, hvor der må forventes manglende tilstrækkelighed i nogen af kontrolområderne eller på regionalt plan. De regionale driftscentre skal</w:t>
      </w:r>
      <w:r>
        <w:rPr>
          <w:noProof/>
          <w:highlight w:val="lightGray"/>
        </w:rPr>
        <w:t xml:space="preserve"> tage hensyn til en eventuel områdeoverskridende udveksling og driftsmæssige sikkerhedsgrænser i alle driftsplanlægningstidsrammer. </w:t>
      </w:r>
    </w:p>
    <w:p w:rsidR="008D284E" w:rsidRDefault="00BB7A98">
      <w:pPr>
        <w:pStyle w:val="NumPar2"/>
        <w:rPr>
          <w:noProof/>
          <w:highlight w:val="lightGray"/>
        </w:rPr>
      </w:pPr>
      <w:r>
        <w:rPr>
          <w:noProof/>
          <w:highlight w:val="lightGray"/>
        </w:rPr>
        <w:t>Ved udførelsen af en regional tilstrækkelighedsvurdering skal hvert regionalt driftscenter sikre koordinering med andre reg</w:t>
      </w:r>
      <w:r>
        <w:rPr>
          <w:noProof/>
          <w:highlight w:val="lightGray"/>
        </w:rPr>
        <w:t>ionale driftscentre for at:</w:t>
      </w:r>
    </w:p>
    <w:p w:rsidR="008D284E" w:rsidRDefault="00BB7A98">
      <w:pPr>
        <w:pStyle w:val="Point2letter"/>
        <w:numPr>
          <w:ilvl w:val="5"/>
          <w:numId w:val="7"/>
        </w:numPr>
        <w:rPr>
          <w:noProof/>
          <w:highlight w:val="lightGray"/>
        </w:rPr>
      </w:pPr>
      <w:r>
        <w:rPr>
          <w:noProof/>
          <w:highlight w:val="lightGray"/>
        </w:rPr>
        <w:t>verificere de bagvedliggende antagelser og prognoser</w:t>
      </w:r>
    </w:p>
    <w:p w:rsidR="008D284E" w:rsidRDefault="00BB7A98">
      <w:pPr>
        <w:pStyle w:val="Point2letter"/>
        <w:numPr>
          <w:ilvl w:val="5"/>
          <w:numId w:val="7"/>
        </w:numPr>
        <w:rPr>
          <w:noProof/>
          <w:highlight w:val="lightGray"/>
        </w:rPr>
      </w:pPr>
      <w:r>
        <w:rPr>
          <w:noProof/>
          <w:highlight w:val="lightGray"/>
        </w:rPr>
        <w:t>afsløre eventuelle situationer med manglende tilstrækkelighed mellem de forskellige regioner.</w:t>
      </w:r>
    </w:p>
    <w:p w:rsidR="008D284E" w:rsidRDefault="00BB7A98">
      <w:pPr>
        <w:pStyle w:val="NumPar2"/>
        <w:rPr>
          <w:noProof/>
          <w:highlight w:val="lightGray"/>
        </w:rPr>
      </w:pPr>
      <w:r>
        <w:rPr>
          <w:noProof/>
          <w:highlight w:val="lightGray"/>
        </w:rPr>
        <w:t>Hvert regionalt driftscenter skal levere resultaterne af vurderinger af produktio</w:t>
      </w:r>
      <w:r>
        <w:rPr>
          <w:noProof/>
          <w:highlight w:val="lightGray"/>
        </w:rPr>
        <w:t>nens regionale tilstrækkelighed sammen med de tiltag, som det foreslår for at mindske risici for manglende tilstrækkelighed, til systemdriftområdets transmissionssystemoperatører og til andre regionale driftscentre.</w:t>
      </w:r>
    </w:p>
    <w:p w:rsidR="008D284E" w:rsidRDefault="00BB7A98">
      <w:pPr>
        <w:pStyle w:val="NumPar1"/>
        <w:rPr>
          <w:b/>
          <w:noProof/>
          <w:highlight w:val="lightGray"/>
        </w:rPr>
      </w:pPr>
      <w:r>
        <w:rPr>
          <w:b/>
          <w:noProof/>
          <w:highlight w:val="lightGray"/>
        </w:rPr>
        <w:t>Regional koordinering af afbrydelser</w:t>
      </w:r>
    </w:p>
    <w:p w:rsidR="008D284E" w:rsidRDefault="00BB7A98">
      <w:pPr>
        <w:pStyle w:val="NumPar2"/>
        <w:rPr>
          <w:noProof/>
          <w:highlight w:val="lightGray"/>
        </w:rPr>
      </w:pPr>
      <w:r>
        <w:rPr>
          <w:noProof/>
          <w:highlight w:val="lightGray"/>
        </w:rPr>
        <w:t>Hve</w:t>
      </w:r>
      <w:r>
        <w:rPr>
          <w:noProof/>
          <w:highlight w:val="lightGray"/>
        </w:rPr>
        <w:t>rt regionalt driftscenter skal gennemføre koordinering af afbrydelser for at overvåge status for tilgængeligheden af de relevante anlæg og koordinere planerne for tilgængelighed for at sikre transmissionssystemets driftssikkerhed, og samtidig maksimere kap</w:t>
      </w:r>
      <w:r>
        <w:rPr>
          <w:noProof/>
          <w:highlight w:val="lightGray"/>
        </w:rPr>
        <w:t>aciteten i samkøringslinjerne og/eller i de transmissionssystemer, som påvirker overførselsflowkapaciteten.</w:t>
      </w:r>
    </w:p>
    <w:p w:rsidR="008D284E" w:rsidRDefault="00BB7A98">
      <w:pPr>
        <w:pStyle w:val="NumPar2"/>
        <w:rPr>
          <w:noProof/>
          <w:highlight w:val="lightGray"/>
        </w:rPr>
      </w:pPr>
      <w:r>
        <w:rPr>
          <w:noProof/>
          <w:highlight w:val="lightGray"/>
        </w:rPr>
        <w:t>Hvert regionalt driftscenter skal føre en fælles liste over systemdriftområdets relevante netelementer, produktionsanlæg og forbrugsenheder og still</w:t>
      </w:r>
      <w:r>
        <w:rPr>
          <w:noProof/>
          <w:highlight w:val="lightGray"/>
        </w:rPr>
        <w:t>e den til rådighed for ENTSO for elektricitets driftsplanlægningsdatamiljø.</w:t>
      </w:r>
    </w:p>
    <w:p w:rsidR="008D284E" w:rsidRDefault="00BB7A98">
      <w:pPr>
        <w:pStyle w:val="NumPar2"/>
        <w:rPr>
          <w:noProof/>
          <w:highlight w:val="lightGray"/>
        </w:rPr>
      </w:pPr>
      <w:r>
        <w:rPr>
          <w:noProof/>
          <w:highlight w:val="lightGray"/>
        </w:rPr>
        <w:t>Hvert regionalt driftscenter skal udføre følgende aktiviteter i forbindelse med koordinering af afbrydelser i systemdriftområdet:</w:t>
      </w:r>
    </w:p>
    <w:p w:rsidR="008D284E" w:rsidRDefault="00BB7A98">
      <w:pPr>
        <w:pStyle w:val="Point2letter"/>
        <w:numPr>
          <w:ilvl w:val="5"/>
          <w:numId w:val="47"/>
        </w:numPr>
        <w:rPr>
          <w:noProof/>
          <w:highlight w:val="lightGray"/>
        </w:rPr>
      </w:pPr>
      <w:r>
        <w:rPr>
          <w:noProof/>
          <w:highlight w:val="lightGray"/>
        </w:rPr>
        <w:t xml:space="preserve">vurdere foreneligheden af planerne for afbrydelse </w:t>
      </w:r>
      <w:r>
        <w:rPr>
          <w:noProof/>
          <w:highlight w:val="lightGray"/>
        </w:rPr>
        <w:t>ved anvendelse af alle transmissionssystemoperatørernes year-ahead planer for tilgængelighed</w:t>
      </w:r>
    </w:p>
    <w:p w:rsidR="008D284E" w:rsidRDefault="00BB7A98">
      <w:pPr>
        <w:pStyle w:val="Point2letter"/>
        <w:numPr>
          <w:ilvl w:val="5"/>
          <w:numId w:val="7"/>
        </w:numPr>
        <w:rPr>
          <w:noProof/>
          <w:highlight w:val="lightGray"/>
        </w:rPr>
      </w:pPr>
      <w:r>
        <w:rPr>
          <w:noProof/>
          <w:highlight w:val="lightGray"/>
        </w:rPr>
        <w:t>forsyne alle systemdriftområdets transmissionssystemoperatører med en liste over konstaterede inkompatibiliteter ved planlægningen og de løsninger, det foreslår me</w:t>
      </w:r>
      <w:r>
        <w:rPr>
          <w:noProof/>
          <w:highlight w:val="lightGray"/>
        </w:rPr>
        <w:t>d henblik på at afhjælpe disse inkompatibiliteter.</w:t>
      </w:r>
    </w:p>
    <w:p w:rsidR="008D284E" w:rsidRDefault="00BB7A98">
      <w:pPr>
        <w:pStyle w:val="NumPar1"/>
        <w:rPr>
          <w:b/>
          <w:noProof/>
          <w:highlight w:val="lightGray"/>
        </w:rPr>
      </w:pPr>
      <w:r>
        <w:rPr>
          <w:b/>
          <w:noProof/>
          <w:highlight w:val="lightGray"/>
        </w:rPr>
        <w:t>Optimering af kompensationsordninger blandt transmissionssystemoperatørerne</w:t>
      </w:r>
    </w:p>
    <w:p w:rsidR="008D284E" w:rsidRDefault="00BB7A98">
      <w:pPr>
        <w:pStyle w:val="NumPar2"/>
        <w:rPr>
          <w:noProof/>
          <w:highlight w:val="lightGray"/>
        </w:rPr>
      </w:pPr>
      <w:r>
        <w:rPr>
          <w:noProof/>
          <w:highlight w:val="lightGray"/>
        </w:rPr>
        <w:t xml:space="preserve">De regionale driftscentre skal bistå systemdriftområdets transmissionssystemoperatører med at forvalte de finansielle strømme i </w:t>
      </w:r>
      <w:r>
        <w:rPr>
          <w:noProof/>
          <w:highlight w:val="lightGray"/>
        </w:rPr>
        <w:t>forbindelse med afregning internt blandt transmissionssystemoperatørerne, når flere end to transmissionssystemoperatører er omfattet, f.eks. omkostninger til intern specialregulering, indtægter fra kapacitetsbegrænsninger, utilsigtede afvigelser eller omko</w:t>
      </w:r>
      <w:r>
        <w:rPr>
          <w:noProof/>
          <w:highlight w:val="lightGray"/>
        </w:rPr>
        <w:t>stninger til erhvervelse af reserver.</w:t>
      </w:r>
    </w:p>
    <w:p w:rsidR="008D284E" w:rsidRDefault="00BB7A98">
      <w:pPr>
        <w:pStyle w:val="NumPar1"/>
        <w:rPr>
          <w:b/>
          <w:noProof/>
          <w:highlight w:val="lightGray"/>
        </w:rPr>
      </w:pPr>
      <w:r>
        <w:rPr>
          <w:b/>
          <w:noProof/>
          <w:highlight w:val="lightGray"/>
        </w:rPr>
        <w:t>Uddannelse og certificering</w:t>
      </w:r>
    </w:p>
    <w:p w:rsidR="008D284E" w:rsidRDefault="00BB7A98">
      <w:pPr>
        <w:pStyle w:val="NumPar2"/>
        <w:rPr>
          <w:noProof/>
          <w:highlight w:val="lightGray"/>
        </w:rPr>
      </w:pPr>
      <w:r>
        <w:rPr>
          <w:noProof/>
          <w:highlight w:val="lightGray"/>
        </w:rPr>
        <w:t>De regionale driftscentre skal udarbejde og gennemføre uddannelses- og certificeringsprogrammer, der er målrettet regional systemdrift for det personale, der arbejder i systemdriftområdets t</w:t>
      </w:r>
      <w:r>
        <w:rPr>
          <w:noProof/>
          <w:highlight w:val="lightGray"/>
        </w:rPr>
        <w:t xml:space="preserve">ransmissionssystemoperatørers planlægnings- og kontrolrum. </w:t>
      </w:r>
    </w:p>
    <w:p w:rsidR="008D284E" w:rsidRDefault="00BB7A98">
      <w:pPr>
        <w:pStyle w:val="NumPar2"/>
        <w:rPr>
          <w:noProof/>
          <w:highlight w:val="lightGray"/>
        </w:rPr>
      </w:pPr>
      <w:r>
        <w:rPr>
          <w:noProof/>
          <w:highlight w:val="lightGray"/>
        </w:rPr>
        <w:t>Uddannelsesprogrammerne skal omfatte alle relevante komponenter af systemdriften, herunder krisescenarier på regionalt niveau.</w:t>
      </w:r>
    </w:p>
    <w:p w:rsidR="008D284E" w:rsidRDefault="00BB7A98">
      <w:pPr>
        <w:pStyle w:val="NumPar1"/>
        <w:rPr>
          <w:b/>
          <w:noProof/>
          <w:highlight w:val="lightGray"/>
        </w:rPr>
      </w:pPr>
      <w:r>
        <w:rPr>
          <w:b/>
          <w:noProof/>
          <w:highlight w:val="lightGray"/>
        </w:rPr>
        <w:t>Kortlægning af regionale krisesituationer og forberedelse af risikobe</w:t>
      </w:r>
      <w:r>
        <w:rPr>
          <w:b/>
          <w:noProof/>
          <w:highlight w:val="lightGray"/>
        </w:rPr>
        <w:t>grænsende scenarier med revision af risikoberedskabsplaner, der er udarbejdet i medlemsstaterne</w:t>
      </w:r>
    </w:p>
    <w:p w:rsidR="008D284E" w:rsidRDefault="00BB7A98">
      <w:pPr>
        <w:pStyle w:val="NumPar2"/>
        <w:rPr>
          <w:noProof/>
          <w:highlight w:val="lightGray"/>
        </w:rPr>
      </w:pPr>
      <w:r>
        <w:rPr>
          <w:noProof/>
          <w:highlight w:val="lightGray"/>
        </w:rPr>
        <w:t>Uddelegerer ENTSO for elektricitet denne funktion, skal de regionale driftscentre kortlægge regionale krisescenarier i overensstemmelse med de kriterier, der er</w:t>
      </w:r>
      <w:r>
        <w:rPr>
          <w:noProof/>
          <w:highlight w:val="lightGray"/>
        </w:rPr>
        <w:t xml:space="preserve"> fastsat i artikel 6, stk. 1, i [forordningen om risikoberedskab som foreslået ved COM(2016) 862].</w:t>
      </w:r>
    </w:p>
    <w:p w:rsidR="008D284E" w:rsidRDefault="00BB7A98">
      <w:pPr>
        <w:pStyle w:val="NumPar2"/>
        <w:rPr>
          <w:noProof/>
          <w:highlight w:val="lightGray"/>
        </w:rPr>
      </w:pPr>
      <w:r>
        <w:rPr>
          <w:noProof/>
          <w:highlight w:val="lightGray"/>
        </w:rPr>
        <w:t>De regionale driftscentre skal hvert år forberede og udføre krisesimulering i samarbejde med de kompetente myndigheder i henhold til artikel 12, stk. 3, i [f</w:t>
      </w:r>
      <w:r>
        <w:rPr>
          <w:noProof/>
          <w:highlight w:val="lightGray"/>
        </w:rPr>
        <w:t>orordningen om risikoberedskab som foreslået ved COM(2016) 862].</w:t>
      </w:r>
    </w:p>
    <w:sectPr w:rsidR="008D284E" w:rsidSect="00BB7A98">
      <w:footerReference w:type="defaul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4E" w:rsidRDefault="00BB7A98">
      <w:pPr>
        <w:spacing w:before="0" w:after="0"/>
      </w:pPr>
      <w:r>
        <w:separator/>
      </w:r>
    </w:p>
  </w:endnote>
  <w:endnote w:type="continuationSeparator" w:id="0">
    <w:p w:rsidR="008D284E" w:rsidRDefault="00BB7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Footer"/>
      <w:rPr>
        <w:rFonts w:ascii="Arial" w:hAnsi="Arial" w:cs="Arial"/>
        <w:b/>
        <w:sz w:val="48"/>
      </w:rPr>
    </w:pPr>
    <w:r w:rsidRPr="00BB7A98">
      <w:rPr>
        <w:rFonts w:ascii="Arial" w:hAnsi="Arial" w:cs="Arial"/>
        <w:b/>
        <w:sz w:val="48"/>
      </w:rPr>
      <w:t>DA</w:t>
    </w:r>
    <w:r w:rsidRPr="00BB7A98">
      <w:rPr>
        <w:rFonts w:ascii="Arial" w:hAnsi="Arial" w:cs="Arial"/>
        <w:b/>
        <w:sz w:val="48"/>
      </w:rPr>
      <w:tab/>
    </w:r>
    <w:r w:rsidRPr="00BB7A98">
      <w:rPr>
        <w:rFonts w:ascii="Arial" w:hAnsi="Arial" w:cs="Arial"/>
        <w:b/>
        <w:sz w:val="48"/>
      </w:rPr>
      <w:tab/>
    </w:r>
    <w:fldSimple w:instr=" DOCVARIABLE &quot;LW_Confidence&quot; \* MERGEFORMAT ">
      <w:r>
        <w:t xml:space="preserve"> </w:t>
      </w:r>
    </w:fldSimple>
    <w:r w:rsidRPr="00BB7A98">
      <w:tab/>
    </w:r>
    <w:proofErr w:type="spellStart"/>
    <w:r w:rsidRPr="00BB7A98">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Footer"/>
      <w:rPr>
        <w:rFonts w:ascii="Arial" w:hAnsi="Arial" w:cs="Arial"/>
        <w:b/>
        <w:sz w:val="48"/>
      </w:rPr>
    </w:pPr>
    <w:r w:rsidRPr="00BB7A98">
      <w:rPr>
        <w:rFonts w:ascii="Arial" w:hAnsi="Arial" w:cs="Arial"/>
        <w:b/>
        <w:sz w:val="48"/>
      </w:rPr>
      <w:t>DA</w:t>
    </w:r>
    <w:r w:rsidRPr="00BB7A98">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fldSimple w:instr=" DOCVARIABLE &quot;LW_Confidence&quot; \* MERGEFORMAT ">
      <w:r>
        <w:t xml:space="preserve"> </w:t>
      </w:r>
    </w:fldSimple>
    <w:r w:rsidRPr="00BB7A98">
      <w:tab/>
    </w:r>
    <w:r w:rsidRPr="00BB7A98">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4E" w:rsidRDefault="00BB7A98">
      <w:pPr>
        <w:spacing w:before="0" w:after="0"/>
      </w:pPr>
      <w:r>
        <w:separator/>
      </w:r>
    </w:p>
  </w:footnote>
  <w:footnote w:type="continuationSeparator" w:id="0">
    <w:p w:rsidR="008D284E" w:rsidRDefault="00BB7A98">
      <w:pPr>
        <w:spacing w:before="0" w:after="0"/>
      </w:pPr>
      <w:r>
        <w:continuationSeparator/>
      </w:r>
    </w:p>
  </w:footnote>
  <w:footnote w:id="1">
    <w:p w:rsidR="008D284E" w:rsidRDefault="00BB7A98">
      <w:pPr>
        <w:pStyle w:val="FootnoteText"/>
        <w:rPr>
          <w:highlight w:val="lightGray"/>
        </w:rPr>
      </w:pPr>
      <w:r>
        <w:rPr>
          <w:rStyle w:val="FootnoteReference"/>
          <w:highlight w:val="lightGray"/>
        </w:rPr>
        <w:footnoteRef/>
      </w:r>
      <w:r>
        <w:rPr>
          <w:highlight w:val="lightGray"/>
        </w:rPr>
        <w:tab/>
      </w:r>
      <w:r>
        <w:rPr>
          <w:rStyle w:val="CRRefonteDeleted"/>
          <w:highlight w:val="lightGray"/>
        </w:rPr>
        <w:t xml:space="preserve">Ved driftsmæssig sikkerhed forstås "opretholdelse af overførselssystemet inden for aftalte </w:t>
      </w:r>
      <w:r>
        <w:rPr>
          <w:rStyle w:val="CRRefonteDeleted"/>
          <w:highlight w:val="lightGray"/>
        </w:rPr>
        <w:t>sikkerhedsgrænser".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98" w:rsidRPr="00BB7A98" w:rsidRDefault="00BB7A98" w:rsidP="00BB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EAA3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5A9A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1883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12C4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6A7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F4B6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EE4DC9A"/>
    <w:lvl w:ilvl="0">
      <w:start w:val="1"/>
      <w:numFmt w:val="decimal"/>
      <w:pStyle w:val="ListNumber"/>
      <w:lvlText w:val="%1."/>
      <w:lvlJc w:val="left"/>
      <w:pPr>
        <w:tabs>
          <w:tab w:val="num" w:pos="360"/>
        </w:tabs>
        <w:ind w:left="360" w:hanging="360"/>
      </w:pPr>
    </w:lvl>
  </w:abstractNum>
  <w:abstractNum w:abstractNumId="7">
    <w:nsid w:val="FFFFFF89"/>
    <w:multiLevelType w:val="singleLevel"/>
    <w:tmpl w:val="716482A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714/2009"/>
    <w:docVar w:name="CR_RefCount" w:val="1"/>
    <w:docVar w:name="CR_RefLast" w:val="0"/>
    <w:docVar w:name="CR_TimeStamp" w:val="11:25:02"/>
    <w:docVar w:name="DQCDateTime" w:val="2017-02-24 11:04: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ACCOMPAGNANT" w:val="til"/>
    <w:docVar w:name="LW_ACCOMPAGNANT.CP" w:val="til"/>
    <w:docVar w:name="LW_ANNEX_NBR_FIRST" w:val="1"/>
    <w:docVar w:name="LW_ANNEX_NBR_LAST" w:val="1"/>
    <w:docVar w:name="LW_CONFIDENCE" w:val=" "/>
    <w:docVar w:name="LW_CONST_RESTREINT_UE" w:val="RESTREINT UE/EU RESTRICTED"/>
    <w:docVar w:name="LW_CORRIGENDUM" w:val="&lt;UNUSED&gt;"/>
    <w:docVar w:name="LW_COVERPAGE_GUID" w:val="36933A854FFE47AEB35EED38D7B3D93D"/>
    <w:docVar w:name="LW_CROSSREFERENCE" w:val="{SWD(2016) 410 final}_x000b_{SWD(2016) 411 final}_x000b_{SWD(2016) 412 final}_x000b_{SWD(2016) 413 final}"/>
    <w:docVar w:name="LW_DocType" w:val="ANNEX"/>
    <w:docVar w:name="LW_EMISSION" w:val="23.2.2017"/>
    <w:docVar w:name="LW_EMISSION_ISODATE" w:val="2017-02-23"/>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det indre marked for elektricitet"/>
    <w:docVar w:name="LW_OBJETACTEPRINCIPAL.CP" w:val="om det indre marked for elektricitet"/>
    <w:docVar w:name="LW_PART_NBR" w:val="1"/>
    <w:docVar w:name="LW_PART_NBR_TOTAL" w:val="1"/>
    <w:docVar w:name="LW_REF.INST.NEW" w:val="COM"/>
    <w:docVar w:name="LW_REF.INST.NEW_ADOPTED" w:val="final"/>
    <w:docVar w:name="LW_REF.INST.NEW_TEXT" w:val="(2016) 861"/>
    <w:docVar w:name="LW_REF.INTERNE" w:val="&lt;UNUSED&gt;"/>
    <w:docVar w:name="LW_SUPERTITRE" w:val="&lt;UNUSED&gt;"/>
    <w:docVar w:name="LW_TITRE.OBJ.CP" w:val="&lt;UNUSED&gt;"/>
    <w:docVar w:name="LW_TYPE.DOC" w:val="BILAG"/>
    <w:docVar w:name="LW_TYPE.DOC.CP" w:val="BILAG"/>
    <w:docVar w:name="LW_TYPEACTEPRINCIPAL" w:val="forslag til Europa-Parlamentets og Rådets forordning"/>
    <w:docVar w:name="LW_TYPEACTEPRINCIPAL.CP" w:val="forslag til Europa-Parlamentets og Rådets forordning"/>
  </w:docVars>
  <w:rsids>
    <w:rsidRoot w:val="008D284E"/>
    <w:rsid w:val="004321B7"/>
    <w:rsid w:val="008D284E"/>
    <w:rsid w:val="00BB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customStyle="1" w:styleId="CRRefonteDeleted">
    <w:name w:val="CR Refonte Deleted"/>
    <w:rPr>
      <w:strike w:val="0"/>
      <w:dstrike/>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link w:val="CRReference"/>
    <w:rPr>
      <w:rFonts w:ascii="Times New Roman" w:hAnsi="Times New Roman" w:cs="Times New Roman"/>
      <w:sz w:val="24"/>
      <w:lang w:val="en-GB"/>
    </w:rPr>
  </w:style>
  <w:style w:type="character" w:customStyle="1" w:styleId="CRMarker">
    <w:name w:val="CR Marker"/>
    <w:rPr>
      <w:rFonts w:ascii="Wingdings" w:hAnsi="Wingdings"/>
      <w:b w:val="0"/>
      <w:szCs w:val="22"/>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BB7A98"/>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BB7A98"/>
    <w:rPr>
      <w:rFonts w:ascii="Times New Roman" w:eastAsiaTheme="minorHAnsi" w:hAnsi="Times New Roman"/>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B7A98"/>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customStyle="1" w:styleId="CRRefonteDeleted">
    <w:name w:val="CR Refonte Deleted"/>
    <w:rPr>
      <w:strike w:val="0"/>
      <w:dstrike/>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link w:val="CRReference"/>
    <w:rPr>
      <w:rFonts w:ascii="Times New Roman" w:hAnsi="Times New Roman" w:cs="Times New Roman"/>
      <w:sz w:val="24"/>
      <w:lang w:val="en-GB"/>
    </w:rPr>
  </w:style>
  <w:style w:type="character" w:customStyle="1" w:styleId="CRMarker">
    <w:name w:val="CR Marker"/>
    <w:rPr>
      <w:rFonts w:ascii="Wingdings" w:hAnsi="Wingdings"/>
      <w:b w:val="0"/>
      <w:szCs w:val="22"/>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BB7A98"/>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BB7A98"/>
    <w:rPr>
      <w:rFonts w:ascii="Times New Roman" w:eastAsiaTheme="minorHAnsi" w:hAnsi="Times New Roman"/>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B7A98"/>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e723be74-0592-4959-a08c-890e9f601294">Not Started</EC_Collab_Status>
    <_Status xmlns="http://schemas.microsoft.com/sharepoint/v3/fields">Not Started</_Status>
    <EC_Collab_Reference xmlns="e723be74-0592-4959-a08c-890e9f601294" xsi:nil="true"/>
    <EC_Collab_DocumentLanguage xmlns="e723be74-0592-4959-a08c-890e9f601294">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0C42ED1FDF0E6408A29CBB40EFCCB78" ma:contentTypeVersion="0" ma:contentTypeDescription="Create a new document in this library." ma:contentTypeScope="" ma:versionID="546403962b26be6bda1599bd98a55196">
  <xsd:schema xmlns:xsd="http://www.w3.org/2001/XMLSchema" xmlns:xs="http://www.w3.org/2001/XMLSchema" xmlns:p="http://schemas.microsoft.com/office/2006/metadata/properties" xmlns:ns2="http://schemas.microsoft.com/sharepoint/v3/fields" xmlns:ns3="e723be74-0592-4959-a08c-890e9f601294" targetNamespace="http://schemas.microsoft.com/office/2006/metadata/properties" ma:root="true" ma:fieldsID="176faedc97c9caf099fdee0aa83e846b" ns2:_="" ns3:_="">
    <xsd:import namespace="http://schemas.microsoft.com/sharepoint/v3/fields"/>
    <xsd:import namespace="e723be74-0592-4959-a08c-890e9f6012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23be74-0592-4959-a08c-890e9f6012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6455-C6DD-49FF-8849-7F4DC5203017}">
  <ds:schemaRefs>
    <ds:schemaRef ds:uri="http://schemas.microsoft.com/office/2006/documentManagement/types"/>
    <ds:schemaRef ds:uri="e723be74-0592-4959-a08c-890e9f601294"/>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A36E6F4-B240-4637-AE4A-8BD335DD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723be74-0592-4959-a08c-890e9f601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84F56-8208-41A3-AD86-EDC63A84FEFD}">
  <ds:schemaRefs>
    <ds:schemaRef ds:uri="http://schemas.microsoft.com/sharepoint/v3/contenttype/forms"/>
  </ds:schemaRefs>
</ds:datastoreItem>
</file>

<file path=customXml/itemProps4.xml><?xml version="1.0" encoding="utf-8"?>
<ds:datastoreItem xmlns:ds="http://schemas.openxmlformats.org/officeDocument/2006/customXml" ds:itemID="{B4B54620-D167-494F-8F5F-9C30F12F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3961</Words>
  <Characters>26549</Characters>
  <Application>Microsoft Office Word</Application>
  <DocSecurity>0</DocSecurity>
  <Lines>427</Lines>
  <Paragraphs>141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Annex 1 to the Electricity regulation (RECAST)</dc:subject>
  <dc:creator>PAPSCH Jan (ENER)</dc:creator>
  <dc:description>Contains LS comments</dc:description>
  <cp:lastModifiedBy>Stefanie Heilemann</cp:lastModifiedBy>
  <cp:revision>10</cp:revision>
  <cp:lastPrinted>2016-11-29T11:52:00Z</cp:lastPrinted>
  <dcterms:created xsi:type="dcterms:W3CDTF">2017-02-24T10:04:00Z</dcterms:created>
  <dcterms:modified xsi:type="dcterms:W3CDTF">2017-02-24T14:03:00Z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0x010100258AA79CEB83498886A3A086811232500020C42ED1FDF0E6408A29CBB40EFCCB78</vt:lpwstr>
  </property>
  <property fmtid="{D5CDD505-2E9C-101B-9397-08002B2CF9AE}" pid="13" name="LWCR Document">
    <vt:lpwstr>True</vt:lpwstr>
  </property>
  <property fmtid="{D5CDD505-2E9C-101B-9397-08002B2CF9AE}" pid="14" name="LWCR Version">
    <vt:lpwstr>1.6.413</vt:lpwstr>
  </property>
  <property fmtid="{D5CDD505-2E9C-101B-9397-08002B2CF9AE}" pid="15" name="LWCR IsRefonte">
    <vt:lpwstr>True</vt:lpwstr>
  </property>
  <property fmtid="{D5CDD505-2E9C-101B-9397-08002B2CF9AE}" pid="16" name="DQCStatus">
    <vt:lpwstr>Yellow (DQC version 03)</vt:lpwstr>
  </property>
</Properties>
</file>