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989BAC9C754444CA658071E5AED8A0E"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 xml:space="preserve">I priedas </w:t>
      </w:r>
    </w:p>
    <w:p>
      <w:pPr>
        <w:keepNext/>
        <w:jc w:val="center"/>
        <w:outlineLvl w:val="0"/>
        <w:rPr>
          <w:b/>
          <w:noProof/>
        </w:rPr>
      </w:pPr>
      <w:r>
        <w:rPr>
          <w:b/>
          <w:noProof/>
        </w:rPr>
        <w:t xml:space="preserve">Įtraukiamos temos </w:t>
      </w:r>
    </w:p>
    <w:tbl>
      <w:tblPr>
        <w:tblW w:w="8662" w:type="dxa"/>
        <w:tblInd w:w="93" w:type="dxa"/>
        <w:tblLook w:val="04A0" w:firstRow="1" w:lastRow="0" w:firstColumn="1" w:lastColumn="0" w:noHBand="0" w:noVBand="1"/>
      </w:tblPr>
      <w:tblGrid>
        <w:gridCol w:w="2709"/>
        <w:gridCol w:w="5953"/>
      </w:tblGrid>
      <w:tr>
        <w:trPr>
          <w:trHeight w:val="300"/>
        </w:trPr>
        <w:tc>
          <w:tcPr>
            <w:tcW w:w="8662" w:type="dxa"/>
            <w:gridSpan w:val="2"/>
            <w:tcBorders>
              <w:bottom w:val="single" w:sz="4" w:space="0" w:color="auto"/>
              <w:right w:val="nil"/>
            </w:tcBorders>
            <w:shd w:val="clear" w:color="auto" w:fill="auto"/>
            <w:noWrap/>
            <w:hideMark/>
          </w:tcPr>
          <w:p>
            <w:pPr>
              <w:rPr>
                <w:b/>
                <w:bCs/>
                <w:noProof/>
                <w:sz w:val="22"/>
              </w:rPr>
            </w:pPr>
            <w:r>
              <w:rPr>
                <w:b/>
                <w:noProof/>
                <w:sz w:val="22"/>
              </w:rPr>
              <w:t>1 dalyko sritis. Trumpojo laikotarpio verslo statistika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Temos</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Potemės</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Verslo dalyviai</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Verslo demografiniai įvykiai (bankrotai ir registracijos)</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Užimtumas</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Išdirbtos valandos </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Darbo sąnaudos</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Kainos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Importo kainos </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Gamintojų kainos</w:t>
            </w:r>
          </w:p>
        </w:tc>
      </w:tr>
      <w:tr>
        <w:tc>
          <w:tcPr>
            <w:tcW w:w="2709" w:type="dxa"/>
            <w:vMerge w:val="restart"/>
            <w:tcBorders>
              <w:top w:val="nil"/>
              <w:left w:val="single" w:sz="4" w:space="0" w:color="auto"/>
              <w:bottom w:val="nil"/>
              <w:right w:val="single" w:sz="4" w:space="0" w:color="auto"/>
            </w:tcBorders>
            <w:shd w:val="clear" w:color="auto" w:fill="auto"/>
            <w:hideMark/>
          </w:tcPr>
          <w:p>
            <w:pPr>
              <w:rPr>
                <w:noProof/>
                <w:sz w:val="22"/>
              </w:rPr>
            </w:pPr>
            <w:r>
              <w:rPr>
                <w:noProof/>
                <w:sz w:val="22"/>
              </w:rPr>
              <w:t>Rezultatai ir veiksmingumas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Gamyba</w:t>
            </w:r>
          </w:p>
        </w:tc>
      </w:tr>
      <w:tr>
        <w:tc>
          <w:tcPr>
            <w:tcW w:w="2709" w:type="dxa"/>
            <w:vMerge/>
            <w:tcBorders>
              <w:top w:val="nil"/>
              <w:left w:val="single" w:sz="4" w:space="0" w:color="auto"/>
              <w:bottom w:val="nil"/>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Pardavimo apimtis</w:t>
            </w:r>
          </w:p>
        </w:tc>
      </w:tr>
      <w:tr>
        <w:tc>
          <w:tcPr>
            <w:tcW w:w="2709" w:type="dxa"/>
            <w:vMerge/>
            <w:tcBorders>
              <w:top w:val="nil"/>
              <w:left w:val="single" w:sz="4" w:space="0" w:color="auto"/>
              <w:bottom w:val="nil"/>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Grynoji apyvarta</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Leidimai</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Statybos leidimai</w:t>
            </w:r>
          </w:p>
        </w:tc>
      </w:tr>
      <w:tr>
        <w:trPr>
          <w:trHeight w:val="300"/>
        </w:trPr>
        <w:tc>
          <w:tcPr>
            <w:tcW w:w="2709" w:type="dxa"/>
            <w:tcBorders>
              <w:top w:val="single" w:sz="4" w:space="0" w:color="auto"/>
              <w:left w:val="nil"/>
              <w:right w:val="nil"/>
            </w:tcBorders>
            <w:shd w:val="clear" w:color="auto" w:fill="auto"/>
            <w:hideMark/>
          </w:tcPr>
          <w:p>
            <w:pPr>
              <w:rPr>
                <w:noProof/>
                <w:sz w:val="22"/>
              </w:rPr>
            </w:pPr>
            <w:r>
              <w:rPr>
                <w:noProof/>
                <w:sz w:val="22"/>
              </w:rPr>
              <w:t> </w:t>
            </w:r>
          </w:p>
        </w:tc>
        <w:tc>
          <w:tcPr>
            <w:tcW w:w="5953" w:type="dxa"/>
            <w:tcBorders>
              <w:top w:val="single" w:sz="4" w:space="0" w:color="auto"/>
              <w:left w:val="nil"/>
              <w:right w:val="nil"/>
            </w:tcBorders>
            <w:shd w:val="clear" w:color="auto" w:fill="auto"/>
            <w:hideMark/>
          </w:tcPr>
          <w:p>
            <w:pPr>
              <w:rPr>
                <w:noProof/>
                <w:sz w:val="22"/>
              </w:rPr>
            </w:pPr>
            <w:r>
              <w:rPr>
                <w:noProof/>
                <w:sz w:val="22"/>
              </w:rPr>
              <w:t> </w:t>
            </w:r>
          </w:p>
        </w:tc>
      </w:tr>
      <w:tr>
        <w:trPr>
          <w:trHeight w:val="300"/>
        </w:trPr>
        <w:tc>
          <w:tcPr>
            <w:tcW w:w="8662" w:type="dxa"/>
            <w:gridSpan w:val="2"/>
            <w:tcBorders>
              <w:top w:val="nil"/>
              <w:bottom w:val="nil"/>
              <w:right w:val="nil"/>
            </w:tcBorders>
            <w:shd w:val="clear" w:color="auto" w:fill="auto"/>
            <w:noWrap/>
            <w:hideMark/>
          </w:tcPr>
          <w:p>
            <w:pPr>
              <w:rPr>
                <w:b/>
                <w:bCs/>
                <w:noProof/>
                <w:sz w:val="22"/>
              </w:rPr>
            </w:pPr>
            <w:r>
              <w:rPr>
                <w:b/>
                <w:noProof/>
                <w:sz w:val="22"/>
              </w:rPr>
              <w:t>2 dalyko sritis. Šalies lygmens verslo statistika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Temos</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Potemės</w:t>
            </w:r>
          </w:p>
        </w:tc>
      </w:tr>
      <w:tr>
        <w:tc>
          <w:tcPr>
            <w:tcW w:w="2709" w:type="dxa"/>
            <w:vMerge w:val="restart"/>
            <w:tcBorders>
              <w:top w:val="single" w:sz="4" w:space="0" w:color="auto"/>
              <w:left w:val="single" w:sz="4" w:space="0" w:color="auto"/>
              <w:right w:val="single" w:sz="4" w:space="0" w:color="auto"/>
            </w:tcBorders>
            <w:shd w:val="clear" w:color="auto" w:fill="auto"/>
            <w:hideMark/>
          </w:tcPr>
          <w:p>
            <w:pPr>
              <w:rPr>
                <w:noProof/>
                <w:sz w:val="22"/>
              </w:rPr>
            </w:pPr>
            <w:r>
              <w:rPr>
                <w:noProof/>
                <w:sz w:val="22"/>
              </w:rPr>
              <w:t>Verslo dalyviai</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Veikiančios įmonės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Verslo demografiniai įvykiai (įsteigimas, veiklos nutraukimas, veiklos tęsimas)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Užsienio subjektų kontroliuojamos įmonės</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nil"/>
              <w:right w:val="single" w:sz="4" w:space="0" w:color="auto"/>
            </w:tcBorders>
            <w:shd w:val="clear" w:color="auto" w:fill="auto"/>
          </w:tcPr>
          <w:p>
            <w:pPr>
              <w:rPr>
                <w:noProof/>
                <w:sz w:val="22"/>
              </w:rPr>
            </w:pPr>
            <w:r>
              <w:rPr>
                <w:noProof/>
                <w:sz w:val="22"/>
              </w:rPr>
              <w:t>Užsienio kontroliuojančiosios įmonės (UCI sąvoka) ir su jomis susijusios vietos įmonės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Tarptautinę prekybą vykdančios įmonės</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Užimtumas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Su verslo demografiniais įvykiais (įsteigimu, veiklos nutraukimu, veiklos tęsimu) susijęs užimtumas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Užimtumas užsienio subjektų kontroliuojamose įmonėse</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Užimtumas užsienio kontroliuojančiosiose įmonėse (UCI sąvoka) ir su jomis susijusiose vietos įmonėse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Išdirbtos valandos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Darbo sąnaudos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Darbo sąnaudos užsienio subjektų kontroliuojamose įmonėse</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MTTP duomenys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MTTP išlaidos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MTTP užimtumas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MTTP išlaidos užsienio subjektų kontroliuojamose įmonėse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MTTP užimtumas užsienio subjektų kontroliuojamose įmonėse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Viešosiomis lėšomis finansuojami MTTP</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Pirkimas</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Prekių ir paslaugų pirkimas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Prekių atsargų pokytis </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Užsienio subjektų kontroliuojamų įmonių prekių ir paslaugų pirkimas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Įmonių vykdomas importas</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Rezultatai ir veiksmingumas</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Grynoji apyvarta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Bendroji marža, gauta iš prekių perpardavimo</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Produkcijos vertė</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Pridėtinė vertė</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Bendrasis likutinis perteklius</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Užsienio subjektų kontroliuojamų įmonių grynoji apyvarta</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Užsienio subjektų kontroliuojamų įmonių produkcijos vertė</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 xml:space="preserve">Užsienio subjektų kontroliuojamų įmonių pridėtinė vertė </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Užsienio kontroliuojančiųjų įmonių (UCI sąvoka) ir su jomis susijusių vietos įmonių grynoji apyvarta</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Pramonės produkcija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Įmonių vykdomas eksportas</w:t>
            </w:r>
          </w:p>
        </w:tc>
      </w:tr>
      <w:tr>
        <w:tc>
          <w:tcPr>
            <w:tcW w:w="2709" w:type="dxa"/>
            <w:vMerge w:val="restart"/>
            <w:tcBorders>
              <w:top w:val="single" w:sz="4" w:space="0" w:color="000000"/>
              <w:left w:val="single" w:sz="4" w:space="0" w:color="auto"/>
              <w:bottom w:val="nil"/>
              <w:right w:val="single" w:sz="4" w:space="0" w:color="auto"/>
            </w:tcBorders>
            <w:shd w:val="clear" w:color="auto" w:fill="auto"/>
            <w:hideMark/>
          </w:tcPr>
          <w:p>
            <w:pPr>
              <w:rPr>
                <w:noProof/>
                <w:sz w:val="22"/>
              </w:rPr>
            </w:pPr>
            <w:r>
              <w:rPr>
                <w:noProof/>
                <w:sz w:val="22"/>
              </w:rPr>
              <w:t>Investicijos</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 xml:space="preserve">Bendrosios investicijos </w:t>
            </w:r>
          </w:p>
        </w:tc>
      </w:tr>
      <w:tr>
        <w:tc>
          <w:tcPr>
            <w:tcW w:w="2709" w:type="dxa"/>
            <w:vMerge/>
            <w:tcBorders>
              <w:top w:val="single" w:sz="4" w:space="0" w:color="000000"/>
              <w:left w:val="single" w:sz="4" w:space="0" w:color="auto"/>
              <w:bottom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Užsienio subjektų kontroliuojamų įmonių bendrosios investicijos</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Inovacijos</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Inovacijos</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IRT naudojimas ir e. prekyba</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IRT naudojimas ir e. prekyba</w:t>
            </w:r>
          </w:p>
        </w:tc>
      </w:tr>
      <w:tr>
        <w:trPr>
          <w:trHeight w:val="300"/>
        </w:trPr>
        <w:tc>
          <w:tcPr>
            <w:tcW w:w="8662" w:type="dxa"/>
            <w:gridSpan w:val="2"/>
            <w:tcBorders>
              <w:top w:val="nil"/>
              <w:left w:val="nil"/>
              <w:bottom w:val="nil"/>
              <w:right w:val="nil"/>
            </w:tcBorders>
            <w:shd w:val="clear" w:color="auto" w:fill="auto"/>
            <w:hideMark/>
          </w:tcPr>
          <w:p>
            <w:pPr>
              <w:rPr>
                <w:b/>
                <w:bCs/>
                <w:noProof/>
                <w:sz w:val="22"/>
              </w:rPr>
            </w:pPr>
          </w:p>
          <w:p>
            <w:pPr>
              <w:rPr>
                <w:b/>
                <w:bCs/>
                <w:noProof/>
                <w:sz w:val="22"/>
              </w:rPr>
            </w:pPr>
            <w:r>
              <w:rPr>
                <w:b/>
                <w:noProof/>
                <w:sz w:val="22"/>
              </w:rPr>
              <w:t>3 dalyko sritis. Regioninė verslo statistika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Temos</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Potemės</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Verslo dalyviai</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Dalyviai pagal regioną</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Verslo demografiniai įvykiai (įsteigimas, veiklos nutraukimas, veiklos tęsimas) pagal regioną</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Užimtumas pagal regioną</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Su verslo demografiniais įvykiais (įsteigimu, veiklos nutraukimu, veiklos tęsimu) susijęs užimtumas pagal regioną</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Darbo sąnaudos pagal regioną</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MTTP duomenys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MTTP išlaidos pagal regioną</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MTTP užimtumas pagal regioną</w:t>
            </w:r>
          </w:p>
        </w:tc>
      </w:tr>
      <w:tr>
        <w:trPr>
          <w:trHeight w:val="300"/>
        </w:trPr>
        <w:tc>
          <w:tcPr>
            <w:tcW w:w="2709" w:type="dxa"/>
            <w:tcBorders>
              <w:top w:val="nil"/>
              <w:left w:val="nil"/>
              <w:right w:val="nil"/>
            </w:tcBorders>
            <w:shd w:val="clear" w:color="auto" w:fill="auto"/>
            <w:hideMark/>
          </w:tcPr>
          <w:p>
            <w:pPr>
              <w:rPr>
                <w:noProof/>
                <w:sz w:val="22"/>
              </w:rPr>
            </w:pPr>
          </w:p>
        </w:tc>
        <w:tc>
          <w:tcPr>
            <w:tcW w:w="5953" w:type="dxa"/>
            <w:tcBorders>
              <w:top w:val="nil"/>
              <w:left w:val="nil"/>
              <w:right w:val="nil"/>
            </w:tcBorders>
            <w:shd w:val="clear" w:color="auto" w:fill="auto"/>
            <w:hideMark/>
          </w:tcPr>
          <w:p>
            <w:pPr>
              <w:rPr>
                <w:noProof/>
                <w:sz w:val="22"/>
              </w:rPr>
            </w:pPr>
          </w:p>
        </w:tc>
      </w:tr>
      <w:tr>
        <w:trPr>
          <w:trHeight w:val="300"/>
        </w:trPr>
        <w:tc>
          <w:tcPr>
            <w:tcW w:w="8662" w:type="dxa"/>
            <w:gridSpan w:val="2"/>
            <w:tcBorders>
              <w:top w:val="nil"/>
              <w:bottom w:val="nil"/>
              <w:right w:val="nil"/>
            </w:tcBorders>
            <w:shd w:val="clear" w:color="auto" w:fill="auto"/>
            <w:hideMark/>
          </w:tcPr>
          <w:p>
            <w:pPr>
              <w:rPr>
                <w:b/>
                <w:bCs/>
                <w:noProof/>
                <w:sz w:val="22"/>
              </w:rPr>
            </w:pPr>
            <w:r>
              <w:rPr>
                <w:b/>
                <w:noProof/>
                <w:sz w:val="22"/>
              </w:rPr>
              <w:t>4 dalyko sritis. Tarptautinės veiklos statistika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Temos</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Potemės</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Verslo dalyviai</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Įmonės užsienyje, kurių galutinę kontrolę vykdo duomenis teikiančios šalies instituciniai vienetai</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Darbo duomenys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Užimtumas įmonėse užsienyje, kurių galutinę kontrolę vykdo duomenis teikiančios šalies instituciniai vienetai</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Darbo sąnaudos įmonėse užsienyje, kurių galutinę kontrolę vykdo duomenis teikiančios šalies instituciniai vienetai</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Investicijos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Įmonių užsienyje, kurių galutinę kontrolę vykdo duomenis teikiančios šalies instituciniai vienetai, bendrosios investicijos</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Rezultatai ir veiksmingumas</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Įmonių užsienyje, kurių galutinę kontrolę vykdo duomenis teikiančios šalies instituciniai vienetai, grynoji apyvarta</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Tarptautinė prekyba prekėmis</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ES vidaus prekyba prekėmis</w:t>
            </w:r>
          </w:p>
        </w:tc>
      </w:tr>
      <w:tr>
        <w:tc>
          <w:tcPr>
            <w:tcW w:w="2709" w:type="dxa"/>
            <w:tcBorders>
              <w:top w:val="nil"/>
              <w:left w:val="single" w:sz="4" w:space="0" w:color="auto"/>
              <w:bottom w:val="nil"/>
              <w:right w:val="single" w:sz="4" w:space="0" w:color="auto"/>
            </w:tcBorders>
            <w:shd w:val="clear" w:color="auto" w:fill="auto"/>
            <w:hideMark/>
          </w:tcPr>
          <w:p>
            <w:pPr>
              <w:rPr>
                <w:noProof/>
                <w:sz w:val="22"/>
              </w:rPr>
            </w:pPr>
            <w:r>
              <w:rPr>
                <w:noProof/>
                <w:sz w:val="22"/>
              </w:rPr>
              <w:lastRenderedPageBreak/>
              <w:t> </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ES išorės prekyba prekėmis </w:t>
            </w:r>
          </w:p>
        </w:tc>
      </w:tr>
      <w:tr>
        <w:tc>
          <w:tcPr>
            <w:tcW w:w="2709" w:type="dxa"/>
            <w:vMerge w:val="restart"/>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Tarptautinė prekyba paslaugomis</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Paslaugų importas (debetas)</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Paslaugų eksportas (kreditas)</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Į FRIBS įtrauktų paslaugų tinklas (balansas)</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Pasaulinės vertės grandinės</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Pasaulinės vertės grandinės</w:t>
            </w:r>
          </w:p>
        </w:tc>
      </w:tr>
    </w:tbl>
    <w:p>
      <w:pPr>
        <w:pStyle w:val="Annexetitre"/>
        <w:rPr>
          <w:noProof/>
        </w:rPr>
      </w:pPr>
      <w:r>
        <w:rPr>
          <w:noProof/>
        </w:rPr>
        <w:br w:type="page"/>
      </w:r>
      <w:r>
        <w:rPr>
          <w:noProof/>
        </w:rPr>
        <w:lastRenderedPageBreak/>
        <w:t xml:space="preserve">II priedas </w:t>
      </w:r>
    </w:p>
    <w:p>
      <w:pPr>
        <w:keepNext/>
        <w:jc w:val="center"/>
        <w:outlineLvl w:val="0"/>
        <w:rPr>
          <w:b/>
          <w:noProof/>
        </w:rPr>
      </w:pPr>
      <w:r>
        <w:rPr>
          <w:b/>
          <w:noProof/>
        </w:rPr>
        <w:t xml:space="preserve">Temų duomenų rinkimo periodiškumas </w:t>
      </w:r>
    </w:p>
    <w:tbl>
      <w:tblPr>
        <w:tblW w:w="8662"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09"/>
        <w:gridCol w:w="5953"/>
      </w:tblGrid>
      <w:tr>
        <w:trPr>
          <w:trHeight w:val="300"/>
        </w:trPr>
        <w:tc>
          <w:tcPr>
            <w:tcW w:w="8662" w:type="dxa"/>
            <w:gridSpan w:val="2"/>
            <w:tcBorders>
              <w:top w:val="nil"/>
              <w:left w:val="nil"/>
              <w:bottom w:val="single" w:sz="4" w:space="0" w:color="auto"/>
              <w:right w:val="nil"/>
            </w:tcBorders>
            <w:shd w:val="clear" w:color="auto" w:fill="auto"/>
          </w:tcPr>
          <w:p>
            <w:pPr>
              <w:rPr>
                <w:b/>
                <w:bCs/>
                <w:noProof/>
                <w:sz w:val="22"/>
              </w:rPr>
            </w:pPr>
            <w:r>
              <w:rPr>
                <w:b/>
                <w:noProof/>
                <w:sz w:val="22"/>
              </w:rPr>
              <w:t>1 dalyko sritis. Trumpojo laikotarpio verslo statistika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Temos</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Periodiškumas</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Verslo dalyviai</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ketvirtį</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ketvirtį</w:t>
            </w:r>
          </w:p>
        </w:tc>
      </w:tr>
      <w:tr>
        <w:trPr>
          <w:trHeight w:val="544"/>
        </w:trPr>
        <w:tc>
          <w:tcPr>
            <w:tcW w:w="2709" w:type="dxa"/>
            <w:tcBorders>
              <w:top w:val="single" w:sz="4" w:space="0" w:color="auto"/>
              <w:bottom w:val="single" w:sz="4" w:space="0" w:color="auto"/>
            </w:tcBorders>
            <w:shd w:val="clear" w:color="auto" w:fill="auto"/>
            <w:hideMark/>
          </w:tcPr>
          <w:p>
            <w:pPr>
              <w:rPr>
                <w:noProof/>
                <w:sz w:val="22"/>
              </w:rPr>
            </w:pPr>
            <w:r>
              <w:rPr>
                <w:noProof/>
                <w:sz w:val="22"/>
              </w:rPr>
              <w:t>Kainos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mėnesį; kas ketvirtį – gamintojų teikiamų paslaugų kainų indeksai ir gamintojų kainų indeksai, nustatyti naujiems gyvenamiesiems pastatams</w:t>
            </w:r>
          </w:p>
        </w:tc>
      </w:tr>
      <w:tr>
        <w:trPr>
          <w:trHeight w:val="242"/>
        </w:trPr>
        <w:tc>
          <w:tcPr>
            <w:tcW w:w="2709" w:type="dxa"/>
            <w:tcBorders>
              <w:top w:val="single" w:sz="4" w:space="0" w:color="auto"/>
              <w:bottom w:val="single" w:sz="4" w:space="0" w:color="auto"/>
            </w:tcBorders>
            <w:shd w:val="clear" w:color="auto" w:fill="auto"/>
            <w:hideMark/>
          </w:tcPr>
          <w:p>
            <w:pPr>
              <w:rPr>
                <w:noProof/>
                <w:sz w:val="22"/>
              </w:rPr>
            </w:pPr>
            <w:r>
              <w:rPr>
                <w:noProof/>
                <w:sz w:val="22"/>
              </w:rPr>
              <w:t>Rezultatai ir veiksmingumas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Kas mėnesį; kas ketvirtį – mažoms šalims teikiant NACE F sekcijos įmonių duomenis </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Leidimai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ketvirtį</w:t>
            </w:r>
          </w:p>
        </w:tc>
      </w:tr>
      <w:tr>
        <w:trPr>
          <w:trHeight w:val="300"/>
        </w:trPr>
        <w:tc>
          <w:tcPr>
            <w:tcW w:w="8662" w:type="dxa"/>
            <w:gridSpan w:val="2"/>
            <w:tcBorders>
              <w:top w:val="single" w:sz="4" w:space="0" w:color="auto"/>
              <w:left w:val="nil"/>
              <w:bottom w:val="single" w:sz="4" w:space="0" w:color="auto"/>
              <w:right w:val="nil"/>
            </w:tcBorders>
            <w:shd w:val="clear" w:color="auto" w:fill="auto"/>
          </w:tcPr>
          <w:p>
            <w:pPr>
              <w:rPr>
                <w:b/>
                <w:noProof/>
                <w:sz w:val="22"/>
              </w:rPr>
            </w:pPr>
          </w:p>
          <w:p>
            <w:pPr>
              <w:rPr>
                <w:b/>
                <w:noProof/>
                <w:sz w:val="22"/>
              </w:rPr>
            </w:pPr>
            <w:r>
              <w:rPr>
                <w:b/>
                <w:noProof/>
                <w:sz w:val="22"/>
              </w:rPr>
              <w:t>2 dalyko sritis. Šalies lygmens verslo statistika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Temos</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Periodiškumas</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Verslo dalyviai</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MTTP duomenys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dvejus metus; kasmet teikiami sektorių veiklos rezultatai, išskirstyti pagal vidaus MTTP išlaidas, MTTP darbuotojus ir tyrėjų skaičių, taip pat valstybės biudžeto asignavimai arba išlaidos MTTP (angl. GBAORD) ir nacionalinis viešasis finansavimas tarpvalstybiniu lygmeniu koordinuojamiems MTTP</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Pirkimas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 kas trejus metus – mokėjimai subrangovams</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Rezultatai ir veiksmingumas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Kasmet; kas dvejus metus – grynosios apyvartos suskirstymas pagal produktus ir kliento gyvenamąją vietą (NACE 69.1, 69.2, 70.2, 71.1, 71.2 ir 73.2); kas penkerius metus – žemės ūkio, miškininkystės, žuvininkystės ir pramonės veiklos grynoji apyvarta, pramonės veiklos grynoji apyvarta, pramonės veiklos, išskyrus statybą, grynoji apyvarta, statybų grynoji apyvarta, paslaugų veiklos grynoji apyvarta, pirkimo ir perpardavimo ir tarpininkavimo veiklos grynoji apyvarta, pastatų statybos grynoji apyvarta ir civilinės inžinerijos grynoji apyvarta; kas trejus metus – subrangos pajamos </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Investicijos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 kas trejus metus – investicijos į nematerialųjį turtą</w:t>
            </w:r>
          </w:p>
        </w:tc>
      </w:tr>
      <w:tr>
        <w:tc>
          <w:tcPr>
            <w:tcW w:w="2709" w:type="dxa"/>
            <w:tcBorders>
              <w:top w:val="single" w:sz="4" w:space="0" w:color="auto"/>
              <w:bottom w:val="single" w:sz="4" w:space="0" w:color="auto"/>
            </w:tcBorders>
            <w:shd w:val="clear" w:color="auto" w:fill="auto"/>
          </w:tcPr>
          <w:p>
            <w:pPr>
              <w:spacing w:line="360" w:lineRule="auto"/>
              <w:rPr>
                <w:noProof/>
                <w:sz w:val="22"/>
              </w:rPr>
            </w:pPr>
            <w:r>
              <w:rPr>
                <w:noProof/>
                <w:sz w:val="22"/>
              </w:rPr>
              <w:lastRenderedPageBreak/>
              <w:t>Inovacijos</w:t>
            </w:r>
            <w:r>
              <w:rPr>
                <w:noProof/>
              </w:rPr>
              <w:tab/>
            </w:r>
          </w:p>
        </w:tc>
        <w:tc>
          <w:tcPr>
            <w:tcW w:w="5953" w:type="dxa"/>
            <w:tcBorders>
              <w:top w:val="single" w:sz="4" w:space="0" w:color="auto"/>
              <w:bottom w:val="single" w:sz="4" w:space="0" w:color="auto"/>
            </w:tcBorders>
            <w:shd w:val="clear" w:color="auto" w:fill="auto"/>
          </w:tcPr>
          <w:p>
            <w:pPr>
              <w:spacing w:line="360" w:lineRule="auto"/>
              <w:rPr>
                <w:noProof/>
                <w:sz w:val="22"/>
              </w:rPr>
            </w:pPr>
            <w:r>
              <w:rPr>
                <w:noProof/>
                <w:sz w:val="22"/>
              </w:rPr>
              <w:t>Kas dvejus metus</w:t>
            </w:r>
          </w:p>
        </w:tc>
      </w:tr>
      <w:tr>
        <w:tc>
          <w:tcPr>
            <w:tcW w:w="2709" w:type="dxa"/>
            <w:tcBorders>
              <w:top w:val="single" w:sz="4" w:space="0" w:color="auto"/>
              <w:bottom w:val="single" w:sz="4" w:space="0" w:color="auto"/>
            </w:tcBorders>
            <w:shd w:val="clear" w:color="auto" w:fill="auto"/>
          </w:tcPr>
          <w:p>
            <w:pPr>
              <w:rPr>
                <w:noProof/>
                <w:sz w:val="22"/>
              </w:rPr>
            </w:pPr>
            <w:r>
              <w:rPr>
                <w:noProof/>
                <w:sz w:val="22"/>
              </w:rPr>
              <w:t>IRT naudojimas ir e. prekyba</w:t>
            </w:r>
          </w:p>
        </w:tc>
        <w:tc>
          <w:tcPr>
            <w:tcW w:w="5953" w:type="dxa"/>
            <w:tcBorders>
              <w:top w:val="single" w:sz="4" w:space="0" w:color="auto"/>
              <w:bottom w:val="single" w:sz="4" w:space="0" w:color="auto"/>
            </w:tcBorders>
            <w:shd w:val="clear" w:color="auto" w:fill="auto"/>
          </w:tcPr>
          <w:p>
            <w:pPr>
              <w:rPr>
                <w:noProof/>
                <w:sz w:val="22"/>
              </w:rPr>
            </w:pPr>
            <w:r>
              <w:rPr>
                <w:noProof/>
                <w:sz w:val="22"/>
              </w:rPr>
              <w:t>Kasmet</w:t>
            </w:r>
          </w:p>
        </w:tc>
      </w:tr>
      <w:tr>
        <w:trPr>
          <w:trHeight w:val="300"/>
        </w:trPr>
        <w:tc>
          <w:tcPr>
            <w:tcW w:w="8662" w:type="dxa"/>
            <w:gridSpan w:val="2"/>
            <w:tcBorders>
              <w:top w:val="nil"/>
              <w:left w:val="nil"/>
              <w:bottom w:val="single" w:sz="4" w:space="0" w:color="auto"/>
              <w:right w:val="nil"/>
            </w:tcBorders>
            <w:shd w:val="clear" w:color="auto" w:fill="auto"/>
          </w:tcPr>
          <w:p>
            <w:pPr>
              <w:rPr>
                <w:b/>
                <w:noProof/>
                <w:sz w:val="22"/>
              </w:rPr>
            </w:pPr>
            <w:r>
              <w:rPr>
                <w:noProof/>
              </w:rPr>
              <w:br w:type="page"/>
            </w:r>
            <w:r>
              <w:rPr>
                <w:b/>
                <w:noProof/>
                <w:sz w:val="22"/>
              </w:rPr>
              <w:t>3 dalyko sritis. Regioninė verslo statistika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Temos</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Periodiškumas</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Verslo dalyviai</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Darbo duomenys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MTTP duomenys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dvejus metus</w:t>
            </w:r>
          </w:p>
        </w:tc>
      </w:tr>
      <w:tr>
        <w:trPr>
          <w:trHeight w:val="315"/>
        </w:trPr>
        <w:tc>
          <w:tcPr>
            <w:tcW w:w="8662" w:type="dxa"/>
            <w:gridSpan w:val="2"/>
            <w:tcBorders>
              <w:top w:val="single" w:sz="4" w:space="0" w:color="auto"/>
              <w:left w:val="nil"/>
              <w:bottom w:val="nil"/>
              <w:right w:val="nil"/>
            </w:tcBorders>
            <w:shd w:val="clear" w:color="auto" w:fill="auto"/>
          </w:tcPr>
          <w:p>
            <w:pPr>
              <w:rPr>
                <w:b/>
                <w:noProof/>
                <w:sz w:val="22"/>
              </w:rPr>
            </w:pPr>
          </w:p>
          <w:p>
            <w:pPr>
              <w:rPr>
                <w:b/>
                <w:noProof/>
                <w:sz w:val="22"/>
              </w:rPr>
            </w:pPr>
            <w:r>
              <w:rPr>
                <w:b/>
                <w:noProof/>
                <w:sz w:val="22"/>
              </w:rPr>
              <w:t>4 dalyko sritis. Tarptautinės veiklos statistika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Temos</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Periodiškumas</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Verslo dalyviai</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Darbo duomenys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Investicijos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Rezultatai ir veiksmingumas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Kasmet</w:t>
            </w:r>
          </w:p>
        </w:tc>
      </w:tr>
      <w:tr>
        <w:trPr>
          <w:trHeight w:val="568"/>
        </w:trPr>
        <w:tc>
          <w:tcPr>
            <w:tcW w:w="2709" w:type="dxa"/>
            <w:tcBorders>
              <w:top w:val="single" w:sz="4" w:space="0" w:color="auto"/>
              <w:bottom w:val="single" w:sz="4" w:space="0" w:color="auto"/>
            </w:tcBorders>
            <w:shd w:val="clear" w:color="auto" w:fill="auto"/>
            <w:hideMark/>
          </w:tcPr>
          <w:p>
            <w:pPr>
              <w:rPr>
                <w:noProof/>
                <w:sz w:val="22"/>
              </w:rPr>
            </w:pPr>
            <w:r>
              <w:rPr>
                <w:noProof/>
                <w:sz w:val="22"/>
              </w:rPr>
              <w:t>Tarptautinė prekyba prekėmis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Kas mėnesį; kas dvejus metus – ES išorės prekių importas ir eksportas, kartu suskirstytas pagal produktus ir sąskaitose faktūrose nurodytą valiutą </w:t>
            </w:r>
          </w:p>
        </w:tc>
      </w:tr>
      <w:tr>
        <w:trPr>
          <w:trHeight w:val="300"/>
        </w:trPr>
        <w:tc>
          <w:tcPr>
            <w:tcW w:w="2709" w:type="dxa"/>
            <w:tcBorders>
              <w:top w:val="single" w:sz="4" w:space="0" w:color="auto"/>
              <w:bottom w:val="single" w:sz="4" w:space="0" w:color="auto"/>
            </w:tcBorders>
            <w:shd w:val="clear" w:color="auto" w:fill="auto"/>
          </w:tcPr>
          <w:p>
            <w:pPr>
              <w:rPr>
                <w:noProof/>
                <w:sz w:val="22"/>
              </w:rPr>
            </w:pPr>
            <w:r>
              <w:rPr>
                <w:noProof/>
                <w:sz w:val="22"/>
              </w:rPr>
              <w:t>Tarptautinė prekyba paslaugomis</w:t>
            </w:r>
          </w:p>
        </w:tc>
        <w:tc>
          <w:tcPr>
            <w:tcW w:w="5953" w:type="dxa"/>
            <w:tcBorders>
              <w:top w:val="single" w:sz="4" w:space="0" w:color="auto"/>
              <w:bottom w:val="single" w:sz="4" w:space="0" w:color="auto"/>
            </w:tcBorders>
            <w:shd w:val="clear" w:color="auto" w:fill="auto"/>
          </w:tcPr>
          <w:p>
            <w:pPr>
              <w:rPr>
                <w:noProof/>
                <w:sz w:val="22"/>
              </w:rPr>
            </w:pPr>
            <w:r>
              <w:rPr>
                <w:noProof/>
                <w:sz w:val="22"/>
              </w:rPr>
              <w:t>Kasmet; kas ketvirtį – paslaugų pirmo lygio suskirstymas</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Pasaulinės vertės grandinės</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Kas trejus metus</w:t>
            </w:r>
          </w:p>
        </w:tc>
      </w:tr>
    </w:tbl>
    <w:p>
      <w:pPr>
        <w:rPr>
          <w:b/>
          <w:noProof/>
        </w:rPr>
      </w:pPr>
      <w:r>
        <w:rPr>
          <w:b/>
          <w:noProof/>
        </w:rPr>
        <w:t xml:space="preserve"> </w:t>
      </w:r>
    </w:p>
    <w:p>
      <w:pPr>
        <w:keepNext/>
        <w:jc w:val="center"/>
        <w:outlineLvl w:val="0"/>
        <w:rPr>
          <w:noProof/>
          <w:szCs w:val="24"/>
        </w:rPr>
      </w:pPr>
    </w:p>
    <w:p>
      <w:pPr>
        <w:pStyle w:val="Annexetitre"/>
        <w:rPr>
          <w:noProof/>
        </w:rPr>
      </w:pPr>
      <w:r>
        <w:rPr>
          <w:noProof/>
        </w:rPr>
        <w:br w:type="page"/>
      </w:r>
      <w:r>
        <w:rPr>
          <w:noProof/>
        </w:rPr>
        <w:lastRenderedPageBreak/>
        <w:t xml:space="preserve">III priedas </w:t>
      </w:r>
    </w:p>
    <w:p>
      <w:pPr>
        <w:keepNext/>
        <w:jc w:val="center"/>
        <w:outlineLvl w:val="0"/>
        <w:rPr>
          <w:b/>
          <w:noProof/>
          <w:szCs w:val="24"/>
        </w:rPr>
      </w:pPr>
      <w:r>
        <w:rPr>
          <w:b/>
          <w:noProof/>
        </w:rPr>
        <w:t xml:space="preserve">Europos statistinių verslo registrų tinklo elementai </w:t>
      </w:r>
    </w:p>
    <w:p>
      <w:pPr>
        <w:keepNext/>
        <w:ind w:left="2268"/>
        <w:outlineLvl w:val="0"/>
        <w:rPr>
          <w:b/>
          <w:bCs/>
          <w:noProof/>
          <w:szCs w:val="24"/>
        </w:rPr>
      </w:pPr>
      <w:r>
        <w:rPr>
          <w:b/>
          <w:noProof/>
        </w:rPr>
        <w:t>A dalis. Registrų potemės ir unikalus atpažinties kodas</w:t>
      </w:r>
    </w:p>
    <w:p>
      <w:pPr>
        <w:keepNext/>
        <w:outlineLvl w:val="0"/>
        <w:rPr>
          <w:noProof/>
          <w:szCs w:val="24"/>
          <w:highlight w:val="cyan"/>
        </w:rPr>
      </w:pPr>
    </w:p>
    <w:p>
      <w:pPr>
        <w:pStyle w:val="NumPar1"/>
        <w:numPr>
          <w:ilvl w:val="0"/>
          <w:numId w:val="9"/>
        </w:numPr>
        <w:rPr>
          <w:noProof/>
        </w:rPr>
      </w:pPr>
      <w:r>
        <w:rPr>
          <w:noProof/>
        </w:rPr>
        <w:t xml:space="preserve">Nacionaliniuose statistiniuose verslo registruose ir registre „EuroGroups“ išvardyti vienetai, apibrėžti šio reglamento 3 straipsnyje, apibūdinami identifikaciniu numeriu ir C dalyje nurodytomis registrų potemėmis. </w:t>
      </w:r>
    </w:p>
    <w:p>
      <w:pPr>
        <w:pStyle w:val="NumPar1"/>
        <w:rPr>
          <w:noProof/>
        </w:rPr>
      </w:pPr>
      <w:r>
        <w:rPr>
          <w:noProof/>
        </w:rPr>
        <w:t xml:space="preserve">Nacionaliniuose statistiniuose verslo registruose ir registre „EuroGroups“ išvardytų vienetų unikali atpažintis užtikrinama identifikaciniu numeriu, kad būtų sudarytos sąlygos naudotis Europos statistinių verslo registrų tinklu kaip infrastruktūra. Šiuos identifikacinius numerius suteiks nacionalinės statistikos institucijos. Registrui „EuroGroups“ svarbių juridinių vienetų ir tarptautinių įmonių grupių identifikacinius numerius suteiks Komisija (Eurostatas). Nacionaliniais tikslais nacionalinės statistikos institucijos gali nacionaliniuose statistiniuose verslo registruose palikti papildomą identifikacinį numerį. </w:t>
      </w:r>
    </w:p>
    <w:p>
      <w:pPr>
        <w:keepNext/>
        <w:outlineLvl w:val="0"/>
        <w:rPr>
          <w:noProof/>
          <w:szCs w:val="24"/>
          <w:highlight w:val="cyan"/>
        </w:rPr>
      </w:pPr>
    </w:p>
    <w:p>
      <w:pPr>
        <w:keepNext/>
        <w:ind w:left="2835"/>
        <w:outlineLvl w:val="0"/>
        <w:rPr>
          <w:b/>
          <w:bCs/>
          <w:noProof/>
          <w:szCs w:val="24"/>
        </w:rPr>
      </w:pPr>
      <w:r>
        <w:rPr>
          <w:b/>
          <w:noProof/>
        </w:rPr>
        <w:t xml:space="preserve">B dalis. Atnaujinimo laikas ir periodiškumas </w:t>
      </w:r>
    </w:p>
    <w:p>
      <w:pPr>
        <w:keepNext/>
        <w:outlineLvl w:val="0"/>
        <w:rPr>
          <w:noProof/>
          <w:szCs w:val="24"/>
        </w:rPr>
      </w:pPr>
    </w:p>
    <w:p>
      <w:pPr>
        <w:pStyle w:val="NumPar1"/>
        <w:numPr>
          <w:ilvl w:val="0"/>
          <w:numId w:val="9"/>
        </w:numPr>
        <w:rPr>
          <w:noProof/>
        </w:rPr>
      </w:pPr>
      <w:r>
        <w:rPr>
          <w:noProof/>
        </w:rPr>
        <w:t xml:space="preserve">Informacija apie įtraukimą į nacionalinius statistinius verslo registrus ir registrą „EuroGroups“ ar išbraukimą iš jų atnaujinama bent kartą per metus. </w:t>
      </w:r>
    </w:p>
    <w:p>
      <w:pPr>
        <w:pStyle w:val="NumPar1"/>
        <w:rPr>
          <w:noProof/>
        </w:rPr>
      </w:pPr>
      <w:r>
        <w:rPr>
          <w:noProof/>
        </w:rPr>
        <w:t xml:space="preserve">Atnaujinimo dažnumas priklauso nuo vieneto rūšies, konkretaus kintamojo, vieneto dydžio ir paprastai informacijai atnaujinti naudojamo šaltinio. </w:t>
      </w:r>
    </w:p>
    <w:p>
      <w:pPr>
        <w:pStyle w:val="NumPar1"/>
        <w:rPr>
          <w:noProof/>
        </w:rPr>
      </w:pPr>
      <w:r>
        <w:rPr>
          <w:noProof/>
        </w:rPr>
        <w:t xml:space="preserve">Valstybės narės kasmet parengia nacionalinių statistinių verslo registrų kopijas, kuriose atsispindi registrų būklė metų pabaigoje, ir analizės tikslais tokias kopijas saugo bent 30 metų. Komisija (Eurostatas) kasmet parengia registro „EuroGroups“ kopiją, kurioje atsispindi jo būklė metų pabaigoje, ir analizės tikslais tokią kopiją saugo bent 30 metų. </w:t>
      </w:r>
    </w:p>
    <w:p>
      <w:pPr>
        <w:rPr>
          <w:b/>
          <w:noProof/>
          <w:szCs w:val="24"/>
        </w:rPr>
      </w:pPr>
    </w:p>
    <w:p>
      <w:pPr>
        <w:rPr>
          <w:b/>
          <w:noProof/>
          <w:szCs w:val="24"/>
        </w:rPr>
      </w:pPr>
    </w:p>
    <w:p>
      <w:pPr>
        <w:jc w:val="center"/>
        <w:rPr>
          <w:b/>
          <w:noProof/>
          <w:szCs w:val="24"/>
        </w:rPr>
      </w:pPr>
      <w:r>
        <w:rPr>
          <w:b/>
          <w:noProof/>
        </w:rPr>
        <w:t>C dalis. Verslo registrų potemės</w:t>
      </w:r>
    </w:p>
    <w:p>
      <w:pPr>
        <w:jc w:val="center"/>
        <w:rPr>
          <w:b/>
          <w:noProof/>
          <w:szCs w:val="24"/>
        </w:rPr>
      </w:pPr>
    </w:p>
    <w:p>
      <w:pPr>
        <w:rPr>
          <w:noProof/>
          <w:szCs w:val="24"/>
        </w:rPr>
      </w:pPr>
      <w:r>
        <w:rPr>
          <w:noProof/>
        </w:rPr>
        <w:t>Nacionaliniai statistiniai verslo registrai ir registras „EuroGroups“ apima toliau nurodytas atitinkamų vienetų, apibrėžtų šio reglamento 3 straipsnyje, potemes.</w:t>
      </w:r>
    </w:p>
    <w:p>
      <w:pPr>
        <w:spacing w:after="200" w:line="276" w:lineRule="auto"/>
        <w:rPr>
          <w:noProof/>
          <w:szCs w:val="24"/>
        </w:rPr>
      </w:pPr>
      <w:r>
        <w:rPr>
          <w:noProof/>
        </w:rPr>
        <w:br w:type="page"/>
      </w:r>
    </w:p>
    <w:p>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c>
          <w:tcPr>
            <w:tcW w:w="4621" w:type="dxa"/>
            <w:tcBorders>
              <w:bottom w:val="nil"/>
            </w:tcBorders>
            <w:shd w:val="clear" w:color="auto" w:fill="auto"/>
          </w:tcPr>
          <w:p>
            <w:pPr>
              <w:rPr>
                <w:b/>
                <w:noProof/>
                <w:szCs w:val="24"/>
              </w:rPr>
            </w:pPr>
            <w:r>
              <w:rPr>
                <w:b/>
                <w:noProof/>
              </w:rPr>
              <w:t>VIENETAI</w:t>
            </w:r>
          </w:p>
        </w:tc>
        <w:tc>
          <w:tcPr>
            <w:tcW w:w="4621" w:type="dxa"/>
            <w:shd w:val="clear" w:color="auto" w:fill="auto"/>
          </w:tcPr>
          <w:p>
            <w:pPr>
              <w:rPr>
                <w:b/>
                <w:noProof/>
                <w:szCs w:val="24"/>
              </w:rPr>
            </w:pPr>
            <w:r>
              <w:rPr>
                <w:b/>
                <w:noProof/>
              </w:rPr>
              <w:t>Potemės</w:t>
            </w:r>
          </w:p>
        </w:tc>
      </w:tr>
      <w:tr>
        <w:tc>
          <w:tcPr>
            <w:tcW w:w="4621" w:type="dxa"/>
            <w:tcBorders>
              <w:bottom w:val="nil"/>
            </w:tcBorders>
            <w:shd w:val="clear" w:color="auto" w:fill="auto"/>
          </w:tcPr>
          <w:p>
            <w:pPr>
              <w:rPr>
                <w:noProof/>
                <w:szCs w:val="24"/>
              </w:rPr>
            </w:pPr>
            <w:r>
              <w:rPr>
                <w:noProof/>
              </w:rPr>
              <w:t>1. JURIDINIAI VIENETAI</w:t>
            </w:r>
          </w:p>
        </w:tc>
        <w:tc>
          <w:tcPr>
            <w:tcW w:w="4621" w:type="dxa"/>
            <w:shd w:val="clear" w:color="auto" w:fill="auto"/>
          </w:tcPr>
          <w:p>
            <w:pPr>
              <w:rPr>
                <w:noProof/>
                <w:szCs w:val="24"/>
              </w:rPr>
            </w:pPr>
            <w:r>
              <w:rPr>
                <w:noProof/>
              </w:rPr>
              <w:t>Identifikavimo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Demografinės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Ekonominės / Stratifikacinės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Ryšiai su įmone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Ryšiai su kitais registrais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Ryšys su įmonių grupe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Vienetų kontrolė</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Vienetų nuosavybės ryšiai</w:t>
            </w:r>
          </w:p>
        </w:tc>
      </w:tr>
      <w:tr>
        <w:tc>
          <w:tcPr>
            <w:tcW w:w="4621" w:type="dxa"/>
            <w:tcBorders>
              <w:bottom w:val="nil"/>
            </w:tcBorders>
            <w:shd w:val="clear" w:color="auto" w:fill="auto"/>
          </w:tcPr>
          <w:p>
            <w:pPr>
              <w:rPr>
                <w:noProof/>
                <w:szCs w:val="24"/>
              </w:rPr>
            </w:pPr>
            <w:r>
              <w:rPr>
                <w:noProof/>
              </w:rPr>
              <w:t>2. ĮMONIŲ GRUPĖ</w:t>
            </w:r>
          </w:p>
        </w:tc>
        <w:tc>
          <w:tcPr>
            <w:tcW w:w="4621" w:type="dxa"/>
            <w:shd w:val="clear" w:color="auto" w:fill="auto"/>
          </w:tcPr>
          <w:p>
            <w:pPr>
              <w:rPr>
                <w:noProof/>
                <w:szCs w:val="24"/>
              </w:rPr>
            </w:pPr>
            <w:r>
              <w:rPr>
                <w:noProof/>
              </w:rPr>
              <w:t>Identifikavimo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Demografinės charakteristikos</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Ekonominės / Stratifikacinės charakteristikos</w:t>
            </w:r>
          </w:p>
        </w:tc>
      </w:tr>
      <w:tr>
        <w:tc>
          <w:tcPr>
            <w:tcW w:w="4621" w:type="dxa"/>
            <w:tcBorders>
              <w:bottom w:val="nil"/>
            </w:tcBorders>
            <w:shd w:val="clear" w:color="auto" w:fill="auto"/>
          </w:tcPr>
          <w:p>
            <w:pPr>
              <w:rPr>
                <w:noProof/>
                <w:szCs w:val="24"/>
              </w:rPr>
            </w:pPr>
            <w:r>
              <w:rPr>
                <w:noProof/>
              </w:rPr>
              <w:t>3. ĮMONĖ</w:t>
            </w:r>
          </w:p>
        </w:tc>
        <w:tc>
          <w:tcPr>
            <w:tcW w:w="4621" w:type="dxa"/>
            <w:shd w:val="clear" w:color="auto" w:fill="auto"/>
          </w:tcPr>
          <w:p>
            <w:pPr>
              <w:rPr>
                <w:noProof/>
                <w:szCs w:val="24"/>
              </w:rPr>
            </w:pPr>
            <w:r>
              <w:rPr>
                <w:noProof/>
              </w:rPr>
              <w:t>Identifikavimo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Ryšys su kitais vienetais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Demografinės charakteristikos</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Ekonominės / Stratifikacinės charakteristikos</w:t>
            </w:r>
          </w:p>
        </w:tc>
      </w:tr>
      <w:tr>
        <w:tc>
          <w:tcPr>
            <w:tcW w:w="4621" w:type="dxa"/>
            <w:tcBorders>
              <w:bottom w:val="nil"/>
            </w:tcBorders>
            <w:shd w:val="clear" w:color="auto" w:fill="auto"/>
          </w:tcPr>
          <w:p>
            <w:pPr>
              <w:rPr>
                <w:noProof/>
                <w:szCs w:val="24"/>
              </w:rPr>
            </w:pPr>
            <w:r>
              <w:rPr>
                <w:noProof/>
              </w:rPr>
              <w:t>4. VIENETAS PAGAL VIETĄ</w:t>
            </w:r>
          </w:p>
        </w:tc>
        <w:tc>
          <w:tcPr>
            <w:tcW w:w="4621" w:type="dxa"/>
            <w:shd w:val="clear" w:color="auto" w:fill="auto"/>
          </w:tcPr>
          <w:p>
            <w:pPr>
              <w:rPr>
                <w:noProof/>
                <w:szCs w:val="24"/>
              </w:rPr>
            </w:pPr>
            <w:r>
              <w:rPr>
                <w:noProof/>
              </w:rPr>
              <w:t>Identifikavimo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Demografinės charakteristikos</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Ekonominės / Stratifikacinės charakteristikos</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Ryšiai su kitais vienetais ir registrais</w:t>
            </w:r>
          </w:p>
        </w:tc>
      </w:tr>
      <w:tr>
        <w:tc>
          <w:tcPr>
            <w:tcW w:w="4621" w:type="dxa"/>
            <w:tcBorders>
              <w:bottom w:val="nil"/>
            </w:tcBorders>
            <w:shd w:val="clear" w:color="auto" w:fill="auto"/>
          </w:tcPr>
          <w:p>
            <w:pPr>
              <w:rPr>
                <w:noProof/>
                <w:szCs w:val="24"/>
              </w:rPr>
            </w:pPr>
            <w:r>
              <w:rPr>
                <w:noProof/>
              </w:rPr>
              <w:t>5. VIENETAS PAGAL VEIKLOS RŪŠĮ</w:t>
            </w:r>
          </w:p>
        </w:tc>
        <w:tc>
          <w:tcPr>
            <w:tcW w:w="4621" w:type="dxa"/>
            <w:shd w:val="clear" w:color="auto" w:fill="auto"/>
          </w:tcPr>
          <w:p>
            <w:pPr>
              <w:rPr>
                <w:noProof/>
                <w:szCs w:val="24"/>
              </w:rPr>
            </w:pPr>
            <w:r>
              <w:rPr>
                <w:noProof/>
              </w:rPr>
              <w:t>Identifikavimo charakteristikos</w:t>
            </w:r>
          </w:p>
        </w:tc>
      </w:tr>
      <w:tr>
        <w:tc>
          <w:tcPr>
            <w:tcW w:w="4621" w:type="dxa"/>
            <w:vMerge w:val="restart"/>
            <w:tcBorders>
              <w:top w:val="nil"/>
            </w:tcBorders>
            <w:shd w:val="clear" w:color="auto" w:fill="auto"/>
          </w:tcPr>
          <w:p>
            <w:pPr>
              <w:rPr>
                <w:noProof/>
                <w:szCs w:val="24"/>
              </w:rPr>
            </w:pPr>
            <w:r>
              <w:rPr>
                <w:noProof/>
              </w:rPr>
              <w:t>Jei laikomas statistiniu vienetu pagal 3 straipsnio 2 dalies a punkto iii papunktį</w:t>
            </w:r>
          </w:p>
        </w:tc>
        <w:tc>
          <w:tcPr>
            <w:tcW w:w="4621" w:type="dxa"/>
            <w:shd w:val="clear" w:color="auto" w:fill="auto"/>
          </w:tcPr>
          <w:p>
            <w:pPr>
              <w:rPr>
                <w:noProof/>
                <w:szCs w:val="24"/>
              </w:rPr>
            </w:pPr>
            <w:r>
              <w:rPr>
                <w:noProof/>
              </w:rPr>
              <w:t>Demografinės charakteristikos</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Ekonominės / Stratifikacinės charakteristikos</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Ryšiai su kitais vienetais ir registrais</w:t>
            </w:r>
          </w:p>
        </w:tc>
      </w:tr>
    </w:tbl>
    <w:p>
      <w:pPr>
        <w:rPr>
          <w:noProof/>
          <w:szCs w:val="24"/>
        </w:rPr>
      </w:pPr>
    </w:p>
    <w:p>
      <w:pPr>
        <w:rPr>
          <w:noProof/>
        </w:rPr>
      </w:pPr>
    </w:p>
    <w:p>
      <w:pPr>
        <w:pStyle w:val="Annexetitre"/>
        <w:rPr>
          <w:noProof/>
        </w:rPr>
      </w:pPr>
      <w:r>
        <w:rPr>
          <w:noProof/>
        </w:rPr>
        <w:t>IV priedas</w:t>
      </w:r>
    </w:p>
    <w:p>
      <w:pPr>
        <w:keepNext/>
        <w:jc w:val="center"/>
        <w:outlineLvl w:val="0"/>
        <w:rPr>
          <w:b/>
          <w:noProof/>
        </w:rPr>
      </w:pPr>
      <w:r>
        <w:rPr>
          <w:b/>
          <w:noProof/>
        </w:rPr>
        <w:t>Reglamento (EB) Nr. 184/2005 pakeitimai</w:t>
      </w:r>
    </w:p>
    <w:p>
      <w:pPr>
        <w:rPr>
          <w:noProof/>
          <w:szCs w:val="24"/>
        </w:rPr>
      </w:pPr>
      <w:r>
        <w:rPr>
          <w:noProof/>
        </w:rPr>
        <w:t>I priedo 3 lentelė pakeičiama taip:</w:t>
      </w:r>
    </w:p>
    <w:p>
      <w:pPr>
        <w:ind w:left="851"/>
        <w:jc w:val="center"/>
        <w:rPr>
          <w:i/>
          <w:noProof/>
        </w:rPr>
      </w:pPr>
      <w:r>
        <w:rPr>
          <w:i/>
          <w:noProof/>
        </w:rPr>
        <w:t>„3 lentelė</w:t>
      </w:r>
    </w:p>
    <w:p>
      <w:pPr>
        <w:ind w:left="851"/>
        <w:jc w:val="center"/>
        <w:rPr>
          <w:noProof/>
        </w:rPr>
      </w:pPr>
      <w:r>
        <w:rPr>
          <w:noProof/>
        </w:rPr>
        <w:t>Tarptautinė prekyba paslaugomis. Apskaitos elementai</w:t>
      </w:r>
    </w:p>
    <w:p>
      <w:pPr>
        <w:ind w:left="851"/>
        <w:rPr>
          <w:noProof/>
        </w:rPr>
      </w:pPr>
      <w:r>
        <w:rPr>
          <w:noProof/>
        </w:rPr>
        <w:t>Terminas: T + 9 mėn.</w:t>
      </w:r>
    </w:p>
    <w:p>
      <w:pPr>
        <w:ind w:left="851"/>
        <w:rPr>
          <w:noProof/>
        </w:rPr>
      </w:pPr>
      <w:r>
        <w:rPr>
          <w:noProof/>
        </w:rPr>
        <w:t>Periodiškumas: kasmet</w:t>
      </w:r>
    </w:p>
    <w:p>
      <w:pPr>
        <w:ind w:left="851"/>
        <w:rPr>
          <w:noProof/>
        </w:rPr>
      </w:pPr>
      <w:r>
        <w:rPr>
          <w:noProof/>
        </w:rPr>
        <w:t>Pirmasis ataskaitinis laikotarpis: 2013 m.</w:t>
      </w:r>
    </w:p>
    <w:tbl>
      <w:tblPr>
        <w:tblW w:w="6662" w:type="dxa"/>
        <w:tblInd w:w="817" w:type="dxa"/>
        <w:tblLook w:val="04A0" w:firstRow="1" w:lastRow="0" w:firstColumn="1" w:lastColumn="0" w:noHBand="0" w:noVBand="1"/>
      </w:tblPr>
      <w:tblGrid>
        <w:gridCol w:w="3560"/>
        <w:gridCol w:w="1030"/>
        <w:gridCol w:w="989"/>
        <w:gridCol w:w="1182"/>
      </w:tblGrid>
      <w:tr>
        <w:trPr>
          <w:trHeight w:val="315"/>
        </w:trPr>
        <w:tc>
          <w:tcPr>
            <w:tcW w:w="3560" w:type="dxa"/>
            <w:tcBorders>
              <w:top w:val="nil"/>
              <w:left w:val="nil"/>
              <w:bottom w:val="nil"/>
              <w:right w:val="nil"/>
            </w:tcBorders>
            <w:shd w:val="clear" w:color="auto" w:fill="auto"/>
            <w:noWrap/>
            <w:vAlign w:val="bottom"/>
            <w:hideMark/>
          </w:tcPr>
          <w:p>
            <w:pPr>
              <w:rPr>
                <w:rFonts w:ascii="Calibri" w:hAnsi="Calibri"/>
                <w:noProof/>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Kreditas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Debetas</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Balansas</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Darbo pajamos</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Asmeniniai pervedimai</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ind w:left="459"/>
              <w:rPr>
                <w:noProof/>
                <w:szCs w:val="24"/>
              </w:rPr>
            </w:pPr>
            <w:r>
              <w:rPr>
                <w:noProof/>
              </w:rPr>
              <w:t>Dirbančių asmenų perlaidos</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PASLAUGOS</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
                <w:noProof/>
                <w:szCs w:val="24"/>
              </w:rPr>
            </w:pPr>
            <w:r>
              <w:rPr>
                <w:b/>
                <w:noProof/>
              </w:rPr>
              <w:t>Kelionės</w:t>
            </w: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Dalykinės kelionės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Pasienio, sezoninių ir kitų trumpalaikių darbuotojų įsigyjamos prekės ir paslaugos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Kitos dalykinės kelionės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Asmeninės kelionės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Su sveikatos priežiūra susijusios išlaidos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Su švietimu susijusios išlaidos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Kitos asmeninės kelionės</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Netiesiogiai apskaičiuotos finansinio tarpininkavimo paslaugos (NAFTAP)</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r>
    </w:tbl>
    <w:p>
      <w:pPr>
        <w:rPr>
          <w:noProof/>
          <w:szCs w:val="24"/>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D42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1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3C61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CA1B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A724E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3EC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84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400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9: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ACCOMPAGNANT.CP" w:val="prie pasi\u363?lymo d\u279?l"/>
    <w:docVar w:name="LW_ANNEX_NBR_FIRST" w:val="1"/>
    <w:docVar w:name="LW_ANNEX_NBR_LAST" w:val="4"/>
    <w:docVar w:name="LW_CONFIDENCE" w:val=" "/>
    <w:docVar w:name="LW_CONST_RESTREINT_UE" w:val="RESTREINT UE"/>
    <w:docVar w:name="LW_CORRIGENDUM" w:val="&lt;UNUSED&gt;"/>
    <w:docVar w:name="LW_COVERPAGE_GUID" w:val="C989BAC9C754444CA658071E5AED8A0E"/>
    <w:docVar w:name="LW_CROSSREFERENCE" w:val="{SWD(2017) 98 final}_x000b_{SWD(2017) 99 final}"/>
    <w:docVar w:name="LW_DocType" w:val="ANNEX"/>
    <w:docVar w:name="LW_EMISSION" w:val="2017 03 06"/>
    <w:docVar w:name="LW_EMISSION_ISODATE" w:val="2017-03-06"/>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d\u279?l Europos verslo statistikos, kuriuo i\u353? dalies kei\u269?iamas Reglamentas (EB) Nr. 184/2005 ir panaikinama de\u353?imt verslo statistikos srities teis\u279?s akt\u371?_x000b_"/>
    <w:docVar w:name="LW_PART_NBR" w:val="&lt;UNUSED&gt;"/>
    <w:docVar w:name="LW_PART_NBR_TOTAL" w:val="&lt;UNUSED&gt;"/>
    <w:docVar w:name="LW_REF.INST.NEW" w:val="COM"/>
    <w:docVar w:name="LW_REF.INST.NEW_ADOPTED" w:val="final"/>
    <w:docVar w:name="LW_REF.INST.NEW_TEXT" w:val="(2017) 114"/>
    <w:docVar w:name="LW_REF.INTERNE" w:val="&lt;UNUSED&gt;"/>
    <w:docVar w:name="LW_SUPERTITRE" w:val="&lt;UNUSED&gt;"/>
    <w:docVar w:name="LW_TITRE.OBJ.CP" w:val="&lt;UNUSED&gt;"/>
    <w:docVar w:name="LW_TYPE.DOC.CP" w:val="PRIEDAI"/>
    <w:docVar w:name="LW_TYPEACTEPRINCIPAL.CP" w:val="EUROPOS PARLAMENTO IR TARYBOS REGLAMENTO "/>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DD0D-1BCC-42DD-AD79-D1DF3483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Pages>
  <Words>1194</Words>
  <Characters>8573</Characters>
  <Application>Microsoft Office Word</Application>
  <DocSecurity>0</DocSecurity>
  <Lines>451</Lines>
  <Paragraphs>305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SNEIJERS Petra (ESTAT)</dc:creator>
  <cp:lastModifiedBy>DIGIT/A3</cp:lastModifiedBy>
  <cp:revision>8</cp:revision>
  <cp:lastPrinted>2017-02-13T10:21:00Z</cp:lastPrinted>
  <dcterms:created xsi:type="dcterms:W3CDTF">2017-02-24T14:42:00Z</dcterms:created>
  <dcterms:modified xsi:type="dcterms:W3CDTF">2017-02-27T13:09:00Z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