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9" w:rsidRDefault="003229FA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EEEFA534BCA4AA490208DA081090A5D" style="width:450.75pt;height:424.5pt">
            <v:imagedata r:id="rId9" o:title=""/>
          </v:shape>
        </w:pict>
      </w:r>
    </w:p>
    <w:p w:rsidR="005B0E19" w:rsidRDefault="005B0E19">
      <w:pPr>
        <w:rPr>
          <w:noProof/>
        </w:rPr>
        <w:sectPr w:rsidR="005B0E19"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5B0E19" w:rsidRDefault="005B0E19">
      <w:pPr>
        <w:rPr>
          <w:noProof/>
        </w:rPr>
      </w:pPr>
      <w:bookmarkStart w:id="0" w:name="_GoBack"/>
      <w:bookmarkEnd w:id="0"/>
    </w:p>
    <w:p w:rsidR="005B0E19" w:rsidRDefault="003229FA">
      <w:pPr>
        <w:pStyle w:val="Annexetitre"/>
        <w:rPr>
          <w:noProof/>
        </w:rPr>
      </w:pPr>
      <w:r>
        <w:rPr>
          <w:noProof/>
        </w:rPr>
        <w:t xml:space="preserve">Liite I </w:t>
      </w:r>
    </w:p>
    <w:p w:rsidR="005B0E19" w:rsidRDefault="003229FA">
      <w:pPr>
        <w:keepNext/>
        <w:jc w:val="center"/>
        <w:outlineLvl w:val="0"/>
        <w:rPr>
          <w:b/>
          <w:noProof/>
        </w:rPr>
      </w:pPr>
      <w:r>
        <w:rPr>
          <w:b/>
          <w:noProof/>
        </w:rPr>
        <w:t xml:space="preserve">Käsiteltävät aiheet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709"/>
        <w:gridCol w:w="5953"/>
      </w:tblGrid>
      <w:tr w:rsidR="005B0E19">
        <w:trPr>
          <w:trHeight w:val="300"/>
        </w:trPr>
        <w:tc>
          <w:tcPr>
            <w:tcW w:w="866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Aihealue 1. Lyhyen aikavälin yritystilastot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Yksityiskohtaiset aiheet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demografiset tapahtumat</w:t>
            </w:r>
            <w:r>
              <w:rPr>
                <w:noProof/>
                <w:sz w:val="22"/>
              </w:rPr>
              <w:t xml:space="preserve"> (konkurssit ja rekisteröinnit)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Työpanokset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Työllisyys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Tehdyt työtunnit 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Työvoimakustannukset</w:t>
            </w:r>
          </w:p>
        </w:tc>
      </w:tr>
      <w:tr w:rsidR="005B0E19"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Hinnat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Tuontihinnat </w:t>
            </w:r>
          </w:p>
        </w:tc>
      </w:tr>
      <w:tr w:rsidR="005B0E19"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Tuottajahinnat</w:t>
            </w:r>
          </w:p>
        </w:tc>
      </w:tr>
      <w:tr w:rsidR="005B0E19"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Tuotokset ja tulokset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Tuotanto</w:t>
            </w:r>
          </w:p>
        </w:tc>
      </w:tr>
      <w:tr w:rsidR="005B0E19"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Myyntimäärä</w:t>
            </w:r>
          </w:p>
        </w:tc>
      </w:tr>
      <w:tr w:rsidR="005B0E19"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Nettoliikevaihto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Luvat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Rakennusluvat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 </w:t>
            </w:r>
          </w:p>
        </w:tc>
      </w:tr>
      <w:tr w:rsidR="005B0E19">
        <w:trPr>
          <w:trHeight w:val="300"/>
        </w:trPr>
        <w:tc>
          <w:tcPr>
            <w:tcW w:w="86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Aihealue 2. Maakohtaiset </w:t>
            </w:r>
            <w:r>
              <w:rPr>
                <w:b/>
                <w:noProof/>
                <w:sz w:val="22"/>
              </w:rPr>
              <w:t>yritystilastot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Yksityiskohtaiset aiheet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Toiminnassa olevien yritysten perusjoukko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demografiset tapahtumat (syntymät, kuolemat, eloonjäämiset)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Ulkomaisessa määräysvallassa olevat yritykset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Ulkomaista </w:t>
            </w:r>
            <w:r>
              <w:rPr>
                <w:noProof/>
                <w:sz w:val="22"/>
              </w:rPr>
              <w:t>määräysvaltaa käyttävät yritykset (UCI-käsite) ja kotimaiset osakkuus- ja tytäryhtiöt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Kansainvälistä kauppaa harjoittavien yritysten perusjoukko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Työpanokset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Henkilöstömäärä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Yritysten demografisiin tapahtumiin (syntymiin, kuolemiin, eloonjäämisiin) </w:t>
            </w:r>
            <w:r>
              <w:rPr>
                <w:noProof/>
                <w:sz w:val="22"/>
              </w:rPr>
              <w:t>liittyvä henkilöstömäärä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Henkilöstömäärä ulkomaisessa määräysvallassa olevissa yrityksissä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Henkilöstömäärä ulkomaista määräysvaltaa käyttävissä yrityksissä (UCI-käsite) ja kotimaisissa osakkuus- ja tytäryhtiöissä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Tehdyt työtunnit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Työvoimakustannukset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Työvoimakustannukset ulkomaisessa määräysvallassa olevissa yrityksissä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T&amp;K-panokset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T&amp;K-menot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T&amp;K-henkilöstömäärä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T&amp;K-menot ulkomaisessa määräysvallassa olevissa yrityksissä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T&amp;K-henkilöstömäärä ulkomaisessa määräysvallassa </w:t>
            </w:r>
            <w:r>
              <w:rPr>
                <w:noProof/>
                <w:sz w:val="22"/>
              </w:rPr>
              <w:t>olevissa yrityksissä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Julkisesti rahoitettu T&amp;K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Ostot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Tavaroiden ja palvelujen ostot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Tavaravaraston muutos 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Ulkomaisessa määräysvallassa olevien yritysten tavaroiden ja palvelujen ostot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harjoittama tuonti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Tuotokset ja tulokset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Nettoliikevaihto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Jälleenmyytävien tavaroiden myyntikate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Tuotoksen arvo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Arvonlisäys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Käyttökate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Ulkomaisessa määräysvallassa olevien yritysten nettoliikevaihto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Ulkomaisessa määräysvallassa olevien yritysten tuotoksen arvo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Ulkomaisessa määräysvallassa olevien yritysten arvonlisäys 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Ulkomaista määräysvaltaa käyttävien yritysten (UCI-käsite) ja kotimaisten osakkuus- ja tytäryhtiöiden nettoliikevaihto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Teollisuustuotanto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harjoittama vienti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Investoinnit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Bruttoinvestoinnit 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Ulkomaisessa määräysvallassa olevien yritysten bruttoinvestoinnit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Innovointi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Innovointi</w:t>
            </w:r>
          </w:p>
        </w:tc>
      </w:tr>
      <w:tr w:rsidR="005B0E1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Tieto- ja viestintätekniikan käyttö ja sähköinen kaupankäynti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Tieto- ja viestintätekniikan käyttö ja sähköinen kaupankäynti</w:t>
            </w:r>
          </w:p>
        </w:tc>
      </w:tr>
      <w:tr w:rsidR="005B0E19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E19" w:rsidRDefault="005B0E19">
            <w:pPr>
              <w:rPr>
                <w:b/>
                <w:bCs/>
                <w:noProof/>
                <w:sz w:val="22"/>
              </w:rPr>
            </w:pPr>
          </w:p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Aihealue 3. </w:t>
            </w:r>
            <w:r>
              <w:rPr>
                <w:b/>
                <w:noProof/>
                <w:sz w:val="22"/>
              </w:rPr>
              <w:t>Alueelliset yritystilastot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Yksityiskohtaiset aiheet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Perusjoukko alueittain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demografiset tapahtumat (syntymät, kuolemat, eloonjäämiset) alueittain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Työpanokset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Henkilöstömäärä alueittain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Yritysten demografisiin </w:t>
            </w:r>
            <w:r>
              <w:rPr>
                <w:noProof/>
                <w:sz w:val="22"/>
              </w:rPr>
              <w:t>tapahtumiin (syntymiin, kuolemiin, eloonjäämisiin) liittyvä henkilöstömäärä alueittain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Työvoimakustannukset alueittain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T&amp;K-panokset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T&amp;K-menot alueittain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T&amp;K-henkilöstömäärä alueittain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</w:tr>
      <w:tr w:rsidR="005B0E19">
        <w:trPr>
          <w:trHeight w:val="300"/>
        </w:trPr>
        <w:tc>
          <w:tcPr>
            <w:tcW w:w="866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Aihealue 4. Kansainvälistä toimintaa koskevat 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Yksityiskohtaiset aiheet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Sellaisten ulkomailla olevien yritysten perusjoukko, joiden perimmäiset omistajatahot ovat raportoivan maan institutionaalisia yksiköitä</w:t>
            </w:r>
          </w:p>
        </w:tc>
      </w:tr>
      <w:tr w:rsidR="005B0E19"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Työpanos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Henkilöstömäärä ulkomailla olevissa yrityksissä, joiden </w:t>
            </w:r>
            <w:r>
              <w:rPr>
                <w:noProof/>
                <w:sz w:val="22"/>
              </w:rPr>
              <w:t>perimmäiset omistajatahot ovat raportoivan maan institutionaalisia yksiköitä</w:t>
            </w:r>
          </w:p>
        </w:tc>
      </w:tr>
      <w:tr w:rsidR="005B0E19"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Työvoimakustannukset ulkomailla olevissa yrityksissä, joiden perimmäiset omistajatahot ovat raportoivan maan institutionaalisia yksiköitä</w:t>
            </w:r>
          </w:p>
        </w:tc>
      </w:tr>
      <w:tr w:rsidR="005B0E1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Investoinnit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Sellaisten ulkomailla </w:t>
            </w:r>
            <w:r>
              <w:rPr>
                <w:noProof/>
                <w:sz w:val="22"/>
              </w:rPr>
              <w:t>olevien yritysten bruttoinvestoinnit, joiden perimmäiset omistajatahot ovat raportoivan maan institutionaalisia yksiköitä</w:t>
            </w:r>
          </w:p>
        </w:tc>
      </w:tr>
      <w:tr w:rsidR="005B0E19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Tuotokset ja tulokset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Sellaisten ulkomailla olevien yritysten nettoliikevaihto, joiden </w:t>
            </w:r>
            <w:r>
              <w:rPr>
                <w:noProof/>
                <w:sz w:val="22"/>
              </w:rPr>
              <w:lastRenderedPageBreak/>
              <w:t>perimmäiset omistajatahot ovat raportoivan maa</w:t>
            </w:r>
            <w:r>
              <w:rPr>
                <w:noProof/>
                <w:sz w:val="22"/>
              </w:rPr>
              <w:t>n institutionaalisia yksiköitä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Kansainvälinen tavarakauppa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EU:n sisäinen tavarakauppa</w:t>
            </w:r>
          </w:p>
        </w:tc>
      </w:tr>
      <w:tr w:rsidR="005B0E19"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EU:n ulkopuolinen tavarakauppa </w:t>
            </w:r>
          </w:p>
        </w:tc>
      </w:tr>
      <w:tr w:rsidR="005B0E19"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Kansainvälinen palvelukauppa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Palvelujen tuonti (menot)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Palvelujen vienti (tulot)</w:t>
            </w:r>
          </w:p>
        </w:tc>
      </w:tr>
      <w:tr w:rsidR="005B0E19"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E19" w:rsidRDefault="005B0E19">
            <w:pPr>
              <w:rPr>
                <w:noProof/>
                <w:sz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Nettomääräiset FRIBS-palvelut (netto)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Globaalit</w:t>
            </w:r>
            <w:r>
              <w:rPr>
                <w:noProof/>
                <w:sz w:val="22"/>
              </w:rPr>
              <w:t xml:space="preserve"> arvoketjut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Globaalit arvoketjut</w:t>
            </w:r>
          </w:p>
        </w:tc>
      </w:tr>
    </w:tbl>
    <w:p w:rsidR="005B0E19" w:rsidRDefault="003229FA">
      <w:pPr>
        <w:pStyle w:val="Annexetitre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 xml:space="preserve">Liite II </w:t>
      </w:r>
    </w:p>
    <w:p w:rsidR="005B0E19" w:rsidRDefault="003229FA">
      <w:pPr>
        <w:keepNext/>
        <w:jc w:val="center"/>
        <w:outlineLvl w:val="0"/>
        <w:rPr>
          <w:b/>
          <w:noProof/>
        </w:rPr>
      </w:pPr>
      <w:r>
        <w:rPr>
          <w:b/>
          <w:noProof/>
        </w:rPr>
        <w:t xml:space="preserve">Aiheiden jaksollisuus 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5953"/>
      </w:tblGrid>
      <w:tr w:rsidR="005B0E19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Aihealue 1. Lyhyen aikavälin yritystilastot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Jaksollisuus</w:t>
            </w:r>
          </w:p>
        </w:tc>
      </w:tr>
      <w:tr w:rsidR="005B0E19">
        <w:trPr>
          <w:trHeight w:val="315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Neljännesvuosittain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Työpanokset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Neljännesvuosittain</w:t>
            </w:r>
          </w:p>
        </w:tc>
      </w:tr>
      <w:tr w:rsidR="005B0E19">
        <w:trPr>
          <w:trHeight w:val="544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Hinnat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Kuukausittain; neljännesvuosittain </w:t>
            </w:r>
            <w:r>
              <w:rPr>
                <w:noProof/>
                <w:sz w:val="22"/>
              </w:rPr>
              <w:t>palveluja koskevien tuottajahintaindeksien ja uusia asuinrakennuksia koskevien tuottajahintaindeksien osalta.</w:t>
            </w:r>
          </w:p>
        </w:tc>
      </w:tr>
      <w:tr w:rsidR="005B0E19">
        <w:trPr>
          <w:trHeight w:val="242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Tuotokset ja tulokset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Kuukausittain; neljännesvuosittain pienten maiden osalta, kun on kyse NACEn pääluokasta F. 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Luvat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Neljännesvuosittain</w:t>
            </w:r>
          </w:p>
        </w:tc>
      </w:tr>
      <w:tr w:rsidR="005B0E19">
        <w:trPr>
          <w:trHeight w:val="300"/>
        </w:trPr>
        <w:tc>
          <w:tcPr>
            <w:tcW w:w="8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E19" w:rsidRDefault="005B0E19">
            <w:pPr>
              <w:rPr>
                <w:b/>
                <w:noProof/>
                <w:sz w:val="22"/>
              </w:rPr>
            </w:pPr>
          </w:p>
          <w:p w:rsidR="005B0E19" w:rsidRDefault="003229FA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Aihealue 2. Maakohtaiset yritystilastot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Jaksollisuus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Työpanokset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T&amp;K-panokset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Joka toinen vuosi; vuosittain, kun on kyse oman T&amp;K-toiminnan menojen, T&amp;K-henkilöstön ja tutkijoiden lukumäärän </w:t>
            </w:r>
            <w:r>
              <w:rPr>
                <w:noProof/>
                <w:sz w:val="22"/>
              </w:rPr>
              <w:t>jaottelusta suorittajasektoreittain sekä valtion T&amp;K-rahoituksesta ja kansallisesta julkisesta rahoituksesta kansainvälisesti koordinoituun T&amp;K-toimintaan.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Ostokset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Vuosittain; joka kolmas vuosi alihankkijoille suoritettavien maksujen osalta.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Tuotokset j</w:t>
            </w:r>
            <w:r>
              <w:rPr>
                <w:noProof/>
                <w:sz w:val="22"/>
              </w:rPr>
              <w:t xml:space="preserve">a tulokset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Vuosittain; joka toinen vuosi, kun on kyse nettoliikevaihdon jakautumisesta tuotteittain ja asiakkaan kotipaikan mukaan NACEn kolminumerotasoilla 69.1, 69.2, 70.2, 71.1, 71.2 ja 73.2; joka viides vuosi, kun on kyse maatalous-, metsätalous-, kal</w:t>
            </w:r>
            <w:r>
              <w:rPr>
                <w:noProof/>
                <w:sz w:val="22"/>
              </w:rPr>
              <w:t>astus- ja teollisuustoiminnan nettoliikevaihdosta, teollisuustoiminnan liikevaihdosta, teollisuustoiminnan liikevaihdosta rakennustoimintaa lukuun ottamatta, rakennustoiminnan nettoliikevaihdosta, palvelutoiminnan nettoliikevaihdosta, kaupan osto-, jälleen</w:t>
            </w:r>
            <w:r>
              <w:rPr>
                <w:noProof/>
                <w:sz w:val="22"/>
              </w:rPr>
              <w:t xml:space="preserve">myynti- ja välitystoiminnan nettoliikevaihdosta, rakennusten rakentamisen nettoliikevaihdosta ja tie- ja vesirakentamisen nettoliikevaihdosta; joka kolmas vuosi alihankinnasta saatavien tulojen osalta. 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Investoinnit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Vuosittain; joka kolmas vuosi, kun on </w:t>
            </w:r>
            <w:r>
              <w:rPr>
                <w:noProof/>
                <w:sz w:val="22"/>
              </w:rPr>
              <w:t xml:space="preserve">kyse investoinneista </w:t>
            </w:r>
            <w:r>
              <w:rPr>
                <w:noProof/>
                <w:sz w:val="22"/>
              </w:rPr>
              <w:lastRenderedPageBreak/>
              <w:t>aineettomaan omaisuuteen.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E19" w:rsidRDefault="003229FA">
            <w:pPr>
              <w:spacing w:line="360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Innovointi</w:t>
            </w:r>
            <w:r>
              <w:rPr>
                <w:noProof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E19" w:rsidRDefault="003229FA">
            <w:pPr>
              <w:spacing w:line="360" w:lineRule="auto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Joka toinen vuosi</w:t>
            </w:r>
          </w:p>
        </w:tc>
      </w:tr>
      <w:tr w:rsidR="005B0E19"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Tieto- ja viestintätekniikan käyttö ja sähköinen kaupankäynti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300"/>
        </w:trPr>
        <w:tc>
          <w:tcPr>
            <w:tcW w:w="8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E19" w:rsidRDefault="003229FA">
            <w:pPr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Aihealue 3. Alueelliset yritystilastot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Jaksollisuus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Työpanokset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T&amp;K-panokset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Joka toinen vuosi</w:t>
            </w:r>
          </w:p>
        </w:tc>
      </w:tr>
      <w:tr w:rsidR="005B0E19">
        <w:trPr>
          <w:trHeight w:val="315"/>
        </w:trPr>
        <w:tc>
          <w:tcPr>
            <w:tcW w:w="8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0E19" w:rsidRDefault="005B0E19">
            <w:pPr>
              <w:rPr>
                <w:b/>
                <w:noProof/>
                <w:sz w:val="22"/>
              </w:rPr>
            </w:pPr>
          </w:p>
          <w:p w:rsidR="005B0E19" w:rsidRDefault="003229FA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Aihealue 4. Kansainvälistä toimintaa koskevat tilastot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Aiheet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hideMark/>
          </w:tcPr>
          <w:p w:rsidR="005B0E19" w:rsidRDefault="003229FA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Jaksollisuus</w:t>
            </w:r>
          </w:p>
        </w:tc>
      </w:tr>
      <w:tr w:rsidR="005B0E19">
        <w:trPr>
          <w:trHeight w:val="315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Yritysten perusjoukko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Työpanokset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Investoinnit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Tuotokset ja tulokset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Vuosittain</w:t>
            </w:r>
          </w:p>
        </w:tc>
      </w:tr>
      <w:tr w:rsidR="005B0E19">
        <w:trPr>
          <w:trHeight w:val="568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Kansainvälinen tavarakauppa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Kuukausittain; joka toinen vuosi, kun on kyse EU:n ulkopuolelta peräisin olevan tavaroiden tuonnin ja viennin yhdistetystä tuotteen ja laskutusvaluutan mukaisesta jaottelusta 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Kansainvälinen palvelukauppa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Vuosittain; </w:t>
            </w:r>
            <w:r>
              <w:rPr>
                <w:noProof/>
                <w:sz w:val="22"/>
              </w:rPr>
              <w:t>neljännesvuosittain, kun on kyse palvelujaottelun ensimmäisestä tasosta.</w:t>
            </w:r>
          </w:p>
        </w:tc>
      </w:tr>
      <w:tr w:rsidR="005B0E19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Globaalit arvoketjut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B0E19" w:rsidRDefault="003229FA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Joka kolmas vuosi</w:t>
            </w:r>
          </w:p>
        </w:tc>
      </w:tr>
    </w:tbl>
    <w:p w:rsidR="005B0E19" w:rsidRDefault="003229FA">
      <w:pPr>
        <w:rPr>
          <w:b/>
          <w:noProof/>
        </w:rPr>
      </w:pPr>
      <w:r>
        <w:rPr>
          <w:b/>
          <w:noProof/>
        </w:rPr>
        <w:t xml:space="preserve"> </w:t>
      </w:r>
    </w:p>
    <w:p w:rsidR="005B0E19" w:rsidRDefault="005B0E19">
      <w:pPr>
        <w:keepNext/>
        <w:jc w:val="center"/>
        <w:outlineLvl w:val="0"/>
        <w:rPr>
          <w:noProof/>
          <w:szCs w:val="24"/>
        </w:rPr>
      </w:pPr>
    </w:p>
    <w:p w:rsidR="005B0E19" w:rsidRDefault="003229FA">
      <w:pPr>
        <w:pStyle w:val="Annexetitre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 xml:space="preserve">Liite III </w:t>
      </w:r>
    </w:p>
    <w:p w:rsidR="005B0E19" w:rsidRDefault="003229FA">
      <w:pPr>
        <w:keepNext/>
        <w:jc w:val="center"/>
        <w:outlineLvl w:val="0"/>
        <w:rPr>
          <w:b/>
          <w:noProof/>
          <w:szCs w:val="24"/>
        </w:rPr>
      </w:pPr>
      <w:r>
        <w:rPr>
          <w:b/>
          <w:noProof/>
        </w:rPr>
        <w:t xml:space="preserve">Tilastointiin tarkoitettujen yritysrekisterien eurooppalaisen verkon osatekijät </w:t>
      </w:r>
    </w:p>
    <w:p w:rsidR="005B0E19" w:rsidRDefault="003229FA">
      <w:pPr>
        <w:keepNext/>
        <w:ind w:left="2268"/>
        <w:outlineLvl w:val="0"/>
        <w:rPr>
          <w:b/>
          <w:bCs/>
          <w:noProof/>
          <w:szCs w:val="24"/>
        </w:rPr>
      </w:pPr>
      <w:r>
        <w:rPr>
          <w:b/>
          <w:noProof/>
        </w:rPr>
        <w:t>A osa: Rekisterien yksityiskohtaiset aiheet ja</w:t>
      </w:r>
      <w:r>
        <w:rPr>
          <w:b/>
          <w:noProof/>
        </w:rPr>
        <w:t xml:space="preserve"> yksilölliset tunnukset</w:t>
      </w:r>
    </w:p>
    <w:p w:rsidR="005B0E19" w:rsidRDefault="005B0E19">
      <w:pPr>
        <w:keepNext/>
        <w:outlineLvl w:val="0"/>
        <w:rPr>
          <w:noProof/>
          <w:szCs w:val="24"/>
          <w:highlight w:val="cyan"/>
        </w:rPr>
      </w:pPr>
    </w:p>
    <w:p w:rsidR="005B0E19" w:rsidRDefault="003229FA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Tilastointiin tarkoitetuissa kansallisissa yritysrekistereissä ja EuroGroups-rekisterissä tämän asetuksen 3 artiklan mukaisesti luetellut yksiköt on kuvattava käyttämällä tunnusnumeroa ja C osassa vahvistettuja rekisterien yksityis</w:t>
      </w:r>
      <w:r>
        <w:rPr>
          <w:noProof/>
        </w:rPr>
        <w:t xml:space="preserve">kohtaisia aiheita. </w:t>
      </w:r>
    </w:p>
    <w:p w:rsidR="005B0E19" w:rsidRDefault="003229FA">
      <w:pPr>
        <w:pStyle w:val="NumPar1"/>
        <w:rPr>
          <w:noProof/>
        </w:rPr>
      </w:pPr>
      <w:r>
        <w:rPr>
          <w:noProof/>
        </w:rPr>
        <w:t>Tilastointiin tarkoitetuissa kansallisissa yritysrekistereissä ja EuroGroups-rekisterissä luetellut yksiköt on yksilöitävä tunnusnumerolla, jotta voidaan helpottaa tilastointiin tarkoitettujen yritysrekisterien eurooppalaisen verkon toi</w:t>
      </w:r>
      <w:r>
        <w:rPr>
          <w:noProof/>
        </w:rPr>
        <w:t>mintaa infrastruktuurina. Kansalliset tilastoviranomaiset antavat nämä tunnusnumerot. EuroGroups-rekisterin kannalta merkityksellisten oikeudellisten yksiköiden ja monikansallisten konsernien tunnusnumerot antaa komissio (Eurostat). Kansalliset tilastovira</w:t>
      </w:r>
      <w:r>
        <w:rPr>
          <w:noProof/>
        </w:rPr>
        <w:t xml:space="preserve">nomaiset voivat käyttää tilastointiin tarkoitetuissa kansallisissa yritysrekistereissä ylimääräistä tunnusnumeroa kansallisia tarkoituksia varten. </w:t>
      </w:r>
    </w:p>
    <w:p w:rsidR="005B0E19" w:rsidRDefault="005B0E19">
      <w:pPr>
        <w:keepNext/>
        <w:outlineLvl w:val="0"/>
        <w:rPr>
          <w:noProof/>
          <w:szCs w:val="24"/>
          <w:highlight w:val="cyan"/>
        </w:rPr>
      </w:pPr>
    </w:p>
    <w:p w:rsidR="005B0E19" w:rsidRDefault="003229FA">
      <w:pPr>
        <w:keepNext/>
        <w:ind w:left="2835"/>
        <w:outlineLvl w:val="0"/>
        <w:rPr>
          <w:b/>
          <w:bCs/>
          <w:noProof/>
          <w:szCs w:val="24"/>
        </w:rPr>
      </w:pPr>
      <w:r>
        <w:rPr>
          <w:b/>
          <w:noProof/>
        </w:rPr>
        <w:t xml:space="preserve">B osa: Aikaviite ja päivitystiheys </w:t>
      </w:r>
    </w:p>
    <w:p w:rsidR="005B0E19" w:rsidRDefault="005B0E19">
      <w:pPr>
        <w:keepNext/>
        <w:outlineLvl w:val="0"/>
        <w:rPr>
          <w:noProof/>
          <w:szCs w:val="24"/>
        </w:rPr>
      </w:pPr>
    </w:p>
    <w:p w:rsidR="005B0E19" w:rsidRDefault="003229FA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Tilastointiin tarkoitettuihin kansallisiin yritysrekistereihin ja Euro</w:t>
      </w:r>
      <w:r>
        <w:rPr>
          <w:noProof/>
        </w:rPr>
        <w:t xml:space="preserve">Groups-rekisteriin otetaan ja niistä poistetaan tietoja vähintään kerran vuodessa. </w:t>
      </w:r>
    </w:p>
    <w:p w:rsidR="005B0E19" w:rsidRDefault="003229FA">
      <w:pPr>
        <w:pStyle w:val="NumPar1"/>
        <w:rPr>
          <w:noProof/>
        </w:rPr>
      </w:pPr>
      <w:r>
        <w:rPr>
          <w:noProof/>
        </w:rPr>
        <w:t xml:space="preserve">Päivitystiheys riippuu yksiköstä, kyseisestä muuttujasta, yksikön koosta ja päivittämiseen yleisesti käytetystä lähteestä. </w:t>
      </w:r>
    </w:p>
    <w:p w:rsidR="005B0E19" w:rsidRDefault="003229FA">
      <w:pPr>
        <w:pStyle w:val="NumPar1"/>
        <w:rPr>
          <w:noProof/>
        </w:rPr>
      </w:pPr>
      <w:r>
        <w:rPr>
          <w:noProof/>
        </w:rPr>
        <w:t>Jäsenvaltioiden on otettava vuosittain kopio, joka kuvastaa tilastointiin tarkoitettujen kansallisten yritysrekisterien tilannetta vuoden lopussa, ja säilytettävä sitä vähintään 30 vuoden ajan analysointia varten. Komission (Eurostat) on otettava vuosittai</w:t>
      </w:r>
      <w:r>
        <w:rPr>
          <w:noProof/>
        </w:rPr>
        <w:t xml:space="preserve">n kopio, joka kuvastaa EuroGroups-rekisterin tilannetta vuoden lopussa, ja säilytettävä sitä vähintään 30 vuoden ajan analysointia varten. </w:t>
      </w:r>
    </w:p>
    <w:p w:rsidR="005B0E19" w:rsidRDefault="005B0E19">
      <w:pPr>
        <w:rPr>
          <w:b/>
          <w:noProof/>
          <w:szCs w:val="24"/>
        </w:rPr>
      </w:pPr>
    </w:p>
    <w:p w:rsidR="005B0E19" w:rsidRDefault="005B0E19">
      <w:pPr>
        <w:rPr>
          <w:b/>
          <w:noProof/>
          <w:szCs w:val="24"/>
        </w:rPr>
      </w:pPr>
    </w:p>
    <w:p w:rsidR="005B0E19" w:rsidRDefault="003229FA">
      <w:pPr>
        <w:jc w:val="center"/>
        <w:rPr>
          <w:b/>
          <w:noProof/>
          <w:szCs w:val="24"/>
        </w:rPr>
      </w:pPr>
      <w:r>
        <w:rPr>
          <w:b/>
          <w:noProof/>
        </w:rPr>
        <w:t>C osa: Yritysrekisterien yksityiskohtaiset aiheet</w:t>
      </w:r>
    </w:p>
    <w:p w:rsidR="005B0E19" w:rsidRDefault="005B0E19">
      <w:pPr>
        <w:jc w:val="center"/>
        <w:rPr>
          <w:b/>
          <w:noProof/>
          <w:szCs w:val="24"/>
        </w:rPr>
      </w:pPr>
    </w:p>
    <w:p w:rsidR="005B0E19" w:rsidRDefault="003229FA">
      <w:pPr>
        <w:rPr>
          <w:noProof/>
          <w:szCs w:val="24"/>
        </w:rPr>
      </w:pPr>
      <w:r>
        <w:rPr>
          <w:noProof/>
        </w:rPr>
        <w:t xml:space="preserve">Tilastointiin tarkoitetuissa kansallisissa yritysrekistereissä </w:t>
      </w:r>
      <w:r>
        <w:rPr>
          <w:noProof/>
        </w:rPr>
        <w:t>ja EuroGroup-rekisterissä on oltava jokaisesta tämän asetuksen 3 artiklassa määritellystä yksiköstä seuraavat yksityiskohtaiset aiheet yksiköittäin.</w:t>
      </w:r>
    </w:p>
    <w:p w:rsidR="005B0E19" w:rsidRDefault="003229FA">
      <w:pPr>
        <w:spacing w:after="200" w:line="276" w:lineRule="auto"/>
        <w:rPr>
          <w:noProof/>
          <w:szCs w:val="24"/>
        </w:rPr>
      </w:pPr>
      <w:r>
        <w:rPr>
          <w:noProof/>
        </w:rPr>
        <w:br w:type="page"/>
      </w:r>
    </w:p>
    <w:p w:rsidR="005B0E19" w:rsidRDefault="005B0E19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B0E19">
        <w:tc>
          <w:tcPr>
            <w:tcW w:w="4621" w:type="dxa"/>
            <w:tcBorders>
              <w:bottom w:val="nil"/>
            </w:tcBorders>
            <w:shd w:val="clear" w:color="auto" w:fill="auto"/>
          </w:tcPr>
          <w:p w:rsidR="005B0E19" w:rsidRDefault="003229FA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YKSIKÖT</w:t>
            </w: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Yksityiskohtaiset aiheet</w:t>
            </w:r>
          </w:p>
        </w:tc>
      </w:tr>
      <w:tr w:rsidR="005B0E19">
        <w:tc>
          <w:tcPr>
            <w:tcW w:w="4621" w:type="dxa"/>
            <w:tcBorders>
              <w:bottom w:val="nil"/>
            </w:tcBorders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1. OIKEUDELLISET YKSIKÖT</w:t>
            </w: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Tunnistetiedot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Demografiset tiedot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Taloudelliset tiedot/Ositusmuuttujat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Yhteydet yritykseen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Yhteydet muihin rekistereihin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Yhteys konserniin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Määräysvalta yksiköissä</w:t>
            </w:r>
          </w:p>
        </w:tc>
      </w:tr>
      <w:tr w:rsidR="005B0E19">
        <w:tc>
          <w:tcPr>
            <w:tcW w:w="4621" w:type="dxa"/>
            <w:tcBorders>
              <w:top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Yksiköiden omistus</w:t>
            </w:r>
          </w:p>
        </w:tc>
      </w:tr>
      <w:tr w:rsidR="005B0E19">
        <w:tc>
          <w:tcPr>
            <w:tcW w:w="4621" w:type="dxa"/>
            <w:tcBorders>
              <w:bottom w:val="nil"/>
            </w:tcBorders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2. KONSERNI</w:t>
            </w: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Tunnistetiedot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Demografiset tiedot</w:t>
            </w:r>
          </w:p>
        </w:tc>
      </w:tr>
      <w:tr w:rsidR="005B0E19">
        <w:tc>
          <w:tcPr>
            <w:tcW w:w="4621" w:type="dxa"/>
            <w:tcBorders>
              <w:top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Taloudelliset tiedot/Ositusmuuttujat</w:t>
            </w:r>
          </w:p>
        </w:tc>
      </w:tr>
      <w:tr w:rsidR="005B0E19">
        <w:tc>
          <w:tcPr>
            <w:tcW w:w="4621" w:type="dxa"/>
            <w:tcBorders>
              <w:bottom w:val="nil"/>
            </w:tcBorders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3. </w:t>
            </w:r>
            <w:r>
              <w:rPr>
                <w:noProof/>
              </w:rPr>
              <w:t>YRITYS</w:t>
            </w: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Tunnistetiedot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Yhteydet muihin yksiköihin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Demografiset tiedot</w:t>
            </w:r>
          </w:p>
        </w:tc>
      </w:tr>
      <w:tr w:rsidR="005B0E19">
        <w:tc>
          <w:tcPr>
            <w:tcW w:w="4621" w:type="dxa"/>
            <w:tcBorders>
              <w:top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Taloudelliset tiedot/Ositusmuuttujat</w:t>
            </w:r>
          </w:p>
        </w:tc>
      </w:tr>
      <w:tr w:rsidR="005B0E19">
        <w:tc>
          <w:tcPr>
            <w:tcW w:w="4621" w:type="dxa"/>
            <w:tcBorders>
              <w:bottom w:val="nil"/>
            </w:tcBorders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4. PAIKALLINEN YKSIKKÖ</w:t>
            </w: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Tunnistetiedot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Demografiset tiedot</w:t>
            </w:r>
          </w:p>
        </w:tc>
      </w:tr>
      <w:tr w:rsidR="005B0E19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Taloudelliset tiedot/Ositusmuuttujat</w:t>
            </w:r>
          </w:p>
        </w:tc>
      </w:tr>
      <w:tr w:rsidR="005B0E19">
        <w:tc>
          <w:tcPr>
            <w:tcW w:w="4621" w:type="dxa"/>
            <w:tcBorders>
              <w:top w:val="nil"/>
            </w:tcBorders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Yhteydet muihin yksiköihin ja </w:t>
            </w:r>
            <w:r>
              <w:rPr>
                <w:noProof/>
              </w:rPr>
              <w:t>rekistereihin</w:t>
            </w:r>
          </w:p>
        </w:tc>
      </w:tr>
      <w:tr w:rsidR="005B0E19">
        <w:tc>
          <w:tcPr>
            <w:tcW w:w="4621" w:type="dxa"/>
            <w:tcBorders>
              <w:bottom w:val="nil"/>
            </w:tcBorders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5. TOIMIALAYKSIKKÖ</w:t>
            </w: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Tunnistetiedot</w:t>
            </w:r>
          </w:p>
        </w:tc>
      </w:tr>
      <w:tr w:rsidR="005B0E19">
        <w:tc>
          <w:tcPr>
            <w:tcW w:w="4621" w:type="dxa"/>
            <w:vMerge w:val="restart"/>
            <w:tcBorders>
              <w:top w:val="nil"/>
            </w:tcBorders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jos otetaan huomioon tilastoyksikkönä 3 artiklan 2 kohdan a alakohdan iii alakohdan mukaisesti</w:t>
            </w: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Demografiset tiedot</w:t>
            </w:r>
          </w:p>
        </w:tc>
      </w:tr>
      <w:tr w:rsidR="005B0E19">
        <w:tc>
          <w:tcPr>
            <w:tcW w:w="4621" w:type="dxa"/>
            <w:vMerge/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Taloudelliset tiedot/Ositusmuuttujat</w:t>
            </w:r>
          </w:p>
        </w:tc>
      </w:tr>
      <w:tr w:rsidR="005B0E19">
        <w:tc>
          <w:tcPr>
            <w:tcW w:w="4621" w:type="dxa"/>
            <w:vMerge/>
            <w:shd w:val="clear" w:color="auto" w:fill="auto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Yhteydet muihin yksiköihin ja rekistereihin</w:t>
            </w:r>
          </w:p>
        </w:tc>
      </w:tr>
    </w:tbl>
    <w:p w:rsidR="005B0E19" w:rsidRDefault="005B0E19">
      <w:pPr>
        <w:rPr>
          <w:noProof/>
          <w:szCs w:val="24"/>
        </w:rPr>
      </w:pPr>
    </w:p>
    <w:p w:rsidR="005B0E19" w:rsidRDefault="005B0E19">
      <w:pPr>
        <w:rPr>
          <w:noProof/>
        </w:rPr>
      </w:pPr>
    </w:p>
    <w:p w:rsidR="005B0E19" w:rsidRDefault="003229FA">
      <w:pPr>
        <w:pStyle w:val="Annexetitre"/>
        <w:rPr>
          <w:noProof/>
        </w:rPr>
      </w:pPr>
      <w:r>
        <w:rPr>
          <w:noProof/>
        </w:rPr>
        <w:lastRenderedPageBreak/>
        <w:t>Liite IV</w:t>
      </w:r>
    </w:p>
    <w:p w:rsidR="005B0E19" w:rsidRDefault="003229FA">
      <w:pPr>
        <w:keepNext/>
        <w:jc w:val="center"/>
        <w:outlineLvl w:val="0"/>
        <w:rPr>
          <w:b/>
          <w:noProof/>
        </w:rPr>
      </w:pPr>
      <w:r>
        <w:rPr>
          <w:b/>
          <w:noProof/>
        </w:rPr>
        <w:t>Muutokset asetukseen (EY) N:o 184/2005</w:t>
      </w:r>
    </w:p>
    <w:p w:rsidR="005B0E19" w:rsidRDefault="003229FA">
      <w:pPr>
        <w:rPr>
          <w:noProof/>
          <w:szCs w:val="24"/>
        </w:rPr>
      </w:pPr>
      <w:r>
        <w:rPr>
          <w:noProof/>
        </w:rPr>
        <w:t>Korvataan liitteen I taulukko 3 seuraavasti:</w:t>
      </w:r>
    </w:p>
    <w:p w:rsidR="005B0E19" w:rsidRDefault="003229FA">
      <w:pPr>
        <w:ind w:left="851"/>
        <w:jc w:val="center"/>
        <w:rPr>
          <w:i/>
          <w:noProof/>
        </w:rPr>
      </w:pPr>
      <w:r>
        <w:rPr>
          <w:i/>
          <w:noProof/>
        </w:rPr>
        <w:t>”Taulukko 3</w:t>
      </w:r>
    </w:p>
    <w:p w:rsidR="005B0E19" w:rsidRDefault="003229FA">
      <w:pPr>
        <w:ind w:left="851"/>
        <w:jc w:val="center"/>
        <w:rPr>
          <w:noProof/>
        </w:rPr>
      </w:pPr>
      <w:r>
        <w:rPr>
          <w:noProof/>
        </w:rPr>
        <w:t>Kansainvälinen palvelukauppa – kirjanpitotiedot</w:t>
      </w:r>
    </w:p>
    <w:p w:rsidR="005B0E19" w:rsidRDefault="003229FA">
      <w:pPr>
        <w:ind w:left="851"/>
        <w:rPr>
          <w:noProof/>
        </w:rPr>
      </w:pPr>
      <w:r>
        <w:rPr>
          <w:noProof/>
        </w:rPr>
        <w:t>Määräaika: t + 9 kuukautta</w:t>
      </w:r>
    </w:p>
    <w:p w:rsidR="005B0E19" w:rsidRDefault="003229FA">
      <w:pPr>
        <w:ind w:left="851"/>
        <w:rPr>
          <w:noProof/>
        </w:rPr>
      </w:pPr>
      <w:r>
        <w:rPr>
          <w:noProof/>
        </w:rPr>
        <w:t>Aikajaksot: vuosittain</w:t>
      </w:r>
    </w:p>
    <w:p w:rsidR="005B0E19" w:rsidRDefault="003229FA">
      <w:pPr>
        <w:ind w:left="851"/>
        <w:rPr>
          <w:noProof/>
        </w:rPr>
      </w:pPr>
      <w:r>
        <w:rPr>
          <w:noProof/>
        </w:rPr>
        <w:t>Ensimmäinen tilastokausi: 2013</w:t>
      </w:r>
    </w:p>
    <w:tbl>
      <w:tblPr>
        <w:tblW w:w="6662" w:type="dxa"/>
        <w:tblInd w:w="817" w:type="dxa"/>
        <w:tblLook w:val="04A0" w:firstRow="1" w:lastRow="0" w:firstColumn="1" w:lastColumn="0" w:noHBand="0" w:noVBand="1"/>
      </w:tblPr>
      <w:tblGrid>
        <w:gridCol w:w="3560"/>
        <w:gridCol w:w="960"/>
        <w:gridCol w:w="960"/>
        <w:gridCol w:w="1182"/>
      </w:tblGrid>
      <w:tr w:rsidR="005B0E19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19" w:rsidRDefault="005B0E19">
            <w:pPr>
              <w:rPr>
                <w:rFonts w:ascii="Calibri" w:hAnsi="Calibri"/>
                <w:noProof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Tulot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Menot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Netto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Palkansaajakorvaukset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Henkilökohtaiset tulonsiirrot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ind w:left="459"/>
              <w:rPr>
                <w:noProof/>
                <w:szCs w:val="24"/>
              </w:rPr>
            </w:pPr>
            <w:r>
              <w:rPr>
                <w:noProof/>
              </w:rPr>
              <w:t>Palkansaajien rahalähetykset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PALVELUT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6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19" w:rsidRDefault="003229FA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Matkailu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19" w:rsidRDefault="005B0E19">
            <w:pPr>
              <w:rPr>
                <w:noProof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E19" w:rsidRDefault="005B0E19">
            <w:pPr>
              <w:rPr>
                <w:noProof/>
                <w:szCs w:val="24"/>
              </w:rPr>
            </w:pP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Työmatkailu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ind w:left="459"/>
              <w:rPr>
                <w:noProof/>
                <w:szCs w:val="24"/>
              </w:rPr>
            </w:pPr>
            <w:r>
              <w:rPr>
                <w:noProof/>
              </w:rPr>
              <w:t xml:space="preserve">Rajatyöntekijöiden sekä kausi- ja muiden </w:t>
            </w:r>
            <w:r>
              <w:rPr>
                <w:noProof/>
              </w:rPr>
              <w:t>lyhytaikaisten työntekijöiden hankkimat tavarat ja palvelut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ind w:left="459"/>
              <w:rPr>
                <w:noProof/>
                <w:szCs w:val="24"/>
              </w:rPr>
            </w:pPr>
            <w:r>
              <w:rPr>
                <w:noProof/>
              </w:rPr>
              <w:t>Muu työmatkailu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Yksityismatkailu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ind w:left="459"/>
              <w:rPr>
                <w:noProof/>
                <w:szCs w:val="24"/>
              </w:rPr>
            </w:pPr>
            <w:r>
              <w:rPr>
                <w:noProof/>
              </w:rPr>
              <w:t>Terveyteen liittyvät matkailumenot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ind w:left="459"/>
              <w:rPr>
                <w:noProof/>
                <w:szCs w:val="24"/>
              </w:rPr>
            </w:pPr>
            <w:r>
              <w:rPr>
                <w:noProof/>
              </w:rPr>
              <w:t>Koulutukseen liittyvät matkailumenot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ind w:left="459"/>
              <w:rPr>
                <w:noProof/>
                <w:szCs w:val="24"/>
              </w:rPr>
            </w:pPr>
            <w:r>
              <w:rPr>
                <w:noProof/>
              </w:rPr>
              <w:t>Muu yksityismatkailu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Geo5</w:t>
            </w:r>
          </w:p>
        </w:tc>
      </w:tr>
      <w:tr w:rsidR="005B0E1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Välilliset rahoituspalvelut (FISIM)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E19" w:rsidRDefault="003229FA">
            <w:pPr>
              <w:rPr>
                <w:noProof/>
                <w:szCs w:val="24"/>
              </w:rPr>
            </w:pPr>
            <w:r>
              <w:rPr>
                <w:noProof/>
              </w:rPr>
              <w:t>Geo 3</w:t>
            </w:r>
          </w:p>
        </w:tc>
      </w:tr>
    </w:tbl>
    <w:p w:rsidR="005B0E19" w:rsidRDefault="003229FA">
      <w:pPr>
        <w:rPr>
          <w:noProof/>
          <w:szCs w:val="24"/>
        </w:rPr>
      </w:pPr>
      <w:r>
        <w:rPr>
          <w:noProof/>
        </w:rPr>
        <w:t>”</w:t>
      </w:r>
    </w:p>
    <w:sectPr w:rsidR="005B0E19">
      <w:footerReference w:type="default" r:id="rId11"/>
      <w:footerReference w:type="first" r:id="rId12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FA" w:rsidRDefault="003229FA">
      <w:pPr>
        <w:spacing w:before="0" w:after="0"/>
      </w:pPr>
      <w:r>
        <w:separator/>
      </w:r>
    </w:p>
  </w:endnote>
  <w:endnote w:type="continuationSeparator" w:id="0">
    <w:p w:rsidR="003229FA" w:rsidRDefault="003229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19" w:rsidRDefault="003229F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FI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19" w:rsidRDefault="003229F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D0EAB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19" w:rsidRDefault="005B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FA" w:rsidRDefault="003229FA">
      <w:pPr>
        <w:spacing w:before="0" w:after="0"/>
      </w:pPr>
      <w:r>
        <w:separator/>
      </w:r>
    </w:p>
  </w:footnote>
  <w:footnote w:type="continuationSeparator" w:id="0">
    <w:p w:rsidR="003229FA" w:rsidRDefault="003229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9D42B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D109E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43C61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DCA1B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A724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43EC7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CC84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F400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2-27 14:08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7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FigNum" w:val="1"/>
    <w:docVar w:name="LW_ACCOMPAGNANT.CP" w:val="Ehdotus"/>
    <w:docVar w:name="LW_ANNEX_NBR_FIRST" w:val="1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9EEEFA534BCA4AA490208DA081090A5D"/>
    <w:docVar w:name="LW_CROSSREFERENCE" w:val="{SWD(2017) 98 final}_x000b_{SWD(2017) 99 final}"/>
    <w:docVar w:name="LW_DocType" w:val="ANNEX"/>
    <w:docVar w:name="LW_EMISSION" w:val="6.3.2017"/>
    <w:docVar w:name="LW_EMISSION_ISODATE" w:val="2017-03-06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Euroopan yritystilastoista, asetuksen (EY) N:o 184/2005 muuttamisesta ja kymmenen säädöksen kumoamisesta yritystilastojen alalla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7) 114"/>
    <w:docVar w:name="LW_REF.INTERNE" w:val="&lt;UNUSED&gt;"/>
    <w:docVar w:name="LW_SUPERTITRE" w:val="&lt;UNUSED&gt;"/>
    <w:docVar w:name="LW_TITRE.OBJ.CP" w:val="&lt;UNUSED&gt;"/>
    <w:docVar w:name="LW_TYPE.DOC.CP" w:val="LIITTEET"/>
    <w:docVar w:name="LW_TYPEACTEPRINCIPAL.CP" w:val="EUROOPAN PARLAMENTIN JA NEUVOSTON ASETUS"/>
  </w:docVars>
  <w:rsids>
    <w:rsidRoot w:val="005B0E19"/>
    <w:rsid w:val="002D0EAB"/>
    <w:rsid w:val="003229FA"/>
    <w:rsid w:val="005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4EF2-781B-4772-B236-2406D0CC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10</Pages>
  <Words>1037</Words>
  <Characters>9256</Characters>
  <Application>Microsoft Office Word</Application>
  <DocSecurity>0</DocSecurity>
  <Lines>201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SNEIJERS Petra (ESTAT)</dc:creator>
  <cp:lastModifiedBy>LAGES CARVALHO Patrick (SG)</cp:lastModifiedBy>
  <cp:revision>9</cp:revision>
  <cp:lastPrinted>2017-02-13T10:21:00Z</cp:lastPrinted>
  <dcterms:created xsi:type="dcterms:W3CDTF">2017-02-27T09:21:00Z</dcterms:created>
  <dcterms:modified xsi:type="dcterms:W3CDTF">2017-02-27T13:24:00Z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4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