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D77D3A751AC4C6183B2DD56E5CF18D0" style="width:450.7pt;height:452.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rPr>
      </w:pPr>
      <w:bookmarkStart w:id="0" w:name="_GoBack"/>
      <w:bookmarkEnd w:id="0"/>
    </w:p>
    <w:p>
      <w:pPr>
        <w:pStyle w:val="Annexetitre"/>
        <w:rPr>
          <w:noProof/>
        </w:rPr>
      </w:pPr>
      <w:r>
        <w:rPr>
          <w:noProof/>
        </w:rPr>
        <w:t>Príloha I</w:t>
      </w:r>
    </w:p>
    <w:p>
      <w:pPr>
        <w:keepNext/>
        <w:jc w:val="center"/>
        <w:outlineLvl w:val="0"/>
        <w:rPr>
          <w:b/>
          <w:noProof/>
        </w:rPr>
      </w:pPr>
      <w:r>
        <w:rPr>
          <w:b/>
          <w:noProof/>
        </w:rPr>
        <w:t xml:space="preserve">Zahrnutá téma </w:t>
      </w:r>
    </w:p>
    <w:tbl>
      <w:tblPr>
        <w:tblW w:w="8662" w:type="dxa"/>
        <w:tblInd w:w="93" w:type="dxa"/>
        <w:tblLook w:val="04A0" w:firstRow="1" w:lastRow="0" w:firstColumn="1" w:lastColumn="0" w:noHBand="0" w:noVBand="1"/>
      </w:tblPr>
      <w:tblGrid>
        <w:gridCol w:w="2709"/>
        <w:gridCol w:w="5953"/>
      </w:tblGrid>
      <w:tr>
        <w:trPr>
          <w:trHeight w:val="300"/>
        </w:trPr>
        <w:tc>
          <w:tcPr>
            <w:tcW w:w="8662" w:type="dxa"/>
            <w:gridSpan w:val="2"/>
            <w:tcBorders>
              <w:bottom w:val="single" w:sz="4" w:space="0" w:color="auto"/>
              <w:right w:val="nil"/>
            </w:tcBorders>
            <w:shd w:val="clear" w:color="auto" w:fill="auto"/>
            <w:noWrap/>
            <w:hideMark/>
          </w:tcPr>
          <w:p>
            <w:pPr>
              <w:rPr>
                <w:b/>
                <w:bCs/>
                <w:noProof/>
                <w:sz w:val="22"/>
              </w:rPr>
            </w:pPr>
            <w:r>
              <w:rPr>
                <w:b/>
                <w:noProof/>
                <w:sz w:val="22"/>
              </w:rPr>
              <w:t>Predmetná oblasť 1 Krátkodobá podniková štatistika</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Téma</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Čiastkové témy</w:t>
            </w:r>
          </w:p>
        </w:tc>
      </w:tr>
      <w:tr>
        <w:tc>
          <w:tcPr>
            <w:tcW w:w="2709" w:type="dxa"/>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Populácia ekonomických subjektov</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Demografické udalosti ekonomických subjektov (úpadky a registrácie)</w:t>
            </w:r>
          </w:p>
        </w:tc>
      </w:tr>
      <w:t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rPr>
                <w:noProof/>
                <w:sz w:val="22"/>
              </w:rPr>
            </w:pPr>
            <w:r>
              <w:rPr>
                <w:noProof/>
                <w:sz w:val="22"/>
              </w:rPr>
              <w:t>Pracovné vstupy</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Zamestnanosť</w:t>
            </w:r>
          </w:p>
        </w:tc>
      </w:tr>
      <w:tr>
        <w:tc>
          <w:tcPr>
            <w:tcW w:w="2709" w:type="dxa"/>
            <w:vMerge/>
            <w:tcBorders>
              <w:top w:val="single" w:sz="4" w:space="0" w:color="auto"/>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 xml:space="preserve">Odpracované hodiny </w:t>
            </w:r>
          </w:p>
        </w:tc>
      </w:tr>
      <w:tr>
        <w:tc>
          <w:tcPr>
            <w:tcW w:w="2709" w:type="dxa"/>
            <w:vMerge/>
            <w:tcBorders>
              <w:top w:val="single" w:sz="4" w:space="0" w:color="auto"/>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Náklady práce</w:t>
            </w:r>
          </w:p>
        </w:tc>
      </w:tr>
      <w:tr>
        <w:tc>
          <w:tcPr>
            <w:tcW w:w="2709" w:type="dxa"/>
            <w:vMerge w:val="restart"/>
            <w:tcBorders>
              <w:top w:val="nil"/>
              <w:left w:val="single" w:sz="4" w:space="0" w:color="auto"/>
              <w:bottom w:val="single" w:sz="4" w:space="0" w:color="000000"/>
              <w:right w:val="single" w:sz="4" w:space="0" w:color="auto"/>
            </w:tcBorders>
            <w:shd w:val="clear" w:color="auto" w:fill="auto"/>
            <w:hideMark/>
          </w:tcPr>
          <w:p>
            <w:pPr>
              <w:rPr>
                <w:noProof/>
                <w:sz w:val="22"/>
              </w:rPr>
            </w:pPr>
            <w:r>
              <w:rPr>
                <w:noProof/>
                <w:sz w:val="22"/>
              </w:rPr>
              <w:t>Ceny</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 xml:space="preserve">Dovozné ceny </w:t>
            </w:r>
          </w:p>
        </w:tc>
      </w:tr>
      <w:tr>
        <w:tc>
          <w:tcPr>
            <w:tcW w:w="2709" w:type="dxa"/>
            <w:vMerge/>
            <w:tcBorders>
              <w:top w:val="nil"/>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Výrobné ceny</w:t>
            </w:r>
          </w:p>
        </w:tc>
      </w:tr>
      <w:tr>
        <w:tc>
          <w:tcPr>
            <w:tcW w:w="2709" w:type="dxa"/>
            <w:vMerge w:val="restart"/>
            <w:tcBorders>
              <w:top w:val="nil"/>
              <w:left w:val="single" w:sz="4" w:space="0" w:color="auto"/>
              <w:bottom w:val="nil"/>
              <w:right w:val="single" w:sz="4" w:space="0" w:color="auto"/>
            </w:tcBorders>
            <w:shd w:val="clear" w:color="auto" w:fill="auto"/>
            <w:hideMark/>
          </w:tcPr>
          <w:p>
            <w:pPr>
              <w:rPr>
                <w:noProof/>
                <w:sz w:val="22"/>
              </w:rPr>
            </w:pPr>
            <w:r>
              <w:rPr>
                <w:noProof/>
                <w:sz w:val="22"/>
              </w:rPr>
              <w:t>Výstupy a výkony</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Výroba</w:t>
            </w:r>
          </w:p>
        </w:tc>
      </w:tr>
      <w:tr>
        <w:tc>
          <w:tcPr>
            <w:tcW w:w="2709" w:type="dxa"/>
            <w:vMerge/>
            <w:tcBorders>
              <w:top w:val="nil"/>
              <w:left w:val="single" w:sz="4" w:space="0" w:color="auto"/>
              <w:bottom w:val="nil"/>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Objem predaja</w:t>
            </w:r>
          </w:p>
        </w:tc>
      </w:tr>
      <w:tr>
        <w:tc>
          <w:tcPr>
            <w:tcW w:w="2709" w:type="dxa"/>
            <w:vMerge/>
            <w:tcBorders>
              <w:top w:val="nil"/>
              <w:left w:val="single" w:sz="4" w:space="0" w:color="auto"/>
              <w:bottom w:val="nil"/>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Čisté tržby</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Povolenia</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Stavebné povolenia</w:t>
            </w:r>
          </w:p>
        </w:tc>
      </w:tr>
      <w:tr>
        <w:trPr>
          <w:trHeight w:val="300"/>
        </w:trPr>
        <w:tc>
          <w:tcPr>
            <w:tcW w:w="2709" w:type="dxa"/>
            <w:tcBorders>
              <w:top w:val="single" w:sz="4" w:space="0" w:color="auto"/>
              <w:left w:val="nil"/>
              <w:right w:val="nil"/>
            </w:tcBorders>
            <w:shd w:val="clear" w:color="auto" w:fill="auto"/>
            <w:hideMark/>
          </w:tcPr>
          <w:p>
            <w:pPr>
              <w:rPr>
                <w:noProof/>
                <w:sz w:val="22"/>
              </w:rPr>
            </w:pPr>
            <w:r>
              <w:rPr>
                <w:noProof/>
                <w:sz w:val="22"/>
              </w:rPr>
              <w:t> </w:t>
            </w:r>
          </w:p>
        </w:tc>
        <w:tc>
          <w:tcPr>
            <w:tcW w:w="5953" w:type="dxa"/>
            <w:tcBorders>
              <w:top w:val="single" w:sz="4" w:space="0" w:color="auto"/>
              <w:left w:val="nil"/>
              <w:right w:val="nil"/>
            </w:tcBorders>
            <w:shd w:val="clear" w:color="auto" w:fill="auto"/>
            <w:hideMark/>
          </w:tcPr>
          <w:p>
            <w:pPr>
              <w:rPr>
                <w:noProof/>
                <w:sz w:val="22"/>
              </w:rPr>
            </w:pPr>
            <w:r>
              <w:rPr>
                <w:noProof/>
                <w:sz w:val="22"/>
              </w:rPr>
              <w:t> </w:t>
            </w:r>
          </w:p>
        </w:tc>
      </w:tr>
      <w:tr>
        <w:trPr>
          <w:trHeight w:val="300"/>
        </w:trPr>
        <w:tc>
          <w:tcPr>
            <w:tcW w:w="8662" w:type="dxa"/>
            <w:gridSpan w:val="2"/>
            <w:tcBorders>
              <w:top w:val="nil"/>
              <w:bottom w:val="nil"/>
              <w:right w:val="nil"/>
            </w:tcBorders>
            <w:shd w:val="clear" w:color="auto" w:fill="auto"/>
            <w:noWrap/>
            <w:hideMark/>
          </w:tcPr>
          <w:p>
            <w:pPr>
              <w:rPr>
                <w:b/>
                <w:bCs/>
                <w:noProof/>
                <w:sz w:val="22"/>
              </w:rPr>
            </w:pPr>
            <w:r>
              <w:rPr>
                <w:b/>
                <w:noProof/>
                <w:sz w:val="22"/>
              </w:rPr>
              <w:t xml:space="preserve">Predmetná oblasť 2 Podniková štatistika na úrovni krajiny </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Téma</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Čiastkové témy</w:t>
            </w:r>
          </w:p>
        </w:tc>
      </w:tr>
      <w:tr>
        <w:tc>
          <w:tcPr>
            <w:tcW w:w="2709" w:type="dxa"/>
            <w:vMerge w:val="restart"/>
            <w:tcBorders>
              <w:top w:val="single" w:sz="4" w:space="0" w:color="auto"/>
              <w:left w:val="single" w:sz="4" w:space="0" w:color="auto"/>
              <w:right w:val="single" w:sz="4" w:space="0" w:color="auto"/>
            </w:tcBorders>
            <w:shd w:val="clear" w:color="auto" w:fill="auto"/>
            <w:hideMark/>
          </w:tcPr>
          <w:p>
            <w:pPr>
              <w:rPr>
                <w:noProof/>
                <w:sz w:val="22"/>
              </w:rPr>
            </w:pPr>
            <w:r>
              <w:rPr>
                <w:noProof/>
                <w:sz w:val="22"/>
              </w:rPr>
              <w:t>Populácia ekonomických subjektov</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Populácia aktívnych podnikov</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Demografické udalosti ekonomických subjektov (vzniky, zániky, prežitia)</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Podniky s kontrolou v zahraničí</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nil"/>
              <w:right w:val="single" w:sz="4" w:space="0" w:color="auto"/>
            </w:tcBorders>
            <w:shd w:val="clear" w:color="auto" w:fill="auto"/>
          </w:tcPr>
          <w:p>
            <w:pPr>
              <w:rPr>
                <w:noProof/>
                <w:sz w:val="22"/>
              </w:rPr>
            </w:pPr>
            <w:r>
              <w:rPr>
                <w:noProof/>
                <w:sz w:val="22"/>
              </w:rPr>
              <w:t xml:space="preserve">Podniky s kontrolou v zahraničí (koncept UCI) a ich domáce afiliácie </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Populácia podnikov zapojených do medzinárodného obchodu</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Pracovné vstupy</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Zamestnanosť</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Zamestnanosť súvisiaca s demografickými udalosťami ekonomických subjektov (vzniky, zániky, prežitia)</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 xml:space="preserve">Zamestnanosť v podnikoch s kontrolou v zahraničí </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Zamestnanosť v podnikoch s kontrolou v zahraničí (koncept UCI) a ich domácich afiliáciách</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Odpracované hodiny</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Náklady práce</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Náklady práce v podnikoch s kontrolou v zahraničí</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Vstupy výskumu a vývoja</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Výdavky na výskum a vývoj</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Zamestnanosť v oblasti výskumu a vývoja</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Výdavky na výskum a vývoj v podnikoch s kontrolou v zahraničí</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Zamestnanosť v oblasti výskumu a vývoja v podnikoch s kontrolou v zahraničí</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 xml:space="preserve">Zamestnanosť v podnikoch s kontrolou v zahraničí </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Spotreba</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Spotreba tovaru a služieb</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 xml:space="preserve">Zmena zásob tovaru </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Spotreba tovaru a služieb podnikov s kontrolou v zahraničí</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Dovoz podnikov</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Výstupy a výkony</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Čisté tržby</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Hrubá obchodná marža</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Hodnota produkcie</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Pridaná hodnota</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Hrubý prevádzkový prebytok</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Čisté tržby podnikov s kontrolou v zahraničí</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Hodnota produkcie podnikov s kontrolou v zahraničí</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 xml:space="preserve">Pridaná hodnota podnikov s kontrolou v zahraničí </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Čisté tržby podnikov s kontrolou v zahraničí (koncept UCI) a ich domácich afiliácií</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Priemyselná výroba</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Vývoz podnikov</w:t>
            </w:r>
          </w:p>
        </w:tc>
      </w:tr>
      <w:tr>
        <w:tc>
          <w:tcPr>
            <w:tcW w:w="2709" w:type="dxa"/>
            <w:vMerge w:val="restart"/>
            <w:tcBorders>
              <w:top w:val="single" w:sz="4" w:space="0" w:color="000000"/>
              <w:left w:val="single" w:sz="4" w:space="0" w:color="auto"/>
              <w:bottom w:val="nil"/>
              <w:right w:val="single" w:sz="4" w:space="0" w:color="auto"/>
            </w:tcBorders>
            <w:shd w:val="clear" w:color="auto" w:fill="auto"/>
            <w:hideMark/>
          </w:tcPr>
          <w:p>
            <w:pPr>
              <w:rPr>
                <w:noProof/>
                <w:sz w:val="22"/>
              </w:rPr>
            </w:pPr>
            <w:r>
              <w:rPr>
                <w:noProof/>
                <w:sz w:val="22"/>
              </w:rPr>
              <w:t>Investície</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 xml:space="preserve">Hrubé investície </w:t>
            </w:r>
          </w:p>
        </w:tc>
      </w:tr>
      <w:tr>
        <w:tc>
          <w:tcPr>
            <w:tcW w:w="2709" w:type="dxa"/>
            <w:vMerge/>
            <w:tcBorders>
              <w:top w:val="single" w:sz="4" w:space="0" w:color="000000"/>
              <w:left w:val="single" w:sz="4" w:space="0" w:color="auto"/>
              <w:bottom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Hrubé investície podnikov s kontrolou v zahraničí</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Inovácia</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Inovácia</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Využívanie IKT a elektronický obchod</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Využívanie IKT a elektronický obchod</w:t>
            </w:r>
          </w:p>
        </w:tc>
      </w:tr>
      <w:tr>
        <w:trPr>
          <w:trHeight w:val="300"/>
        </w:trPr>
        <w:tc>
          <w:tcPr>
            <w:tcW w:w="8662" w:type="dxa"/>
            <w:gridSpan w:val="2"/>
            <w:tcBorders>
              <w:top w:val="nil"/>
              <w:left w:val="nil"/>
              <w:bottom w:val="nil"/>
              <w:right w:val="nil"/>
            </w:tcBorders>
            <w:shd w:val="clear" w:color="auto" w:fill="auto"/>
            <w:hideMark/>
          </w:tcPr>
          <w:p>
            <w:pPr>
              <w:rPr>
                <w:b/>
                <w:bCs/>
                <w:noProof/>
                <w:sz w:val="22"/>
              </w:rPr>
            </w:pPr>
          </w:p>
          <w:p>
            <w:pPr>
              <w:rPr>
                <w:b/>
                <w:bCs/>
                <w:noProof/>
                <w:sz w:val="22"/>
              </w:rPr>
            </w:pPr>
            <w:r>
              <w:rPr>
                <w:b/>
                <w:noProof/>
                <w:sz w:val="22"/>
              </w:rPr>
              <w:t>Predmetná oblasť 3 Regionálna podniková štatistika</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Téma</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Čiastkové témy</w:t>
            </w:r>
          </w:p>
        </w:tc>
      </w:tr>
      <w:t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rPr>
                <w:noProof/>
                <w:sz w:val="22"/>
              </w:rPr>
            </w:pPr>
            <w:r>
              <w:rPr>
                <w:noProof/>
                <w:sz w:val="22"/>
              </w:rPr>
              <w:t>Populácia ekonomických subjektov</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Populácia podľa regiónov</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Demografické udalosti ekonomických subjektov podľa regiónov (vzniky, zániky, prežitia)</w:t>
            </w:r>
          </w:p>
        </w:tc>
      </w:tr>
      <w:tr>
        <w:tc>
          <w:tcPr>
            <w:tcW w:w="27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pPr>
              <w:rPr>
                <w:noProof/>
                <w:sz w:val="22"/>
              </w:rPr>
            </w:pPr>
            <w:r>
              <w:rPr>
                <w:noProof/>
                <w:sz w:val="22"/>
              </w:rPr>
              <w:t>Pracovné vstupy</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Zamestnanosť podľa regiónov</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Zamestnanosť súvisiaca s demografickými udalosťami ekonomických subjektov podľa regiónov (vzniky, zániky, prežitia)</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Náklady práce podľa regiónov</w:t>
            </w:r>
          </w:p>
        </w:tc>
      </w:tr>
      <w:tr>
        <w:tc>
          <w:tcPr>
            <w:tcW w:w="27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pPr>
              <w:rPr>
                <w:noProof/>
                <w:sz w:val="22"/>
              </w:rPr>
            </w:pPr>
            <w:r>
              <w:rPr>
                <w:noProof/>
                <w:sz w:val="22"/>
              </w:rPr>
              <w:t>Vstupy výskumu a vývoja</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Výdavky na výskum a vývoj podľa regiónov</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Zamestnanosť v oblasti výskumu a vývoja podľa regiónov</w:t>
            </w:r>
          </w:p>
        </w:tc>
      </w:tr>
      <w:tr>
        <w:trPr>
          <w:trHeight w:val="300"/>
        </w:trPr>
        <w:tc>
          <w:tcPr>
            <w:tcW w:w="2709" w:type="dxa"/>
            <w:tcBorders>
              <w:top w:val="nil"/>
              <w:left w:val="nil"/>
              <w:right w:val="nil"/>
            </w:tcBorders>
            <w:shd w:val="clear" w:color="auto" w:fill="auto"/>
            <w:hideMark/>
          </w:tcPr>
          <w:p>
            <w:pPr>
              <w:rPr>
                <w:noProof/>
                <w:sz w:val="22"/>
              </w:rPr>
            </w:pPr>
          </w:p>
        </w:tc>
        <w:tc>
          <w:tcPr>
            <w:tcW w:w="5953" w:type="dxa"/>
            <w:tcBorders>
              <w:top w:val="nil"/>
              <w:left w:val="nil"/>
              <w:right w:val="nil"/>
            </w:tcBorders>
            <w:shd w:val="clear" w:color="auto" w:fill="auto"/>
            <w:hideMark/>
          </w:tcPr>
          <w:p>
            <w:pPr>
              <w:rPr>
                <w:noProof/>
                <w:sz w:val="22"/>
              </w:rPr>
            </w:pPr>
          </w:p>
        </w:tc>
      </w:tr>
      <w:tr>
        <w:trPr>
          <w:trHeight w:val="300"/>
        </w:trPr>
        <w:tc>
          <w:tcPr>
            <w:tcW w:w="8662" w:type="dxa"/>
            <w:gridSpan w:val="2"/>
            <w:tcBorders>
              <w:top w:val="nil"/>
              <w:bottom w:val="nil"/>
              <w:right w:val="nil"/>
            </w:tcBorders>
            <w:shd w:val="clear" w:color="auto" w:fill="auto"/>
            <w:hideMark/>
          </w:tcPr>
          <w:p>
            <w:pPr>
              <w:rPr>
                <w:b/>
                <w:bCs/>
                <w:noProof/>
                <w:sz w:val="22"/>
              </w:rPr>
            </w:pPr>
            <w:r>
              <w:rPr>
                <w:b/>
                <w:noProof/>
                <w:sz w:val="22"/>
              </w:rPr>
              <w:t>Predmetná oblasť 4 Štatistika medzinárodných činností</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Téma</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Čiastkové témy</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Populácia ekonomických subjektov</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Populácia podnikov v zahraničí kontrolovaná inštitucionálnymi jednotkami vykazujúcej krajiny</w:t>
            </w:r>
          </w:p>
        </w:tc>
      </w:tr>
      <w:tr>
        <w:tc>
          <w:tcPr>
            <w:tcW w:w="2709" w:type="dxa"/>
            <w:vMerge w:val="restart"/>
            <w:tcBorders>
              <w:top w:val="nil"/>
              <w:left w:val="single" w:sz="4" w:space="0" w:color="auto"/>
              <w:bottom w:val="single" w:sz="4" w:space="0" w:color="000000"/>
              <w:right w:val="single" w:sz="4" w:space="0" w:color="auto"/>
            </w:tcBorders>
            <w:shd w:val="clear" w:color="auto" w:fill="auto"/>
            <w:hideMark/>
          </w:tcPr>
          <w:p>
            <w:pPr>
              <w:rPr>
                <w:noProof/>
                <w:sz w:val="22"/>
              </w:rPr>
            </w:pPr>
            <w:r>
              <w:rPr>
                <w:noProof/>
                <w:sz w:val="22"/>
              </w:rPr>
              <w:t>Pracovné vstupy</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Zamestnanosť v podnikoch v zahraničí kontrolovaných inštitucionálnymi jednotkami vykazujúcej krajiny</w:t>
            </w:r>
          </w:p>
        </w:tc>
      </w:tr>
      <w:tr>
        <w:tc>
          <w:tcPr>
            <w:tcW w:w="2709" w:type="dxa"/>
            <w:vMerge/>
            <w:tcBorders>
              <w:top w:val="nil"/>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Náklady práce v podnikoch v zahraničí kontrolovaných inštitucionálnymi jednotkami vykazujúcej krajiny</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Investície</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Hrubé investície podnikov v zahraničí kontrolovaných inštitucionálnymi jednotkami vykazujúcej krajiny</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Výstupy a výkonnosť</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 xml:space="preserve">Čisté tržby podnikov v zahraničí kontrolovaných </w:t>
            </w:r>
            <w:r>
              <w:rPr>
                <w:noProof/>
                <w:sz w:val="22"/>
              </w:rPr>
              <w:lastRenderedPageBreak/>
              <w:t>inštitucionálnymi jednotkami vykazujúcej krajiny</w:t>
            </w:r>
          </w:p>
        </w:tc>
      </w:tr>
      <w:tr>
        <w:tc>
          <w:tcPr>
            <w:tcW w:w="2709" w:type="dxa"/>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lastRenderedPageBreak/>
              <w:t>Medzinárodný obchod s tovarom</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Intra-EÚ obchod s tovarom</w:t>
            </w:r>
          </w:p>
        </w:tc>
      </w:tr>
      <w:tr>
        <w:tc>
          <w:tcPr>
            <w:tcW w:w="2709" w:type="dxa"/>
            <w:tcBorders>
              <w:top w:val="nil"/>
              <w:left w:val="single" w:sz="4" w:space="0" w:color="auto"/>
              <w:bottom w:val="nil"/>
              <w:right w:val="single" w:sz="4" w:space="0" w:color="auto"/>
            </w:tcBorders>
            <w:shd w:val="clear" w:color="auto" w:fill="auto"/>
            <w:hideMark/>
          </w:tcPr>
          <w:p>
            <w:pPr>
              <w:rPr>
                <w:noProof/>
                <w:sz w:val="22"/>
              </w:rPr>
            </w:pPr>
            <w:r>
              <w:rPr>
                <w:noProof/>
                <w:sz w:val="22"/>
              </w:rPr>
              <w:t> </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 xml:space="preserve">Extra-EÚ obchod s tovarom </w:t>
            </w:r>
          </w:p>
        </w:tc>
      </w:tr>
      <w:tr>
        <w:tc>
          <w:tcPr>
            <w:tcW w:w="2709" w:type="dxa"/>
            <w:vMerge w:val="restart"/>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Medzinárodný obchod so službami</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Dovoz služieb (platby)</w:t>
            </w:r>
          </w:p>
        </w:tc>
      </w:tr>
      <w:tr>
        <w:tc>
          <w:tcPr>
            <w:tcW w:w="2709" w:type="dxa"/>
            <w:vMerge/>
            <w:tcBorders>
              <w:top w:val="single" w:sz="4" w:space="0" w:color="auto"/>
              <w:left w:val="single" w:sz="4" w:space="0" w:color="auto"/>
              <w:bottom w:val="nil"/>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Vývoz služieb (inkasá)</w:t>
            </w:r>
          </w:p>
        </w:tc>
      </w:tr>
      <w:tr>
        <w:tc>
          <w:tcPr>
            <w:tcW w:w="2709" w:type="dxa"/>
            <w:vMerge/>
            <w:tcBorders>
              <w:top w:val="single" w:sz="4" w:space="0" w:color="auto"/>
              <w:left w:val="single" w:sz="4" w:space="0" w:color="auto"/>
              <w:bottom w:val="nil"/>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Čistá hodnota služieb, na ktoré sa vzťahuje nariadenie FRIBS (saldo)</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Globálne hodnotové reťazce</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Globálne hodnotové reťazce</w:t>
            </w:r>
          </w:p>
        </w:tc>
      </w:tr>
    </w:tbl>
    <w:p>
      <w:pPr>
        <w:pStyle w:val="Annexetitre"/>
        <w:rPr>
          <w:noProof/>
        </w:rPr>
      </w:pPr>
      <w:r>
        <w:rPr>
          <w:noProof/>
        </w:rPr>
        <w:br w:type="page"/>
      </w:r>
      <w:r>
        <w:rPr>
          <w:noProof/>
        </w:rPr>
        <w:lastRenderedPageBreak/>
        <w:t>PRÍLOHA II</w:t>
      </w:r>
    </w:p>
    <w:p>
      <w:pPr>
        <w:keepNext/>
        <w:jc w:val="center"/>
        <w:outlineLvl w:val="0"/>
        <w:rPr>
          <w:b/>
          <w:noProof/>
        </w:rPr>
      </w:pPr>
      <w:r>
        <w:rPr>
          <w:b/>
          <w:noProof/>
        </w:rPr>
        <w:t xml:space="preserve">Periodicita tém </w:t>
      </w:r>
    </w:p>
    <w:tbl>
      <w:tblPr>
        <w:tblW w:w="8662"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09"/>
        <w:gridCol w:w="5953"/>
      </w:tblGrid>
      <w:tr>
        <w:trPr>
          <w:trHeight w:val="300"/>
        </w:trPr>
        <w:tc>
          <w:tcPr>
            <w:tcW w:w="8662" w:type="dxa"/>
            <w:gridSpan w:val="2"/>
            <w:tcBorders>
              <w:top w:val="nil"/>
              <w:left w:val="nil"/>
              <w:bottom w:val="single" w:sz="4" w:space="0" w:color="auto"/>
              <w:right w:val="nil"/>
            </w:tcBorders>
            <w:shd w:val="clear" w:color="auto" w:fill="auto"/>
          </w:tcPr>
          <w:p>
            <w:pPr>
              <w:rPr>
                <w:b/>
                <w:bCs/>
                <w:noProof/>
                <w:sz w:val="22"/>
              </w:rPr>
            </w:pPr>
            <w:r>
              <w:rPr>
                <w:b/>
                <w:noProof/>
                <w:sz w:val="22"/>
              </w:rPr>
              <w:t>Predmetná oblasť 1 Krátkodobá podniková štatistika</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Téma</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Periodicita</w:t>
            </w:r>
          </w:p>
        </w:tc>
      </w:tr>
      <w:tr>
        <w:trPr>
          <w:trHeight w:val="315"/>
        </w:trPr>
        <w:tc>
          <w:tcPr>
            <w:tcW w:w="2709" w:type="dxa"/>
            <w:tcBorders>
              <w:top w:val="single" w:sz="4" w:space="0" w:color="auto"/>
              <w:bottom w:val="single" w:sz="4" w:space="0" w:color="auto"/>
            </w:tcBorders>
            <w:shd w:val="clear" w:color="auto" w:fill="auto"/>
            <w:hideMark/>
          </w:tcPr>
          <w:p>
            <w:pPr>
              <w:rPr>
                <w:noProof/>
                <w:sz w:val="22"/>
              </w:rPr>
            </w:pPr>
            <w:r>
              <w:rPr>
                <w:noProof/>
                <w:sz w:val="22"/>
              </w:rPr>
              <w:t>Populácia ekonomických subjektov</w:t>
            </w:r>
          </w:p>
        </w:tc>
        <w:tc>
          <w:tcPr>
            <w:tcW w:w="5953" w:type="dxa"/>
            <w:tcBorders>
              <w:top w:val="single" w:sz="4" w:space="0" w:color="auto"/>
              <w:bottom w:val="single" w:sz="4" w:space="0" w:color="auto"/>
            </w:tcBorders>
            <w:shd w:val="clear" w:color="auto" w:fill="auto"/>
            <w:hideMark/>
          </w:tcPr>
          <w:p>
            <w:pPr>
              <w:rPr>
                <w:noProof/>
                <w:sz w:val="22"/>
              </w:rPr>
            </w:pPr>
            <w:r>
              <w:rPr>
                <w:noProof/>
                <w:sz w:val="22"/>
              </w:rPr>
              <w:t>štvrťročne</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Pracovné vstupy</w:t>
            </w:r>
          </w:p>
        </w:tc>
        <w:tc>
          <w:tcPr>
            <w:tcW w:w="5953" w:type="dxa"/>
            <w:tcBorders>
              <w:top w:val="single" w:sz="4" w:space="0" w:color="auto"/>
              <w:bottom w:val="single" w:sz="4" w:space="0" w:color="auto"/>
            </w:tcBorders>
            <w:shd w:val="clear" w:color="auto" w:fill="auto"/>
            <w:hideMark/>
          </w:tcPr>
          <w:p>
            <w:pPr>
              <w:rPr>
                <w:noProof/>
                <w:sz w:val="22"/>
              </w:rPr>
            </w:pPr>
            <w:r>
              <w:rPr>
                <w:noProof/>
                <w:sz w:val="22"/>
              </w:rPr>
              <w:t>štvrťročne</w:t>
            </w:r>
          </w:p>
        </w:tc>
      </w:tr>
      <w:tr>
        <w:trPr>
          <w:trHeight w:val="544"/>
        </w:trPr>
        <w:tc>
          <w:tcPr>
            <w:tcW w:w="2709" w:type="dxa"/>
            <w:tcBorders>
              <w:top w:val="single" w:sz="4" w:space="0" w:color="auto"/>
              <w:bottom w:val="single" w:sz="4" w:space="0" w:color="auto"/>
            </w:tcBorders>
            <w:shd w:val="clear" w:color="auto" w:fill="auto"/>
            <w:hideMark/>
          </w:tcPr>
          <w:p>
            <w:pPr>
              <w:rPr>
                <w:noProof/>
                <w:sz w:val="22"/>
              </w:rPr>
            </w:pPr>
            <w:r>
              <w:rPr>
                <w:noProof/>
                <w:sz w:val="22"/>
              </w:rPr>
              <w:t>Ceny</w:t>
            </w:r>
          </w:p>
        </w:tc>
        <w:tc>
          <w:tcPr>
            <w:tcW w:w="5953" w:type="dxa"/>
            <w:tcBorders>
              <w:top w:val="single" w:sz="4" w:space="0" w:color="auto"/>
              <w:bottom w:val="single" w:sz="4" w:space="0" w:color="auto"/>
            </w:tcBorders>
            <w:shd w:val="clear" w:color="auto" w:fill="auto"/>
            <w:hideMark/>
          </w:tcPr>
          <w:p>
            <w:pPr>
              <w:rPr>
                <w:noProof/>
                <w:sz w:val="22"/>
              </w:rPr>
            </w:pPr>
            <w:r>
              <w:rPr>
                <w:noProof/>
                <w:sz w:val="22"/>
              </w:rPr>
              <w:t>mesačne; štvrťročne v prípade indexov cien výrobcov za služby a v prípade indexov cien výrobcov za nové obytné budovy štvrťročne</w:t>
            </w:r>
          </w:p>
        </w:tc>
      </w:tr>
      <w:tr>
        <w:trPr>
          <w:trHeight w:val="242"/>
        </w:trPr>
        <w:tc>
          <w:tcPr>
            <w:tcW w:w="2709" w:type="dxa"/>
            <w:tcBorders>
              <w:top w:val="single" w:sz="4" w:space="0" w:color="auto"/>
              <w:bottom w:val="single" w:sz="4" w:space="0" w:color="auto"/>
            </w:tcBorders>
            <w:shd w:val="clear" w:color="auto" w:fill="auto"/>
            <w:hideMark/>
          </w:tcPr>
          <w:p>
            <w:pPr>
              <w:rPr>
                <w:noProof/>
                <w:sz w:val="22"/>
              </w:rPr>
            </w:pPr>
            <w:r>
              <w:rPr>
                <w:noProof/>
                <w:sz w:val="22"/>
              </w:rPr>
              <w:t>Výstupy a výkonnosť</w:t>
            </w:r>
          </w:p>
        </w:tc>
        <w:tc>
          <w:tcPr>
            <w:tcW w:w="5953" w:type="dxa"/>
            <w:tcBorders>
              <w:top w:val="single" w:sz="4" w:space="0" w:color="auto"/>
              <w:bottom w:val="single" w:sz="4" w:space="0" w:color="auto"/>
            </w:tcBorders>
            <w:shd w:val="clear" w:color="auto" w:fill="auto"/>
            <w:hideMark/>
          </w:tcPr>
          <w:p>
            <w:pPr>
              <w:rPr>
                <w:noProof/>
                <w:sz w:val="22"/>
              </w:rPr>
            </w:pPr>
            <w:r>
              <w:rPr>
                <w:noProof/>
                <w:sz w:val="22"/>
              </w:rPr>
              <w:t xml:space="preserve">mesačne; štvrťročne v prípade malých krajín za sekciu F klasifikácie NACE </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Povolenia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štvrťročne</w:t>
            </w:r>
          </w:p>
        </w:tc>
      </w:tr>
      <w:tr>
        <w:trPr>
          <w:trHeight w:val="300"/>
        </w:trPr>
        <w:tc>
          <w:tcPr>
            <w:tcW w:w="8662" w:type="dxa"/>
            <w:gridSpan w:val="2"/>
            <w:tcBorders>
              <w:top w:val="single" w:sz="4" w:space="0" w:color="auto"/>
              <w:left w:val="nil"/>
              <w:bottom w:val="single" w:sz="4" w:space="0" w:color="auto"/>
              <w:right w:val="nil"/>
            </w:tcBorders>
            <w:shd w:val="clear" w:color="auto" w:fill="auto"/>
          </w:tcPr>
          <w:p>
            <w:pPr>
              <w:rPr>
                <w:b/>
                <w:noProof/>
                <w:sz w:val="22"/>
              </w:rPr>
            </w:pPr>
          </w:p>
          <w:p>
            <w:pPr>
              <w:rPr>
                <w:b/>
                <w:noProof/>
                <w:sz w:val="22"/>
              </w:rPr>
            </w:pPr>
            <w:r>
              <w:rPr>
                <w:b/>
                <w:noProof/>
                <w:sz w:val="22"/>
              </w:rPr>
              <w:t>Predmetná oblasť 2 Podniková štatistika na úrovni krajiny</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Téma</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Periodicita</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Populácia ekonomických subjektov</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Pracovné vstupy</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Vstupy výskumu a vývoja</w:t>
            </w:r>
          </w:p>
        </w:tc>
        <w:tc>
          <w:tcPr>
            <w:tcW w:w="5953" w:type="dxa"/>
            <w:tcBorders>
              <w:top w:val="single" w:sz="4" w:space="0" w:color="auto"/>
              <w:bottom w:val="single" w:sz="4" w:space="0" w:color="auto"/>
            </w:tcBorders>
            <w:shd w:val="clear" w:color="auto" w:fill="auto"/>
            <w:hideMark/>
          </w:tcPr>
          <w:p>
            <w:pPr>
              <w:rPr>
                <w:noProof/>
                <w:sz w:val="22"/>
              </w:rPr>
            </w:pPr>
            <w:r>
              <w:rPr>
                <w:noProof/>
                <w:sz w:val="22"/>
              </w:rPr>
              <w:t>dvojročne; ročne v prípade členenia výdavkov na vlastný výskum a vývoj, zamestnancov výskumu a vývoja a počtu výskumných pracovníkov, ako aj v prípade verejných rozpočtových prostriedkov alebo výdavkov na výskum a vývoj (ďalej len „GBAORD“) a vnútroštátneho verejného financovania nadnárodne koordinovaného výskumu a vývoja</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Spotreba</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 trojročne v prípade platieb subdodávateľom</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Výstupy a výkonnosť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 xml:space="preserve">ročne; dvojročne v prípade členenia čistých tržieb podľa produktu a sídla klienta za skupiny 69.1, 69.2, 70.2, 71.1, 71.2 a 73.2 NACE; päťročne v prípade čistých tržieb z poľnohospodárstva, lesníctva, rybolovu a priemyselných činností, čistých tržieb z priemyselných činností, čistých tržieb z priemyselných činností okrem stavebníctva, čistých tržieb zo stavebníctva, čistých tržieb z činností v oblasti služieb, čistých tržieb z obchodných činností nákupu a opätovného predaja a zo sprostredkovateľských činností, čistých tržieb z výstavby budov a čistých tržieb z inžinierskych stavieb; trojročne v prípade príjmov za subdodávky </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lastRenderedPageBreak/>
              <w:t xml:space="preserve">Investície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 trojročne v prípade investícií do nehmotných aktív</w:t>
            </w:r>
          </w:p>
        </w:tc>
      </w:tr>
      <w:tr>
        <w:tc>
          <w:tcPr>
            <w:tcW w:w="2709" w:type="dxa"/>
            <w:tcBorders>
              <w:top w:val="single" w:sz="4" w:space="0" w:color="auto"/>
              <w:bottom w:val="single" w:sz="4" w:space="0" w:color="auto"/>
            </w:tcBorders>
            <w:shd w:val="clear" w:color="auto" w:fill="auto"/>
          </w:tcPr>
          <w:p>
            <w:pPr>
              <w:spacing w:line="360" w:lineRule="auto"/>
              <w:rPr>
                <w:noProof/>
                <w:sz w:val="22"/>
              </w:rPr>
            </w:pPr>
            <w:r>
              <w:rPr>
                <w:noProof/>
                <w:sz w:val="22"/>
              </w:rPr>
              <w:t>Inovácia</w:t>
            </w:r>
            <w:r>
              <w:rPr>
                <w:noProof/>
              </w:rPr>
              <w:tab/>
            </w:r>
          </w:p>
        </w:tc>
        <w:tc>
          <w:tcPr>
            <w:tcW w:w="5953" w:type="dxa"/>
            <w:tcBorders>
              <w:top w:val="single" w:sz="4" w:space="0" w:color="auto"/>
              <w:bottom w:val="single" w:sz="4" w:space="0" w:color="auto"/>
            </w:tcBorders>
            <w:shd w:val="clear" w:color="auto" w:fill="auto"/>
          </w:tcPr>
          <w:p>
            <w:pPr>
              <w:spacing w:line="360" w:lineRule="auto"/>
              <w:rPr>
                <w:noProof/>
                <w:sz w:val="22"/>
              </w:rPr>
            </w:pPr>
            <w:r>
              <w:rPr>
                <w:noProof/>
                <w:sz w:val="22"/>
              </w:rPr>
              <w:t>dvojročne</w:t>
            </w:r>
          </w:p>
        </w:tc>
      </w:tr>
      <w:tr>
        <w:tc>
          <w:tcPr>
            <w:tcW w:w="2709" w:type="dxa"/>
            <w:tcBorders>
              <w:top w:val="single" w:sz="4" w:space="0" w:color="auto"/>
              <w:bottom w:val="single" w:sz="4" w:space="0" w:color="auto"/>
            </w:tcBorders>
            <w:shd w:val="clear" w:color="auto" w:fill="auto"/>
          </w:tcPr>
          <w:p>
            <w:pPr>
              <w:rPr>
                <w:noProof/>
                <w:sz w:val="22"/>
              </w:rPr>
            </w:pPr>
            <w:r>
              <w:rPr>
                <w:noProof/>
                <w:sz w:val="22"/>
              </w:rPr>
              <w:t>Využívanie IKT a elektronický obchod</w:t>
            </w:r>
          </w:p>
        </w:tc>
        <w:tc>
          <w:tcPr>
            <w:tcW w:w="5953" w:type="dxa"/>
            <w:tcBorders>
              <w:top w:val="single" w:sz="4" w:space="0" w:color="auto"/>
              <w:bottom w:val="single" w:sz="4" w:space="0" w:color="auto"/>
            </w:tcBorders>
            <w:shd w:val="clear" w:color="auto" w:fill="auto"/>
          </w:tcPr>
          <w:p>
            <w:pPr>
              <w:rPr>
                <w:noProof/>
                <w:sz w:val="22"/>
              </w:rPr>
            </w:pPr>
            <w:r>
              <w:rPr>
                <w:noProof/>
                <w:sz w:val="22"/>
              </w:rPr>
              <w:t>ročne</w:t>
            </w:r>
          </w:p>
        </w:tc>
      </w:tr>
      <w:tr>
        <w:trPr>
          <w:trHeight w:val="300"/>
        </w:trPr>
        <w:tc>
          <w:tcPr>
            <w:tcW w:w="8662" w:type="dxa"/>
            <w:gridSpan w:val="2"/>
            <w:tcBorders>
              <w:top w:val="nil"/>
              <w:left w:val="nil"/>
              <w:bottom w:val="single" w:sz="4" w:space="0" w:color="auto"/>
              <w:right w:val="nil"/>
            </w:tcBorders>
            <w:shd w:val="clear" w:color="auto" w:fill="auto"/>
          </w:tcPr>
          <w:p>
            <w:pPr>
              <w:rPr>
                <w:b/>
                <w:noProof/>
                <w:sz w:val="22"/>
              </w:rPr>
            </w:pPr>
            <w:r>
              <w:rPr>
                <w:noProof/>
              </w:rPr>
              <w:br w:type="page"/>
            </w:r>
            <w:r>
              <w:rPr>
                <w:b/>
                <w:noProof/>
                <w:sz w:val="22"/>
              </w:rPr>
              <w:t>Predmetná oblasť 3 Regionálna podniková štatistika</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Téma</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Periodicita</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Populácia ekonomických subjektov</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Pracovné vstupy</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Vstupy výskumu a vývoja</w:t>
            </w:r>
          </w:p>
        </w:tc>
        <w:tc>
          <w:tcPr>
            <w:tcW w:w="5953" w:type="dxa"/>
            <w:tcBorders>
              <w:top w:val="single" w:sz="4" w:space="0" w:color="auto"/>
              <w:bottom w:val="single" w:sz="4" w:space="0" w:color="auto"/>
            </w:tcBorders>
            <w:shd w:val="clear" w:color="auto" w:fill="auto"/>
            <w:hideMark/>
          </w:tcPr>
          <w:p>
            <w:pPr>
              <w:rPr>
                <w:noProof/>
                <w:sz w:val="22"/>
              </w:rPr>
            </w:pPr>
            <w:r>
              <w:rPr>
                <w:noProof/>
                <w:sz w:val="22"/>
              </w:rPr>
              <w:t>dvojročne</w:t>
            </w:r>
          </w:p>
        </w:tc>
      </w:tr>
      <w:tr>
        <w:trPr>
          <w:trHeight w:val="315"/>
        </w:trPr>
        <w:tc>
          <w:tcPr>
            <w:tcW w:w="8662" w:type="dxa"/>
            <w:gridSpan w:val="2"/>
            <w:tcBorders>
              <w:top w:val="single" w:sz="4" w:space="0" w:color="auto"/>
              <w:left w:val="nil"/>
              <w:bottom w:val="nil"/>
              <w:right w:val="nil"/>
            </w:tcBorders>
            <w:shd w:val="clear" w:color="auto" w:fill="auto"/>
          </w:tcPr>
          <w:p>
            <w:pPr>
              <w:rPr>
                <w:b/>
                <w:noProof/>
                <w:sz w:val="22"/>
              </w:rPr>
            </w:pPr>
          </w:p>
          <w:p>
            <w:pPr>
              <w:rPr>
                <w:b/>
                <w:noProof/>
                <w:sz w:val="22"/>
              </w:rPr>
            </w:pPr>
            <w:r>
              <w:rPr>
                <w:b/>
                <w:noProof/>
                <w:sz w:val="22"/>
              </w:rPr>
              <w:t>Predmetná oblasť 4 Štatistika medzinárodných činností</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Téma</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Periodicita</w:t>
            </w:r>
          </w:p>
        </w:tc>
      </w:tr>
      <w:tr>
        <w:trPr>
          <w:trHeight w:val="315"/>
        </w:trPr>
        <w:tc>
          <w:tcPr>
            <w:tcW w:w="2709" w:type="dxa"/>
            <w:tcBorders>
              <w:top w:val="single" w:sz="4" w:space="0" w:color="auto"/>
              <w:bottom w:val="single" w:sz="4" w:space="0" w:color="auto"/>
            </w:tcBorders>
            <w:shd w:val="clear" w:color="auto" w:fill="auto"/>
            <w:hideMark/>
          </w:tcPr>
          <w:p>
            <w:pPr>
              <w:rPr>
                <w:noProof/>
                <w:sz w:val="22"/>
              </w:rPr>
            </w:pPr>
            <w:r>
              <w:rPr>
                <w:noProof/>
                <w:sz w:val="22"/>
              </w:rPr>
              <w:t>Populácia ekonomických subjektov</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Pracovné vstupy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Investície</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Výstupy a výkonnosť</w:t>
            </w:r>
          </w:p>
        </w:tc>
        <w:tc>
          <w:tcPr>
            <w:tcW w:w="5953" w:type="dxa"/>
            <w:tcBorders>
              <w:top w:val="single" w:sz="4" w:space="0" w:color="auto"/>
              <w:bottom w:val="single" w:sz="4" w:space="0" w:color="auto"/>
            </w:tcBorders>
            <w:shd w:val="clear" w:color="auto" w:fill="auto"/>
            <w:hideMark/>
          </w:tcPr>
          <w:p>
            <w:pPr>
              <w:rPr>
                <w:noProof/>
                <w:sz w:val="22"/>
              </w:rPr>
            </w:pPr>
            <w:r>
              <w:rPr>
                <w:noProof/>
                <w:sz w:val="22"/>
              </w:rPr>
              <w:t>ročne</w:t>
            </w:r>
          </w:p>
        </w:tc>
      </w:tr>
      <w:tr>
        <w:trPr>
          <w:trHeight w:val="568"/>
        </w:trPr>
        <w:tc>
          <w:tcPr>
            <w:tcW w:w="2709" w:type="dxa"/>
            <w:tcBorders>
              <w:top w:val="single" w:sz="4" w:space="0" w:color="auto"/>
              <w:bottom w:val="single" w:sz="4" w:space="0" w:color="auto"/>
            </w:tcBorders>
            <w:shd w:val="clear" w:color="auto" w:fill="auto"/>
            <w:hideMark/>
          </w:tcPr>
          <w:p>
            <w:pPr>
              <w:rPr>
                <w:noProof/>
                <w:sz w:val="22"/>
              </w:rPr>
            </w:pPr>
            <w:r>
              <w:rPr>
                <w:noProof/>
                <w:sz w:val="22"/>
              </w:rPr>
              <w:t>Medzinárodný obchod s tovarom</w:t>
            </w:r>
          </w:p>
        </w:tc>
        <w:tc>
          <w:tcPr>
            <w:tcW w:w="5953" w:type="dxa"/>
            <w:tcBorders>
              <w:top w:val="single" w:sz="4" w:space="0" w:color="auto"/>
              <w:bottom w:val="single" w:sz="4" w:space="0" w:color="auto"/>
            </w:tcBorders>
            <w:shd w:val="clear" w:color="auto" w:fill="auto"/>
            <w:hideMark/>
          </w:tcPr>
          <w:p>
            <w:pPr>
              <w:rPr>
                <w:noProof/>
                <w:sz w:val="22"/>
              </w:rPr>
            </w:pPr>
            <w:r>
              <w:rPr>
                <w:noProof/>
                <w:sz w:val="22"/>
              </w:rPr>
              <w:t xml:space="preserve">mesačne; dvojročne v prípade kombinovaného členenia podľa produktu a fakturovanej meny za extra-EÚ dovoz a vývoz tovaru: </w:t>
            </w:r>
          </w:p>
        </w:tc>
      </w:tr>
      <w:tr>
        <w:trPr>
          <w:trHeight w:val="300"/>
        </w:trPr>
        <w:tc>
          <w:tcPr>
            <w:tcW w:w="2709" w:type="dxa"/>
            <w:tcBorders>
              <w:top w:val="single" w:sz="4" w:space="0" w:color="auto"/>
              <w:bottom w:val="single" w:sz="4" w:space="0" w:color="auto"/>
            </w:tcBorders>
            <w:shd w:val="clear" w:color="auto" w:fill="auto"/>
          </w:tcPr>
          <w:p>
            <w:pPr>
              <w:rPr>
                <w:noProof/>
                <w:sz w:val="22"/>
              </w:rPr>
            </w:pPr>
            <w:r>
              <w:rPr>
                <w:noProof/>
                <w:sz w:val="22"/>
              </w:rPr>
              <w:t>Medzinárodný obchod so službami</w:t>
            </w:r>
          </w:p>
        </w:tc>
        <w:tc>
          <w:tcPr>
            <w:tcW w:w="5953" w:type="dxa"/>
            <w:tcBorders>
              <w:top w:val="single" w:sz="4" w:space="0" w:color="auto"/>
              <w:bottom w:val="single" w:sz="4" w:space="0" w:color="auto"/>
            </w:tcBorders>
            <w:shd w:val="clear" w:color="auto" w:fill="auto"/>
          </w:tcPr>
          <w:p>
            <w:pPr>
              <w:rPr>
                <w:noProof/>
                <w:sz w:val="22"/>
              </w:rPr>
            </w:pPr>
            <w:r>
              <w:rPr>
                <w:noProof/>
                <w:sz w:val="22"/>
              </w:rPr>
              <w:t>ročne; štvrťročne v prípade prvej úrovne členenia služieb</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Globálne hodnotové reťazce</w:t>
            </w:r>
          </w:p>
        </w:tc>
        <w:tc>
          <w:tcPr>
            <w:tcW w:w="5953" w:type="dxa"/>
            <w:tcBorders>
              <w:top w:val="single" w:sz="4" w:space="0" w:color="auto"/>
              <w:bottom w:val="single" w:sz="4" w:space="0" w:color="auto"/>
            </w:tcBorders>
            <w:shd w:val="clear" w:color="auto" w:fill="auto"/>
            <w:hideMark/>
          </w:tcPr>
          <w:p>
            <w:pPr>
              <w:rPr>
                <w:noProof/>
                <w:sz w:val="22"/>
              </w:rPr>
            </w:pPr>
            <w:r>
              <w:rPr>
                <w:noProof/>
                <w:sz w:val="22"/>
              </w:rPr>
              <w:t>trojročne</w:t>
            </w:r>
          </w:p>
        </w:tc>
      </w:tr>
    </w:tbl>
    <w:p>
      <w:pPr>
        <w:rPr>
          <w:b/>
          <w:noProof/>
        </w:rPr>
      </w:pPr>
    </w:p>
    <w:p>
      <w:pPr>
        <w:keepNext/>
        <w:jc w:val="center"/>
        <w:outlineLvl w:val="0"/>
        <w:rPr>
          <w:noProof/>
          <w:szCs w:val="24"/>
        </w:rPr>
      </w:pPr>
    </w:p>
    <w:p>
      <w:pPr>
        <w:pStyle w:val="Annexetitre"/>
        <w:rPr>
          <w:noProof/>
        </w:rPr>
      </w:pPr>
      <w:r>
        <w:rPr>
          <w:noProof/>
        </w:rPr>
        <w:br w:type="page"/>
      </w:r>
      <w:r>
        <w:rPr>
          <w:noProof/>
        </w:rPr>
        <w:lastRenderedPageBreak/>
        <w:t>Príloha III</w:t>
      </w:r>
    </w:p>
    <w:p>
      <w:pPr>
        <w:keepNext/>
        <w:jc w:val="center"/>
        <w:outlineLvl w:val="0"/>
        <w:rPr>
          <w:b/>
          <w:noProof/>
        </w:rPr>
      </w:pPr>
      <w:r>
        <w:rPr>
          <w:b/>
          <w:noProof/>
        </w:rPr>
        <w:t>Prvky európskej siete štatistických registrov ekonomických subjektov</w:t>
      </w:r>
    </w:p>
    <w:p>
      <w:pPr>
        <w:keepNext/>
        <w:ind w:left="2268"/>
        <w:outlineLvl w:val="0"/>
        <w:rPr>
          <w:b/>
          <w:bCs/>
          <w:noProof/>
          <w:szCs w:val="24"/>
        </w:rPr>
      </w:pPr>
      <w:r>
        <w:rPr>
          <w:b/>
          <w:noProof/>
        </w:rPr>
        <w:t>Časť A: Čiastkové témy a jedinečný identifikátor v registri</w:t>
      </w:r>
    </w:p>
    <w:p>
      <w:pPr>
        <w:keepNext/>
        <w:outlineLvl w:val="0"/>
        <w:rPr>
          <w:noProof/>
          <w:szCs w:val="24"/>
          <w:highlight w:val="cyan"/>
        </w:rPr>
      </w:pPr>
    </w:p>
    <w:p>
      <w:pPr>
        <w:pStyle w:val="NumPar1"/>
        <w:numPr>
          <w:ilvl w:val="0"/>
          <w:numId w:val="9"/>
        </w:numPr>
        <w:rPr>
          <w:noProof/>
        </w:rPr>
      </w:pPr>
      <w:r>
        <w:rPr>
          <w:noProof/>
        </w:rPr>
        <w:t>Jednotky uvedené vo vnútroštátnych štatistických registroch ekonomických subjektov a v Európskom registri skupín podnikov podľa článku 3 tohto nariadenia sa charakterizujú pomocou identifikačného čísla a čiastkových tém v registri, ktoré sú špecifikované v časti C.</w:t>
      </w:r>
    </w:p>
    <w:p>
      <w:pPr>
        <w:pStyle w:val="NumPar1"/>
        <w:rPr>
          <w:noProof/>
        </w:rPr>
      </w:pPr>
      <w:r>
        <w:rPr>
          <w:noProof/>
        </w:rPr>
        <w:t>Jednotky uvedené vo vnútroštátnych štatistických registroch ekonomických subjektov a v Európskom registri skupín podnikov sú jedinečne identifikované identifikačným číslom, aby sa podporila úloha európskej siete štatistických registrov ekonomických subjektov ako infraštruktúry. Tieto identifikačné čísla poskytnú vnútroštátne štatistické orgány. Identifikačné čísla pre právne jednotky a skupiny nadnárodných podnikov, ktoré sú relevantné pre Európsky register skupín podnikov, poskytne Komisia (Eurostat). Vnútroštátne štatistické orgány môžu na vnútroštátne účely uchovávať vo vnútroštátnych štatistických registroch ekonomických subjektov ďalšie identifikačné číslo.</w:t>
      </w:r>
    </w:p>
    <w:p>
      <w:pPr>
        <w:keepNext/>
        <w:outlineLvl w:val="0"/>
        <w:rPr>
          <w:noProof/>
          <w:szCs w:val="24"/>
          <w:highlight w:val="cyan"/>
        </w:rPr>
      </w:pPr>
    </w:p>
    <w:p>
      <w:pPr>
        <w:keepNext/>
        <w:ind w:left="2835"/>
        <w:outlineLvl w:val="0"/>
        <w:rPr>
          <w:b/>
          <w:noProof/>
        </w:rPr>
      </w:pPr>
      <w:r>
        <w:rPr>
          <w:b/>
          <w:noProof/>
        </w:rPr>
        <w:t>Časť B: Harmonogram a periodicita</w:t>
      </w:r>
    </w:p>
    <w:p>
      <w:pPr>
        <w:keepNext/>
        <w:outlineLvl w:val="0"/>
        <w:rPr>
          <w:noProof/>
          <w:szCs w:val="24"/>
        </w:rPr>
      </w:pPr>
    </w:p>
    <w:p>
      <w:pPr>
        <w:pStyle w:val="NumPar1"/>
        <w:numPr>
          <w:ilvl w:val="0"/>
          <w:numId w:val="9"/>
        </w:numPr>
        <w:rPr>
          <w:noProof/>
        </w:rPr>
      </w:pPr>
      <w:r>
        <w:rPr>
          <w:noProof/>
        </w:rPr>
        <w:t>Zápisy do vnútroštátnych štatistických registrov ekonomických subjektov a Európskeho registra skupín podnikov a výmazy z registrov sa aktualizujú minimálne raz ročne.</w:t>
      </w:r>
    </w:p>
    <w:p>
      <w:pPr>
        <w:pStyle w:val="NumPar1"/>
        <w:rPr>
          <w:noProof/>
        </w:rPr>
      </w:pPr>
      <w:r>
        <w:rPr>
          <w:noProof/>
        </w:rPr>
        <w:t>Frekvencia aktualizácie závisí od typu jednotky, premennej, ktorá sa berie do úvahy, veľkosti jednotky a zdroja, ktorý sa všeobecne používa na aktualizáciu.</w:t>
      </w:r>
    </w:p>
    <w:p>
      <w:pPr>
        <w:pStyle w:val="NumPar1"/>
        <w:rPr>
          <w:noProof/>
        </w:rPr>
      </w:pPr>
      <w:r>
        <w:rPr>
          <w:noProof/>
        </w:rPr>
        <w:t>Členské štáty každoročne urobia kópiu, ktorá odráža stav vnútroštátnych štatistických registrov ekonomických subjektov na konci každého roku, a evidujú ju na obdobie najmenej 30 rokov na účely analýzy. Komisia (Eurostat) každoročne urobí kópiu, ktorá odráža stav Európskeho registra skupín podnikov na konci každého roku, a eviduje ju na obdobie najmenej 30 rokov na účely analýzy.</w:t>
      </w:r>
    </w:p>
    <w:p>
      <w:pPr>
        <w:rPr>
          <w:b/>
          <w:noProof/>
          <w:szCs w:val="24"/>
        </w:rPr>
      </w:pPr>
    </w:p>
    <w:p>
      <w:pPr>
        <w:rPr>
          <w:b/>
          <w:noProof/>
          <w:szCs w:val="24"/>
        </w:rPr>
      </w:pPr>
    </w:p>
    <w:p>
      <w:pPr>
        <w:jc w:val="center"/>
        <w:rPr>
          <w:b/>
          <w:noProof/>
          <w:szCs w:val="24"/>
        </w:rPr>
      </w:pPr>
      <w:r>
        <w:rPr>
          <w:b/>
          <w:noProof/>
        </w:rPr>
        <w:t>Časť C: Čiastkové témy v registroch ekonomických subjektov</w:t>
      </w:r>
    </w:p>
    <w:p>
      <w:pPr>
        <w:jc w:val="center"/>
        <w:rPr>
          <w:b/>
          <w:noProof/>
          <w:szCs w:val="24"/>
        </w:rPr>
      </w:pPr>
    </w:p>
    <w:p>
      <w:pPr>
        <w:rPr>
          <w:noProof/>
        </w:rPr>
      </w:pPr>
      <w:r>
        <w:rPr>
          <w:noProof/>
        </w:rPr>
        <w:t>Vnútroštátne štatistické registre ekonomických subjektov a Európsky register skupín podnikov pre príslušné jednotky vymedzené v článku 3 tohto nariadenia obsahujú tieto čiastkové témy podľa jednotlivých jednotiek.</w:t>
      </w:r>
    </w:p>
    <w:p>
      <w:pPr>
        <w:spacing w:after="200" w:line="276" w:lineRule="auto"/>
        <w:rPr>
          <w:noProof/>
          <w:szCs w:val="24"/>
        </w:rPr>
      </w:pPr>
      <w:r>
        <w:rPr>
          <w:noProof/>
        </w:rPr>
        <w:br w:type="page"/>
      </w:r>
    </w:p>
    <w:p>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tc>
          <w:tcPr>
            <w:tcW w:w="4621" w:type="dxa"/>
            <w:tcBorders>
              <w:bottom w:val="nil"/>
            </w:tcBorders>
            <w:shd w:val="clear" w:color="auto" w:fill="auto"/>
          </w:tcPr>
          <w:p>
            <w:pPr>
              <w:rPr>
                <w:b/>
                <w:noProof/>
                <w:szCs w:val="24"/>
              </w:rPr>
            </w:pPr>
            <w:r>
              <w:rPr>
                <w:b/>
                <w:noProof/>
              </w:rPr>
              <w:t>JEDNOTKY</w:t>
            </w:r>
          </w:p>
        </w:tc>
        <w:tc>
          <w:tcPr>
            <w:tcW w:w="4621" w:type="dxa"/>
            <w:shd w:val="clear" w:color="auto" w:fill="auto"/>
          </w:tcPr>
          <w:p>
            <w:pPr>
              <w:rPr>
                <w:b/>
                <w:noProof/>
                <w:szCs w:val="24"/>
              </w:rPr>
            </w:pPr>
            <w:r>
              <w:rPr>
                <w:b/>
                <w:noProof/>
              </w:rPr>
              <w:t>Čiastkové témy</w:t>
            </w:r>
          </w:p>
        </w:tc>
      </w:tr>
      <w:tr>
        <w:tc>
          <w:tcPr>
            <w:tcW w:w="4621" w:type="dxa"/>
            <w:tcBorders>
              <w:bottom w:val="nil"/>
            </w:tcBorders>
            <w:shd w:val="clear" w:color="auto" w:fill="auto"/>
          </w:tcPr>
          <w:p>
            <w:pPr>
              <w:rPr>
                <w:noProof/>
                <w:szCs w:val="24"/>
              </w:rPr>
            </w:pPr>
            <w:r>
              <w:rPr>
                <w:noProof/>
              </w:rPr>
              <w:t>1. PRÁVNE JEDNOTKY</w:t>
            </w:r>
          </w:p>
        </w:tc>
        <w:tc>
          <w:tcPr>
            <w:tcW w:w="4621" w:type="dxa"/>
            <w:shd w:val="clear" w:color="auto" w:fill="auto"/>
          </w:tcPr>
          <w:p>
            <w:pPr>
              <w:rPr>
                <w:noProof/>
                <w:szCs w:val="24"/>
              </w:rPr>
            </w:pPr>
            <w:r>
              <w:rPr>
                <w:noProof/>
              </w:rPr>
              <w:t>Identifikačné údaje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Demografické charakteristiky</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Ekonomické/stratifikačné charakteristiky</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PREPOJENIE SO SKUPINOU PODNIKOV</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Prepojenia s ďalšími registrami</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Prepojenie so skupinou podnikov</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Kontrola jednotiek</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Vlastníctvo jednotiek</w:t>
            </w:r>
          </w:p>
        </w:tc>
      </w:tr>
      <w:tr>
        <w:tc>
          <w:tcPr>
            <w:tcW w:w="4621" w:type="dxa"/>
            <w:tcBorders>
              <w:bottom w:val="nil"/>
            </w:tcBorders>
            <w:shd w:val="clear" w:color="auto" w:fill="auto"/>
          </w:tcPr>
          <w:p>
            <w:pPr>
              <w:rPr>
                <w:noProof/>
                <w:szCs w:val="24"/>
              </w:rPr>
            </w:pPr>
            <w:r>
              <w:rPr>
                <w:noProof/>
              </w:rPr>
              <w:t>2. SKUPINA PODNIKOV</w:t>
            </w:r>
          </w:p>
        </w:tc>
        <w:tc>
          <w:tcPr>
            <w:tcW w:w="4621" w:type="dxa"/>
            <w:shd w:val="clear" w:color="auto" w:fill="auto"/>
          </w:tcPr>
          <w:p>
            <w:pPr>
              <w:rPr>
                <w:noProof/>
                <w:szCs w:val="24"/>
              </w:rPr>
            </w:pPr>
            <w:r>
              <w:rPr>
                <w:noProof/>
              </w:rPr>
              <w:t>Identifikačné údaje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Demografické charakteristiky</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Ekonomické/stratifikačné charakteristiky</w:t>
            </w:r>
          </w:p>
        </w:tc>
      </w:tr>
      <w:tr>
        <w:tc>
          <w:tcPr>
            <w:tcW w:w="4621" w:type="dxa"/>
            <w:tcBorders>
              <w:bottom w:val="nil"/>
            </w:tcBorders>
            <w:shd w:val="clear" w:color="auto" w:fill="auto"/>
          </w:tcPr>
          <w:p>
            <w:pPr>
              <w:rPr>
                <w:noProof/>
                <w:szCs w:val="24"/>
              </w:rPr>
            </w:pPr>
            <w:r>
              <w:rPr>
                <w:noProof/>
              </w:rPr>
              <w:t>3. PODNIK</w:t>
            </w:r>
          </w:p>
        </w:tc>
        <w:tc>
          <w:tcPr>
            <w:tcW w:w="4621" w:type="dxa"/>
            <w:shd w:val="clear" w:color="auto" w:fill="auto"/>
          </w:tcPr>
          <w:p>
            <w:pPr>
              <w:rPr>
                <w:noProof/>
                <w:szCs w:val="24"/>
              </w:rPr>
            </w:pPr>
            <w:r>
              <w:rPr>
                <w:noProof/>
              </w:rPr>
              <w:t>Identifikačné údaje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 xml:space="preserve">Prepojenia s ďalšími jednotkami </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Demografické charakteristiky</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Ekonomické/stratifikačné charakteristiky</w:t>
            </w:r>
          </w:p>
        </w:tc>
      </w:tr>
      <w:tr>
        <w:tc>
          <w:tcPr>
            <w:tcW w:w="4621" w:type="dxa"/>
            <w:tcBorders>
              <w:bottom w:val="nil"/>
            </w:tcBorders>
            <w:shd w:val="clear" w:color="auto" w:fill="auto"/>
          </w:tcPr>
          <w:p>
            <w:pPr>
              <w:rPr>
                <w:noProof/>
                <w:szCs w:val="24"/>
              </w:rPr>
            </w:pPr>
            <w:r>
              <w:rPr>
                <w:noProof/>
              </w:rPr>
              <w:t>4. MIESTNA JEDNOTKA</w:t>
            </w:r>
          </w:p>
        </w:tc>
        <w:tc>
          <w:tcPr>
            <w:tcW w:w="4621" w:type="dxa"/>
            <w:shd w:val="clear" w:color="auto" w:fill="auto"/>
          </w:tcPr>
          <w:p>
            <w:pPr>
              <w:rPr>
                <w:noProof/>
                <w:szCs w:val="24"/>
              </w:rPr>
            </w:pPr>
            <w:r>
              <w:rPr>
                <w:noProof/>
              </w:rPr>
              <w:t>Identifikačné údaje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 xml:space="preserve">Demografické charakteristiky </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Ekonomické/stratifikačné charakteristiky</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Prepojenia s ďalšími jednotkami a registrami</w:t>
            </w:r>
          </w:p>
        </w:tc>
      </w:tr>
      <w:tr>
        <w:tc>
          <w:tcPr>
            <w:tcW w:w="4621" w:type="dxa"/>
            <w:tcBorders>
              <w:bottom w:val="nil"/>
            </w:tcBorders>
            <w:shd w:val="clear" w:color="auto" w:fill="auto"/>
          </w:tcPr>
          <w:p>
            <w:pPr>
              <w:rPr>
                <w:noProof/>
                <w:szCs w:val="24"/>
              </w:rPr>
            </w:pPr>
            <w:r>
              <w:rPr>
                <w:noProof/>
              </w:rPr>
              <w:t>5. ČINNOSTNÁ JEDNOTKA</w:t>
            </w:r>
          </w:p>
        </w:tc>
        <w:tc>
          <w:tcPr>
            <w:tcW w:w="4621" w:type="dxa"/>
            <w:shd w:val="clear" w:color="auto" w:fill="auto"/>
          </w:tcPr>
          <w:p>
            <w:pPr>
              <w:rPr>
                <w:noProof/>
                <w:szCs w:val="24"/>
              </w:rPr>
            </w:pPr>
            <w:r>
              <w:rPr>
                <w:noProof/>
              </w:rPr>
              <w:t>Identifikačné údaje</w:t>
            </w:r>
          </w:p>
        </w:tc>
      </w:tr>
      <w:tr>
        <w:tc>
          <w:tcPr>
            <w:tcW w:w="4621" w:type="dxa"/>
            <w:vMerge w:val="restart"/>
            <w:tcBorders>
              <w:top w:val="nil"/>
            </w:tcBorders>
            <w:shd w:val="clear" w:color="auto" w:fill="auto"/>
          </w:tcPr>
          <w:p>
            <w:pPr>
              <w:rPr>
                <w:noProof/>
                <w:szCs w:val="24"/>
              </w:rPr>
            </w:pPr>
            <w:r>
              <w:rPr>
                <w:noProof/>
              </w:rPr>
              <w:t>ak ide o štatistickú jednotku podľa článku 3 ods. 2 písm. a) bodu iii)</w:t>
            </w:r>
          </w:p>
        </w:tc>
        <w:tc>
          <w:tcPr>
            <w:tcW w:w="4621" w:type="dxa"/>
            <w:shd w:val="clear" w:color="auto" w:fill="auto"/>
          </w:tcPr>
          <w:p>
            <w:pPr>
              <w:rPr>
                <w:noProof/>
                <w:szCs w:val="24"/>
              </w:rPr>
            </w:pPr>
            <w:r>
              <w:rPr>
                <w:noProof/>
              </w:rPr>
              <w:t>Demografické charakteristiky</w:t>
            </w:r>
          </w:p>
        </w:tc>
      </w:tr>
      <w:tr>
        <w:tc>
          <w:tcPr>
            <w:tcW w:w="4621" w:type="dxa"/>
            <w:vMerge/>
            <w:shd w:val="clear" w:color="auto" w:fill="auto"/>
          </w:tcPr>
          <w:p>
            <w:pPr>
              <w:rPr>
                <w:noProof/>
                <w:szCs w:val="24"/>
              </w:rPr>
            </w:pPr>
          </w:p>
        </w:tc>
        <w:tc>
          <w:tcPr>
            <w:tcW w:w="4621" w:type="dxa"/>
            <w:shd w:val="clear" w:color="auto" w:fill="auto"/>
          </w:tcPr>
          <w:p>
            <w:pPr>
              <w:rPr>
                <w:noProof/>
                <w:szCs w:val="24"/>
              </w:rPr>
            </w:pPr>
            <w:r>
              <w:rPr>
                <w:noProof/>
              </w:rPr>
              <w:t>Ekonomické/stratifikačné charakteristiky</w:t>
            </w:r>
          </w:p>
        </w:tc>
      </w:tr>
      <w:tr>
        <w:tc>
          <w:tcPr>
            <w:tcW w:w="4621" w:type="dxa"/>
            <w:vMerge/>
            <w:shd w:val="clear" w:color="auto" w:fill="auto"/>
          </w:tcPr>
          <w:p>
            <w:pPr>
              <w:rPr>
                <w:noProof/>
                <w:szCs w:val="24"/>
              </w:rPr>
            </w:pPr>
          </w:p>
        </w:tc>
        <w:tc>
          <w:tcPr>
            <w:tcW w:w="4621" w:type="dxa"/>
            <w:shd w:val="clear" w:color="auto" w:fill="auto"/>
          </w:tcPr>
          <w:p>
            <w:pPr>
              <w:rPr>
                <w:noProof/>
                <w:szCs w:val="24"/>
              </w:rPr>
            </w:pPr>
            <w:r>
              <w:rPr>
                <w:noProof/>
              </w:rPr>
              <w:t>Prepojenia s inými jednotkami a registrami</w:t>
            </w:r>
          </w:p>
        </w:tc>
      </w:tr>
    </w:tbl>
    <w:p>
      <w:pPr>
        <w:rPr>
          <w:noProof/>
          <w:szCs w:val="24"/>
        </w:rPr>
      </w:pPr>
    </w:p>
    <w:p>
      <w:pPr>
        <w:rPr>
          <w:noProof/>
        </w:rPr>
      </w:pPr>
    </w:p>
    <w:p>
      <w:pPr>
        <w:pStyle w:val="Annexetitre"/>
        <w:rPr>
          <w:noProof/>
        </w:rPr>
      </w:pPr>
      <w:r>
        <w:rPr>
          <w:noProof/>
        </w:rPr>
        <w:t>Príloha IV</w:t>
      </w:r>
    </w:p>
    <w:p>
      <w:pPr>
        <w:keepNext/>
        <w:jc w:val="center"/>
        <w:outlineLvl w:val="0"/>
        <w:rPr>
          <w:b/>
          <w:noProof/>
        </w:rPr>
      </w:pPr>
      <w:r>
        <w:rPr>
          <w:b/>
          <w:noProof/>
        </w:rPr>
        <w:t>Zmena nariadenia (ES) č. 184/2005</w:t>
      </w:r>
    </w:p>
    <w:p>
      <w:pPr>
        <w:rPr>
          <w:noProof/>
          <w:szCs w:val="24"/>
        </w:rPr>
      </w:pPr>
      <w:r>
        <w:rPr>
          <w:noProof/>
        </w:rPr>
        <w:t>V prílohe I sa tabuľka 3 nahrádza takto:</w:t>
      </w:r>
    </w:p>
    <w:p>
      <w:pPr>
        <w:ind w:left="851"/>
        <w:jc w:val="center"/>
        <w:rPr>
          <w:i/>
          <w:noProof/>
        </w:rPr>
      </w:pPr>
      <w:r>
        <w:rPr>
          <w:i/>
          <w:noProof/>
        </w:rPr>
        <w:t>„Tabuľka 3</w:t>
      </w:r>
    </w:p>
    <w:p>
      <w:pPr>
        <w:ind w:left="851"/>
        <w:jc w:val="center"/>
        <w:rPr>
          <w:noProof/>
        </w:rPr>
      </w:pPr>
      <w:r>
        <w:rPr>
          <w:noProof/>
        </w:rPr>
        <w:t>Medzinárodný obchod so službami – účtovné prvky</w:t>
      </w:r>
    </w:p>
    <w:p>
      <w:pPr>
        <w:ind w:left="851"/>
        <w:rPr>
          <w:noProof/>
        </w:rPr>
      </w:pPr>
      <w:r>
        <w:rPr>
          <w:noProof/>
        </w:rPr>
        <w:t>Lehota: T + 9 mesiacov</w:t>
      </w:r>
    </w:p>
    <w:p>
      <w:pPr>
        <w:ind w:left="851"/>
        <w:rPr>
          <w:noProof/>
        </w:rPr>
      </w:pPr>
      <w:r>
        <w:rPr>
          <w:noProof/>
        </w:rPr>
        <w:t>Periodicita: ročne</w:t>
      </w:r>
    </w:p>
    <w:p>
      <w:pPr>
        <w:ind w:left="851"/>
        <w:rPr>
          <w:noProof/>
        </w:rPr>
      </w:pPr>
      <w:r>
        <w:rPr>
          <w:noProof/>
        </w:rPr>
        <w:t>Prvé referenčné obdobie: 2013</w:t>
      </w:r>
    </w:p>
    <w:tbl>
      <w:tblPr>
        <w:tblW w:w="6662" w:type="dxa"/>
        <w:tblInd w:w="817" w:type="dxa"/>
        <w:tblLook w:val="04A0" w:firstRow="1" w:lastRow="0" w:firstColumn="1" w:lastColumn="0" w:noHBand="0" w:noVBand="1"/>
      </w:tblPr>
      <w:tblGrid>
        <w:gridCol w:w="3560"/>
        <w:gridCol w:w="960"/>
        <w:gridCol w:w="960"/>
        <w:gridCol w:w="1182"/>
      </w:tblGrid>
      <w:tr>
        <w:trPr>
          <w:trHeight w:val="315"/>
        </w:trPr>
        <w:tc>
          <w:tcPr>
            <w:tcW w:w="3560" w:type="dxa"/>
            <w:tcBorders>
              <w:top w:val="nil"/>
              <w:left w:val="nil"/>
              <w:bottom w:val="nil"/>
              <w:right w:val="nil"/>
            </w:tcBorders>
            <w:shd w:val="clear" w:color="auto" w:fill="auto"/>
            <w:noWrap/>
            <w:vAlign w:val="bottom"/>
            <w:hideMark/>
          </w:tcPr>
          <w:p>
            <w:pPr>
              <w:rPr>
                <w:rFonts w:ascii="Calibri" w:hAnsi="Calibri"/>
                <w:noProof/>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Inkasá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rPr>
                <w:noProof/>
                <w:szCs w:val="24"/>
              </w:rPr>
            </w:pPr>
            <w:r>
              <w:rPr>
                <w:noProof/>
              </w:rPr>
              <w:t>Platby</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pPr>
              <w:rPr>
                <w:noProof/>
                <w:szCs w:val="24"/>
              </w:rPr>
            </w:pPr>
            <w:r>
              <w:rPr>
                <w:noProof/>
              </w:rPr>
              <w:t>Saldo</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Odmeny zamestnancov</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Osobné transfery</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ind w:left="459"/>
              <w:rPr>
                <w:noProof/>
                <w:szCs w:val="24"/>
              </w:rPr>
            </w:pPr>
            <w:r>
              <w:rPr>
                <w:noProof/>
              </w:rPr>
              <w:t xml:space="preserve">Remitencie pracovníkov </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SLUŽBY</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b/>
                <w:noProof/>
                <w:szCs w:val="24"/>
              </w:rPr>
            </w:pPr>
            <w:r>
              <w:rPr>
                <w:b/>
                <w:noProof/>
              </w:rPr>
              <w:t>Cestovný ruch</w:t>
            </w:r>
          </w:p>
        </w:tc>
        <w:tc>
          <w:tcPr>
            <w:tcW w:w="960"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Služobné cesty</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Obstaranie tovaru a služieb prihraničnými, sezónnymi a ostatnými krátkodobými pracovníkmi</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Iné služobné cesty</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Súkromné cesty</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Výdavky na zdravotnú starostlivosť</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Výdavky na vzdelanie</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Iné súkromné cesty</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Nepriamo merané služby finančného sprostredkovania (FISIM)</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r>
    </w:tbl>
    <w:p>
      <w:pPr>
        <w:rPr>
          <w:noProof/>
          <w:szCs w:val="24"/>
        </w:rPr>
      </w:pPr>
      <w:r>
        <w:rPr>
          <w:noProof/>
        </w:rPr>
        <w: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D42B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109E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3C61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CA1B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A724E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3EC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C84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2F400E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3 16:58: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ACCOMPAGNANT.CP" w:val="k"/>
    <w:docVar w:name="LW_ANNEX_NBR_FIRST" w:val="1"/>
    <w:docVar w:name="LW_ANNEX_NBR_LAST" w:val="4"/>
    <w:docVar w:name="LW_CONFIDENCE" w:val=" "/>
    <w:docVar w:name="LW_CONST_RESTREINT_UE" w:val="RESTREINT UE"/>
    <w:docVar w:name="LW_CORRIGENDUM" w:val="&lt;UNUSED&gt;"/>
    <w:docVar w:name="LW_COVERPAGE_GUID" w:val="2D77D3A751AC4C6183B2DD56E5CF18D0"/>
    <w:docVar w:name="LW_CROSSREFERENCE" w:val="{SWD(2017) 98 final}_x000b_{SWD(2017) 99 final}"/>
    <w:docVar w:name="LW_DocType" w:val="ANNEX"/>
    <w:docVar w:name="LW_EMISSION" w:val="6. 3. 2017"/>
    <w:docVar w:name="LW_EMISSION_ISODATE" w:val="2017-03-06"/>
    <w:docVar w:name="LW_EMISSION_LOCATION" w:val="BRX"/>
    <w:docVar w:name="LW_EMISSION_PREFIX" w:val="V Bruseli"/>
    <w:docVar w:name="LW_EMISSION_SUFFIX" w:val=" "/>
    <w:docVar w:name="LW_ID_DOCSTRUCTURE" w:val="COM/ANNEX"/>
    <w:docVar w:name="LW_ID_DOCTYPE" w:val="SG-017"/>
    <w:docVar w:name="LW_LANGUE" w:val="SK"/>
    <w:docVar w:name="LW_MARKING" w:val="&lt;UNUSED&gt;"/>
    <w:docVar w:name="LW_NOM.INST" w:val="EURÓPSKA KOMISIA"/>
    <w:docVar w:name="LW_NOM.INST_JOINTDOC" w:val="&lt;EMPTY&gt;"/>
    <w:docVar w:name="LW_OBJETACTEPRINCIPAL.CP" w:val="o európskej podnikovej \u353?tatistike,_x000b_ktorým sa mení nariadenie (ES) \u269?. 184/2005 a zru\u353?uje desa\u357? právnych aktov v oblasti podnikovej \u353?tatistiky_x000b_"/>
    <w:docVar w:name="LW_PART_NBR" w:val="&lt;UNUSED&gt;"/>
    <w:docVar w:name="LW_PART_NBR_TOTAL" w:val="&lt;UNUSED&gt;"/>
    <w:docVar w:name="LW_REF.INST.NEW" w:val="COM"/>
    <w:docVar w:name="LW_REF.INST.NEW_ADOPTED" w:val="final"/>
    <w:docVar w:name="LW_REF.INST.NEW_TEXT" w:val="(2017) 114"/>
    <w:docVar w:name="LW_REF.INTERNE" w:val="&lt;UNUSED&gt;"/>
    <w:docVar w:name="LW_SUPERTITRE" w:val="&lt;UNUSED&gt;"/>
    <w:docVar w:name="LW_TITRE.OBJ.CP" w:val="&lt;UNUSED&gt;"/>
    <w:docVar w:name="LW_TYPE.DOC.CP" w:val="PRÍLOHY"/>
    <w:docVar w:name="LW_TYPEACTEPRINCIPAL.CP" w:val="NARIADENIU EURÓPSKEHO PARLAMENTU A RADY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AC8D-D8FF-45A4-91AD-6D70EDE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10</Pages>
  <Words>1300</Words>
  <Characters>8596</Characters>
  <Application>Microsoft Office Word</Application>
  <DocSecurity>0</DocSecurity>
  <Lines>452</Lines>
  <Paragraphs>309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SNEIJERS Petra (ESTAT)</dc:creator>
  <cp:lastModifiedBy>DIGIT/A3</cp:lastModifiedBy>
  <cp:revision>8</cp:revision>
  <cp:lastPrinted>2017-02-13T10:21:00Z</cp:lastPrinted>
  <dcterms:created xsi:type="dcterms:W3CDTF">2017-03-03T15:49:00Z</dcterms:created>
  <dcterms:modified xsi:type="dcterms:W3CDTF">2017-03-03T15:58:00Z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