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9A" w:rsidRPr="003B3C3B" w:rsidRDefault="00BC2BEE" w:rsidP="00BC2BE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3A2C4F6A7A774B42BB8E3E0CBCC5097E" style="width:450.6pt;height:554.9pt">
            <v:imagedata r:id="rId12" o:title=""/>
          </v:shape>
        </w:pict>
      </w:r>
    </w:p>
    <w:p w:rsidR="00E0439A" w:rsidRPr="003B3C3B" w:rsidRDefault="00E0439A">
      <w:pPr>
        <w:rPr>
          <w:noProof/>
        </w:rPr>
        <w:sectPr w:rsidR="00E0439A" w:rsidRPr="003B3C3B" w:rsidSect="00BC2BEE">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bookmarkStart w:id="0" w:name="_GoBack"/>
      <w:bookmarkEnd w:id="0"/>
    </w:p>
    <w:p w:rsidR="00E0439A" w:rsidRPr="003B3C3B" w:rsidRDefault="005B3CE6">
      <w:pPr>
        <w:pStyle w:val="Annexetitre"/>
        <w:rPr>
          <w:b w:val="0"/>
          <w:i/>
          <w:noProof/>
          <w:u w:val="none"/>
        </w:rPr>
      </w:pPr>
      <w:r w:rsidRPr="003B3C3B">
        <w:rPr>
          <w:b w:val="0"/>
          <w:i/>
          <w:noProof/>
          <w:u w:val="none"/>
        </w:rPr>
        <w:lastRenderedPageBreak/>
        <w:t>PRILOGA I</w:t>
      </w:r>
    </w:p>
    <w:p w:rsidR="00E0439A" w:rsidRPr="003B3C3B" w:rsidRDefault="005B3CE6">
      <w:pPr>
        <w:jc w:val="center"/>
        <w:rPr>
          <w:noProof/>
        </w:rPr>
      </w:pPr>
      <w:r w:rsidRPr="003B3C3B">
        <w:rPr>
          <w:b/>
          <w:noProof/>
        </w:rPr>
        <w:t>SPLOŠNI OKVIR ZA CELOVITE NACIONALNE ENERGETSKE IN PODNEBNE NAČRTE</w:t>
      </w:r>
    </w:p>
    <w:p w:rsidR="00E0439A" w:rsidRPr="003B3C3B" w:rsidRDefault="005B3CE6">
      <w:pPr>
        <w:jc w:val="center"/>
        <w:rPr>
          <w:rFonts w:eastAsia="Times New Roman"/>
          <w:b/>
          <w:noProof/>
          <w:color w:val="000000"/>
          <w:szCs w:val="24"/>
        </w:rPr>
      </w:pPr>
      <w:r w:rsidRPr="003B3C3B">
        <w:rPr>
          <w:b/>
          <w:noProof/>
          <w:color w:val="000000"/>
        </w:rPr>
        <w:t>Del 1</w:t>
      </w:r>
    </w:p>
    <w:p w:rsidR="00E0439A" w:rsidRPr="003B3C3B" w:rsidRDefault="005B3CE6">
      <w:pPr>
        <w:jc w:val="center"/>
        <w:rPr>
          <w:i/>
          <w:noProof/>
        </w:rPr>
      </w:pPr>
      <w:r w:rsidRPr="003B3C3B">
        <w:rPr>
          <w:i/>
          <w:noProof/>
          <w:color w:val="000000"/>
        </w:rPr>
        <w:t>Splošni okvir</w:t>
      </w:r>
    </w:p>
    <w:tbl>
      <w:tblPr>
        <w:tblStyle w:val="TableGrid"/>
        <w:tblW w:w="0" w:type="auto"/>
        <w:tblInd w:w="360" w:type="dxa"/>
        <w:tblLook w:val="04A0" w:firstRow="1" w:lastRow="0" w:firstColumn="1" w:lastColumn="0" w:noHBand="0" w:noVBand="1"/>
      </w:tblPr>
      <w:tblGrid>
        <w:gridCol w:w="8928"/>
      </w:tblGrid>
      <w:tr w:rsidR="00E0439A" w:rsidRPr="00E51EB2">
        <w:trPr>
          <w:trHeight w:val="425"/>
        </w:trPr>
        <w:tc>
          <w:tcPr>
            <w:tcW w:w="8928" w:type="dxa"/>
            <w:shd w:val="clear" w:color="auto" w:fill="A6A6A6" w:themeFill="background1" w:themeFillShade="A6"/>
            <w:vAlign w:val="center"/>
          </w:tcPr>
          <w:p w:rsidR="00E0439A" w:rsidRPr="00E51EB2" w:rsidRDefault="005B3CE6">
            <w:pPr>
              <w:spacing w:before="0"/>
              <w:jc w:val="center"/>
              <w:rPr>
                <w:b/>
                <w:noProof/>
              </w:rPr>
            </w:pPr>
            <w:r w:rsidRPr="00E51EB2">
              <w:rPr>
                <w:b/>
                <w:noProof/>
              </w:rPr>
              <w:t>ODDELEK A: NACIONALNI NAČRT</w:t>
            </w:r>
          </w:p>
        </w:tc>
      </w:tr>
      <w:tr w:rsidR="00E0439A" w:rsidRPr="00E51EB2">
        <w:tc>
          <w:tcPr>
            <w:tcW w:w="8928" w:type="dxa"/>
            <w:shd w:val="clear" w:color="auto" w:fill="D9D9D9" w:themeFill="background1" w:themeFillShade="D9"/>
          </w:tcPr>
          <w:p w:rsidR="00E0439A" w:rsidRPr="00E51EB2" w:rsidRDefault="005B3CE6">
            <w:pPr>
              <w:pStyle w:val="ListParagraph"/>
              <w:numPr>
                <w:ilvl w:val="0"/>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PREGLED IN POSTOPEK ZA VZPOSTAVITEV NAČRTA</w:t>
            </w:r>
          </w:p>
        </w:tc>
      </w:tr>
      <w:tr w:rsidR="00E0439A" w:rsidRPr="00E51EB2">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Povzetek</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Politični, gospodarski, okoljski in socialni kontekst načrta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Krovna strategija, ki zajema pet razsežnosti energetske unije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Pregledna razpredelnica s ključnimi cilji, politikami in ukrepi načrta</w:t>
            </w:r>
          </w:p>
        </w:tc>
      </w:tr>
      <w:tr w:rsidR="00E0439A" w:rsidRPr="00E51EB2">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Pregled sedanjega stanja politike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Nacionalni energetski sistem in energetski sistem EU ter okvir politike nacionalnega načrta</w:t>
            </w:r>
          </w:p>
          <w:p w:rsidR="00E0439A" w:rsidRPr="00E51EB2" w:rsidRDefault="005B3CE6">
            <w:pPr>
              <w:pStyle w:val="ListParagraph"/>
              <w:numPr>
                <w:ilvl w:val="3"/>
                <w:numId w:val="1"/>
              </w:numPr>
              <w:spacing w:after="120"/>
              <w:contextualSpacing w:val="0"/>
              <w:rPr>
                <w:rFonts w:ascii="Times New Roman" w:hAnsi="Times New Roman" w:cs="Times New Roman"/>
                <w:noProof/>
              </w:rPr>
            </w:pPr>
            <w:r w:rsidRPr="00E51EB2">
              <w:rPr>
                <w:rFonts w:ascii="Times New Roman" w:hAnsi="Times New Roman"/>
                <w:noProof/>
              </w:rPr>
              <w:t>Sedanje energetske in podnebne politike ter ukrepi, ki zajemajo pet razsežnosti energetske unije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Ključna vprašanja čezmejnega pomena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Upravna struktura izvajanja nacionalnih energetskih in podnebnih politik</w:t>
            </w:r>
          </w:p>
        </w:tc>
      </w:tr>
      <w:tr w:rsidR="00E0439A" w:rsidRPr="00E51EB2">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Posvetovanja in vključevanje nacionalnih subjektov in subjektov iz EU ter njihov izid</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Vključevanje Parlamenta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Vključevanje lokalnih in regionalnih organov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Posvetovanja z zainteresiranimi stranmi, vključno s socialnimi partnerji, in vključevanje civilne družbe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Posvetovanja z drugimi državami članicami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Iterativni proces pri Evropski komisiji </w:t>
            </w:r>
          </w:p>
        </w:tc>
      </w:tr>
      <w:tr w:rsidR="00E0439A" w:rsidRPr="00E51EB2">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Regionalno sodelovanje pri pripravi načrta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Elementi, ki so predmet skupnega ali usklajenega načrtovanja z drugimi državami članicami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Pojasnilo, kako se regionalno sodelovanje upošteva v načrtu</w:t>
            </w:r>
          </w:p>
        </w:tc>
      </w:tr>
      <w:tr w:rsidR="00E0439A" w:rsidRPr="00E51EB2">
        <w:tc>
          <w:tcPr>
            <w:tcW w:w="8928" w:type="dxa"/>
            <w:shd w:val="clear" w:color="auto" w:fill="D9D9D9" w:themeFill="background1" w:themeFillShade="D9"/>
          </w:tcPr>
          <w:p w:rsidR="00E0439A" w:rsidRPr="00E51EB2" w:rsidRDefault="005B3CE6">
            <w:pPr>
              <w:pStyle w:val="ListParagraph"/>
              <w:numPr>
                <w:ilvl w:val="0"/>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SPLOŠNI IN POSAMEZNI NACIONALNI CILJI</w:t>
            </w:r>
          </w:p>
        </w:tc>
      </w:tr>
      <w:tr w:rsidR="00E0439A" w:rsidRPr="00E51EB2">
        <w:trPr>
          <w:trHeight w:val="283"/>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Razsežnost razogljičenje</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Emisije in odvzemi toplogrednih plinov (za načrt, ki pokriva obdobje od leta 2021 do 2030, cilj okvira do leta 2030 je najmanj 40-odstotno zmanjšanje domačih emisij toplogrednih plinov na ravni gospodarstva v primerjavi z letom 1990)</w:t>
            </w:r>
            <w:r w:rsidR="005B3CE6" w:rsidRPr="00E51EB2">
              <w:rPr>
                <w:rStyle w:val="FootnoteReference"/>
                <w:rFonts w:ascii="Times New Roman" w:hAnsi="Times New Roman"/>
                <w:noProof/>
              </w:rPr>
              <w:t xml:space="preserve"> </w:t>
            </w:r>
            <w:r w:rsidR="005B3CE6" w:rsidRPr="00E51EB2">
              <w:rPr>
                <w:rStyle w:val="FootnoteReference"/>
                <w:rFonts w:ascii="Times New Roman" w:hAnsi="Times New Roman"/>
                <w:noProof/>
              </w:rPr>
              <w:footnoteReference w:id="2"/>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lastRenderedPageBreak/>
              <w:t>Zavezujoči nacionalni cilji države članice za toplogredne pline za leto 2030 v sektorjih, ki niso vključeni v sistem trgovanja z emisijami, letne zavezujoče nacionalne omejitve</w:t>
            </w:r>
            <w:r w:rsidRPr="00E51EB2">
              <w:rPr>
                <w:rStyle w:val="FootnoteReference"/>
                <w:rFonts w:ascii="Times New Roman" w:hAnsi="Times New Roman"/>
                <w:noProof/>
              </w:rPr>
              <w:footnoteReference w:id="3"/>
            </w:r>
            <w:r w:rsidRPr="00E51EB2">
              <w:rPr>
                <w:rFonts w:ascii="Times New Roman" w:hAnsi="Times New Roman"/>
                <w:noProof/>
              </w:rPr>
              <w:t xml:space="preserve"> in zaveze na podlagi uredbe LULUCF</w:t>
            </w:r>
            <w:r w:rsidRPr="00E51EB2">
              <w:rPr>
                <w:rStyle w:val="FootnoteReference"/>
                <w:rFonts w:ascii="Times New Roman" w:hAnsi="Times New Roman"/>
                <w:noProof/>
              </w:rPr>
              <w:footnoteReference w:id="4"/>
            </w:r>
            <w:r w:rsidRPr="00E51EB2">
              <w:rPr>
                <w:rFonts w:ascii="Times New Roman" w:hAnsi="Times New Roman"/>
                <w:noProof/>
              </w:rPr>
              <w:t xml:space="preserve">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Če je ustrezno, drugi splošni in posamezni nacionalni cilji, skladni z obstoječimi dolgoročnimi strategijami za nizke emisije. Če je ustrezno, drugi splošni in posamezni cilji, vključno s sektorskimi cilji in cilji prilagajanja</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Energija iz obnovljivih virov (cilj okvira do 2030)</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Načrtovani delež energije iz obnovljivih virov države članice v bruto porabi </w:t>
            </w:r>
            <w:r w:rsidR="001D2C20" w:rsidRPr="00E51EB2">
              <w:rPr>
                <w:rFonts w:ascii="Times New Roman" w:hAnsi="Times New Roman"/>
                <w:noProof/>
              </w:rPr>
              <w:t xml:space="preserve">končne </w:t>
            </w:r>
            <w:r w:rsidRPr="00E51EB2">
              <w:rPr>
                <w:rFonts w:ascii="Times New Roman" w:hAnsi="Times New Roman"/>
                <w:noProof/>
              </w:rPr>
              <w:t>energije v letu 2030 kot njen nacionalni prispevek k zavezujočemu cilju na ravni EU najmanj 27 % v letu 2030</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Linearni začrtani potek za skupni delež energije iz obnovljivih virov v bruto porabi končne energije od leta 2021 do 2030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Začrtani potek za sektorski delež energije iz obnovljivih virov v porabi končne energije od leta 2021 do 2030 v sektorjih električne energije, ogrevanja in hlajenja ter prometa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Začrtani potek po posameznih tehnologijah obnovljivih virov, ki jih država članica namerava uporabiti, da realizira skupne in sektorske predividene poteke za energijo iz obnovljivih virov od leta 2021 do 2030, vključno s pričakovano bruto porabo končne energije po posamezni tehnologiji in sektorju v Mtoe in skupno načrtovano nameščeno zmogljivostjo (razdeljeno na novo zmogljivost in nadomestitev stare zmogljivosti z novo zmogljivostjo) po posamezni tehnologiji in sektorju v MW</w:t>
            </w:r>
          </w:p>
          <w:p w:rsidR="00E0439A" w:rsidRPr="00E51EB2" w:rsidRDefault="005B3CE6">
            <w:pPr>
              <w:pStyle w:val="ListParagraph"/>
              <w:numPr>
                <w:ilvl w:val="3"/>
                <w:numId w:val="1"/>
              </w:numPr>
              <w:spacing w:after="120" w:line="240" w:lineRule="auto"/>
              <w:contextualSpacing w:val="0"/>
              <w:rPr>
                <w:noProof/>
              </w:rPr>
            </w:pPr>
            <w:r w:rsidRPr="00E51EB2">
              <w:rPr>
                <w:rFonts w:ascii="Times New Roman" w:hAnsi="Times New Roman"/>
                <w:noProof/>
              </w:rPr>
              <w:t>Začrtani potek povpraševanja po bioenergiji, razčlenjeno na toploto, elektriko in promet, ter predvideni potek oskrbe z biomaso prek surovin</w:t>
            </w:r>
            <w:r w:rsidR="001077B4" w:rsidRPr="00E51EB2">
              <w:rPr>
                <w:rFonts w:ascii="Times New Roman" w:hAnsi="Times New Roman"/>
                <w:noProof/>
              </w:rPr>
              <w:t xml:space="preserve"> in glede na poreklo (pri čemer se razlikuje med domačo proizvodnjo in uvozom)</w:t>
            </w:r>
            <w:r w:rsidRPr="00E51EB2">
              <w:rPr>
                <w:rFonts w:ascii="Times New Roman" w:hAnsi="Times New Roman"/>
                <w:noProof/>
              </w:rPr>
              <w:t>, domača proizvodnja v primerjavi z uvozom Za gozdno biomaso ocena njenega vira in vpliva na ponor LULUCF</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Če je ustrezno, drugi nacionalni začrtani poteki in cilji, vključno z dolgoročnimi ali sektorskimi (npr. delež naprednih biogoriv, delež energije iz obnovljivih virov v daljinskem ogrevanju, uporaba energije iz obnovljivih virov v stavbah, energija iz obnovljivih virov, ki jo proizvedejo mesta, energetske skupnosti in samoporabniki)</w:t>
            </w:r>
          </w:p>
        </w:tc>
      </w:tr>
      <w:tr w:rsidR="00E0439A" w:rsidRPr="00E51EB2">
        <w:trPr>
          <w:trHeight w:val="416"/>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lastRenderedPageBreak/>
              <w:t>Razsežnost energijska učinkovitost (cilj okvira do 2030)</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Okvirni prispevek nacionalne energi</w:t>
            </w:r>
            <w:r w:rsidR="00031C6D" w:rsidRPr="00E51EB2">
              <w:rPr>
                <w:rFonts w:ascii="Times New Roman" w:hAnsi="Times New Roman"/>
                <w:noProof/>
              </w:rPr>
              <w:t>jske učinkovitosti k doseganju zavezujočega</w:t>
            </w:r>
            <w:r w:rsidRPr="00E51EB2">
              <w:rPr>
                <w:rFonts w:ascii="Times New Roman" w:hAnsi="Times New Roman"/>
                <w:noProof/>
              </w:rPr>
              <w:t xml:space="preserve"> cilja </w:t>
            </w:r>
            <w:r w:rsidR="00031C6D" w:rsidRPr="00E51EB2">
              <w:rPr>
                <w:rFonts w:ascii="Times New Roman" w:hAnsi="Times New Roman"/>
                <w:noProof/>
              </w:rPr>
              <w:t xml:space="preserve">30-odstotne </w:t>
            </w:r>
            <w:r w:rsidRPr="00E51EB2">
              <w:rPr>
                <w:rFonts w:ascii="Times New Roman" w:hAnsi="Times New Roman"/>
                <w:noProof/>
              </w:rPr>
              <w:t>energijske učinkovitosti Unije v letu 2030 iz člena 1(1) in člena 3(4) Direktive 2012/27/EU [</w:t>
            </w:r>
            <w:r w:rsidR="00C87C90" w:rsidRPr="00E51EB2">
              <w:rPr>
                <w:rFonts w:ascii="Times New Roman" w:hAnsi="Times New Roman"/>
                <w:noProof/>
              </w:rPr>
              <w:t xml:space="preserve">različica </w:t>
            </w:r>
            <w:r w:rsidRPr="00E51EB2">
              <w:rPr>
                <w:rFonts w:ascii="Times New Roman" w:hAnsi="Times New Roman"/>
                <w:noProof/>
              </w:rPr>
              <w:t>kakor je bila spremenjena s predlogom COM(2016)761], bodisi na podlagi porabe primarne ali končne energije, prihranka primarne ali končne energije ali energijske intenzivnosti; izražen v smislu absolutne ravni porabe primarne energije in porabe končne energije v letih 2020 in 2030, z linearnim začrtanim potekom za ta prispevek od leta 2021 naprej; vključno s temeljno metodologijo in uporabljenimi pretvorbenimi faktorji</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Skupni prihranek energije, dosežen v obdobju 2021–2030, v skladu s členom 7 Direktive 2012/27/EU </w:t>
            </w:r>
            <w:r w:rsidR="001077B4" w:rsidRPr="00E51EB2">
              <w:rPr>
                <w:rFonts w:ascii="Times New Roman" w:hAnsi="Times New Roman"/>
                <w:noProof/>
              </w:rPr>
              <w:t xml:space="preserve">glede obveznosti v zvezi s prihranki energije </w:t>
            </w:r>
            <w:r w:rsidRPr="00E51EB2">
              <w:rPr>
                <w:rFonts w:ascii="Times New Roman" w:hAnsi="Times New Roman"/>
                <w:noProof/>
              </w:rPr>
              <w:t>[</w:t>
            </w:r>
            <w:r w:rsidR="00C87C90" w:rsidRPr="00E51EB2">
              <w:rPr>
                <w:rFonts w:ascii="Times New Roman" w:hAnsi="Times New Roman"/>
                <w:noProof/>
              </w:rPr>
              <w:t xml:space="preserve">različica, </w:t>
            </w:r>
            <w:r w:rsidRPr="00E51EB2">
              <w:rPr>
                <w:rFonts w:ascii="Times New Roman" w:hAnsi="Times New Roman"/>
                <w:noProof/>
              </w:rPr>
              <w:lastRenderedPageBreak/>
              <w:t>kakor je bila spremenjena s predlogom COM(2016)761] o sistemih obveznosti energijske učinkovitosti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Cilji za dolgoročno prenovo nacionalnega fonda stanovanjskih in poslovnih stavb (tako javnih kot zasebnih)</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Skupna tlorisna površina, ki jo je treba prenoviti, ali enakovredni prihranek energije, ki ga je treba doseči od leta 2021 do leta 2030 skladno s členom 5 Direktive 2012/27/EU </w:t>
            </w:r>
            <w:r w:rsidR="001077B4" w:rsidRPr="00E51EB2">
              <w:rPr>
                <w:rFonts w:ascii="Times New Roman" w:hAnsi="Times New Roman"/>
                <w:noProof/>
              </w:rPr>
              <w:t>glede stavb javnih organov kot zgleda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Če je ustrezno, drugi nacionalni cilji, vključno z dolgoročnimi posameznimi cilji ali strategijami in sektorskimi cilji. Nacionalni cilji na področjih, kot je energijska učinkovitost v prometnem sektorju ter glede ogrevanja in hlajenja</w:t>
            </w:r>
          </w:p>
        </w:tc>
      </w:tr>
      <w:tr w:rsidR="00E0439A" w:rsidRPr="00E51EB2">
        <w:trPr>
          <w:trHeight w:val="283"/>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lastRenderedPageBreak/>
              <w:t xml:space="preserve">Dimenzija energetska varnost </w:t>
            </w:r>
          </w:p>
          <w:p w:rsidR="00E0439A" w:rsidRPr="00E51EB2" w:rsidRDefault="005B3CE6">
            <w:pPr>
              <w:pStyle w:val="ListParagraph"/>
              <w:numPr>
                <w:ilvl w:val="3"/>
                <w:numId w:val="1"/>
              </w:numPr>
              <w:rPr>
                <w:rFonts w:ascii="Times New Roman" w:hAnsi="Times New Roman" w:cs="Times New Roman"/>
                <w:noProof/>
              </w:rPr>
            </w:pPr>
            <w:r w:rsidRPr="00E51EB2">
              <w:rPr>
                <w:rFonts w:ascii="Times New Roman" w:hAnsi="Times New Roman"/>
                <w:noProof/>
              </w:rPr>
              <w:t xml:space="preserve">Nacionalni cilji glede večje diverzifikacije virov energije in dobave iz tretjih držav, skladiščenja in prilagajanja odjema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Nacionalni cilji glede zmanjšanja odvisnosti od uvoza energije iz tretjih držav</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Nacionalni cilji glede pripravljenosti spopasti se z omejeno ali prekinjeno oskrbo z virom energije (vključno s plinom in električno energijo) in, kjer je primerno, časovni okvir za izpolnitev ciljev</w:t>
            </w:r>
            <w:r w:rsidRPr="00E51EB2">
              <w:rPr>
                <w:rStyle w:val="FootnoteReference"/>
                <w:rFonts w:ascii="Times New Roman" w:hAnsi="Times New Roman"/>
                <w:noProof/>
              </w:rPr>
              <w:footnoteReference w:id="5"/>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Nacionalni cilji glede razvoja domačih virov energije (predvsem energije iz obnovljivih virov)</w:t>
            </w:r>
          </w:p>
        </w:tc>
      </w:tr>
      <w:tr w:rsidR="00E0439A" w:rsidRPr="00E51EB2">
        <w:trPr>
          <w:trHeight w:val="816"/>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Razsežnost notranji trg energije</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Elektroenergetska povezanost (cilj okvira do 2030)</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Raven elektroenergetske povezanosti, ki je cilj države članice za leto 2030, glede na cilj Evropskega sveta iz oktobra 2014</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Infrastruktura za prenos energije</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Ključni nacionalni cilji za infrastrukturo za prenos energije in plina, ki so potrebni za doseganje splošnih in posameznih ciljev iz katere koli razsežnosti</w:t>
            </w:r>
            <w:r w:rsidR="001077B4" w:rsidRPr="00E51EB2">
              <w:rPr>
                <w:rFonts w:ascii="Times New Roman" w:hAnsi="Times New Roman"/>
                <w:noProof/>
              </w:rPr>
              <w:t xml:space="preserve"> strategije za energetsko unijo</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Če je ustrezno, glavni predvideni infrastrukturni projekti, razen projektov skupnega interesa (PCI)</w:t>
            </w:r>
            <w:r w:rsidRPr="00E51EB2">
              <w:rPr>
                <w:rStyle w:val="FootnoteReference"/>
                <w:rFonts w:ascii="Times New Roman" w:hAnsi="Times New Roman"/>
                <w:noProof/>
              </w:rPr>
              <w:footnoteReference w:id="6"/>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Povezovanje trgov</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Nacionalni cilji, povezani z drugimi vidiki notranjega trga energije, kot sta povezovanje in spajanje trgov, vključno s časovnim okvirom za izpolnitev ciljev</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Nacionalni cilji glede zagotavljanja zadostnosti elektroenergetskega sistema,  kot tudi prožnosti energetskega sistema v zvezi s proizvodnjo energije iz obnovljivih virov, vključno s časovnim okvirom za izpolnitev ciljev</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lastRenderedPageBreak/>
              <w:t>Nacionalni cilji za zaščito odjemalcev energije in izboljšanje konkurenčnosti maloprodajnega trga energije</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Energijska revščina</w:t>
            </w:r>
          </w:p>
          <w:p w:rsidR="00E0439A" w:rsidRPr="00E51EB2" w:rsidRDefault="005B3CE6" w:rsidP="001077B4">
            <w:pPr>
              <w:ind w:left="1080"/>
              <w:rPr>
                <w:noProof/>
              </w:rPr>
            </w:pPr>
            <w:r w:rsidRPr="00E51EB2">
              <w:rPr>
                <w:noProof/>
              </w:rPr>
              <w:t>Nacionalni cilji glede energijske revščine, vključno s časovnim okvirom za izpolnitev ciljev</w:t>
            </w:r>
          </w:p>
        </w:tc>
      </w:tr>
      <w:tr w:rsidR="00E0439A" w:rsidRPr="00E51EB2">
        <w:trPr>
          <w:trHeight w:val="416"/>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lastRenderedPageBreak/>
              <w:t>Dimenzija raziskave, inovacije in konkurenčnost</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Nacionalni cilji in cilji glede financiranja javnih in zasebnih raziskav in inovacij, povezanih z energetsko unijo, vključno s časovnim okvirom za izpolnitev ciljev, kjer je primerno; odražajo prednostne naloge strategije za energetsko unijo in načrta SET</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Kjer je primerno, nacionalni cilji, vključno z dolgoročnimi cilji (2050) za uvedbo nizkoogljičnih tehnologij, vključno z razogljičenjem energijsko in ogljično intenzivnih industrijskih sektorjev ter, če je primerno, za povezano infrastrukturo za prevoz in skladiščenje ogljika</w:t>
            </w:r>
          </w:p>
          <w:p w:rsidR="00E0439A" w:rsidRPr="00E51EB2" w:rsidRDefault="005B3CE6">
            <w:pPr>
              <w:pStyle w:val="ListParagraph"/>
              <w:numPr>
                <w:ilvl w:val="3"/>
                <w:numId w:val="1"/>
              </w:numPr>
              <w:spacing w:after="120"/>
              <w:contextualSpacing w:val="0"/>
              <w:rPr>
                <w:rFonts w:ascii="Times New Roman" w:hAnsi="Times New Roman" w:cs="Times New Roman"/>
                <w:noProof/>
              </w:rPr>
            </w:pPr>
            <w:r w:rsidRPr="00E51EB2">
              <w:rPr>
                <w:rFonts w:ascii="Times New Roman" w:hAnsi="Times New Roman"/>
                <w:noProof/>
              </w:rPr>
              <w:t xml:space="preserve">Nacionalni cilji glede konkurenčnosti </w:t>
            </w:r>
          </w:p>
        </w:tc>
      </w:tr>
      <w:tr w:rsidR="00E0439A" w:rsidRPr="00E51EB2">
        <w:tc>
          <w:tcPr>
            <w:tcW w:w="8928" w:type="dxa"/>
            <w:shd w:val="clear" w:color="auto" w:fill="D9D9D9" w:themeFill="background1" w:themeFillShade="D9"/>
          </w:tcPr>
          <w:p w:rsidR="00E0439A" w:rsidRPr="00E51EB2" w:rsidRDefault="005B3CE6">
            <w:pPr>
              <w:pStyle w:val="ListParagraph"/>
              <w:numPr>
                <w:ilvl w:val="0"/>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POLITIKE IN UKREPI</w:t>
            </w:r>
          </w:p>
        </w:tc>
      </w:tr>
      <w:tr w:rsidR="00E0439A" w:rsidRPr="00E51EB2">
        <w:trPr>
          <w:trHeight w:val="274"/>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Razsežnost razogljičenje</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Emisije in odvzemi toplogrednih plinov (za načrt, ki pokriva obdobje od leta 2021 do 2030, cilj okvira do leta 2030)</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za doseganje ciljev, določenih v Uredbi [ ] [ESR], iz točke 2.1.1, ter politike in ukrepi za uskladitev z Uredbo [ ] [LULUCF ], ki zajemajo vse ključne sektorje, ki prispevajo emisije, in sektorje za povečanje odvzema z razvojem dolgoročne vizije in ciljem postati nizkoogljično gospodarstvo s 50-letno perspektivo ter doseči ravnovesje med emisijami in odvzemi v skladu s Pariškim sporazumom</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Regionalno sodelovanje na tem področju</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Brez poseganja v veljavnost pravil o državni pomoči, finančni ukrepi, vključno s podporo EU in uporabo sredstev EU, na tem področju na nacionalni ravni</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Energija iz obnovljivih virov (cilj okvira do 2030)</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Politike in ukrepi za doseganje nacionalnega prispevka k zavezujočemu cilju na ravni EU do leta 2030 za energijo iz obnovljivih virov in začrtane poteke, predstavljene v točki 2.1.2, vključno z ukrepi, značilnimi za posamezne sektorje in tehnologije</w:t>
            </w:r>
            <w:r w:rsidRPr="00E51EB2">
              <w:rPr>
                <w:rStyle w:val="FootnoteReference"/>
                <w:rFonts w:ascii="Times New Roman" w:hAnsi="Times New Roman"/>
                <w:noProof/>
              </w:rPr>
              <w:footnoteReference w:id="7"/>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Posebni ukrepi za regionalno sodelovanje kot tudi ocenjena presežna proizvodnja energije iz obnovljivih virov, ki se lahko prenese na druge države članice, da se dosežejo nacionalni prispevek in začrtani poteki, predstavljeni v točki 2.1.2</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 xml:space="preserve">Posebni ukrepi o finančni podpori, vključno s podporo EU in uporabo sredstev EU, za spodbujanje proizvodnje in uporabe energije iz obnovljivih virov v sektorjih električne energije, ogrevanja in hlajenja ter prometa </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 xml:space="preserve">Posebni ukrepi za uvedbo točke „vse na enem mestu“, racionalizacijo upravnih postopkov, zagotavljanje informacij in usposabljanja ter krepitev vloge </w:t>
            </w:r>
            <w:r w:rsidRPr="00E51EB2">
              <w:rPr>
                <w:rFonts w:ascii="Times New Roman" w:hAnsi="Times New Roman"/>
                <w:noProof/>
              </w:rPr>
              <w:lastRenderedPageBreak/>
              <w:t>samoporabnikov in energetskih skupnosti</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Ocena potrebe po zgraditvi nove infrastrukture za daljinsko ogrevanje in hlajenje iz obnovljivih virov energije</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Posebni ukrepi za spodbujanje uporabe energije iz biomase, predvsem za pridobivanje nove biomase, pri čemer je treba upoštevati:</w:t>
            </w:r>
          </w:p>
          <w:p w:rsidR="00E0439A" w:rsidRPr="00E51EB2" w:rsidRDefault="005B3CE6">
            <w:pPr>
              <w:pStyle w:val="ListParagraph"/>
              <w:spacing w:after="120"/>
              <w:ind w:left="1728"/>
              <w:contextualSpacing w:val="0"/>
              <w:jc w:val="both"/>
              <w:rPr>
                <w:rFonts w:ascii="Times New Roman" w:hAnsi="Times New Roman" w:cs="Times New Roman"/>
                <w:noProof/>
              </w:rPr>
            </w:pPr>
            <w:r w:rsidRPr="00E51EB2">
              <w:rPr>
                <w:rFonts w:ascii="Times New Roman" w:hAnsi="Times New Roman"/>
                <w:noProof/>
              </w:rPr>
              <w:t>- razpoložljivost biomase: tako domači potencial kot uvoz iz tretjih držav</w:t>
            </w:r>
          </w:p>
          <w:p w:rsidR="00E0439A" w:rsidRPr="00E51EB2" w:rsidRDefault="005B3CE6">
            <w:pPr>
              <w:pStyle w:val="ListParagraph"/>
              <w:spacing w:after="120"/>
              <w:ind w:left="1728"/>
              <w:contextualSpacing w:val="0"/>
              <w:jc w:val="both"/>
              <w:rPr>
                <w:rFonts w:ascii="Times New Roman" w:hAnsi="Times New Roman" w:cs="Times New Roman"/>
                <w:noProof/>
              </w:rPr>
            </w:pPr>
            <w:r w:rsidRPr="00E51EB2">
              <w:rPr>
                <w:rFonts w:ascii="Times New Roman" w:hAnsi="Times New Roman"/>
                <w:noProof/>
              </w:rPr>
              <w:t>- drugo uporabo biomase v drugih sektorjih (kmetijski in gozdarski sektor); kot tudi ukrepi za trajnostno proizvodnjo in rabo biomase</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Drugi elementi razsežnosti</w:t>
            </w:r>
          </w:p>
          <w:p w:rsidR="00E0439A" w:rsidRPr="00E51EB2" w:rsidRDefault="00E51EB2" w:rsidP="00E51EB2">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Če je ustrezno, nacionalne p</w:t>
            </w:r>
            <w:r w:rsidR="005B3CE6" w:rsidRPr="00E51EB2">
              <w:rPr>
                <w:rFonts w:ascii="Times New Roman" w:hAnsi="Times New Roman"/>
                <w:noProof/>
              </w:rPr>
              <w:t xml:space="preserve">olitike in ukrepi, ki vplivajo na sektor, vključen v sistem </w:t>
            </w:r>
            <w:r w:rsidR="001077B4" w:rsidRPr="00E51EB2">
              <w:rPr>
                <w:rFonts w:ascii="Times New Roman" w:hAnsi="Times New Roman"/>
                <w:noProof/>
              </w:rPr>
              <w:t xml:space="preserve">EU za </w:t>
            </w:r>
            <w:r w:rsidR="005B3CE6" w:rsidRPr="00E51EB2">
              <w:rPr>
                <w:rFonts w:ascii="Times New Roman" w:hAnsi="Times New Roman"/>
                <w:noProof/>
              </w:rPr>
              <w:t>trgovanj</w:t>
            </w:r>
            <w:r w:rsidR="001077B4" w:rsidRPr="00E51EB2">
              <w:rPr>
                <w:rFonts w:ascii="Times New Roman" w:hAnsi="Times New Roman"/>
                <w:noProof/>
              </w:rPr>
              <w:t>e</w:t>
            </w:r>
            <w:r w:rsidR="005B3CE6" w:rsidRPr="00E51EB2">
              <w:rPr>
                <w:rFonts w:ascii="Times New Roman" w:hAnsi="Times New Roman"/>
                <w:noProof/>
              </w:rPr>
              <w:t xml:space="preserve"> z emisijami, ter ocena komplementarnosti in učinkov na </w:t>
            </w:r>
            <w:r w:rsidR="00186C30" w:rsidRPr="00E51EB2">
              <w:rPr>
                <w:rFonts w:ascii="Times New Roman" w:hAnsi="Times New Roman"/>
                <w:noProof/>
              </w:rPr>
              <w:t>sistem EU za trgovanje z emisijami.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Strategije, načrti in ukrepi o prilagajanju na podnebne spremembe</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Politike in ukrepi za doseganje drugih nacionalnih ciljev, če je ustrezno</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za doseganje mobilnosti z nizkimi emisijami (vključno z elektrifikacijo prevoza)</w:t>
            </w:r>
          </w:p>
        </w:tc>
      </w:tr>
      <w:tr w:rsidR="00E0439A" w:rsidRPr="00E51EB2">
        <w:trPr>
          <w:trHeight w:val="566"/>
        </w:trPr>
        <w:tc>
          <w:tcPr>
            <w:tcW w:w="8928" w:type="dxa"/>
          </w:tcPr>
          <w:p w:rsidR="00E0439A" w:rsidRPr="00E51EB2" w:rsidRDefault="005B3CE6">
            <w:pPr>
              <w:pStyle w:val="ListParagraph"/>
              <w:numPr>
                <w:ilvl w:val="1"/>
                <w:numId w:val="1"/>
              </w:numPr>
              <w:spacing w:after="120"/>
              <w:ind w:left="788" w:hanging="431"/>
              <w:contextualSpacing w:val="0"/>
              <w:rPr>
                <w:rFonts w:ascii="Times New Roman" w:hAnsi="Times New Roman" w:cs="Times New Roman"/>
                <w:b/>
                <w:noProof/>
              </w:rPr>
            </w:pPr>
            <w:r w:rsidRPr="00E51EB2">
              <w:rPr>
                <w:rFonts w:ascii="Times New Roman" w:hAnsi="Times New Roman"/>
                <w:b/>
                <w:noProof/>
              </w:rPr>
              <w:lastRenderedPageBreak/>
              <w:t>Razsežnost energijska učinkovitost (cilj okvira do 2030)</w:t>
            </w:r>
          </w:p>
          <w:p w:rsidR="00E0439A" w:rsidRPr="00E51EB2" w:rsidRDefault="005B3CE6">
            <w:pPr>
              <w:spacing w:before="0"/>
              <w:rPr>
                <w:noProof/>
                <w:sz w:val="22"/>
              </w:rPr>
            </w:pPr>
            <w:r w:rsidRPr="00E51EB2">
              <w:rPr>
                <w:noProof/>
                <w:sz w:val="22"/>
              </w:rPr>
              <w:t>Načrtovane politike, ukrepi in programi za doseganje okvirnega nacionalnega cilja glede energijske učinkovitosti za leto 2030 kot tudi drugih ciljev, predstavljenih v točki 2.2, vključno z načrtovanimi ukrepi in instrumenti (tudi finančnimi) za spodbujanje energijske učinkovitosti stavb, zlasti glede: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sistemov obveznosti energijske učinkovitosti in alternativnih ukrepov iz člena 7</w:t>
            </w:r>
            <w:r w:rsidR="001077B4" w:rsidRPr="00E51EB2">
              <w:rPr>
                <w:rFonts w:ascii="Times New Roman" w:hAnsi="Times New Roman"/>
                <w:noProof/>
              </w:rPr>
              <w:t>a in 7b</w:t>
            </w:r>
            <w:r w:rsidRPr="00E51EB2">
              <w:rPr>
                <w:rFonts w:ascii="Times New Roman" w:hAnsi="Times New Roman"/>
                <w:noProof/>
              </w:rPr>
              <w:t xml:space="preserve"> Direktive 2012/27/EU [</w:t>
            </w:r>
            <w:r w:rsidR="00C87C90" w:rsidRPr="00E51EB2">
              <w:rPr>
                <w:rFonts w:ascii="Times New Roman" w:hAnsi="Times New Roman"/>
                <w:noProof/>
              </w:rPr>
              <w:t xml:space="preserve">različica, </w:t>
            </w:r>
            <w:r w:rsidRPr="00E51EB2">
              <w:rPr>
                <w:rFonts w:ascii="Times New Roman" w:hAnsi="Times New Roman"/>
                <w:noProof/>
              </w:rPr>
              <w:t>kakor je bila spremenjena s predlogom COM(2016)761] (ki se pripravi v skladu s Prilogo II);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dolgoročne strategije za prenovo nacionalnega fonda stanovanjskih in poslovnih stavb (tako javnih kot zasebnih)</w:t>
            </w:r>
            <w:r w:rsidRPr="00E51EB2">
              <w:rPr>
                <w:rStyle w:val="FootnoteReference"/>
                <w:rFonts w:ascii="Times New Roman" w:hAnsi="Times New Roman"/>
                <w:noProof/>
              </w:rPr>
              <w:t xml:space="preserve"> </w:t>
            </w:r>
            <w:r w:rsidRPr="00E51EB2">
              <w:rPr>
                <w:rStyle w:val="FootnoteReference"/>
                <w:rFonts w:ascii="Times New Roman" w:hAnsi="Times New Roman"/>
                <w:noProof/>
              </w:rPr>
              <w:footnoteReference w:id="8"/>
            </w:r>
            <w:r w:rsidRPr="00E51EB2">
              <w:rPr>
                <w:rFonts w:ascii="Times New Roman" w:hAnsi="Times New Roman"/>
                <w:noProof/>
              </w:rPr>
              <w:t>, vključno s politikami in ukrepi za spodbujanje stroškovno učinkovite temeljite prenove in postopne temeljite prenove;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opisa politike in ukrepov za spodbujanje energetskih storitev v javnem sektorju ter ukrepov za odpravo regulativnih in neregulativnih ovir, ki upočasnjujejo uvedbo pogodbenega zagotavljanja prihranka energije in drugih modelov storitev za energijsko učinkovitost</w:t>
            </w:r>
            <w:r w:rsidRPr="00E51EB2">
              <w:rPr>
                <w:rStyle w:val="FootnoteReference"/>
                <w:rFonts w:ascii="Times New Roman" w:hAnsi="Times New Roman"/>
                <w:noProof/>
              </w:rPr>
              <w:footnoteReference w:id="9"/>
            </w:r>
            <w:r w:rsidRPr="00E51EB2">
              <w:rPr>
                <w:rFonts w:ascii="Times New Roman" w:hAnsi="Times New Roman"/>
                <w:noProof/>
              </w:rPr>
              <w:t>;</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drugih načrtovanih politik, ukrepov in programov za doseganje okvirnega nacionalnega cilja glede energijske učinkovitosti za leto 2030 kot tudi drugih ciljev, predstavljenih v točki 2.2 (na primer ukrepi za spodbujanje zgleda javnih stavb in </w:t>
            </w:r>
            <w:r w:rsidRPr="00E51EB2">
              <w:rPr>
                <w:rStyle w:val="Emphasis"/>
                <w:rFonts w:ascii="Times New Roman" w:hAnsi="Times New Roman"/>
                <w:i w:val="0"/>
                <w:noProof/>
              </w:rPr>
              <w:t>energijskoučinkovito javno naročanje</w:t>
            </w:r>
            <w:r w:rsidRPr="00E51EB2">
              <w:rPr>
                <w:rFonts w:ascii="Times New Roman" w:hAnsi="Times New Roman"/>
                <w:noProof/>
              </w:rPr>
              <w:t>, ukrepi za spodbujanje energetskih pregledov in sistemov upravljanja z energijo</w:t>
            </w:r>
            <w:r w:rsidRPr="00E51EB2">
              <w:rPr>
                <w:rStyle w:val="FootnoteReference"/>
                <w:rFonts w:ascii="Times New Roman" w:hAnsi="Times New Roman"/>
                <w:noProof/>
              </w:rPr>
              <w:footnoteReference w:id="10"/>
            </w:r>
            <w:r w:rsidRPr="00E51EB2">
              <w:rPr>
                <w:rFonts w:ascii="Times New Roman" w:hAnsi="Times New Roman"/>
                <w:noProof/>
              </w:rPr>
              <w:t>, ukrepi za obveščanje in usposabljanje porabnikov</w:t>
            </w:r>
            <w:r w:rsidRPr="00E51EB2">
              <w:rPr>
                <w:rStyle w:val="FootnoteReference"/>
                <w:rFonts w:ascii="Times New Roman" w:hAnsi="Times New Roman"/>
                <w:noProof/>
              </w:rPr>
              <w:footnoteReference w:id="11"/>
            </w:r>
            <w:r w:rsidRPr="00E51EB2">
              <w:rPr>
                <w:rFonts w:ascii="Times New Roman" w:hAnsi="Times New Roman"/>
                <w:noProof/>
              </w:rPr>
              <w:t xml:space="preserve"> in drugi ukrepi za spodbujanje energijske učinkovitosti</w:t>
            </w:r>
            <w:r w:rsidRPr="00E51EB2">
              <w:rPr>
                <w:rStyle w:val="FootnoteReference"/>
                <w:rFonts w:ascii="Times New Roman" w:hAnsi="Times New Roman"/>
                <w:noProof/>
              </w:rPr>
              <w:footnoteReference w:id="12"/>
            </w:r>
            <w:r w:rsidRPr="00E51EB2">
              <w:rPr>
                <w:rFonts w:ascii="Times New Roman" w:hAnsi="Times New Roman"/>
                <w:noProof/>
              </w:rPr>
              <w:t>);</w:t>
            </w:r>
          </w:p>
          <w:p w:rsidR="00E0439A" w:rsidRPr="00E51EB2" w:rsidRDefault="005B3CE6" w:rsidP="001077B4">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lastRenderedPageBreak/>
              <w:t>opisa ukrepov za izkoriščanje potenciala energijske učinkovitosti plinske in elektroenergetske infrastrukture</w:t>
            </w:r>
            <w:r w:rsidRPr="00E51EB2">
              <w:rPr>
                <w:rStyle w:val="FootnoteReference"/>
                <w:rFonts w:ascii="Times New Roman" w:hAnsi="Times New Roman"/>
                <w:noProof/>
              </w:rPr>
              <w:footnoteReference w:id="13"/>
            </w:r>
            <w:r w:rsidRPr="00E51EB2">
              <w:rPr>
                <w:rFonts w:ascii="Times New Roman" w:hAnsi="Times New Roman"/>
                <w:noProof/>
              </w:rPr>
              <w:t>;</w:t>
            </w:r>
          </w:p>
          <w:p w:rsidR="00E0439A" w:rsidRPr="00E51EB2" w:rsidRDefault="005B3CE6">
            <w:pPr>
              <w:pStyle w:val="ListParagraph"/>
              <w:numPr>
                <w:ilvl w:val="3"/>
                <w:numId w:val="1"/>
              </w:numPr>
              <w:spacing w:after="120"/>
              <w:contextualSpacing w:val="0"/>
              <w:rPr>
                <w:rFonts w:ascii="Times New Roman" w:hAnsi="Times New Roman" w:cs="Times New Roman"/>
                <w:noProof/>
              </w:rPr>
            </w:pPr>
            <w:r w:rsidRPr="00E51EB2">
              <w:rPr>
                <w:rFonts w:ascii="Times New Roman" w:hAnsi="Times New Roman"/>
                <w:noProof/>
              </w:rPr>
              <w:t>regionalnega sodelovanja na tem področju, če je ustrezno;</w:t>
            </w:r>
          </w:p>
          <w:p w:rsidR="00E0439A" w:rsidRPr="00E51EB2" w:rsidRDefault="005B3CE6">
            <w:pPr>
              <w:pStyle w:val="ListParagraph"/>
              <w:numPr>
                <w:ilvl w:val="3"/>
                <w:numId w:val="1"/>
              </w:numPr>
              <w:spacing w:after="120"/>
              <w:contextualSpacing w:val="0"/>
              <w:rPr>
                <w:rFonts w:ascii="Times New Roman" w:hAnsi="Times New Roman" w:cs="Times New Roman"/>
                <w:noProof/>
              </w:rPr>
            </w:pPr>
            <w:r w:rsidRPr="00E51EB2">
              <w:rPr>
                <w:rFonts w:ascii="Times New Roman" w:hAnsi="Times New Roman"/>
                <w:noProof/>
              </w:rPr>
              <w:t>financiranja ukrepov, vključno s podporo EU in uporabo sredstev EU, na tem področju na nacionalni ravni.</w:t>
            </w:r>
          </w:p>
        </w:tc>
      </w:tr>
      <w:tr w:rsidR="00E0439A" w:rsidRPr="00E51EB2">
        <w:trPr>
          <w:trHeight w:val="273"/>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lastRenderedPageBreak/>
              <w:t>Dimenzija energetska varnost</w:t>
            </w:r>
            <w:r w:rsidRPr="00E51EB2">
              <w:rPr>
                <w:rStyle w:val="FootnoteReference"/>
                <w:rFonts w:ascii="Times New Roman" w:hAnsi="Times New Roman"/>
                <w:b/>
                <w:noProof/>
              </w:rPr>
              <w:footnoteReference w:id="14"/>
            </w:r>
            <w:r w:rsidRPr="00E51EB2">
              <w:rPr>
                <w:rFonts w:ascii="Times New Roman" w:hAnsi="Times New Roman"/>
                <w:b/>
                <w:noProof/>
              </w:rPr>
              <w:t xml:space="preserve">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za doseganje ciljev, določenih v točki 2.3</w:t>
            </w:r>
            <w:r w:rsidRPr="00E51EB2">
              <w:rPr>
                <w:rStyle w:val="FootnoteReference"/>
                <w:rFonts w:ascii="Times New Roman" w:hAnsi="Times New Roman"/>
                <w:noProof/>
              </w:rPr>
              <w:footnoteReference w:id="15"/>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Regionalno sodelovanje na tem področju</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Ukrepi financiranja, vključno s podporo EU in uporabo sredstev EU, na tem področju na nacionalni ravni, če je ustrezno</w:t>
            </w:r>
          </w:p>
        </w:tc>
      </w:tr>
      <w:tr w:rsidR="00E0439A" w:rsidRPr="00E51EB2">
        <w:trPr>
          <w:trHeight w:val="826"/>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Razsežnost notranji trg energije</w:t>
            </w:r>
            <w:r w:rsidRPr="00E51EB2">
              <w:rPr>
                <w:rStyle w:val="FootnoteReference"/>
                <w:rFonts w:ascii="Times New Roman" w:hAnsi="Times New Roman"/>
                <w:b/>
                <w:noProof/>
              </w:rPr>
              <w:footnoteReference w:id="16"/>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Elektroenergetska infrastruktura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za doseganje ciljne ravni povezanosti, določene v točki 2.4.1</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Regionalno sodelovanje na tem področju</w:t>
            </w:r>
            <w:r w:rsidRPr="00E51EB2">
              <w:rPr>
                <w:rStyle w:val="FootnoteReference"/>
                <w:rFonts w:ascii="Times New Roman" w:hAnsi="Times New Roman"/>
                <w:noProof/>
              </w:rPr>
              <w:footnoteReference w:id="17"/>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Ukrepi financiranja, vključno s podporo EU in uporabo sredstev EU, na tem področju na nacionalni ravni, če je ustrezno</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Infrastruktura za prenos energije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za doseganje ključnih ciljev za infrastrukturo, predstavljenih v točki 2.4.2, vključno s posebnimi ukrepi, če je ustrezno, ki omogočajo izvedbo projektov skupnega interesa (PSI) in drugih ključnih projektov za infrastrukturo</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Regionalno sodelovanje na tem področju</w:t>
            </w:r>
            <w:r w:rsidRPr="00E51EB2">
              <w:rPr>
                <w:rStyle w:val="FootnoteReference"/>
                <w:rFonts w:ascii="Times New Roman" w:hAnsi="Times New Roman"/>
                <w:noProof/>
              </w:rPr>
              <w:footnoteReference w:id="18"/>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Ukrepi financiranja, vključno s podporo EU in uporabo sredstev EU, na tem področju na nacionalni ravni, če je ustrezno</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Povezovanje trgov</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za doseganje ciljev, določenih v točki 2.4.3</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Ukrepi za povečanje prožnosti energetskega sistema glede proizvodnje energije iz obnovljivih virov, vključno z izvedbo spajanja trgov znotraj dneva in uvedbo čezmejnih izravnalnih trgov</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 xml:space="preserve">Ukrepi za zagotavljanje prednostnega dostopa in dispečiranja električne energije iz obnovljivih virov energije ali soproizvodnje z visokim izkoristkom </w:t>
            </w:r>
            <w:r w:rsidRPr="00E51EB2">
              <w:rPr>
                <w:rFonts w:ascii="Times New Roman" w:hAnsi="Times New Roman"/>
                <w:noProof/>
              </w:rPr>
              <w:lastRenderedPageBreak/>
              <w:t>ter preprečevanje omejevanja prenosa ali ponovnega dispečiranja te električne energije</w:t>
            </w:r>
            <w:r w:rsidRPr="00E51EB2">
              <w:rPr>
                <w:rStyle w:val="FootnoteReference"/>
                <w:rFonts w:ascii="Times New Roman" w:hAnsi="Times New Roman"/>
                <w:noProof/>
              </w:rPr>
              <w:footnoteReference w:id="19"/>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Politike in ukrepi za varstvo porabnikov, zlasti ranljivih in energijsko revnih porabnikov, ter za izboljšanje konkurenčnosti in dostopnosti maloprodajnih trgov energije</w:t>
            </w:r>
          </w:p>
          <w:p w:rsidR="00E0439A" w:rsidRPr="00E51EB2" w:rsidRDefault="005B3CE6">
            <w:pPr>
              <w:pStyle w:val="ListParagraph"/>
              <w:numPr>
                <w:ilvl w:val="3"/>
                <w:numId w:val="1"/>
              </w:numPr>
              <w:spacing w:after="120" w:line="240" w:lineRule="auto"/>
              <w:contextualSpacing w:val="0"/>
              <w:jc w:val="both"/>
              <w:rPr>
                <w:rFonts w:ascii="Times New Roman" w:hAnsi="Times New Roman" w:cs="Times New Roman"/>
                <w:noProof/>
              </w:rPr>
            </w:pPr>
            <w:r w:rsidRPr="00E51EB2">
              <w:rPr>
                <w:rFonts w:ascii="Times New Roman" w:hAnsi="Times New Roman"/>
                <w:noProof/>
              </w:rPr>
              <w:t>Opis ukrepov za omogočanje in razvoj prilagajanja odjema, vključno s tistimi, ki obravnavajo tarife, ki podpirajo dinamično določanje cen</w:t>
            </w:r>
            <w:r w:rsidRPr="00E51EB2">
              <w:rPr>
                <w:rStyle w:val="FootnoteReference"/>
                <w:rFonts w:ascii="Times New Roman" w:hAnsi="Times New Roman"/>
                <w:noProof/>
              </w:rPr>
              <w:footnoteReference w:id="20"/>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Energijska revščina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za doseganje ciljev, določenih v točki 2.4.4</w:t>
            </w:r>
          </w:p>
        </w:tc>
      </w:tr>
      <w:tr w:rsidR="00E0439A" w:rsidRPr="00E51EB2">
        <w:trPr>
          <w:trHeight w:val="826"/>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lastRenderedPageBreak/>
              <w:t>Dimenzija raziskave, inovacije in konkurenčnost</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Politike in ukrepi, vključno s tistimi za doseganje ciljev, določenih v točki 2.5</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Sodelovanje z drugimi državami članicami na tem področju, vključno z obveščanjem, kako se cilji in politike načrta SET prenašajo na nacionalno raven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Ukrepi financiranja, vključno s podporo EU in uporabo sredstev EU, na tem področju na nacionalni ravni, če je ustrezno</w:t>
            </w:r>
          </w:p>
        </w:tc>
      </w:tr>
    </w:tbl>
    <w:p w:rsidR="00E0439A" w:rsidRPr="00E51EB2" w:rsidRDefault="00E0439A">
      <w:pPr>
        <w:rPr>
          <w:noProof/>
        </w:rPr>
      </w:pPr>
    </w:p>
    <w:p w:rsidR="00E0439A" w:rsidRPr="00E51EB2" w:rsidRDefault="005B3CE6">
      <w:r w:rsidRPr="00E51EB2">
        <w:br w:type="page"/>
      </w:r>
    </w:p>
    <w:tbl>
      <w:tblPr>
        <w:tblStyle w:val="TableGrid"/>
        <w:tblW w:w="0" w:type="auto"/>
        <w:tblInd w:w="360" w:type="dxa"/>
        <w:tblLook w:val="04A0" w:firstRow="1" w:lastRow="0" w:firstColumn="1" w:lastColumn="0" w:noHBand="0" w:noVBand="1"/>
      </w:tblPr>
      <w:tblGrid>
        <w:gridCol w:w="8928"/>
      </w:tblGrid>
      <w:tr w:rsidR="00E0439A" w:rsidRPr="00E51EB2">
        <w:trPr>
          <w:trHeight w:val="456"/>
        </w:trPr>
        <w:tc>
          <w:tcPr>
            <w:tcW w:w="8928" w:type="dxa"/>
            <w:tcBorders>
              <w:bottom w:val="single" w:sz="4" w:space="0" w:color="auto"/>
            </w:tcBorders>
            <w:shd w:val="clear" w:color="auto" w:fill="A6A6A6" w:themeFill="background1" w:themeFillShade="A6"/>
            <w:vAlign w:val="center"/>
          </w:tcPr>
          <w:p w:rsidR="00E0439A" w:rsidRPr="00E51EB2" w:rsidRDefault="005B3CE6">
            <w:pPr>
              <w:spacing w:before="0"/>
              <w:jc w:val="center"/>
              <w:rPr>
                <w:b/>
                <w:noProof/>
              </w:rPr>
            </w:pPr>
            <w:r w:rsidRPr="00E51EB2">
              <w:rPr>
                <w:b/>
                <w:noProof/>
              </w:rPr>
              <w:t>ODDELEK B: ANALITIČNA OSNOVA</w:t>
            </w:r>
            <w:r w:rsidRPr="00E51EB2">
              <w:rPr>
                <w:rStyle w:val="FootnoteReference"/>
                <w:b/>
                <w:noProof/>
              </w:rPr>
              <w:footnoteReference w:id="21"/>
            </w:r>
          </w:p>
        </w:tc>
      </w:tr>
      <w:tr w:rsidR="00E0439A" w:rsidRPr="00E51EB2">
        <w:trPr>
          <w:trHeight w:val="326"/>
        </w:trPr>
        <w:tc>
          <w:tcPr>
            <w:tcW w:w="8928" w:type="dxa"/>
            <w:tcBorders>
              <w:bottom w:val="single" w:sz="4" w:space="0" w:color="auto"/>
            </w:tcBorders>
            <w:shd w:val="clear" w:color="auto" w:fill="D9D9D9" w:themeFill="background1" w:themeFillShade="D9"/>
          </w:tcPr>
          <w:p w:rsidR="00E0439A" w:rsidRPr="00E51EB2" w:rsidRDefault="005B3CE6">
            <w:pPr>
              <w:pStyle w:val="ListParagraph"/>
              <w:numPr>
                <w:ilvl w:val="0"/>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TRENUTNO STANJE IN PROJEKCIJE Z OBSTOJEČIMI POLITIKAMI IN UKREPI</w:t>
            </w:r>
            <w:r w:rsidRPr="00E51EB2">
              <w:rPr>
                <w:rStyle w:val="FootnoteReference"/>
                <w:rFonts w:ascii="Times New Roman" w:hAnsi="Times New Roman"/>
                <w:b/>
                <w:noProof/>
              </w:rPr>
              <w:footnoteReference w:id="22"/>
            </w:r>
            <w:r w:rsidRPr="00E51EB2">
              <w:rPr>
                <w:rFonts w:ascii="Times New Roman" w:hAnsi="Times New Roman"/>
                <w:b/>
                <w:noProof/>
                <w:vertAlign w:val="superscript"/>
              </w:rPr>
              <w:t>,</w:t>
            </w:r>
            <w:r w:rsidRPr="00E51EB2">
              <w:rPr>
                <w:rStyle w:val="FootnoteReference"/>
                <w:rFonts w:ascii="Times New Roman" w:hAnsi="Times New Roman"/>
                <w:b/>
                <w:noProof/>
              </w:rPr>
              <w:footnoteReference w:id="23"/>
            </w:r>
          </w:p>
        </w:tc>
      </w:tr>
      <w:tr w:rsidR="00E0439A" w:rsidRPr="00E51EB2">
        <w:trPr>
          <w:trHeight w:val="566"/>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Predvideni razvoj glavnih zunanjih dejavnikov, ki vplivajo na energetski sistem in trende emisij toplogrednih plinov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Makroekonomske napovedi (BDP in rast prebivalstva)</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Sektorske spremembe, ki naj bi po pričakovanjih vplivale na energetski sistem in emisije toplogrednih plinov</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 xml:space="preserve">Svetovni energetski trendi, mednarodne cene fosilnih goriv, cena ogljika v sistemu </w:t>
            </w:r>
            <w:r w:rsidR="00B72783" w:rsidRPr="00E51EB2">
              <w:rPr>
                <w:rFonts w:ascii="Times New Roman" w:hAnsi="Times New Roman"/>
                <w:noProof/>
              </w:rPr>
              <w:t xml:space="preserve">EU </w:t>
            </w:r>
            <w:r w:rsidRPr="00E51EB2">
              <w:rPr>
                <w:rFonts w:ascii="Times New Roman" w:hAnsi="Times New Roman"/>
                <w:noProof/>
              </w:rPr>
              <w:t>za trgovanje z emisijami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Stroški tehnološkega razvoja</w:t>
            </w:r>
          </w:p>
        </w:tc>
      </w:tr>
      <w:tr w:rsidR="00E0439A" w:rsidRPr="00E51EB2">
        <w:trPr>
          <w:trHeight w:val="283"/>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Razsežnost razogljičenje</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Emisije in odvzemi toplogrednih plinov</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Trendi sedanjih emisij in odvzemov toplogrednih plinov</w:t>
            </w:r>
            <w:r w:rsidRPr="00E51EB2">
              <w:rPr>
                <w:rFonts w:ascii="Times New Roman" w:hAnsi="Times New Roman"/>
                <w:b/>
                <w:noProof/>
              </w:rPr>
              <w:t xml:space="preserve"> </w:t>
            </w:r>
            <w:r w:rsidRPr="00E51EB2">
              <w:rPr>
                <w:rFonts w:ascii="Times New Roman" w:hAnsi="Times New Roman"/>
                <w:noProof/>
              </w:rPr>
              <w:t>v sistemu</w:t>
            </w:r>
            <w:r w:rsidR="00B72783" w:rsidRPr="00E51EB2">
              <w:rPr>
                <w:rFonts w:ascii="Times New Roman" w:hAnsi="Times New Roman"/>
                <w:noProof/>
              </w:rPr>
              <w:t xml:space="preserve"> EU</w:t>
            </w:r>
            <w:r w:rsidRPr="00E51EB2">
              <w:rPr>
                <w:rFonts w:ascii="Times New Roman" w:hAnsi="Times New Roman"/>
                <w:noProof/>
              </w:rPr>
              <w:t xml:space="preserve"> za trgovanje z emisijami, uredbi o porazdelitvi prizadevanj in sektorjih LULUCF ter različnih energetskih sektorjih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Projekcije razvoja dogodkov v sektorjih z obstoječimi nacionalnimi politikami in ukrepi ter politikami in ukrepi EU vsaj do leta 2040 (vključno za leto 2030)</w:t>
            </w:r>
          </w:p>
          <w:p w:rsidR="00E0439A" w:rsidRPr="00E51EB2" w:rsidRDefault="00E51EB2">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 </w:t>
            </w:r>
            <w:r w:rsidR="005B3CE6" w:rsidRPr="00E51EB2">
              <w:rPr>
                <w:rFonts w:ascii="Times New Roman" w:hAnsi="Times New Roman"/>
                <w:b/>
                <w:noProof/>
              </w:rPr>
              <w:t xml:space="preserve">Energija iz obnovljivih virov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Trenutni delež energije iz obnovljivih virov v bruto porabi končne energije ter v različnih sektorjih (ogrevanja in hlajenja, električne energije in prometa) kot tudi po posamezni tehnologiji v teh sektorjih</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Projekcije razvoja dogodkov z obstoječimi politikami in ukrepi vsaj do leta 2040 (vključno za leto 2030)</w:t>
            </w:r>
          </w:p>
        </w:tc>
      </w:tr>
      <w:tr w:rsidR="00E0439A" w:rsidRPr="00E51EB2">
        <w:trPr>
          <w:trHeight w:val="416"/>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Dimenzija energijska učinkovitost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Trenutna poraba primarne in končne energije v gospodarstvu in posameznih sektorjih (vključno z industrijskim sektorjem, stanovanjskim sektorjem, storitvenim sektorjem in prometnim sektorjem)</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Trenutne možnosti za uporabo soproizvodnje z visokim izkoristkom ter učinkovito daljinsko ogrevanje in hlajenje</w:t>
            </w:r>
            <w:r w:rsidRPr="00E51EB2">
              <w:rPr>
                <w:rStyle w:val="FootnoteReference"/>
                <w:rFonts w:ascii="Times New Roman" w:hAnsi="Times New Roman"/>
                <w:noProof/>
              </w:rPr>
              <w:footnoteReference w:id="24"/>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Projekcije glede obstoječih politik energijske učinkovitosti, ukrepov in programov, opisanih v točki 1.2. ii), za porabo primarne in končne energije za vsak sektor vsaj do leta 2040 (vključno za leto 2030)</w:t>
            </w:r>
            <w:r w:rsidRPr="00E51EB2">
              <w:rPr>
                <w:rStyle w:val="FootnoteReference"/>
                <w:rFonts w:ascii="Times New Roman" w:hAnsi="Times New Roman"/>
                <w:noProof/>
              </w:rPr>
              <w:footnoteReference w:id="25"/>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Stroškovno optimalne ravni minimalne energijske učinkovitosti, ki izhajajo iz nacionalnih izračunov, v skladu s členom 5 Direktive 2010/31/EU</w:t>
            </w:r>
          </w:p>
        </w:tc>
      </w:tr>
      <w:tr w:rsidR="00E0439A" w:rsidRPr="00E51EB2">
        <w:trPr>
          <w:trHeight w:val="826"/>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Dimenzija energetska varnost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Trenutna mešanica virov energije, domači viri energije, odvisnost od uvoza, vključno z zadevnimi tveganji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Projekcije razvoja dogodkov z obstoječimi politikami in ukrepi vsaj do leta 2040 (vključno za leto 2030)</w:t>
            </w:r>
          </w:p>
        </w:tc>
      </w:tr>
      <w:tr w:rsidR="00E0439A" w:rsidRPr="00E51EB2">
        <w:trPr>
          <w:trHeight w:val="826"/>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Razsežnost notranji trg energije</w:t>
            </w:r>
          </w:p>
          <w:p w:rsidR="00E0439A" w:rsidRPr="00E51EB2" w:rsidRDefault="005B3CE6">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Elektroenergetska povezanost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Trenutna raven povezljivosti in glavni povezovalni daljnovodi</w:t>
            </w:r>
            <w:r w:rsidRPr="00E51EB2">
              <w:rPr>
                <w:rStyle w:val="FootnoteReference"/>
                <w:rFonts w:ascii="Times New Roman" w:hAnsi="Times New Roman"/>
                <w:noProof/>
              </w:rPr>
              <w:footnoteReference w:id="26"/>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Projekcije zahtev za širitev povezovalnega daljnovoda vsaj do leta 2040 (vključno za leto 2030)</w:t>
            </w:r>
            <w:r w:rsidRPr="00E51EB2">
              <w:rPr>
                <w:rStyle w:val="FootnoteReference"/>
                <w:rFonts w:ascii="Times New Roman" w:hAnsi="Times New Roman"/>
                <w:noProof/>
              </w:rPr>
              <w:footnoteReference w:id="27"/>
            </w:r>
          </w:p>
          <w:p w:rsidR="00E0439A" w:rsidRPr="00E51EB2" w:rsidRDefault="005B3CE6">
            <w:pPr>
              <w:pStyle w:val="ListParagraph"/>
              <w:numPr>
                <w:ilvl w:val="2"/>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Infrastruktura za prenos energije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Ključne značilnosti obstoječe infrastrukture za prenos električne energije in plina</w:t>
            </w:r>
            <w:r w:rsidRPr="00E51EB2">
              <w:rPr>
                <w:rStyle w:val="FootnoteReference"/>
                <w:rFonts w:ascii="Times New Roman" w:hAnsi="Times New Roman"/>
                <w:noProof/>
              </w:rPr>
              <w:footnoteReference w:id="28"/>
            </w:r>
            <w:r w:rsidRPr="00E51EB2">
              <w:rPr>
                <w:rFonts w:ascii="Times New Roman" w:hAnsi="Times New Roman"/>
                <w:noProof/>
              </w:rPr>
              <w:t xml:space="preserve">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Projekcije zahtev za širitev omrežja vsaj do leta 2040 (vključno za leto 2030)</w:t>
            </w:r>
            <w:r w:rsidRPr="00E51EB2">
              <w:rPr>
                <w:rStyle w:val="FootnoteReference"/>
                <w:rFonts w:ascii="Times New Roman" w:hAnsi="Times New Roman"/>
                <w:noProof/>
              </w:rPr>
              <w:footnoteReference w:id="29"/>
            </w:r>
            <w:r w:rsidRPr="00E51EB2">
              <w:rPr>
                <w:rFonts w:ascii="Times New Roman" w:hAnsi="Times New Roman"/>
                <w:noProof/>
              </w:rPr>
              <w:t xml:space="preserve"> </w:t>
            </w:r>
          </w:p>
          <w:p w:rsidR="00E0439A" w:rsidRPr="00E51EB2" w:rsidRDefault="005B3CE6">
            <w:pPr>
              <w:pStyle w:val="ListParagraph"/>
              <w:numPr>
                <w:ilvl w:val="2"/>
                <w:numId w:val="1"/>
              </w:numPr>
              <w:spacing w:after="120" w:line="240" w:lineRule="auto"/>
              <w:ind w:left="1483" w:hanging="763"/>
              <w:contextualSpacing w:val="0"/>
              <w:rPr>
                <w:rFonts w:ascii="Times New Roman" w:hAnsi="Times New Roman" w:cs="Times New Roman"/>
                <w:b/>
                <w:noProof/>
              </w:rPr>
            </w:pPr>
            <w:r w:rsidRPr="00E51EB2">
              <w:rPr>
                <w:rFonts w:ascii="Times New Roman" w:hAnsi="Times New Roman"/>
                <w:b/>
                <w:noProof/>
              </w:rPr>
              <w:t>Trg električne energije in plina, cene energije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Trenutne razmere na trgu električne energije in plina, vključno s cenami energije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Projekcije razvoja dogodkov z obstoječimi politikami in ukrepi vsaj do leta 2040 (vključno za leto 2030)</w:t>
            </w:r>
          </w:p>
        </w:tc>
      </w:tr>
      <w:tr w:rsidR="00E0439A" w:rsidRPr="00E51EB2">
        <w:trPr>
          <w:trHeight w:val="283"/>
        </w:trPr>
        <w:tc>
          <w:tcPr>
            <w:tcW w:w="8928" w:type="dxa"/>
            <w:tcBorders>
              <w:bottom w:val="single" w:sz="4" w:space="0" w:color="auto"/>
            </w:tcBorders>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Dimenzija raziskave, inovacije in konkurenčnost</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Trenutne razmere v sektorju nizkoogljičnih tehnologij in njegov položaj na svetovnem trgu </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Trenutna raven javne in zasebne porabe za raziskave in inovacije na področju nizkoogljičnih tehnologij, trenutno število patentov in trenutno število raziskovalcev</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Trenutna raven stroškov za energijo, vključno v mednarodnem okviru</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Projekcije razvoja dogodkov iz točk i. do iii. z obstoječimi politikami in ukrepi vsaj do leta 2040 (vključno za leto 2030)</w:t>
            </w:r>
          </w:p>
        </w:tc>
      </w:tr>
      <w:tr w:rsidR="00E0439A" w:rsidRPr="00E51EB2">
        <w:trPr>
          <w:trHeight w:val="406"/>
        </w:trPr>
        <w:tc>
          <w:tcPr>
            <w:tcW w:w="8928" w:type="dxa"/>
            <w:shd w:val="clear" w:color="auto" w:fill="D9D9D9" w:themeFill="background1" w:themeFillShade="D9"/>
          </w:tcPr>
          <w:p w:rsidR="00E0439A" w:rsidRPr="00E51EB2" w:rsidRDefault="005B3CE6">
            <w:pPr>
              <w:pStyle w:val="ListParagraph"/>
              <w:numPr>
                <w:ilvl w:val="0"/>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OCENA UČINKA NAČRTOVANIH POLITIK IN UKREPOV</w:t>
            </w:r>
            <w:r w:rsidRPr="00E51EB2">
              <w:rPr>
                <w:rStyle w:val="FootnoteReference"/>
                <w:rFonts w:ascii="Times New Roman" w:hAnsi="Times New Roman"/>
                <w:b/>
                <w:noProof/>
              </w:rPr>
              <w:footnoteReference w:id="30"/>
            </w:r>
          </w:p>
        </w:tc>
      </w:tr>
      <w:tr w:rsidR="00E0439A" w:rsidRPr="00E51EB2">
        <w:trPr>
          <w:trHeight w:val="274"/>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Učinki načrtovanih politik in ukrepov, opisanih v oddelku 3, na energetski sistem in emisije toplogrednih plinov in njihov odvzem</w:t>
            </w:r>
            <w:r w:rsidRPr="00E51EB2">
              <w:rPr>
                <w:rFonts w:ascii="Times New Roman" w:hAnsi="Times New Roman"/>
                <w:noProof/>
              </w:rPr>
              <w:t>, vključno s primerjavo s projekcijami z obstoječimi politikami in ukrepi (kot so opisane v oddelku 4).</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 xml:space="preserve">Projekcije razvoja energetskega sistema ter emisij in odvzema toplogrednih plinov kot tudi emisij onesnaževal zraka v skladu z Direktivo [kot je predlagano </w:t>
            </w:r>
            <w:r w:rsidR="00C40218" w:rsidRPr="00E51EB2">
              <w:rPr>
                <w:rFonts w:ascii="Times New Roman" w:hAnsi="Times New Roman"/>
                <w:noProof/>
              </w:rPr>
              <w:t>s</w:t>
            </w:r>
            <w:r w:rsidRPr="00E51EB2">
              <w:rPr>
                <w:rFonts w:ascii="Times New Roman" w:hAnsi="Times New Roman"/>
                <w:noProof/>
              </w:rPr>
              <w:t xml:space="preserve"> COM/2013/0920] </w:t>
            </w:r>
            <w:r w:rsidRPr="00E51EB2">
              <w:rPr>
                <w:rStyle w:val="FootnoteReference"/>
                <w:rFonts w:ascii="Times New Roman" w:hAnsi="Times New Roman"/>
                <w:noProof/>
              </w:rPr>
              <w:footnoteReference w:id="31"/>
            </w:r>
            <w:r w:rsidRPr="00E51EB2">
              <w:rPr>
                <w:rFonts w:ascii="Times New Roman" w:hAnsi="Times New Roman"/>
                <w:noProof/>
              </w:rPr>
              <w:t xml:space="preserve"> ob načrtovanih politikah in ukrepih vsaj za deset let po obdobju, ki ga pokriva načrt (vključno za zadnje leto obdobja, ki ga pokriva načrt), vključno z zadevnimi politikami in ukrepi EU.</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Ocena vzajemnega delovanja politik (med obstoječimi in načrtovanimi politikami in ukrepi znotraj razsežnosti politike ter med obstoječimi in načrtovanimi politikami in ukrepi za različne razsežnosti) vsaj do zadnjega leta obdobja, ki ga pokriva načrt.</w:t>
            </w:r>
          </w:p>
        </w:tc>
      </w:tr>
      <w:tr w:rsidR="00E0439A" w:rsidRPr="00E51EB2">
        <w:trPr>
          <w:trHeight w:val="548"/>
        </w:trPr>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Makroekonomski učinki, okoljski učinki, učinki na znanje in spretnosti ter družbeni učinki (v smislu stroškov in koristi kot tudi stroškovne učinkovitosti) načrtovanih politik in ukrepov, opisanih v oddelku 3, </w:t>
            </w:r>
            <w:r w:rsidRPr="00E51EB2">
              <w:rPr>
                <w:rFonts w:ascii="Times New Roman" w:hAnsi="Times New Roman"/>
                <w:noProof/>
              </w:rPr>
              <w:t>vsaj do zadnjega leta obdobja, ki ga pokriva načrt, vključno s primerjavo s projekcijami z obstoječimi politikami in ukrepi</w:t>
            </w:r>
            <w:r w:rsidR="00965DA3" w:rsidRPr="00E51EB2">
              <w:rPr>
                <w:rFonts w:ascii="Times New Roman" w:hAnsi="Times New Roman"/>
                <w:b/>
                <w:noProof/>
              </w:rPr>
              <w:t xml:space="preserve"> </w:t>
            </w:r>
          </w:p>
        </w:tc>
      </w:tr>
      <w:tr w:rsidR="00E0439A" w:rsidRPr="00E51EB2">
        <w:tc>
          <w:tcPr>
            <w:tcW w:w="8928" w:type="dxa"/>
          </w:tcPr>
          <w:p w:rsidR="00E0439A" w:rsidRPr="00E51EB2" w:rsidRDefault="005B3CE6">
            <w:pPr>
              <w:pStyle w:val="ListParagraph"/>
              <w:numPr>
                <w:ilvl w:val="1"/>
                <w:numId w:val="1"/>
              </w:numPr>
              <w:spacing w:after="120" w:line="240" w:lineRule="auto"/>
              <w:contextualSpacing w:val="0"/>
              <w:rPr>
                <w:rFonts w:ascii="Times New Roman" w:hAnsi="Times New Roman" w:cs="Times New Roman"/>
                <w:b/>
                <w:noProof/>
              </w:rPr>
            </w:pPr>
            <w:r w:rsidRPr="00E51EB2">
              <w:rPr>
                <w:rFonts w:ascii="Times New Roman" w:hAnsi="Times New Roman"/>
                <w:b/>
                <w:noProof/>
              </w:rPr>
              <w:t xml:space="preserve">Učinki načrtovanih politik in ukrepov, opisanih v oddelku 3, na druge države članice in regionalno sodelovanje </w:t>
            </w:r>
            <w:r w:rsidRPr="00E51EB2">
              <w:rPr>
                <w:rFonts w:ascii="Times New Roman" w:hAnsi="Times New Roman"/>
                <w:noProof/>
              </w:rPr>
              <w:t>vsaj do zadnjega leta obdobja, ki ga pokriva načrt, vključno s primerjavo s projekcijami z obstoječimi politikami in ukrepi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Učinki na energetski sistem v sosednjih in drugih državah članicah v regiji</w:t>
            </w:r>
            <w:r w:rsidRPr="00E51EB2">
              <w:t xml:space="preserve"> </w:t>
            </w:r>
            <w:r w:rsidRPr="00E51EB2">
              <w:rPr>
                <w:rFonts w:ascii="Times New Roman" w:hAnsi="Times New Roman"/>
                <w:noProof/>
              </w:rPr>
              <w:t>v največji možni meri</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noProof/>
              </w:rPr>
            </w:pPr>
            <w:r w:rsidRPr="00E51EB2">
              <w:rPr>
                <w:rFonts w:ascii="Times New Roman" w:hAnsi="Times New Roman"/>
                <w:noProof/>
              </w:rPr>
              <w:t>Učinki na cene energije, energetske službe ter povezovanje trgov energije</w:t>
            </w:r>
          </w:p>
          <w:p w:rsidR="00E0439A" w:rsidRPr="00E51EB2" w:rsidRDefault="005B3CE6">
            <w:pPr>
              <w:pStyle w:val="ListParagraph"/>
              <w:numPr>
                <w:ilvl w:val="3"/>
                <w:numId w:val="1"/>
              </w:numPr>
              <w:spacing w:after="120" w:line="240" w:lineRule="auto"/>
              <w:contextualSpacing w:val="0"/>
              <w:rPr>
                <w:rFonts w:ascii="Times New Roman" w:hAnsi="Times New Roman" w:cs="Times New Roman"/>
                <w:b/>
                <w:noProof/>
              </w:rPr>
            </w:pPr>
            <w:r w:rsidRPr="00E51EB2">
              <w:rPr>
                <w:rFonts w:ascii="Times New Roman" w:hAnsi="Times New Roman"/>
                <w:noProof/>
              </w:rPr>
              <w:t>Učinki na regionalno sodelovanje</w:t>
            </w:r>
          </w:p>
        </w:tc>
      </w:tr>
    </w:tbl>
    <w:p w:rsidR="00E0439A" w:rsidRPr="00E51EB2" w:rsidRDefault="00E0439A">
      <w:pPr>
        <w:rPr>
          <w:noProof/>
        </w:rPr>
      </w:pPr>
    </w:p>
    <w:p w:rsidR="00E0439A" w:rsidRPr="00E51EB2" w:rsidRDefault="005B3CE6">
      <w:pPr>
        <w:jc w:val="center"/>
        <w:rPr>
          <w:rFonts w:eastAsia="Times New Roman"/>
          <w:b/>
          <w:noProof/>
          <w:color w:val="000000"/>
          <w:szCs w:val="24"/>
        </w:rPr>
      </w:pPr>
      <w:r w:rsidRPr="00E51EB2">
        <w:rPr>
          <w:b/>
          <w:noProof/>
          <w:color w:val="000000"/>
        </w:rPr>
        <w:t>Del 2</w:t>
      </w:r>
    </w:p>
    <w:p w:rsidR="00E0439A" w:rsidRPr="00E51EB2" w:rsidRDefault="005B3CE6">
      <w:pPr>
        <w:jc w:val="center"/>
        <w:rPr>
          <w:rFonts w:eastAsia="Times New Roman"/>
          <w:i/>
          <w:noProof/>
          <w:color w:val="000000"/>
          <w:szCs w:val="24"/>
        </w:rPr>
      </w:pPr>
      <w:r w:rsidRPr="00E51EB2">
        <w:rPr>
          <w:i/>
          <w:noProof/>
          <w:color w:val="000000"/>
        </w:rPr>
        <w:t>Seznam parametrov in spremenljivk, ki se sporočajo v oddelku B nacionalnih načrtov.</w:t>
      </w:r>
      <w:r w:rsidRPr="00E51EB2">
        <w:rPr>
          <w:rStyle w:val="FootnoteReference"/>
          <w:i/>
          <w:noProof/>
          <w:color w:val="000000"/>
        </w:rPr>
        <w:footnoteReference w:id="32"/>
      </w:r>
      <w:r w:rsidRPr="00E51EB2">
        <w:rPr>
          <w:i/>
          <w:noProof/>
          <w:color w:val="000000"/>
        </w:rPr>
        <w:t xml:space="preserve"> </w:t>
      </w:r>
      <w:r w:rsidRPr="00E51EB2">
        <w:rPr>
          <w:rStyle w:val="FootnoteReference"/>
          <w:i/>
          <w:noProof/>
          <w:color w:val="000000"/>
        </w:rPr>
        <w:footnoteReference w:id="33"/>
      </w:r>
      <w:r w:rsidRPr="00E51EB2">
        <w:rPr>
          <w:i/>
          <w:noProof/>
          <w:color w:val="000000"/>
        </w:rPr>
        <w:t xml:space="preserve"> </w:t>
      </w:r>
      <w:r w:rsidRPr="00E51EB2">
        <w:rPr>
          <w:rStyle w:val="FootnoteReference"/>
          <w:i/>
          <w:noProof/>
          <w:color w:val="000000"/>
        </w:rPr>
        <w:footnoteReference w:id="34"/>
      </w:r>
      <w:r w:rsidRPr="00E51EB2">
        <w:rPr>
          <w:i/>
          <w:noProof/>
          <w:color w:val="000000"/>
        </w:rPr>
        <w:t xml:space="preserve"> </w:t>
      </w:r>
      <w:r w:rsidRPr="00E51EB2">
        <w:rPr>
          <w:rStyle w:val="FootnoteReference"/>
          <w:i/>
          <w:noProof/>
          <w:color w:val="000000"/>
        </w:rPr>
        <w:footnoteReference w:id="35"/>
      </w:r>
    </w:p>
    <w:p w:rsidR="00E0439A" w:rsidRPr="00E51EB2" w:rsidRDefault="005B3CE6">
      <w:pPr>
        <w:rPr>
          <w:rFonts w:eastAsia="Times New Roman"/>
          <w:noProof/>
          <w:szCs w:val="24"/>
          <w:u w:val="single"/>
        </w:rPr>
      </w:pPr>
      <w:r w:rsidRPr="00E51EB2">
        <w:rPr>
          <w:noProof/>
          <w:u w:val="single"/>
        </w:rPr>
        <w:t>V oddelku B nacionalnih načrtov „Analitična osnova“ se sporočajo naslednji parametri, spremenljivke, energijske bilance in kazalniki:</w:t>
      </w:r>
    </w:p>
    <w:p w:rsidR="00E0439A" w:rsidRPr="00E51EB2" w:rsidRDefault="005B3CE6">
      <w:pPr>
        <w:pStyle w:val="NumPar1"/>
        <w:numPr>
          <w:ilvl w:val="0"/>
          <w:numId w:val="36"/>
        </w:numPr>
        <w:rPr>
          <w:b/>
          <w:noProof/>
        </w:rPr>
      </w:pPr>
      <w:r w:rsidRPr="00E51EB2">
        <w:rPr>
          <w:b/>
          <w:noProof/>
        </w:rPr>
        <w:t>Splošni parametri in spremenljivke</w:t>
      </w:r>
    </w:p>
    <w:p w:rsidR="00E0439A" w:rsidRPr="00E51EB2" w:rsidRDefault="005B3CE6">
      <w:pPr>
        <w:pStyle w:val="Point0number"/>
        <w:numPr>
          <w:ilvl w:val="0"/>
          <w:numId w:val="37"/>
        </w:numPr>
        <w:rPr>
          <w:rFonts w:eastAsia="Times New Roman"/>
          <w:noProof/>
          <w:szCs w:val="24"/>
        </w:rPr>
      </w:pPr>
      <w:r w:rsidRPr="00E51EB2">
        <w:t>Prebivalstvo [v milijonih]</w:t>
      </w:r>
    </w:p>
    <w:p w:rsidR="00E0439A" w:rsidRPr="00E51EB2" w:rsidRDefault="005B3CE6">
      <w:pPr>
        <w:pStyle w:val="Point0number"/>
        <w:rPr>
          <w:rFonts w:eastAsia="Times New Roman"/>
          <w:noProof/>
          <w:szCs w:val="24"/>
        </w:rPr>
      </w:pPr>
      <w:r w:rsidRPr="00E51EB2">
        <w:t>BDP [v milijonih EUR]</w:t>
      </w:r>
    </w:p>
    <w:p w:rsidR="00E0439A" w:rsidRPr="00E51EB2" w:rsidRDefault="005B3CE6">
      <w:pPr>
        <w:pStyle w:val="Point0number"/>
        <w:rPr>
          <w:rFonts w:eastAsia="Times New Roman"/>
          <w:noProof/>
          <w:szCs w:val="24"/>
        </w:rPr>
      </w:pPr>
      <w:r w:rsidRPr="00E51EB2">
        <w:t>Bruto dodana vrednost po posameznih sektorjih (vključno z glavnim industrijskim, gradbenim, storitvenim in kmetijskim sektorjem) [v milijonih EUR]</w:t>
      </w:r>
    </w:p>
    <w:p w:rsidR="00E0439A" w:rsidRPr="00E51EB2" w:rsidRDefault="005B3CE6">
      <w:pPr>
        <w:pStyle w:val="Point0number"/>
        <w:rPr>
          <w:rFonts w:eastAsia="Times New Roman"/>
          <w:noProof/>
          <w:szCs w:val="24"/>
        </w:rPr>
      </w:pPr>
      <w:r w:rsidRPr="00E51EB2">
        <w:t>Število gospodinjstev [v tisočih]</w:t>
      </w:r>
    </w:p>
    <w:p w:rsidR="00E0439A" w:rsidRPr="00E51EB2" w:rsidRDefault="005B3CE6">
      <w:pPr>
        <w:pStyle w:val="Point0number"/>
        <w:rPr>
          <w:rFonts w:eastAsia="Times New Roman"/>
          <w:noProof/>
          <w:szCs w:val="24"/>
        </w:rPr>
      </w:pPr>
      <w:r w:rsidRPr="00E51EB2">
        <w:t>Velikost gospodinjstva [stanovalci/gospodinjstvo]</w:t>
      </w:r>
    </w:p>
    <w:p w:rsidR="00E0439A" w:rsidRPr="00E51EB2" w:rsidRDefault="005B3CE6">
      <w:pPr>
        <w:pStyle w:val="Point0number"/>
        <w:rPr>
          <w:rFonts w:eastAsia="Times New Roman"/>
          <w:noProof/>
          <w:szCs w:val="24"/>
        </w:rPr>
      </w:pPr>
      <w:r w:rsidRPr="00E51EB2">
        <w:t>Razpoložljivi dohodek gospodinjstev [v EUR]</w:t>
      </w:r>
    </w:p>
    <w:p w:rsidR="00E0439A" w:rsidRPr="00E51EB2" w:rsidRDefault="005B3CE6">
      <w:pPr>
        <w:pStyle w:val="Point0number"/>
        <w:rPr>
          <w:noProof/>
        </w:rPr>
      </w:pPr>
      <w:r w:rsidRPr="00E51EB2">
        <w:t>Število potniških kilometrov: vsi načini prevoza, tj. delitev med cestnim (avtomobili in avtobusi ločeno, če je mogoče), železniškim, letalskim prometom in notranjo plovbo (če je ustrezno) [v milijonih potniških kilometrov]</w:t>
      </w:r>
    </w:p>
    <w:p w:rsidR="00E0439A" w:rsidRPr="00E51EB2" w:rsidRDefault="005B3CE6">
      <w:pPr>
        <w:pStyle w:val="Point0number"/>
        <w:rPr>
          <w:rFonts w:eastAsia="Times New Roman"/>
          <w:noProof/>
          <w:szCs w:val="24"/>
        </w:rPr>
      </w:pPr>
      <w:r w:rsidRPr="00E51EB2">
        <w:t>Tovorni promet, tonski kilometri: vsi načini prevoza, razen mednarodnega pomorskega prevoza, tj. delitev med cestnim, železniškim, letalskim prometom in notranjo plovbo (celinske plovne poti in domači pomorski promet) [v milijonih tonskih kilometrov]</w:t>
      </w:r>
    </w:p>
    <w:p w:rsidR="00E0439A" w:rsidRPr="00E51EB2" w:rsidRDefault="005B3CE6">
      <w:pPr>
        <w:pStyle w:val="Point0number"/>
        <w:rPr>
          <w:rFonts w:eastAsia="Times New Roman"/>
          <w:noProof/>
          <w:szCs w:val="24"/>
        </w:rPr>
      </w:pPr>
      <w:r w:rsidRPr="00E51EB2">
        <w:t>Mednarodne uvozne cene goriv nafte, plina in premoga [EUR/GJ ali EUR/toe] – usklajeno s priporočili Komisije</w:t>
      </w:r>
    </w:p>
    <w:p w:rsidR="00E0439A" w:rsidRPr="00E51EB2" w:rsidRDefault="005B3CE6">
      <w:pPr>
        <w:pStyle w:val="Point0number"/>
        <w:rPr>
          <w:rFonts w:eastAsia="Times New Roman"/>
          <w:noProof/>
          <w:szCs w:val="24"/>
        </w:rPr>
      </w:pPr>
      <w:r w:rsidRPr="00E51EB2">
        <w:t>Cena ogljika v sistemu za trgovanje z emisijami EU [EUR/EUA]</w:t>
      </w:r>
      <w:r w:rsidRPr="00E51EB2">
        <w:rPr>
          <w:rStyle w:val="FootnoteReference"/>
          <w:noProof/>
        </w:rPr>
        <w:t xml:space="preserve"> </w:t>
      </w:r>
      <w:r w:rsidRPr="00E51EB2">
        <w:t>– usklajeno s priporočili Komisije</w:t>
      </w:r>
    </w:p>
    <w:p w:rsidR="00E0439A" w:rsidRPr="00E51EB2" w:rsidRDefault="005B3CE6">
      <w:pPr>
        <w:pStyle w:val="Point0number"/>
        <w:rPr>
          <w:rFonts w:eastAsia="Times New Roman"/>
          <w:noProof/>
          <w:szCs w:val="24"/>
        </w:rPr>
      </w:pPr>
      <w:r w:rsidRPr="00E51EB2">
        <w:t>Predpostavke za menjalni tečaj za euro in ameriški dolar (po potrebi) [EUR/valuta in USD/valuta]</w:t>
      </w:r>
    </w:p>
    <w:p w:rsidR="00E0439A" w:rsidRPr="00E51EB2" w:rsidRDefault="005B3CE6">
      <w:pPr>
        <w:pStyle w:val="Point0number"/>
        <w:rPr>
          <w:rFonts w:eastAsia="Times New Roman"/>
          <w:noProof/>
          <w:szCs w:val="24"/>
        </w:rPr>
      </w:pPr>
      <w:r w:rsidRPr="00E51EB2">
        <w:t xml:space="preserve">Stopinjski dnevi </w:t>
      </w:r>
      <w:r w:rsidR="00965DA3" w:rsidRPr="00E51EB2">
        <w:t>-</w:t>
      </w:r>
      <w:r w:rsidRPr="00E51EB2">
        <w:t xml:space="preserve"> ogrevanje (HDD)</w:t>
      </w:r>
    </w:p>
    <w:p w:rsidR="00E0439A" w:rsidRPr="00E51EB2" w:rsidRDefault="005B3CE6">
      <w:pPr>
        <w:pStyle w:val="Point0number"/>
        <w:rPr>
          <w:rFonts w:eastAsia="Times New Roman"/>
          <w:noProof/>
          <w:szCs w:val="24"/>
        </w:rPr>
      </w:pPr>
      <w:r w:rsidRPr="00E51EB2">
        <w:t>Stopinjski dnevi - hlajenje (CDD)</w:t>
      </w:r>
    </w:p>
    <w:p w:rsidR="00E0439A" w:rsidRPr="00E51EB2" w:rsidRDefault="005B3CE6">
      <w:pPr>
        <w:pStyle w:val="Point0number"/>
        <w:rPr>
          <w:rFonts w:eastAsia="Times New Roman"/>
          <w:noProof/>
          <w:szCs w:val="24"/>
        </w:rPr>
      </w:pPr>
      <w:r w:rsidRPr="00E51EB2">
        <w:t>Predpostavke o stroških tehnologije, ki se uporablja pri modeliranju, za glavne ustrezne metodologije</w:t>
      </w:r>
    </w:p>
    <w:p w:rsidR="00E0439A" w:rsidRPr="00E51EB2" w:rsidRDefault="00E0439A">
      <w:pPr>
        <w:pStyle w:val="ListParagraph"/>
        <w:spacing w:after="120"/>
        <w:jc w:val="both"/>
        <w:rPr>
          <w:rFonts w:ascii="Times New Roman" w:eastAsia="Times New Roman" w:hAnsi="Times New Roman" w:cs="Times New Roman"/>
          <w:noProof/>
          <w:sz w:val="24"/>
          <w:szCs w:val="24"/>
        </w:rPr>
      </w:pPr>
    </w:p>
    <w:p w:rsidR="00E0439A" w:rsidRPr="00E51EB2" w:rsidRDefault="005B3CE6">
      <w:pPr>
        <w:pStyle w:val="NumPar1"/>
        <w:rPr>
          <w:b/>
          <w:noProof/>
        </w:rPr>
      </w:pPr>
      <w:r w:rsidRPr="00E51EB2">
        <w:rPr>
          <w:b/>
          <w:noProof/>
        </w:rPr>
        <w:t>Energijske bilance in kazalniki</w:t>
      </w:r>
    </w:p>
    <w:p w:rsidR="00E0439A" w:rsidRPr="00E51EB2" w:rsidRDefault="005B3CE6">
      <w:pPr>
        <w:pStyle w:val="NumPar2"/>
        <w:rPr>
          <w:rFonts w:eastAsia="Times New Roman"/>
          <w:b/>
          <w:noProof/>
          <w:szCs w:val="24"/>
        </w:rPr>
      </w:pPr>
      <w:r w:rsidRPr="00E51EB2">
        <w:rPr>
          <w:b/>
          <w:noProof/>
        </w:rPr>
        <w:t>Oskrba z energijo</w:t>
      </w:r>
    </w:p>
    <w:p w:rsidR="00E0439A" w:rsidRPr="00E51EB2" w:rsidRDefault="005B3CE6">
      <w:pPr>
        <w:pStyle w:val="Point0number"/>
        <w:numPr>
          <w:ilvl w:val="0"/>
          <w:numId w:val="2"/>
        </w:numPr>
        <w:rPr>
          <w:rFonts w:eastAsia="Times New Roman"/>
          <w:noProof/>
          <w:szCs w:val="24"/>
        </w:rPr>
      </w:pPr>
      <w:r w:rsidRPr="00E51EB2">
        <w:t>Domača proizvodnja po vrsti goriva (vsi energenti: premog, surova nafta, zemeljski plin, jedrska energija, obnovljivi viri energije) [v ktoe]</w:t>
      </w:r>
    </w:p>
    <w:p w:rsidR="00E0439A" w:rsidRPr="00E51EB2" w:rsidRDefault="005B3CE6" w:rsidP="00B72783">
      <w:pPr>
        <w:pStyle w:val="Point0number"/>
        <w:rPr>
          <w:rFonts w:eastAsia="Times New Roman"/>
          <w:noProof/>
          <w:szCs w:val="24"/>
        </w:rPr>
      </w:pPr>
      <w:r w:rsidRPr="00E51EB2">
        <w:t xml:space="preserve">Neto uvoz po vrstah goriva (vključno z električno energijo in delitev na neto uvoz znotraj </w:t>
      </w:r>
      <w:r w:rsidR="00B72783" w:rsidRPr="00E51EB2">
        <w:t xml:space="preserve">EU  </w:t>
      </w:r>
      <w:r w:rsidRPr="00E51EB2">
        <w:t xml:space="preserve">in iz držav zunaj nje) [v ktoe] </w:t>
      </w:r>
    </w:p>
    <w:p w:rsidR="00E0439A" w:rsidRPr="00E51EB2" w:rsidRDefault="005B3CE6">
      <w:pPr>
        <w:pStyle w:val="Point0number"/>
        <w:rPr>
          <w:rFonts w:eastAsia="Times New Roman"/>
          <w:noProof/>
          <w:szCs w:val="24"/>
        </w:rPr>
      </w:pPr>
      <w:r w:rsidRPr="00E51EB2">
        <w:t>Odvisnost od uvoza iz tretjih držav [v %]</w:t>
      </w:r>
    </w:p>
    <w:p w:rsidR="00E0439A" w:rsidRPr="00E51EB2" w:rsidRDefault="005B3CE6">
      <w:pPr>
        <w:pStyle w:val="Point0number"/>
        <w:rPr>
          <w:rFonts w:eastAsia="Times New Roman"/>
          <w:noProof/>
          <w:szCs w:val="24"/>
        </w:rPr>
      </w:pPr>
      <w:r w:rsidRPr="00E51EB2">
        <w:t>Glavni viri uvoza (države) za glavne nosilce energije (vključno s plinom in električno energijo)</w:t>
      </w:r>
    </w:p>
    <w:p w:rsidR="00E0439A" w:rsidRPr="00E51EB2" w:rsidRDefault="005B3CE6">
      <w:pPr>
        <w:pStyle w:val="Point0number"/>
        <w:rPr>
          <w:rFonts w:eastAsia="Times New Roman"/>
          <w:noProof/>
          <w:szCs w:val="24"/>
        </w:rPr>
      </w:pPr>
      <w:r w:rsidRPr="00E51EB2">
        <w:t>Bruto nacionalna poraba po vrsti vira goriva (vključno s trdnimi gorivi, vsi energenti: premog, surova nafta in naftni derivati, zemeljski plin, jedrska energija, električna energija, pridobljena toplota, obnovljivi viri, odpadki) [v ktoe]</w:t>
      </w:r>
    </w:p>
    <w:p w:rsidR="00E0439A" w:rsidRPr="00E51EB2" w:rsidRDefault="005B3CE6">
      <w:pPr>
        <w:pStyle w:val="NumPar2"/>
        <w:rPr>
          <w:rFonts w:eastAsia="Times New Roman"/>
          <w:b/>
          <w:noProof/>
          <w:szCs w:val="24"/>
        </w:rPr>
      </w:pPr>
      <w:r w:rsidRPr="00E51EB2">
        <w:rPr>
          <w:b/>
          <w:noProof/>
        </w:rPr>
        <w:t>Električna energija in toplota</w:t>
      </w:r>
    </w:p>
    <w:p w:rsidR="00E0439A" w:rsidRPr="00E51EB2" w:rsidRDefault="005B3CE6" w:rsidP="00B72783">
      <w:pPr>
        <w:pStyle w:val="Point0number"/>
        <w:numPr>
          <w:ilvl w:val="0"/>
          <w:numId w:val="22"/>
        </w:numPr>
        <w:rPr>
          <w:rFonts w:eastAsia="Times New Roman"/>
          <w:noProof/>
          <w:szCs w:val="24"/>
        </w:rPr>
      </w:pPr>
      <w:r w:rsidRPr="00E51EB2">
        <w:t>Bruto proizvodnja električne energije [v GWh]</w:t>
      </w:r>
    </w:p>
    <w:p w:rsidR="00E0439A" w:rsidRPr="00E51EB2" w:rsidRDefault="005B3CE6" w:rsidP="00B72783">
      <w:pPr>
        <w:pStyle w:val="Point0number"/>
        <w:numPr>
          <w:ilvl w:val="0"/>
          <w:numId w:val="2"/>
        </w:numPr>
        <w:rPr>
          <w:rFonts w:eastAsia="Times New Roman"/>
          <w:noProof/>
          <w:szCs w:val="24"/>
        </w:rPr>
      </w:pPr>
      <w:r w:rsidRPr="00E51EB2">
        <w:t>Bruto proizvodnja električne energije po posameznih gorivih (vsi energenti) [v GWh]</w:t>
      </w:r>
    </w:p>
    <w:p w:rsidR="00E0439A" w:rsidRPr="00E51EB2" w:rsidRDefault="005B3CE6" w:rsidP="00B72783">
      <w:pPr>
        <w:pStyle w:val="Point0number"/>
        <w:numPr>
          <w:ilvl w:val="0"/>
          <w:numId w:val="2"/>
        </w:numPr>
        <w:rPr>
          <w:rFonts w:eastAsia="Times New Roman"/>
          <w:noProof/>
          <w:szCs w:val="24"/>
        </w:rPr>
      </w:pPr>
      <w:r w:rsidRPr="00E51EB2">
        <w:t>Delež soproizvodnje toplote in električne energije v skupni proizvodnji električne energije in toplote [v</w:t>
      </w:r>
      <w:r w:rsidR="00B72783" w:rsidRPr="00E51EB2">
        <w:t xml:space="preserve"> %</w:t>
      </w:r>
      <w:r w:rsidRPr="00E51EB2">
        <w:t xml:space="preserve">] </w:t>
      </w:r>
    </w:p>
    <w:p w:rsidR="00E0439A" w:rsidRPr="00E51EB2" w:rsidRDefault="005B3CE6">
      <w:pPr>
        <w:pStyle w:val="Point0number"/>
        <w:numPr>
          <w:ilvl w:val="0"/>
          <w:numId w:val="2"/>
        </w:numPr>
        <w:rPr>
          <w:rFonts w:eastAsia="Times New Roman"/>
          <w:noProof/>
          <w:szCs w:val="24"/>
        </w:rPr>
      </w:pPr>
      <w:r w:rsidRPr="00E51EB2">
        <w:t>Zmogljivost proizvodnje električne energije po posameznih virih, vključno z izločitvami iz uporabe in novimi naložbami (v MW)</w:t>
      </w:r>
    </w:p>
    <w:p w:rsidR="00E0439A" w:rsidRPr="00E51EB2" w:rsidRDefault="005B3CE6">
      <w:pPr>
        <w:pStyle w:val="Point0number"/>
        <w:numPr>
          <w:ilvl w:val="0"/>
          <w:numId w:val="2"/>
        </w:numPr>
        <w:rPr>
          <w:rFonts w:eastAsia="Times New Roman"/>
          <w:noProof/>
          <w:szCs w:val="24"/>
        </w:rPr>
      </w:pPr>
      <w:r w:rsidRPr="00E51EB2">
        <w:t>Proizvodnja toplote pri proizvodnji v termoelektrarnah</w:t>
      </w:r>
    </w:p>
    <w:p w:rsidR="00E0439A" w:rsidRPr="00E51EB2" w:rsidRDefault="005B3CE6">
      <w:pPr>
        <w:pStyle w:val="Point0number"/>
        <w:numPr>
          <w:ilvl w:val="0"/>
          <w:numId w:val="2"/>
        </w:numPr>
        <w:rPr>
          <w:rFonts w:eastAsia="Times New Roman"/>
          <w:noProof/>
          <w:szCs w:val="24"/>
        </w:rPr>
      </w:pPr>
      <w:r w:rsidRPr="00E51EB2">
        <w:t>Proizvodnja toplote v napravah za soproizvodnjo toplote in električne energije, vključno z industrijsko odvečno toploto</w:t>
      </w:r>
    </w:p>
    <w:p w:rsidR="00E0439A" w:rsidRPr="00E51EB2" w:rsidRDefault="005B3CE6">
      <w:pPr>
        <w:pStyle w:val="Point0number"/>
        <w:rPr>
          <w:rFonts w:eastAsia="Times New Roman"/>
          <w:noProof/>
          <w:szCs w:val="24"/>
        </w:rPr>
      </w:pPr>
      <w:r w:rsidRPr="00E51EB2">
        <w:t>Čezmejne zmogljivosti povezovalnih vodov za plin in električno energijo [opredelitev za električno energijo v skladu z izidom tekočih razprav na podlagi ciljne 15-odstotne povezljivosti] in predvidene stopnje izkoriščenosti</w:t>
      </w:r>
    </w:p>
    <w:p w:rsidR="00E0439A" w:rsidRPr="00E51EB2" w:rsidRDefault="005B3CE6">
      <w:pPr>
        <w:pStyle w:val="NumPar2"/>
        <w:rPr>
          <w:rFonts w:eastAsia="Times New Roman"/>
          <w:b/>
          <w:noProof/>
          <w:szCs w:val="24"/>
        </w:rPr>
      </w:pPr>
      <w:r w:rsidRPr="00E51EB2">
        <w:rPr>
          <w:b/>
          <w:noProof/>
        </w:rPr>
        <w:t>Sektor pretvorbe</w:t>
      </w:r>
    </w:p>
    <w:p w:rsidR="00E0439A" w:rsidRPr="00E51EB2" w:rsidRDefault="005B3CE6">
      <w:pPr>
        <w:pStyle w:val="Point0number"/>
        <w:numPr>
          <w:ilvl w:val="0"/>
          <w:numId w:val="23"/>
        </w:numPr>
        <w:rPr>
          <w:noProof/>
        </w:rPr>
      </w:pPr>
      <w:r w:rsidRPr="00E51EB2">
        <w:t xml:space="preserve">Vložki goriva v termoelektrarne (vključno s trdnimi gorivi, nafto, plinom) [v ktoe] </w:t>
      </w:r>
    </w:p>
    <w:p w:rsidR="00E0439A" w:rsidRPr="00E51EB2" w:rsidRDefault="005B3CE6">
      <w:pPr>
        <w:pStyle w:val="Point0number"/>
        <w:numPr>
          <w:ilvl w:val="0"/>
          <w:numId w:val="2"/>
        </w:numPr>
        <w:rPr>
          <w:noProof/>
        </w:rPr>
      </w:pPr>
      <w:r w:rsidRPr="00E51EB2">
        <w:t>Vložki goriva v druge postopke pretvorbe [v ktoe]</w:t>
      </w:r>
    </w:p>
    <w:p w:rsidR="00E0439A" w:rsidRPr="00E51EB2" w:rsidRDefault="005B3CE6">
      <w:pPr>
        <w:pStyle w:val="NumPar2"/>
        <w:rPr>
          <w:rFonts w:eastAsia="Times New Roman"/>
          <w:b/>
          <w:noProof/>
          <w:szCs w:val="24"/>
        </w:rPr>
      </w:pPr>
      <w:r w:rsidRPr="00E51EB2">
        <w:rPr>
          <w:b/>
          <w:noProof/>
        </w:rPr>
        <w:t>Poraba energije</w:t>
      </w:r>
    </w:p>
    <w:p w:rsidR="00E0439A" w:rsidRPr="00E51EB2" w:rsidRDefault="005B3CE6">
      <w:pPr>
        <w:pStyle w:val="Point0number"/>
        <w:numPr>
          <w:ilvl w:val="0"/>
          <w:numId w:val="24"/>
        </w:numPr>
        <w:rPr>
          <w:rFonts w:eastAsia="Times New Roman"/>
          <w:noProof/>
          <w:szCs w:val="24"/>
        </w:rPr>
      </w:pPr>
      <w:r w:rsidRPr="00E51EB2">
        <w:t>Poraba primarne in končne energije [v ktoe]</w:t>
      </w:r>
    </w:p>
    <w:p w:rsidR="00E0439A" w:rsidRPr="00E51EB2" w:rsidRDefault="005B3CE6" w:rsidP="00BD71F2">
      <w:pPr>
        <w:pStyle w:val="Point0number"/>
        <w:rPr>
          <w:rFonts w:eastAsia="Times New Roman"/>
          <w:noProof/>
          <w:szCs w:val="24"/>
        </w:rPr>
      </w:pPr>
      <w:r w:rsidRPr="00E51EB2">
        <w:t>Poraba končne energije po posameznih sektorjih (vključno z industrijskim</w:t>
      </w:r>
      <w:r w:rsidR="00BD71F2" w:rsidRPr="00E51EB2">
        <w:t>, stanovanjskim, terciarnim, kmetijskim</w:t>
      </w:r>
      <w:r w:rsidRPr="00E51EB2">
        <w:t xml:space="preserve"> </w:t>
      </w:r>
      <w:r w:rsidR="00BD71F2" w:rsidRPr="00E51EB2">
        <w:t xml:space="preserve">in </w:t>
      </w:r>
      <w:r w:rsidRPr="00E51EB2">
        <w:t xml:space="preserve">prometnim sektorjem (ločeno za potniški in tovorni promet, če so podatki na voljo), gospodinjstvi, storitvenim sektorjem, kmetijstvom) [v ktoe] </w:t>
      </w:r>
    </w:p>
    <w:p w:rsidR="00E0439A" w:rsidRPr="00E51EB2" w:rsidRDefault="005B3CE6">
      <w:pPr>
        <w:pStyle w:val="Point0number"/>
        <w:rPr>
          <w:rFonts w:eastAsia="Times New Roman"/>
          <w:noProof/>
          <w:szCs w:val="24"/>
        </w:rPr>
      </w:pPr>
      <w:r w:rsidRPr="00E51EB2">
        <w:t>Poraba končne energije po posameznih gorivih (vsi energenti) [v ktoe]</w:t>
      </w:r>
    </w:p>
    <w:p w:rsidR="00E0439A" w:rsidRPr="00E51EB2" w:rsidRDefault="005B3CE6">
      <w:pPr>
        <w:pStyle w:val="Point0number"/>
        <w:rPr>
          <w:rFonts w:eastAsia="Times New Roman"/>
          <w:noProof/>
          <w:szCs w:val="24"/>
        </w:rPr>
      </w:pPr>
      <w:r w:rsidRPr="00E51EB2">
        <w:t>Neenergetska poraba končne energije [v ktoe]</w:t>
      </w:r>
    </w:p>
    <w:p w:rsidR="00E0439A" w:rsidRPr="00E51EB2" w:rsidRDefault="00DD2D14">
      <w:pPr>
        <w:pStyle w:val="Point0number"/>
        <w:rPr>
          <w:rFonts w:eastAsia="Times New Roman"/>
          <w:noProof/>
          <w:szCs w:val="24"/>
        </w:rPr>
      </w:pPr>
      <w:r w:rsidRPr="00E51EB2">
        <w:t>E</w:t>
      </w:r>
      <w:r w:rsidR="005B3CE6" w:rsidRPr="00E51EB2">
        <w:t>nergijska intenzivnost celotnega gospodarstva</w:t>
      </w:r>
      <w:r w:rsidRPr="00E51EB2">
        <w:t xml:space="preserve"> za primarno energijo</w:t>
      </w:r>
      <w:r w:rsidR="005B3CE6" w:rsidRPr="00E51EB2">
        <w:t xml:space="preserve"> (poraba primarne energije na BDP [v toe/EUR]</w:t>
      </w:r>
    </w:p>
    <w:p w:rsidR="00E0439A" w:rsidRPr="00E51EB2" w:rsidRDefault="00DD2D14" w:rsidP="00BD71F2">
      <w:pPr>
        <w:pStyle w:val="Point0number"/>
        <w:rPr>
          <w:rFonts w:eastAsia="Times New Roman"/>
          <w:noProof/>
          <w:szCs w:val="24"/>
        </w:rPr>
      </w:pPr>
      <w:r w:rsidRPr="00E51EB2">
        <w:t>E</w:t>
      </w:r>
      <w:r w:rsidR="005B3CE6" w:rsidRPr="00E51EB2">
        <w:t xml:space="preserve">nergijska intenzivnost po posameznih sektorjih </w:t>
      </w:r>
      <w:r w:rsidRPr="00E51EB2">
        <w:t xml:space="preserve">za končno energijo </w:t>
      </w:r>
      <w:r w:rsidR="005B3CE6" w:rsidRPr="00E51EB2">
        <w:t>(vključno z industrijskim sektorjem, stanovanjskim sektorjem, terciarnim sektorjem</w:t>
      </w:r>
      <w:r w:rsidR="00BD71F2" w:rsidRPr="00E51EB2">
        <w:t xml:space="preserve"> in prometnim</w:t>
      </w:r>
      <w:r w:rsidR="005B3CE6" w:rsidRPr="00E51EB2">
        <w:t xml:space="preserve"> sektorjem (ločeno za potniški in tovorni promet, če so podatki na voljo)</w:t>
      </w:r>
    </w:p>
    <w:p w:rsidR="00E0439A" w:rsidRPr="00E51EB2" w:rsidRDefault="005B3CE6">
      <w:pPr>
        <w:pStyle w:val="NumPar2"/>
        <w:rPr>
          <w:rFonts w:eastAsia="Times New Roman"/>
          <w:b/>
          <w:noProof/>
          <w:szCs w:val="24"/>
        </w:rPr>
      </w:pPr>
      <w:r w:rsidRPr="00E51EB2">
        <w:rPr>
          <w:b/>
          <w:noProof/>
        </w:rPr>
        <w:t>Cene</w:t>
      </w:r>
    </w:p>
    <w:p w:rsidR="00E0439A" w:rsidRPr="00E51EB2" w:rsidRDefault="005B3CE6">
      <w:pPr>
        <w:pStyle w:val="Point0number"/>
        <w:numPr>
          <w:ilvl w:val="0"/>
          <w:numId w:val="25"/>
        </w:numPr>
        <w:rPr>
          <w:rFonts w:eastAsia="Times New Roman"/>
          <w:noProof/>
          <w:szCs w:val="24"/>
        </w:rPr>
      </w:pPr>
      <w:r w:rsidRPr="00E51EB2">
        <w:t>Cene električne energije po posameznih sektorjih rabe (stanovanjski sektor, industrijski sektor, terciarni sektor)</w:t>
      </w:r>
    </w:p>
    <w:p w:rsidR="00E0439A" w:rsidRPr="00E51EB2" w:rsidRDefault="005B3CE6">
      <w:pPr>
        <w:pStyle w:val="Point0number"/>
        <w:rPr>
          <w:rFonts w:eastAsia="Times New Roman"/>
          <w:noProof/>
          <w:szCs w:val="24"/>
        </w:rPr>
      </w:pPr>
      <w:r w:rsidRPr="00E51EB2">
        <w:t>Nacionalne maloprodajne cene goriv (vključno z davki, po posameznih virih in sektorjih) (v EUR/ktoe)</w:t>
      </w:r>
    </w:p>
    <w:p w:rsidR="00E0439A" w:rsidRPr="00E51EB2" w:rsidRDefault="005B3CE6">
      <w:pPr>
        <w:pStyle w:val="NumPar2"/>
        <w:rPr>
          <w:rFonts w:eastAsia="Times New Roman"/>
          <w:b/>
          <w:noProof/>
          <w:szCs w:val="24"/>
        </w:rPr>
      </w:pPr>
      <w:r w:rsidRPr="00E51EB2">
        <w:rPr>
          <w:b/>
          <w:noProof/>
        </w:rPr>
        <w:t>Naložbe</w:t>
      </w:r>
    </w:p>
    <w:p w:rsidR="00E0439A" w:rsidRPr="00E51EB2" w:rsidRDefault="005B3CE6">
      <w:pPr>
        <w:pStyle w:val="ListParagraph"/>
        <w:spacing w:after="120"/>
        <w:ind w:left="851"/>
        <w:jc w:val="both"/>
        <w:rPr>
          <w:rFonts w:ascii="Times New Roman" w:eastAsia="Times New Roman" w:hAnsi="Times New Roman" w:cs="Times New Roman"/>
          <w:noProof/>
          <w:sz w:val="24"/>
          <w:szCs w:val="24"/>
        </w:rPr>
      </w:pPr>
      <w:r w:rsidRPr="00E51EB2">
        <w:rPr>
          <w:rFonts w:ascii="Times New Roman" w:hAnsi="Times New Roman"/>
          <w:noProof/>
          <w:sz w:val="24"/>
        </w:rPr>
        <w:t>Stroški naložb, povezanih z energijo, v primerjavi z BDP (in v primerjavi z bruto dodano vrednostjo za industrijski sektor)</w:t>
      </w:r>
    </w:p>
    <w:p w:rsidR="00E0439A" w:rsidRPr="00E51EB2" w:rsidRDefault="005B3CE6">
      <w:pPr>
        <w:pStyle w:val="NumPar2"/>
        <w:rPr>
          <w:rFonts w:eastAsia="Times New Roman"/>
          <w:b/>
          <w:noProof/>
          <w:szCs w:val="24"/>
        </w:rPr>
      </w:pPr>
      <w:r w:rsidRPr="00E51EB2">
        <w:rPr>
          <w:b/>
          <w:noProof/>
        </w:rPr>
        <w:t>Obnovljivi viri energije</w:t>
      </w:r>
    </w:p>
    <w:p w:rsidR="00E0439A" w:rsidRPr="00E51EB2" w:rsidRDefault="005B3CE6">
      <w:pPr>
        <w:pStyle w:val="Point0number"/>
        <w:numPr>
          <w:ilvl w:val="0"/>
          <w:numId w:val="26"/>
        </w:numPr>
        <w:rPr>
          <w:rFonts w:eastAsia="Times New Roman"/>
          <w:noProof/>
          <w:szCs w:val="24"/>
        </w:rPr>
      </w:pPr>
      <w:r w:rsidRPr="00E51EB2">
        <w:t>Bruto poraba končne energije iz obnovljivih virov in delež energije iz obnovljivih virov v bruto porabi končne energije in po posameznih sektorjih (sektorji električne energije, ogrevanja in hlajenja ter prometa) in po posamezni tehnologiji</w:t>
      </w:r>
    </w:p>
    <w:p w:rsidR="00E0439A" w:rsidRPr="00E51EB2" w:rsidRDefault="005B3CE6" w:rsidP="00BD71F2">
      <w:pPr>
        <w:pStyle w:val="Point0number"/>
        <w:rPr>
          <w:noProof/>
          <w:szCs w:val="24"/>
        </w:rPr>
      </w:pPr>
      <w:r w:rsidRPr="00E51EB2">
        <w:t>Proizvodnja električne energije in toplote iz energije iz obnovljivih virov v stavbah (kot so opredeljene v členu 2(1) Direktive 2010/31/EU</w:t>
      </w:r>
      <w:r w:rsidR="00BD71F2" w:rsidRPr="00E51EB2">
        <w:t>:</w:t>
      </w:r>
      <w:r w:rsidRPr="00E51EB2">
        <w:t xml:space="preserve"> to vključuje razčlenjene podatke o energiji, ki je bila proizvedena, porabljena in poslana v omrežje iz sončnih fotonapetostnih sistemov, sončnih toplotnih sistemov, sistemov na biomaso, toplotnih črpalk, geotermalnih sistemov kot tudi vseh decentraliziranih sistemov na obnovljive vire)</w:t>
      </w:r>
    </w:p>
    <w:p w:rsidR="00E0439A" w:rsidRPr="00E51EB2" w:rsidRDefault="005B3CE6">
      <w:pPr>
        <w:pStyle w:val="Point0number"/>
        <w:rPr>
          <w:rFonts w:eastAsia="Times New Roman"/>
          <w:noProof/>
          <w:szCs w:val="24"/>
        </w:rPr>
      </w:pPr>
      <w:r w:rsidRPr="00E51EB2">
        <w:t>Če je ustrezno, druge nacionalne začrtane poteke, vključno z dolgoročnimi ali sektorskimi (delež biogoriv na osnovi hrane in naprednih biogoriv, delež energije iz obnovljivih virov v daljinskem ogrevanju kot tudi energije iz obnovljivih virov, ki jo proizvedejo mesta in energetske skupnosti, kot je opredeljeno v členu 22 [prenovitev Direktive 2009/28/ES, kot je predlagano s COM(2016) 767])</w:t>
      </w:r>
    </w:p>
    <w:p w:rsidR="00E0439A" w:rsidRPr="00E51EB2" w:rsidRDefault="005B3CE6">
      <w:pPr>
        <w:pStyle w:val="NumPar1"/>
        <w:rPr>
          <w:b/>
          <w:noProof/>
        </w:rPr>
      </w:pPr>
      <w:r w:rsidRPr="00E51EB2">
        <w:rPr>
          <w:b/>
          <w:noProof/>
        </w:rPr>
        <w:t>Kazalniki, povezani z emisijami in odvzemi toplogrednih plinov</w:t>
      </w:r>
    </w:p>
    <w:p w:rsidR="00E0439A" w:rsidRPr="00E51EB2" w:rsidRDefault="005B3CE6">
      <w:pPr>
        <w:pStyle w:val="Point0number"/>
        <w:numPr>
          <w:ilvl w:val="0"/>
          <w:numId w:val="27"/>
        </w:numPr>
        <w:rPr>
          <w:rFonts w:eastAsia="Times New Roman"/>
          <w:noProof/>
        </w:rPr>
      </w:pPr>
      <w:r w:rsidRPr="00E51EB2">
        <w:t>Emisije toplogrednih plinov po posameznih področjih politike (sistem za trgovanje z emisijami, uredba o porazdelitvi prizadevanj in LULUCF)</w:t>
      </w:r>
    </w:p>
    <w:p w:rsidR="00E0439A" w:rsidRPr="00E51EB2" w:rsidRDefault="005B3CE6">
      <w:pPr>
        <w:pStyle w:val="Point0number"/>
        <w:rPr>
          <w:rFonts w:eastAsia="Times New Roman"/>
          <w:noProof/>
          <w:szCs w:val="24"/>
        </w:rPr>
      </w:pPr>
      <w:r w:rsidRPr="00E51EB2">
        <w:t xml:space="preserve">Emisije toplogrednih plinov po posameznih sektorjih IPCC in plinu (kjer je primerno ločeno za sistem </w:t>
      </w:r>
      <w:r w:rsidR="00BD71F2" w:rsidRPr="00E51EB2">
        <w:t xml:space="preserve">EU </w:t>
      </w:r>
      <w:r w:rsidRPr="00E51EB2">
        <w:t>za trgovanje z emisijami in odločbo o porazdelitvi prizadevanj) [ekvivalent CO</w:t>
      </w:r>
      <w:r w:rsidRPr="00E51EB2">
        <w:rPr>
          <w:vertAlign w:val="subscript"/>
        </w:rPr>
        <w:t>2</w:t>
      </w:r>
      <w:r w:rsidRPr="00E51EB2">
        <w:t>, v t]</w:t>
      </w:r>
    </w:p>
    <w:p w:rsidR="00E0439A" w:rsidRPr="00E51EB2" w:rsidRDefault="005B3CE6">
      <w:pPr>
        <w:pStyle w:val="Point0number"/>
        <w:rPr>
          <w:rFonts w:eastAsia="Times New Roman"/>
          <w:noProof/>
          <w:szCs w:val="24"/>
        </w:rPr>
      </w:pPr>
      <w:r w:rsidRPr="00E51EB2">
        <w:t>Ogljična intenzivnost v celotnem gospodarstvu [ekvivalent CO</w:t>
      </w:r>
      <w:r w:rsidRPr="00E51EB2">
        <w:rPr>
          <w:vertAlign w:val="subscript"/>
        </w:rPr>
        <w:t>2</w:t>
      </w:r>
      <w:r w:rsidRPr="00E51EB2">
        <w:t>, v t/BDP]</w:t>
      </w:r>
    </w:p>
    <w:p w:rsidR="00E0439A" w:rsidRPr="00E51EB2" w:rsidRDefault="005B3CE6">
      <w:pPr>
        <w:pStyle w:val="Point0number"/>
        <w:rPr>
          <w:rFonts w:eastAsia="Times New Roman"/>
          <w:noProof/>
          <w:szCs w:val="24"/>
        </w:rPr>
      </w:pPr>
      <w:r w:rsidRPr="00E51EB2">
        <w:t>Kazalniki, povezani z emisijami CO</w:t>
      </w:r>
      <w:r w:rsidRPr="00E51EB2">
        <w:rPr>
          <w:vertAlign w:val="subscript"/>
        </w:rPr>
        <w:t>2</w:t>
      </w:r>
    </w:p>
    <w:p w:rsidR="00E0439A" w:rsidRPr="00E51EB2" w:rsidRDefault="005B3CE6">
      <w:pPr>
        <w:pStyle w:val="Point1letter"/>
        <w:rPr>
          <w:rFonts w:eastAsia="Times New Roman"/>
          <w:noProof/>
          <w:szCs w:val="24"/>
        </w:rPr>
      </w:pPr>
      <w:r w:rsidRPr="00E51EB2">
        <w:t>Ogljična intenzivnost v proizvodnji električne energije in pare [ekvivalent CO</w:t>
      </w:r>
      <w:r w:rsidRPr="00E51EB2">
        <w:rPr>
          <w:vertAlign w:val="subscript"/>
        </w:rPr>
        <w:t>2</w:t>
      </w:r>
      <w:r w:rsidRPr="00E51EB2">
        <w:t>, v t/MWh]</w:t>
      </w:r>
    </w:p>
    <w:p w:rsidR="00E0439A" w:rsidRPr="00E51EB2" w:rsidRDefault="005B3CE6">
      <w:pPr>
        <w:pStyle w:val="Point1letter"/>
        <w:rPr>
          <w:rFonts w:eastAsia="Times New Roman"/>
          <w:noProof/>
          <w:szCs w:val="24"/>
        </w:rPr>
      </w:pPr>
      <w:r w:rsidRPr="00E51EB2">
        <w:t>Ogljična intenzivnost povpraševanja po končni energiji po posameznih sektorjih (vključno z industrijskim sektorjem, stanovanjskim sektorjem, terciarnim sektorjem, sektorjem potniškega prometa, sektorjem tovornega prometa) [ekvivalent CO</w:t>
      </w:r>
      <w:r w:rsidRPr="00E51EB2">
        <w:rPr>
          <w:vertAlign w:val="subscript"/>
        </w:rPr>
        <w:t>2</w:t>
      </w:r>
      <w:r w:rsidRPr="00E51EB2">
        <w:t xml:space="preserve">, v t/toe] </w:t>
      </w:r>
    </w:p>
    <w:p w:rsidR="00E0439A" w:rsidRPr="00E51EB2" w:rsidRDefault="005B3CE6">
      <w:pPr>
        <w:pStyle w:val="Point0number"/>
        <w:rPr>
          <w:rFonts w:eastAsia="Times New Roman"/>
          <w:noProof/>
          <w:szCs w:val="24"/>
        </w:rPr>
      </w:pPr>
      <w:r w:rsidRPr="00E51EB2">
        <w:t>Parametri, ki niso povezani z emisijami CO</w:t>
      </w:r>
      <w:r w:rsidRPr="00E51EB2">
        <w:rPr>
          <w:vertAlign w:val="subscript"/>
        </w:rPr>
        <w:t>2</w:t>
      </w:r>
    </w:p>
    <w:p w:rsidR="00E0439A" w:rsidRPr="00E51EB2" w:rsidRDefault="005B3CE6" w:rsidP="00071918">
      <w:pPr>
        <w:pStyle w:val="Point1letter"/>
        <w:rPr>
          <w:rFonts w:eastAsia="Times New Roman"/>
          <w:noProof/>
          <w:szCs w:val="24"/>
        </w:rPr>
      </w:pPr>
      <w:r w:rsidRPr="00E51EB2">
        <w:t xml:space="preserve">Živina: molzno govedo </w:t>
      </w:r>
      <w:r w:rsidR="00071918" w:rsidRPr="00E51EB2">
        <w:rPr>
          <w:noProof/>
        </w:rPr>
        <w:t>[</w:t>
      </w:r>
      <w:r w:rsidRPr="00E51EB2">
        <w:t>v tisočih glav</w:t>
      </w:r>
      <w:r w:rsidR="00071918" w:rsidRPr="00E51EB2">
        <w:rPr>
          <w:noProof/>
        </w:rPr>
        <w:t>]</w:t>
      </w:r>
      <w:r w:rsidRPr="00E51EB2">
        <w:t xml:space="preserve">, nemolzno govedo </w:t>
      </w:r>
      <w:r w:rsidR="00071918" w:rsidRPr="00E51EB2">
        <w:rPr>
          <w:noProof/>
        </w:rPr>
        <w:t>[</w:t>
      </w:r>
      <w:r w:rsidRPr="00E51EB2">
        <w:t>v tisočih glav</w:t>
      </w:r>
      <w:r w:rsidR="00071918" w:rsidRPr="00E51EB2">
        <w:rPr>
          <w:noProof/>
        </w:rPr>
        <w:t>]</w:t>
      </w:r>
      <w:r w:rsidRPr="00E51EB2">
        <w:t xml:space="preserve">, ovce </w:t>
      </w:r>
      <w:r w:rsidR="00071918" w:rsidRPr="00E51EB2">
        <w:rPr>
          <w:noProof/>
        </w:rPr>
        <w:t>[</w:t>
      </w:r>
      <w:r w:rsidRPr="00E51EB2">
        <w:t>v tisočih glav</w:t>
      </w:r>
      <w:r w:rsidR="00071918" w:rsidRPr="00E51EB2">
        <w:rPr>
          <w:noProof/>
        </w:rPr>
        <w:t>]</w:t>
      </w:r>
      <w:r w:rsidRPr="00E51EB2">
        <w:t xml:space="preserve">, prašiči </w:t>
      </w:r>
      <w:r w:rsidR="00071918" w:rsidRPr="00E51EB2">
        <w:rPr>
          <w:noProof/>
        </w:rPr>
        <w:t>[</w:t>
      </w:r>
      <w:r w:rsidRPr="00E51EB2">
        <w:t>v tisočih glav</w:t>
      </w:r>
      <w:r w:rsidR="00071918" w:rsidRPr="00E51EB2">
        <w:rPr>
          <w:noProof/>
        </w:rPr>
        <w:t>]</w:t>
      </w:r>
      <w:r w:rsidRPr="00E51EB2">
        <w:t xml:space="preserve">, perutnina </w:t>
      </w:r>
      <w:r w:rsidR="00071918" w:rsidRPr="00E51EB2">
        <w:rPr>
          <w:noProof/>
        </w:rPr>
        <w:t>[</w:t>
      </w:r>
      <w:r w:rsidRPr="00E51EB2">
        <w:t>v tisočih glav</w:t>
      </w:r>
      <w:r w:rsidR="00071918" w:rsidRPr="00E51EB2">
        <w:rPr>
          <w:noProof/>
        </w:rPr>
        <w:t>]</w:t>
      </w:r>
    </w:p>
    <w:p w:rsidR="00E0439A" w:rsidRPr="00E51EB2" w:rsidRDefault="005B3CE6" w:rsidP="00071918">
      <w:pPr>
        <w:pStyle w:val="Point1letter"/>
        <w:rPr>
          <w:rFonts w:eastAsia="Times New Roman"/>
          <w:noProof/>
          <w:szCs w:val="24"/>
        </w:rPr>
      </w:pPr>
      <w:r w:rsidRPr="00E51EB2">
        <w:t xml:space="preserve">Vnos dušika zaradi uporabe umetnih gnojil </w:t>
      </w:r>
      <w:r w:rsidR="00071918" w:rsidRPr="00E51EB2">
        <w:rPr>
          <w:noProof/>
        </w:rPr>
        <w:t>[</w:t>
      </w:r>
      <w:r w:rsidRPr="00E51EB2">
        <w:t>v kt dušika</w:t>
      </w:r>
      <w:r w:rsidR="00071918" w:rsidRPr="00E51EB2">
        <w:rPr>
          <w:noProof/>
        </w:rPr>
        <w:t>]</w:t>
      </w:r>
    </w:p>
    <w:p w:rsidR="00E0439A" w:rsidRPr="00E51EB2" w:rsidRDefault="005B3CE6" w:rsidP="00071918">
      <w:pPr>
        <w:pStyle w:val="Point1letter"/>
        <w:rPr>
          <w:rFonts w:eastAsia="Times New Roman"/>
          <w:noProof/>
          <w:szCs w:val="24"/>
        </w:rPr>
      </w:pPr>
      <w:r w:rsidRPr="00E51EB2">
        <w:t xml:space="preserve">Vnos dušika zaradi uporabe gnoja </w:t>
      </w:r>
      <w:r w:rsidR="00071918" w:rsidRPr="00E51EB2">
        <w:rPr>
          <w:noProof/>
        </w:rPr>
        <w:t>[</w:t>
      </w:r>
      <w:r w:rsidRPr="00E51EB2">
        <w:t>v kt dušika</w:t>
      </w:r>
      <w:r w:rsidR="00071918" w:rsidRPr="00E51EB2">
        <w:rPr>
          <w:noProof/>
        </w:rPr>
        <w:t>]</w:t>
      </w:r>
    </w:p>
    <w:p w:rsidR="00E0439A" w:rsidRPr="00E51EB2" w:rsidRDefault="005B3CE6" w:rsidP="00071918">
      <w:pPr>
        <w:pStyle w:val="Point1letter"/>
        <w:rPr>
          <w:rFonts w:eastAsia="Times New Roman"/>
          <w:noProof/>
          <w:szCs w:val="24"/>
        </w:rPr>
      </w:pPr>
      <w:r w:rsidRPr="00E51EB2">
        <w:t xml:space="preserve">Dušik, fiksiran s pridelki, ki izboljšujejo vsebnost dušika </w:t>
      </w:r>
      <w:r w:rsidR="00071918" w:rsidRPr="00E51EB2">
        <w:rPr>
          <w:noProof/>
        </w:rPr>
        <w:t>[</w:t>
      </w:r>
      <w:r w:rsidRPr="00E51EB2">
        <w:t>v kt dušika</w:t>
      </w:r>
      <w:r w:rsidR="00071918" w:rsidRPr="00E51EB2">
        <w:rPr>
          <w:noProof/>
        </w:rPr>
        <w:t>]</w:t>
      </w:r>
    </w:p>
    <w:p w:rsidR="00E0439A" w:rsidRPr="00E51EB2" w:rsidRDefault="005B3CE6" w:rsidP="00071918">
      <w:pPr>
        <w:pStyle w:val="Point1letter"/>
        <w:rPr>
          <w:rFonts w:eastAsia="Times New Roman"/>
          <w:noProof/>
          <w:szCs w:val="24"/>
        </w:rPr>
      </w:pPr>
      <w:r w:rsidRPr="00E51EB2">
        <w:t xml:space="preserve">Dušik v ostankih kmetijskih pridelkov, vrnjenih v tla </w:t>
      </w:r>
      <w:r w:rsidR="00071918" w:rsidRPr="00E51EB2">
        <w:rPr>
          <w:noProof/>
        </w:rPr>
        <w:t>[</w:t>
      </w:r>
      <w:r w:rsidRPr="00E51EB2">
        <w:t>v kt dušika</w:t>
      </w:r>
      <w:r w:rsidR="00071918" w:rsidRPr="00E51EB2">
        <w:rPr>
          <w:noProof/>
        </w:rPr>
        <w:t>]</w:t>
      </w:r>
    </w:p>
    <w:p w:rsidR="00E0439A" w:rsidRPr="00E51EB2" w:rsidRDefault="005B3CE6" w:rsidP="00071918">
      <w:pPr>
        <w:pStyle w:val="Point1letter"/>
        <w:rPr>
          <w:rFonts w:eastAsia="Times New Roman"/>
          <w:noProof/>
          <w:szCs w:val="24"/>
        </w:rPr>
      </w:pPr>
      <w:r w:rsidRPr="00E51EB2">
        <w:t xml:space="preserve">Območje obdelanih organskih tal </w:t>
      </w:r>
      <w:r w:rsidR="00071918" w:rsidRPr="00E51EB2">
        <w:rPr>
          <w:noProof/>
        </w:rPr>
        <w:t>[</w:t>
      </w:r>
      <w:r w:rsidRPr="00E51EB2">
        <w:t>v hektarih</w:t>
      </w:r>
      <w:r w:rsidR="00071918" w:rsidRPr="00E51EB2">
        <w:rPr>
          <w:noProof/>
        </w:rPr>
        <w:t>]</w:t>
      </w:r>
    </w:p>
    <w:p w:rsidR="00E0439A" w:rsidRPr="00E51EB2" w:rsidRDefault="005B3CE6">
      <w:pPr>
        <w:pStyle w:val="Point1letter"/>
        <w:rPr>
          <w:rFonts w:eastAsia="Times New Roman"/>
          <w:noProof/>
          <w:szCs w:val="24"/>
        </w:rPr>
      </w:pPr>
      <w:r w:rsidRPr="00E51EB2">
        <w:t>Proizvodnja trdnih komunalnih odpadkov</w:t>
      </w:r>
    </w:p>
    <w:p w:rsidR="00E0439A" w:rsidRPr="00E51EB2" w:rsidRDefault="005B3CE6">
      <w:pPr>
        <w:pStyle w:val="Point1letter"/>
        <w:rPr>
          <w:rFonts w:eastAsia="Times New Roman"/>
          <w:noProof/>
          <w:szCs w:val="24"/>
        </w:rPr>
      </w:pPr>
      <w:r w:rsidRPr="00E51EB2">
        <w:t>Trdni komunalni odpadki, ki gredo na odlagališča</w:t>
      </w:r>
    </w:p>
    <w:p w:rsidR="00E0439A" w:rsidRPr="00E51EB2" w:rsidRDefault="005B3CE6" w:rsidP="00071918">
      <w:pPr>
        <w:pStyle w:val="Point1letter"/>
        <w:rPr>
          <w:rFonts w:eastAsia="Times New Roman"/>
          <w:noProof/>
          <w:szCs w:val="24"/>
        </w:rPr>
      </w:pPr>
      <w:r w:rsidRPr="00E51EB2">
        <w:t>Delež zajema CH</w:t>
      </w:r>
      <w:r w:rsidRPr="00E51EB2">
        <w:rPr>
          <w:vertAlign w:val="subscript"/>
        </w:rPr>
        <w:t>4</w:t>
      </w:r>
      <w:r w:rsidRPr="00E51EB2">
        <w:t xml:space="preserve"> v skupni proizvodnji CH</w:t>
      </w:r>
      <w:r w:rsidRPr="00E51EB2">
        <w:rPr>
          <w:vertAlign w:val="subscript"/>
        </w:rPr>
        <w:t>4</w:t>
      </w:r>
      <w:r w:rsidRPr="00E51EB2">
        <w:t xml:space="preserve"> iz odlagališč </w:t>
      </w:r>
      <w:r w:rsidR="00071918" w:rsidRPr="00E51EB2">
        <w:rPr>
          <w:noProof/>
        </w:rPr>
        <w:t>[</w:t>
      </w:r>
      <w:r w:rsidRPr="00E51EB2">
        <w:t>v %</w:t>
      </w:r>
      <w:r w:rsidR="00071918" w:rsidRPr="00E51EB2">
        <w:rPr>
          <w:noProof/>
        </w:rPr>
        <w:t>]</w:t>
      </w:r>
    </w:p>
    <w:p w:rsidR="00E0439A" w:rsidRPr="00E51EB2" w:rsidRDefault="005B3CE6">
      <w:pPr>
        <w:rPr>
          <w:b/>
          <w:noProof/>
          <w:szCs w:val="24"/>
        </w:rPr>
      </w:pPr>
      <w:r w:rsidRPr="00E51EB2">
        <w:br w:type="page"/>
      </w:r>
    </w:p>
    <w:p w:rsidR="00E0439A" w:rsidRPr="00E51EB2" w:rsidRDefault="005B3CE6">
      <w:pPr>
        <w:pStyle w:val="Annexetitre"/>
        <w:rPr>
          <w:b w:val="0"/>
          <w:i/>
          <w:noProof/>
          <w:szCs w:val="24"/>
          <w:u w:val="none"/>
        </w:rPr>
      </w:pPr>
      <w:r w:rsidRPr="00E51EB2">
        <w:rPr>
          <w:b w:val="0"/>
          <w:i/>
          <w:noProof/>
          <w:u w:val="none"/>
        </w:rPr>
        <w:t>PRILOGA II</w:t>
      </w:r>
    </w:p>
    <w:p w:rsidR="00E0439A" w:rsidRPr="00E51EB2" w:rsidRDefault="005B3CE6">
      <w:pPr>
        <w:jc w:val="center"/>
        <w:rPr>
          <w:noProof/>
        </w:rPr>
      </w:pPr>
      <w:r w:rsidRPr="00E51EB2">
        <w:rPr>
          <w:b/>
          <w:noProof/>
        </w:rPr>
        <w:t>PRIGLASITEV UKREPOV IN METODOLOGIJ DRŽAV ČLANIC ZA IZVAJANJE ČLENA 7 DIREKTIVE 2012/27/EU [</w:t>
      </w:r>
      <w:r w:rsidR="00C87C90" w:rsidRPr="00E51EB2">
        <w:rPr>
          <w:b/>
          <w:noProof/>
        </w:rPr>
        <w:t xml:space="preserve">RAZLIČICA, </w:t>
      </w:r>
      <w:r w:rsidRPr="00E51EB2">
        <w:rPr>
          <w:b/>
          <w:noProof/>
        </w:rPr>
        <w:t>KAKOR JE BILA SPREMENJENA S PREDLOGOM COM(2016)761]</w:t>
      </w:r>
    </w:p>
    <w:p w:rsidR="00E0439A" w:rsidRPr="00E51EB2" w:rsidRDefault="005B3CE6" w:rsidP="00071918">
      <w:pPr>
        <w:pStyle w:val="Text2"/>
        <w:ind w:left="0"/>
        <w:rPr>
          <w:noProof/>
          <w:szCs w:val="24"/>
        </w:rPr>
      </w:pPr>
      <w:r w:rsidRPr="00E51EB2">
        <w:t>Države članice uradno obvestijo Komisijo o podrobni metodologiji, ki so jo predlagale v skladu s Prilogo V(</w:t>
      </w:r>
      <w:r w:rsidR="00071918" w:rsidRPr="00E51EB2">
        <w:t>5</w:t>
      </w:r>
      <w:r w:rsidRPr="00E51EB2">
        <w:t xml:space="preserve">) k Direktivi 2012/27/EU za delovanje sistemov obveznosti energijske učinkovitosti in alternativne ukrepe iz členov 7a in 7b ter člena 20(6) te direktive. </w:t>
      </w:r>
    </w:p>
    <w:p w:rsidR="00E0439A" w:rsidRPr="00E51EB2" w:rsidRDefault="005B3CE6">
      <w:pPr>
        <w:pStyle w:val="NumPar1"/>
        <w:numPr>
          <w:ilvl w:val="0"/>
          <w:numId w:val="21"/>
        </w:numPr>
        <w:rPr>
          <w:noProof/>
          <w:szCs w:val="24"/>
        </w:rPr>
      </w:pPr>
      <w:r w:rsidRPr="00E51EB2">
        <w:t>Izračun zahtevane ravni prihranka energije, ki jo je treba doseči v celotnem obdobju od 1. januarja 2021 do 31. decembra 2030 s prikazom upoštevanja naslednjih elementov:</w:t>
      </w:r>
    </w:p>
    <w:p w:rsidR="00E0439A" w:rsidRPr="00E51EB2" w:rsidRDefault="005B3CE6">
      <w:pPr>
        <w:pStyle w:val="Point1letter"/>
        <w:numPr>
          <w:ilvl w:val="3"/>
          <w:numId w:val="28"/>
        </w:numPr>
        <w:rPr>
          <w:noProof/>
        </w:rPr>
      </w:pPr>
      <w:r w:rsidRPr="00E51EB2">
        <w:t>letna količina prodane energije končnim odjemalcem s strani vseh distributerjev energije ali vseh podjetij za maloprodajo energije glede na povprečje v zadnjih treh letih (2016, 2017, 2018) pred 1. januarjem 2019 [v ktoe];</w:t>
      </w:r>
    </w:p>
    <w:p w:rsidR="00E0439A" w:rsidRPr="00E51EB2" w:rsidRDefault="005B3CE6">
      <w:pPr>
        <w:pStyle w:val="Point1letter"/>
        <w:rPr>
          <w:noProof/>
          <w:szCs w:val="24"/>
        </w:rPr>
      </w:pPr>
      <w:r w:rsidRPr="00E51EB2">
        <w:t>količina prodane energije, ki se uporablja za prevoz, se izključi iz izračuna [v ktoe];</w:t>
      </w:r>
    </w:p>
    <w:p w:rsidR="00E0439A" w:rsidRPr="00E51EB2" w:rsidRDefault="005B3CE6">
      <w:pPr>
        <w:pStyle w:val="Point1letter"/>
        <w:rPr>
          <w:noProof/>
          <w:szCs w:val="24"/>
        </w:rPr>
      </w:pPr>
      <w:r w:rsidRPr="00E51EB2">
        <w:t>količina proizvedene energije za lastno rabo se izključi iz izračuna [v ktoe];</w:t>
      </w:r>
    </w:p>
    <w:p w:rsidR="00E0439A" w:rsidRPr="00E51EB2" w:rsidRDefault="005B3CE6">
      <w:pPr>
        <w:pStyle w:val="Point1letter"/>
        <w:rPr>
          <w:noProof/>
          <w:szCs w:val="24"/>
        </w:rPr>
      </w:pPr>
      <w:r w:rsidRPr="00E51EB2">
        <w:t>viri, uporabljeni pri izračunu podatkov o količini prodane energije, vključno z utemeljitvijo uporabe alternativnih statističnih virov in vse razlike v posledični količini (če se uporabljajo drugi viri kot Eurostat);</w:t>
      </w:r>
    </w:p>
    <w:p w:rsidR="00E0439A" w:rsidRPr="00E51EB2" w:rsidRDefault="005B3CE6">
      <w:pPr>
        <w:pStyle w:val="Point1letter"/>
        <w:rPr>
          <w:noProof/>
          <w:szCs w:val="24"/>
        </w:rPr>
      </w:pPr>
      <w:r w:rsidRPr="00E51EB2">
        <w:t>skupni prihranki energije, ki jih je treba dosegati v celotnem obdobju od 1. januarja 2021 do 31. decembra 2030 (pred izvzetji iz odstavka 2) [v ktoe];</w:t>
      </w:r>
    </w:p>
    <w:p w:rsidR="00E0439A" w:rsidRPr="00E51EB2" w:rsidRDefault="005B3CE6">
      <w:pPr>
        <w:pStyle w:val="Point1letter"/>
        <w:rPr>
          <w:noProof/>
          <w:szCs w:val="24"/>
        </w:rPr>
      </w:pPr>
      <w:r w:rsidRPr="00E51EB2">
        <w:t>uporaba izvzetij (b), (c), (d) in (e) iz člena 7(2) in (3) Direktive 2012/27/EU:</w:t>
      </w:r>
    </w:p>
    <w:p w:rsidR="00E0439A" w:rsidRPr="00E51EB2" w:rsidRDefault="005B3CE6">
      <w:pPr>
        <w:pStyle w:val="Text2"/>
        <w:rPr>
          <w:noProof/>
          <w:szCs w:val="24"/>
        </w:rPr>
      </w:pPr>
      <w:r w:rsidRPr="00E51EB2">
        <w:t>(i) količina prodane energije, ki se uporablja v industrijskih dejavnostih [v ktoe], naštetih v Prilogi I k Direktivi 2003/87/ES, izključena iz izračuna v skladu s točko (b),</w:t>
      </w:r>
    </w:p>
    <w:p w:rsidR="00E0439A" w:rsidRPr="00E51EB2" w:rsidRDefault="005B3CE6">
      <w:pPr>
        <w:pStyle w:val="Text2"/>
        <w:rPr>
          <w:noProof/>
          <w:szCs w:val="24"/>
        </w:rPr>
      </w:pPr>
      <w:r w:rsidRPr="00E51EB2">
        <w:t>(ii) prihranki energije [v ktoe] doseženi v sektorjih pretvorbe, distribucije in prenosa energije v skladu s točko (c),</w:t>
      </w:r>
    </w:p>
    <w:p w:rsidR="00E0439A" w:rsidRPr="00E51EB2" w:rsidRDefault="005B3CE6">
      <w:pPr>
        <w:pStyle w:val="Text2"/>
        <w:rPr>
          <w:noProof/>
          <w:szCs w:val="24"/>
        </w:rPr>
      </w:pPr>
      <w:r w:rsidRPr="00E51EB2">
        <w:t>(iii) prihranki energije [v ktoe], ki izhajajo iz posameznih ukrepov, ki se po novem izvajajo od 31. decembra 2008 in leta 2020 ter pozneje še vedno učinkujejo,</w:t>
      </w:r>
      <w:r w:rsidRPr="00E51EB2">
        <w:rPr>
          <w:rStyle w:val="CommentReference"/>
          <w:noProof/>
          <w:sz w:val="24"/>
        </w:rPr>
        <w:t xml:space="preserve"> </w:t>
      </w:r>
      <w:r w:rsidRPr="00E51EB2">
        <w:t xml:space="preserve">ter v skladu s točko (d); </w:t>
      </w:r>
    </w:p>
    <w:p w:rsidR="00E0439A" w:rsidRPr="00E51EB2" w:rsidRDefault="005B3CE6">
      <w:pPr>
        <w:pStyle w:val="Text2"/>
        <w:rPr>
          <w:noProof/>
          <w:szCs w:val="24"/>
        </w:rPr>
      </w:pPr>
      <w:r w:rsidRPr="00E51EB2">
        <w:t>(iv) količina energije, proizvedene na stavbah ali v njih za lastno rabo kot rezultat ukrepov politike za spodbujanje novih obratov s tehnologijami za obnovljive vire energije v skladu s točko (e) [v ktoe];</w:t>
      </w:r>
    </w:p>
    <w:p w:rsidR="00E0439A" w:rsidRPr="00E51EB2" w:rsidRDefault="005B3CE6">
      <w:pPr>
        <w:pStyle w:val="Point1letter"/>
        <w:rPr>
          <w:noProof/>
          <w:szCs w:val="24"/>
        </w:rPr>
      </w:pPr>
      <w:r w:rsidRPr="00E51EB2">
        <w:t>skupni prihranki energije (po izvzetjih iz odstavka 2) [v ktoe].</w:t>
      </w:r>
    </w:p>
    <w:p w:rsidR="00E0439A" w:rsidRPr="00E51EB2" w:rsidRDefault="005B3CE6">
      <w:pPr>
        <w:pStyle w:val="NumPar1"/>
        <w:rPr>
          <w:b/>
          <w:noProof/>
          <w:szCs w:val="24"/>
        </w:rPr>
      </w:pPr>
      <w:r w:rsidRPr="00E51EB2">
        <w:rPr>
          <w:b/>
          <w:noProof/>
        </w:rPr>
        <w:t>Ukrepi politike z namenom doseganja zahtevanih prihrankov iz člena 7(1) Direktive 2012/27/EU:</w:t>
      </w:r>
    </w:p>
    <w:p w:rsidR="00E0439A" w:rsidRPr="00E51EB2" w:rsidRDefault="005B3CE6">
      <w:pPr>
        <w:pStyle w:val="NumPar2"/>
        <w:rPr>
          <w:b/>
          <w:noProof/>
          <w:szCs w:val="24"/>
        </w:rPr>
      </w:pPr>
      <w:r w:rsidRPr="00E51EB2">
        <w:rPr>
          <w:b/>
          <w:noProof/>
        </w:rPr>
        <w:t>Sistemi obveznosti energijske učinkovitosti iz člena 7a Direktive 2012/27/EU:</w:t>
      </w:r>
    </w:p>
    <w:p w:rsidR="00E0439A" w:rsidRPr="00E51EB2" w:rsidRDefault="005B3CE6">
      <w:pPr>
        <w:pStyle w:val="Point1letter"/>
        <w:numPr>
          <w:ilvl w:val="3"/>
          <w:numId w:val="29"/>
        </w:numPr>
        <w:rPr>
          <w:noProof/>
        </w:rPr>
      </w:pPr>
      <w:r w:rsidRPr="00E51EB2">
        <w:t>opis sistema obveznosti energijske učinkovitosti;</w:t>
      </w:r>
    </w:p>
    <w:p w:rsidR="00E0439A" w:rsidRPr="00E51EB2" w:rsidRDefault="005B3CE6">
      <w:pPr>
        <w:pStyle w:val="Point1letter"/>
        <w:rPr>
          <w:noProof/>
          <w:szCs w:val="24"/>
        </w:rPr>
      </w:pPr>
      <w:r w:rsidRPr="00E51EB2">
        <w:t>pričakovani skupni in letni prihranki ter trajanje obdobij obveznosti;</w:t>
      </w:r>
    </w:p>
    <w:p w:rsidR="00E0439A" w:rsidRPr="00E51EB2" w:rsidRDefault="005B3CE6">
      <w:pPr>
        <w:pStyle w:val="Point1letter"/>
        <w:rPr>
          <w:noProof/>
          <w:szCs w:val="24"/>
        </w:rPr>
      </w:pPr>
      <w:r w:rsidRPr="00E51EB2">
        <w:t>zavezane strani in njihove obveznosti;</w:t>
      </w:r>
    </w:p>
    <w:p w:rsidR="00E0439A" w:rsidRPr="00E51EB2" w:rsidRDefault="005B3CE6">
      <w:pPr>
        <w:pStyle w:val="Point1letter"/>
        <w:rPr>
          <w:noProof/>
          <w:szCs w:val="24"/>
        </w:rPr>
      </w:pPr>
      <w:r w:rsidRPr="00E51EB2">
        <w:t>ciljni sektorji;</w:t>
      </w:r>
    </w:p>
    <w:p w:rsidR="00E0439A" w:rsidRPr="00E51EB2" w:rsidRDefault="005B3CE6">
      <w:pPr>
        <w:pStyle w:val="Point1letter"/>
        <w:rPr>
          <w:noProof/>
          <w:szCs w:val="24"/>
        </w:rPr>
      </w:pPr>
      <w:r w:rsidRPr="00E51EB2">
        <w:t>upravičeni posamezni ukrepi, predvideni v ukrepu;</w:t>
      </w:r>
    </w:p>
    <w:p w:rsidR="00E0439A" w:rsidRPr="00E51EB2" w:rsidRDefault="005B3CE6" w:rsidP="00071918">
      <w:pPr>
        <w:pStyle w:val="Point1letter"/>
        <w:rPr>
          <w:noProof/>
          <w:szCs w:val="24"/>
        </w:rPr>
      </w:pPr>
      <w:r w:rsidRPr="00E51EB2">
        <w:t>informacije o uporabi določb iz člena 7</w:t>
      </w:r>
      <w:r w:rsidR="00071918" w:rsidRPr="00E51EB2">
        <w:t>a</w:t>
      </w:r>
      <w:r w:rsidRPr="00E51EB2">
        <w:t>(</w:t>
      </w:r>
      <w:r w:rsidR="00071918" w:rsidRPr="00E51EB2">
        <w:t>5</w:t>
      </w:r>
      <w:r w:rsidRPr="00E51EB2">
        <w:t>) Direktive 2012/27/EU:</w:t>
      </w:r>
    </w:p>
    <w:p w:rsidR="00E0439A" w:rsidRPr="00E51EB2" w:rsidRDefault="005B3CE6">
      <w:pPr>
        <w:pStyle w:val="Text2"/>
        <w:rPr>
          <w:noProof/>
          <w:szCs w:val="24"/>
        </w:rPr>
      </w:pPr>
      <w:r w:rsidRPr="00E51EB2">
        <w:t>(i) konkretni ukrepi, delež prihrankov, ki se doseže v gospodinjstvih, ki jih je prizadela energijska revščina, in v socialnih stanovanjih v skladu s točko (a)</w:t>
      </w:r>
      <w:r w:rsidR="00071918" w:rsidRPr="00E51EB2">
        <w:t xml:space="preserve"> člena 7a(5)</w:t>
      </w:r>
      <w:r w:rsidRPr="00E51EB2">
        <w:t>;</w:t>
      </w:r>
    </w:p>
    <w:p w:rsidR="00E0439A" w:rsidRPr="00E51EB2" w:rsidRDefault="005B3CE6">
      <w:pPr>
        <w:pStyle w:val="Text2"/>
        <w:rPr>
          <w:noProof/>
          <w:szCs w:val="24"/>
        </w:rPr>
      </w:pPr>
      <w:r w:rsidRPr="00E51EB2">
        <w:t>(ii) prihranki, ki so jih dosegli ponudniki energetskih storitev ali druge tretje strani v skladu s točko (b)</w:t>
      </w:r>
      <w:r w:rsidR="00071918" w:rsidRPr="00E51EB2">
        <w:t xml:space="preserve"> člena 7a(5)</w:t>
      </w:r>
      <w:r w:rsidRPr="00E51EB2">
        <w:t>;</w:t>
      </w:r>
    </w:p>
    <w:p w:rsidR="00E0439A" w:rsidRPr="00E51EB2" w:rsidRDefault="005B3CE6">
      <w:pPr>
        <w:pStyle w:val="Text2"/>
        <w:rPr>
          <w:noProof/>
          <w:szCs w:val="24"/>
        </w:rPr>
      </w:pPr>
      <w:r w:rsidRPr="00E51EB2">
        <w:t>(iii) bančno poslovanje in izposojanje v skladu s točko (c)</w:t>
      </w:r>
      <w:r w:rsidR="00071918" w:rsidRPr="00E51EB2">
        <w:t xml:space="preserve"> člena 7a(5)</w:t>
      </w:r>
      <w:r w:rsidRPr="00E51EB2">
        <w:t>;</w:t>
      </w:r>
    </w:p>
    <w:p w:rsidR="00E0439A" w:rsidRPr="00E51EB2" w:rsidRDefault="005B3CE6">
      <w:pPr>
        <w:pStyle w:val="Point1letter"/>
        <w:rPr>
          <w:noProof/>
          <w:szCs w:val="24"/>
        </w:rPr>
      </w:pPr>
      <w:r w:rsidRPr="00E51EB2">
        <w:t>podatki o trgovanju s prihranki energije (če je ustrezno).</w:t>
      </w:r>
    </w:p>
    <w:p w:rsidR="00E0439A" w:rsidRPr="00E51EB2" w:rsidRDefault="005B3CE6">
      <w:pPr>
        <w:pStyle w:val="NumPar2"/>
        <w:rPr>
          <w:b/>
          <w:noProof/>
          <w:szCs w:val="24"/>
        </w:rPr>
      </w:pPr>
      <w:r w:rsidRPr="00E51EB2">
        <w:rPr>
          <w:b/>
          <w:noProof/>
        </w:rPr>
        <w:t>Alternativni ukrepi iz člena 7b in člena 20(6) Direktive 2012/27/EU (razen obdavčitve):</w:t>
      </w:r>
    </w:p>
    <w:p w:rsidR="00E0439A" w:rsidRPr="00E51EB2" w:rsidRDefault="005B3CE6">
      <w:pPr>
        <w:pStyle w:val="Point1letter"/>
        <w:numPr>
          <w:ilvl w:val="3"/>
          <w:numId w:val="30"/>
        </w:numPr>
        <w:rPr>
          <w:noProof/>
          <w:szCs w:val="24"/>
        </w:rPr>
      </w:pPr>
      <w:r w:rsidRPr="00E51EB2">
        <w:t>vrsta ukrepa politike;</w:t>
      </w:r>
    </w:p>
    <w:p w:rsidR="00E0439A" w:rsidRPr="00E51EB2" w:rsidRDefault="005B3CE6">
      <w:pPr>
        <w:pStyle w:val="Point1letter"/>
        <w:rPr>
          <w:noProof/>
          <w:szCs w:val="24"/>
        </w:rPr>
      </w:pPr>
      <w:r w:rsidRPr="00E51EB2">
        <w:t>kratek opis ukrepa politike, vključno z značilnostmi za vsak priglašeni ukrep politike;</w:t>
      </w:r>
    </w:p>
    <w:p w:rsidR="00E0439A" w:rsidRPr="00E51EB2" w:rsidRDefault="005B3CE6">
      <w:pPr>
        <w:pStyle w:val="Point1letter"/>
        <w:rPr>
          <w:noProof/>
          <w:szCs w:val="24"/>
        </w:rPr>
      </w:pPr>
      <w:r w:rsidRPr="00E51EB2">
        <w:t>pričakovani skupni in letni prihranki po posameznem ukrepu in/ali prihranki energije v vseh vmesnih obdobjih;</w:t>
      </w:r>
    </w:p>
    <w:p w:rsidR="00E0439A" w:rsidRPr="00E51EB2" w:rsidRDefault="005B3CE6">
      <w:pPr>
        <w:pStyle w:val="Point1letter"/>
        <w:rPr>
          <w:noProof/>
          <w:szCs w:val="24"/>
        </w:rPr>
      </w:pPr>
      <w:r w:rsidRPr="00E51EB2">
        <w:t>strani izvajalke, udeležene strani, pooblaščene strani in njihove odgovornosti za izvajanje ukrepov politike;</w:t>
      </w:r>
    </w:p>
    <w:p w:rsidR="00E0439A" w:rsidRPr="00E51EB2" w:rsidRDefault="005B3CE6">
      <w:pPr>
        <w:pStyle w:val="Point1letter"/>
        <w:rPr>
          <w:noProof/>
          <w:szCs w:val="24"/>
        </w:rPr>
      </w:pPr>
      <w:r w:rsidRPr="00E51EB2">
        <w:t>ciljni sektorji;</w:t>
      </w:r>
    </w:p>
    <w:p w:rsidR="00E0439A" w:rsidRPr="00E51EB2" w:rsidRDefault="005B3CE6">
      <w:pPr>
        <w:pStyle w:val="Point1letter"/>
        <w:rPr>
          <w:noProof/>
          <w:szCs w:val="24"/>
        </w:rPr>
      </w:pPr>
      <w:r w:rsidRPr="00E51EB2">
        <w:t>upravičeni posamezni ukrepi, predvideni v ukrepu;</w:t>
      </w:r>
    </w:p>
    <w:p w:rsidR="00E0439A" w:rsidRPr="00E51EB2" w:rsidRDefault="005B3CE6">
      <w:pPr>
        <w:pStyle w:val="Point1letter"/>
        <w:rPr>
          <w:noProof/>
          <w:szCs w:val="24"/>
        </w:rPr>
      </w:pPr>
      <w:r w:rsidRPr="00E51EB2">
        <w:t>posebni ukrepi politike ali posamezni ukrepi, usmerjeni v energijsko revščino.</w:t>
      </w:r>
    </w:p>
    <w:p w:rsidR="00E0439A" w:rsidRPr="00E51EB2" w:rsidRDefault="005B3CE6">
      <w:pPr>
        <w:pStyle w:val="NumPar2"/>
        <w:rPr>
          <w:b/>
          <w:noProof/>
          <w:szCs w:val="24"/>
        </w:rPr>
      </w:pPr>
      <w:r w:rsidRPr="00E51EB2">
        <w:rPr>
          <w:b/>
          <w:noProof/>
        </w:rPr>
        <w:t>Podatki o ukrepih obdavčitve:</w:t>
      </w:r>
    </w:p>
    <w:p w:rsidR="00E0439A" w:rsidRPr="00E51EB2" w:rsidRDefault="005B3CE6">
      <w:pPr>
        <w:pStyle w:val="Point1letter"/>
        <w:numPr>
          <w:ilvl w:val="3"/>
          <w:numId w:val="31"/>
        </w:numPr>
        <w:rPr>
          <w:noProof/>
        </w:rPr>
      </w:pPr>
      <w:r w:rsidRPr="00E51EB2">
        <w:t>kratek opis ukrepa obdavčitve;</w:t>
      </w:r>
    </w:p>
    <w:p w:rsidR="00E0439A" w:rsidRPr="00E51EB2" w:rsidRDefault="005B3CE6">
      <w:pPr>
        <w:pStyle w:val="Point1letter"/>
        <w:rPr>
          <w:noProof/>
          <w:szCs w:val="24"/>
        </w:rPr>
      </w:pPr>
      <w:r w:rsidRPr="00E51EB2">
        <w:t>trajanje ukrepa obdavčitve;</w:t>
      </w:r>
    </w:p>
    <w:p w:rsidR="00E0439A" w:rsidRPr="00E51EB2" w:rsidRDefault="005B3CE6">
      <w:pPr>
        <w:pStyle w:val="Point1letter"/>
        <w:rPr>
          <w:noProof/>
          <w:szCs w:val="24"/>
        </w:rPr>
      </w:pPr>
      <w:r w:rsidRPr="00E51EB2">
        <w:t>pričakovani skupni in letni prihranki po posameznem ukrepu;</w:t>
      </w:r>
    </w:p>
    <w:p w:rsidR="00E0439A" w:rsidRPr="00E51EB2" w:rsidRDefault="005B3CE6">
      <w:pPr>
        <w:pStyle w:val="Point1letter"/>
        <w:rPr>
          <w:noProof/>
          <w:szCs w:val="24"/>
        </w:rPr>
      </w:pPr>
      <w:r w:rsidRPr="00E51EB2">
        <w:t>ciljni sektorji;</w:t>
      </w:r>
    </w:p>
    <w:p w:rsidR="00E0439A" w:rsidRPr="00E51EB2" w:rsidRDefault="005B3CE6">
      <w:pPr>
        <w:pStyle w:val="Point1letter"/>
        <w:rPr>
          <w:noProof/>
          <w:szCs w:val="24"/>
        </w:rPr>
      </w:pPr>
      <w:r w:rsidRPr="00E51EB2">
        <w:t>dodatnost prihrankov energije z opisom pristopa k izračunu prihrankov, vključno z dejavniki prožnosti cen v skladu s Prilogo V(4).</w:t>
      </w:r>
    </w:p>
    <w:p w:rsidR="00E0439A" w:rsidRPr="00E51EB2" w:rsidRDefault="005B3CE6">
      <w:pPr>
        <w:pStyle w:val="NumPar1"/>
        <w:rPr>
          <w:b/>
          <w:noProof/>
          <w:szCs w:val="24"/>
        </w:rPr>
      </w:pPr>
      <w:r w:rsidRPr="00E51EB2">
        <w:rPr>
          <w:b/>
          <w:noProof/>
        </w:rPr>
        <w:t>Metodologija izračuna za ukrepe, priglašene v skladu s členi 7a, 7b in 20(6) Direktive 2012/27/EU (razen ukrepov obdavčitve):</w:t>
      </w:r>
    </w:p>
    <w:p w:rsidR="00E0439A" w:rsidRPr="00E51EB2" w:rsidRDefault="005B3CE6">
      <w:pPr>
        <w:pStyle w:val="Point1letter"/>
        <w:numPr>
          <w:ilvl w:val="3"/>
          <w:numId w:val="32"/>
        </w:numPr>
        <w:rPr>
          <w:noProof/>
          <w:szCs w:val="24"/>
        </w:rPr>
      </w:pPr>
      <w:r w:rsidRPr="00E51EB2">
        <w:t>uporabljene metode merjenja iz Priloge V(1) k Direktivi 2012/27/EU;</w:t>
      </w:r>
    </w:p>
    <w:p w:rsidR="00E0439A" w:rsidRPr="00E51EB2" w:rsidRDefault="005B3CE6">
      <w:pPr>
        <w:pStyle w:val="Point1letter"/>
        <w:rPr>
          <w:noProof/>
          <w:szCs w:val="24"/>
        </w:rPr>
      </w:pPr>
      <w:r w:rsidRPr="00E51EB2">
        <w:t>metoda za izražanje prihrankov energije (prihrankov primarne ali končne energije);</w:t>
      </w:r>
    </w:p>
    <w:p w:rsidR="00E0439A" w:rsidRPr="00E51EB2" w:rsidRDefault="005B3CE6">
      <w:pPr>
        <w:pStyle w:val="Point1letter"/>
        <w:rPr>
          <w:noProof/>
          <w:szCs w:val="24"/>
        </w:rPr>
      </w:pPr>
      <w:r w:rsidRPr="00E51EB2">
        <w:t>trajanje posameznih ukrepov in pristop, da se upošteva, koliko časa bo prihranek učinkoval;</w:t>
      </w:r>
    </w:p>
    <w:p w:rsidR="00E0439A" w:rsidRPr="00E51EB2" w:rsidRDefault="005B3CE6">
      <w:pPr>
        <w:pStyle w:val="Point1letter"/>
        <w:rPr>
          <w:noProof/>
          <w:szCs w:val="24"/>
        </w:rPr>
      </w:pPr>
      <w:r w:rsidRPr="00E51EB2">
        <w:t>kratek opis metodologije izračuna, vključno s tem, kako se zagotovita dodatnost in pomembnost prihrankov;</w:t>
      </w:r>
    </w:p>
    <w:p w:rsidR="00E0439A" w:rsidRPr="00E51EB2" w:rsidRDefault="005B3CE6">
      <w:pPr>
        <w:pStyle w:val="Point1letter"/>
        <w:rPr>
          <w:noProof/>
          <w:szCs w:val="24"/>
        </w:rPr>
      </w:pPr>
      <w:r w:rsidRPr="00E51EB2">
        <w:t>podatki o tem, kako se obravnavajo morebitna prekrivanja med ukrepi politike in posameznimi ukrepi, da se prihranek energije ne šteje dvojno;</w:t>
      </w:r>
    </w:p>
    <w:p w:rsidR="00E0439A" w:rsidRPr="00E51EB2" w:rsidRDefault="005B3CE6">
      <w:pPr>
        <w:pStyle w:val="Point1letter"/>
        <w:rPr>
          <w:noProof/>
          <w:szCs w:val="24"/>
        </w:rPr>
      </w:pPr>
      <w:r w:rsidRPr="00E51EB2">
        <w:t>podnebne razlike in uporabljeni pristop (če je ustrezno).</w:t>
      </w:r>
    </w:p>
    <w:p w:rsidR="00E0439A" w:rsidRPr="00E51EB2" w:rsidRDefault="005B3CE6">
      <w:pPr>
        <w:pStyle w:val="NumPar1"/>
        <w:rPr>
          <w:b/>
          <w:noProof/>
          <w:szCs w:val="24"/>
        </w:rPr>
      </w:pPr>
      <w:r w:rsidRPr="00E51EB2">
        <w:rPr>
          <w:b/>
          <w:noProof/>
        </w:rPr>
        <w:t>Spremljanje in preverjanje</w:t>
      </w:r>
    </w:p>
    <w:p w:rsidR="00E0439A" w:rsidRPr="00E51EB2" w:rsidRDefault="005B3CE6">
      <w:pPr>
        <w:pStyle w:val="Point1letter"/>
        <w:numPr>
          <w:ilvl w:val="3"/>
          <w:numId w:val="33"/>
        </w:numPr>
        <w:rPr>
          <w:noProof/>
        </w:rPr>
      </w:pPr>
      <w:r w:rsidRPr="00E51EB2">
        <w:t>kratek opis sistema za spremljanje in preverjanje ter postopka preverjanja;</w:t>
      </w:r>
    </w:p>
    <w:p w:rsidR="00E0439A" w:rsidRPr="00E51EB2" w:rsidRDefault="005B3CE6">
      <w:pPr>
        <w:pStyle w:val="Point1letter"/>
        <w:rPr>
          <w:noProof/>
          <w:szCs w:val="24"/>
        </w:rPr>
      </w:pPr>
      <w:r w:rsidRPr="00E51EB2">
        <w:t>javni organ izvajalec, ki je odgovoren za sistem za spremljanje in preverjanje, in njegove glavne odgovornosti v zvezi s sistemom obveznosti energijske učinkovitosti in/ali alternativnimi ukrepi;</w:t>
      </w:r>
    </w:p>
    <w:p w:rsidR="00E0439A" w:rsidRPr="00E51EB2" w:rsidRDefault="005B3CE6">
      <w:pPr>
        <w:pStyle w:val="Point1letter"/>
        <w:rPr>
          <w:noProof/>
          <w:szCs w:val="24"/>
        </w:rPr>
      </w:pPr>
      <w:r w:rsidRPr="00E51EB2">
        <w:t>neodvisnost spremljanja in preverjanja od zavezanih strani ter udeleženih in pooblaščenih strani;</w:t>
      </w:r>
    </w:p>
    <w:p w:rsidR="00E0439A" w:rsidRPr="00E51EB2" w:rsidRDefault="005B3CE6">
      <w:pPr>
        <w:pStyle w:val="Point1letter"/>
        <w:rPr>
          <w:noProof/>
          <w:szCs w:val="24"/>
        </w:rPr>
      </w:pPr>
      <w:r w:rsidRPr="00E51EB2">
        <w:t>statistično pomemben delež ukrepov za izboljšanje energijske učinkovitosti ter delež in merila, uporabljeni za opredelitev in izbor reprezentativnega vzorca;</w:t>
      </w:r>
    </w:p>
    <w:p w:rsidR="00E0439A" w:rsidRPr="00E51EB2" w:rsidRDefault="005B3CE6">
      <w:pPr>
        <w:pStyle w:val="Point1letter"/>
        <w:rPr>
          <w:noProof/>
          <w:szCs w:val="24"/>
        </w:rPr>
      </w:pPr>
      <w:r w:rsidRPr="00E51EB2">
        <w:t>obveznosti poročanja za zavezane strani (prihranki, ki jih je dosegla vsaka zavezana stran ali vsaka podkategorija zavezane strani v okviru sistema);</w:t>
      </w:r>
    </w:p>
    <w:p w:rsidR="00E0439A" w:rsidRPr="00E51EB2" w:rsidRDefault="005B3CE6">
      <w:pPr>
        <w:pStyle w:val="Point1letter"/>
        <w:rPr>
          <w:noProof/>
          <w:szCs w:val="24"/>
        </w:rPr>
      </w:pPr>
      <w:r w:rsidRPr="00E51EB2">
        <w:t>objava prihrankov energije (vsako leto), ki so se dosegli s sistemi obveznosti energijske učinkovitosti in alternativnimi ukrepi;</w:t>
      </w:r>
    </w:p>
    <w:p w:rsidR="00E0439A" w:rsidRPr="00E51EB2" w:rsidRDefault="005B3CE6">
      <w:pPr>
        <w:pStyle w:val="Point1letter"/>
        <w:rPr>
          <w:noProof/>
          <w:szCs w:val="24"/>
        </w:rPr>
      </w:pPr>
      <w:r w:rsidRPr="00E51EB2">
        <w:t>podatki o kaznih, ki se uporabljajo v primeru neupoštevanja;</w:t>
      </w:r>
    </w:p>
    <w:p w:rsidR="00E0439A" w:rsidRPr="00E51EB2" w:rsidRDefault="005B3CE6">
      <w:pPr>
        <w:pStyle w:val="Point1letter"/>
        <w:rPr>
          <w:noProof/>
        </w:rPr>
      </w:pPr>
      <w:r w:rsidRPr="00E51EB2">
        <w:t>podatki o predvidenih ukrepih, če napredek ni zadovoljiv.</w:t>
      </w:r>
    </w:p>
    <w:p w:rsidR="00E0439A" w:rsidRPr="00E51EB2" w:rsidRDefault="005B3CE6">
      <w:pPr>
        <w:rPr>
          <w:noProof/>
          <w:szCs w:val="24"/>
        </w:rPr>
      </w:pPr>
      <w:r w:rsidRPr="00E51EB2">
        <w:br w:type="page"/>
      </w:r>
    </w:p>
    <w:p w:rsidR="00E0439A" w:rsidRPr="00E51EB2" w:rsidRDefault="005B3CE6">
      <w:pPr>
        <w:pStyle w:val="Annexetitre"/>
        <w:rPr>
          <w:b w:val="0"/>
          <w:i/>
          <w:noProof/>
          <w:szCs w:val="24"/>
          <w:u w:val="none"/>
        </w:rPr>
      </w:pPr>
      <w:r w:rsidRPr="00E51EB2">
        <w:rPr>
          <w:b w:val="0"/>
          <w:i/>
          <w:noProof/>
          <w:u w:val="none"/>
        </w:rPr>
        <w:t>PRILOGA III</w:t>
      </w:r>
    </w:p>
    <w:p w:rsidR="00E0439A" w:rsidRPr="00E51EB2" w:rsidRDefault="005B3CE6">
      <w:pPr>
        <w:jc w:val="center"/>
        <w:rPr>
          <w:noProof/>
        </w:rPr>
      </w:pPr>
      <w:r w:rsidRPr="00E51EB2">
        <w:rPr>
          <w:b/>
          <w:noProof/>
        </w:rPr>
        <w:t>PODATKI O EVIDENCI TOPLOGREDNIH PLINOV</w:t>
      </w:r>
    </w:p>
    <w:p w:rsidR="00E0439A" w:rsidRPr="00E51EB2" w:rsidRDefault="005B3CE6">
      <w:pPr>
        <w:jc w:val="center"/>
      </w:pPr>
      <w:r w:rsidRPr="00E51EB2">
        <w:rPr>
          <w:b/>
          <w:color w:val="000000"/>
        </w:rPr>
        <w:t>Del 1</w:t>
      </w:r>
    </w:p>
    <w:p w:rsidR="00E0439A" w:rsidRPr="00E51EB2" w:rsidRDefault="005B3CE6">
      <w:pPr>
        <w:spacing w:after="0"/>
        <w:rPr>
          <w:rFonts w:eastAsia="Times New Roman"/>
          <w:noProof/>
          <w:szCs w:val="24"/>
        </w:rPr>
      </w:pPr>
      <w:r w:rsidRPr="00E51EB2">
        <w:t>Informacije, ki jih je treba navesti v poročilih iz člena 23(2):</w:t>
      </w:r>
    </w:p>
    <w:p w:rsidR="00E0439A" w:rsidRPr="00E51EB2" w:rsidRDefault="005B3CE6">
      <w:pPr>
        <w:pStyle w:val="Point0letter"/>
        <w:numPr>
          <w:ilvl w:val="1"/>
          <w:numId w:val="11"/>
        </w:numPr>
        <w:rPr>
          <w:noProof/>
          <w:szCs w:val="24"/>
        </w:rPr>
      </w:pPr>
      <w:r w:rsidRPr="00E51EB2">
        <w:t>antropogene emisije toplogrednih plinov iz dela 2 te Priloge in antropogene emisije toplogrednih plinov iz člena 2(1) Uredbe [ ] [ESR] za leto X – 2.</w:t>
      </w:r>
    </w:p>
    <w:p w:rsidR="00E0439A" w:rsidRPr="00E51EB2" w:rsidRDefault="005B3CE6">
      <w:pPr>
        <w:pStyle w:val="Point0letter"/>
        <w:rPr>
          <w:noProof/>
          <w:szCs w:val="24"/>
        </w:rPr>
      </w:pPr>
      <w:r w:rsidRPr="00E51EB2">
        <w:t>antropogene emisije ogljikovega monoksida (CO), žveplovega dioksida (SO</w:t>
      </w:r>
      <w:r w:rsidRPr="00E51EB2">
        <w:rPr>
          <w:vertAlign w:val="subscript"/>
        </w:rPr>
        <w:t>2</w:t>
      </w:r>
      <w:r w:rsidRPr="00E51EB2">
        <w:t>), dušikovih oksidov (NOx) in hlapnih organskih spojin za leto X – 2, ki so skladni s podatki, ki se že sporočajo v skladu s členom 7 Direktive 2001/81/ES;</w:t>
      </w:r>
    </w:p>
    <w:p w:rsidR="00E0439A" w:rsidRPr="00E51EB2" w:rsidRDefault="005B3CE6">
      <w:pPr>
        <w:pStyle w:val="Point0letter"/>
        <w:rPr>
          <w:noProof/>
          <w:szCs w:val="24"/>
        </w:rPr>
      </w:pPr>
      <w:r w:rsidRPr="00E51EB2">
        <w:t>antropogene emisije toplogrednih plinov iz virov in po ponorih odstranjen CO</w:t>
      </w:r>
      <w:r w:rsidRPr="00E51EB2">
        <w:rPr>
          <w:vertAlign w:val="subscript"/>
        </w:rPr>
        <w:t>2</w:t>
      </w:r>
      <w:r w:rsidRPr="00E51EB2">
        <w:t>, ki so posledica LULUCF, za leto X – 2, v skladu z metodologijami, določenimi v delu 3 te Priloge. Ti podatki so pomembni tudi za poročilo o skladnosti iz člena 12 Uredbe [ ] [LULUCF];</w:t>
      </w:r>
    </w:p>
    <w:p w:rsidR="00E0439A" w:rsidRPr="00E51EB2" w:rsidRDefault="005B3CE6">
      <w:pPr>
        <w:pStyle w:val="Point0letter"/>
        <w:rPr>
          <w:noProof/>
          <w:szCs w:val="24"/>
        </w:rPr>
      </w:pPr>
      <w:r w:rsidRPr="00E51EB2">
        <w:t xml:space="preserve">vse spremembe informacij iz točk (a) do (c) za leta med ustreznim izhodiščnim letom ali obdobjem in letom X – 3, pri čemer navedejo tudi razloge za te spremembe; </w:t>
      </w:r>
    </w:p>
    <w:p w:rsidR="00E0439A" w:rsidRPr="00E51EB2" w:rsidRDefault="005B3CE6">
      <w:pPr>
        <w:pStyle w:val="Point0letter"/>
        <w:rPr>
          <w:noProof/>
          <w:szCs w:val="24"/>
        </w:rPr>
      </w:pPr>
      <w:r w:rsidRPr="00E51EB2">
        <w:t xml:space="preserve">kazalniki iz dela 4 te Priloge za leto X – 2; </w:t>
      </w:r>
    </w:p>
    <w:p w:rsidR="00E0439A" w:rsidRPr="00E51EB2" w:rsidRDefault="005B3CE6">
      <w:pPr>
        <w:pStyle w:val="Point0letter"/>
        <w:rPr>
          <w:noProof/>
          <w:szCs w:val="24"/>
        </w:rPr>
      </w:pPr>
      <w:r w:rsidRPr="00E51EB2">
        <w:t xml:space="preserve">povzetek o izvedenih prenosih iz člena 5 Uredbe [ ] [ESR] in člena 11 Uredbe [ ] [LULUCF] za leto X – 1; </w:t>
      </w:r>
    </w:p>
    <w:p w:rsidR="00E0439A" w:rsidRPr="00E51EB2" w:rsidRDefault="005B3CE6">
      <w:pPr>
        <w:pStyle w:val="Point0letter"/>
        <w:rPr>
          <w:noProof/>
          <w:szCs w:val="24"/>
        </w:rPr>
      </w:pPr>
      <w:r w:rsidRPr="00E51EB2">
        <w:t xml:space="preserve">ukrepi, sprejeti za izboljšanje ocen v evidencah, zlasti za področja evidenc, ki so se prilagajala ali za katera so bila po strokovnih pregledih predložena priporočila; </w:t>
      </w:r>
    </w:p>
    <w:p w:rsidR="00E0439A" w:rsidRPr="00E51EB2" w:rsidRDefault="005B3CE6">
      <w:pPr>
        <w:pStyle w:val="Point0letter"/>
        <w:rPr>
          <w:noProof/>
          <w:szCs w:val="24"/>
        </w:rPr>
      </w:pPr>
      <w:r w:rsidRPr="00E51EB2">
        <w:t xml:space="preserve">dejanska ali ocenjena dodelitev preverjenih emisij, sporočenih za upravljavce naprav v skladu z Direktivo 2003/87/ES, za vrste virov v nacionalnih evidencah toplogrednih plinov ter delež teh preverjenih emisij glede na vse sporočene emisije toplogrednih plinov za te vrste virov za leto X – 2; </w:t>
      </w:r>
    </w:p>
    <w:p w:rsidR="00E0439A" w:rsidRPr="00E51EB2" w:rsidRDefault="005B3CE6">
      <w:pPr>
        <w:pStyle w:val="Point0letter"/>
        <w:rPr>
          <w:noProof/>
          <w:szCs w:val="24"/>
        </w:rPr>
      </w:pPr>
      <w:r w:rsidRPr="00E51EB2">
        <w:t xml:space="preserve">rezultati pregledov v zvezi s skladnostjo emisij, sporočenih za evidence toplogrednih plinov, za leto X – 2, skupaj s preverjenimi emisijami, sporočenimi v skladu z Direktivo 2003/87/ES; </w:t>
      </w:r>
    </w:p>
    <w:p w:rsidR="00E0439A" w:rsidRPr="00E51EB2" w:rsidRDefault="005B3CE6">
      <w:pPr>
        <w:pStyle w:val="Point0letter"/>
        <w:rPr>
          <w:noProof/>
          <w:szCs w:val="24"/>
        </w:rPr>
      </w:pPr>
      <w:r w:rsidRPr="00E51EB2">
        <w:t>rezultati pregledov v zvezi s skladnostjo podatkov, uporabljenih za oceno emisij pri pripravi evidenc toplogrednih plinov, za leto X – 2, skupaj s:</w:t>
      </w:r>
    </w:p>
    <w:p w:rsidR="00E0439A" w:rsidRPr="00E51EB2" w:rsidRDefault="005B3CE6">
      <w:pPr>
        <w:pStyle w:val="Point1"/>
        <w:rPr>
          <w:noProof/>
          <w:szCs w:val="24"/>
        </w:rPr>
      </w:pPr>
      <w:r w:rsidRPr="00E51EB2">
        <w:t>(i)</w:t>
      </w:r>
      <w:r w:rsidRPr="00E51EB2">
        <w:tab/>
        <w:t xml:space="preserve">podatki, uporabljenimi za pripravo evidenc onesnaževal zraka v skladu z Direktivo 2001/81/ES; </w:t>
      </w:r>
    </w:p>
    <w:p w:rsidR="00E0439A" w:rsidRPr="00E51EB2" w:rsidRDefault="005B3CE6">
      <w:pPr>
        <w:pStyle w:val="Point1"/>
        <w:rPr>
          <w:noProof/>
          <w:szCs w:val="24"/>
        </w:rPr>
      </w:pPr>
      <w:r w:rsidRPr="00E51EB2">
        <w:t>(ii)</w:t>
      </w:r>
      <w:r w:rsidRPr="00E51EB2">
        <w:tab/>
        <w:t xml:space="preserve">podatki, sporočenimi v skladu s členom 19(1) in Prilogo VII k Uredbi (EU) št. 517/2014; </w:t>
      </w:r>
    </w:p>
    <w:p w:rsidR="00E0439A" w:rsidRPr="00E51EB2" w:rsidRDefault="005B3CE6">
      <w:pPr>
        <w:pStyle w:val="Point1"/>
        <w:rPr>
          <w:noProof/>
          <w:szCs w:val="24"/>
        </w:rPr>
      </w:pPr>
      <w:r w:rsidRPr="00E51EB2">
        <w:t>(iii)</w:t>
      </w:r>
      <w:r w:rsidRPr="00E51EB2">
        <w:tab/>
        <w:t xml:space="preserve">podatki o energiji, sporočenimi v skladu s členom 4 in Prilogo B k Uredbi (ES) št. 1099/2008; </w:t>
      </w:r>
    </w:p>
    <w:p w:rsidR="00E0439A" w:rsidRPr="00E51EB2" w:rsidRDefault="005B3CE6">
      <w:pPr>
        <w:pStyle w:val="Point0letter"/>
        <w:rPr>
          <w:noProof/>
          <w:szCs w:val="24"/>
        </w:rPr>
      </w:pPr>
      <w:r w:rsidRPr="00E51EB2">
        <w:t xml:space="preserve">opis sprememb nacionalnega sistema evidenc; </w:t>
      </w:r>
    </w:p>
    <w:p w:rsidR="00E0439A" w:rsidRPr="00E51EB2" w:rsidRDefault="005B3CE6">
      <w:pPr>
        <w:pStyle w:val="Point0letter"/>
        <w:rPr>
          <w:noProof/>
          <w:szCs w:val="24"/>
        </w:rPr>
      </w:pPr>
      <w:r w:rsidRPr="00E51EB2">
        <w:t xml:space="preserve">opis sprememb nacionalnega registra; </w:t>
      </w:r>
    </w:p>
    <w:p w:rsidR="00E0439A" w:rsidRPr="00E51EB2" w:rsidRDefault="005B3CE6">
      <w:pPr>
        <w:pStyle w:val="Point0letter"/>
        <w:rPr>
          <w:noProof/>
          <w:szCs w:val="24"/>
        </w:rPr>
      </w:pPr>
      <w:r w:rsidRPr="00E51EB2">
        <w:t>načrti za zagotavljanje kakovosti in kontrolo kakovosti, ocena splošne negotovosti, splošna ocena popolnosti in vsi drugi elementi poročila o nacionalnih evidencah toplogrednih plinov, potrebni za pripravo poročila o evidenci toplogrednih plinov Unije;</w:t>
      </w:r>
    </w:p>
    <w:p w:rsidR="00E0439A" w:rsidRPr="00E51EB2" w:rsidRDefault="005B3CE6">
      <w:pPr>
        <w:pStyle w:val="Point0letter"/>
        <w:rPr>
          <w:noProof/>
          <w:szCs w:val="24"/>
        </w:rPr>
      </w:pPr>
      <w:r w:rsidRPr="00E51EB2">
        <w:t>namera države članice, da uporabi prilagodljivosti iz člena 5(4) in (5) Uredbe [ ] [ESR].</w:t>
      </w:r>
    </w:p>
    <w:p w:rsidR="00E0439A" w:rsidRPr="00E51EB2" w:rsidRDefault="005B3CE6">
      <w:pPr>
        <w:spacing w:after="0"/>
        <w:rPr>
          <w:noProof/>
          <w:szCs w:val="24"/>
        </w:rPr>
      </w:pPr>
      <w:r w:rsidRPr="00E51EB2">
        <w:t xml:space="preserve">Država članica lahko zahteva odstopanje od točke c, da uporabi metodologijo, ki je različna od tistih iz dela 3 te priloge, če zahtevanega izboljšanja metodologije ni bilo mogoče doseči pravočasno, da bi se upoštevalo v nacionalni evidenci toplogrednih plinov v obdobju od 2021 do 2030, ali bi bili stroški izboljšanja metodologije zaradi majhnega pomena emisij in odvzemov iz zadevnih skladišč ogljika nesorazmerno visoki v primerjavi s koristmi uporabe takšne metodologije za izboljšanje obračunavanja emisij in odvzemov. Države članice, ki želijo uporabiti odstopanje, Komisiji do 31. decembra 2020 predložijo utemeljeno zahtevo, v kateri navedejo rok, do katerega bi se lahko izvedlo izboljšanje metodologije, in/ali predlagano alternativno metodologijo ter oceno morebitnih učinkov na točnost obračunavanja. Komisija lahko zahteva, da država članica v razumnem roku, ki se določi, predloži dodatne informacije. Če Komisija meni, da je zahteva upravičena, odstopanje odobri. Če se zahteva zavrne, Komisija navede razloge za takšno odločitev. </w:t>
      </w:r>
    </w:p>
    <w:p w:rsidR="00E0439A" w:rsidRPr="00E51EB2" w:rsidRDefault="005B3CE6">
      <w:pPr>
        <w:spacing w:after="0"/>
        <w:jc w:val="center"/>
        <w:rPr>
          <w:rFonts w:eastAsia="Times New Roman"/>
          <w:b/>
          <w:noProof/>
          <w:color w:val="000000"/>
          <w:szCs w:val="24"/>
        </w:rPr>
      </w:pPr>
      <w:r w:rsidRPr="00E51EB2">
        <w:rPr>
          <w:b/>
          <w:noProof/>
          <w:color w:val="000000"/>
        </w:rPr>
        <w:t>Del 2</w:t>
      </w:r>
    </w:p>
    <w:p w:rsidR="00E0439A" w:rsidRPr="00E51EB2" w:rsidRDefault="005B3CE6">
      <w:pPr>
        <w:spacing w:after="0"/>
        <w:rPr>
          <w:noProof/>
          <w:color w:val="000000"/>
          <w:szCs w:val="24"/>
        </w:rPr>
      </w:pPr>
      <w:r w:rsidRPr="00E51EB2">
        <w:rPr>
          <w:noProof/>
          <w:color w:val="000000"/>
        </w:rPr>
        <w:t xml:space="preserve">Toplogredni plini, ki morajo biti vključeni: </w:t>
      </w:r>
    </w:p>
    <w:p w:rsidR="00E0439A" w:rsidRPr="00E51EB2" w:rsidRDefault="005B3CE6">
      <w:pPr>
        <w:spacing w:after="0"/>
        <w:rPr>
          <w:rFonts w:eastAsia="Times New Roman"/>
          <w:noProof/>
          <w:color w:val="000000"/>
          <w:szCs w:val="24"/>
        </w:rPr>
      </w:pPr>
      <w:r w:rsidRPr="00E51EB2">
        <w:rPr>
          <w:noProof/>
          <w:color w:val="000000"/>
        </w:rPr>
        <w:t>ogljikov dioksid (CO</w:t>
      </w:r>
      <w:r w:rsidRPr="00E51EB2">
        <w:rPr>
          <w:noProof/>
          <w:color w:val="000000"/>
          <w:vertAlign w:val="subscript"/>
        </w:rPr>
        <w:t>2</w:t>
      </w:r>
      <w:r w:rsidRPr="00E51EB2">
        <w:rPr>
          <w:noProof/>
          <w:color w:val="000000"/>
        </w:rPr>
        <w:t>)</w:t>
      </w:r>
    </w:p>
    <w:p w:rsidR="00E0439A" w:rsidRPr="00E51EB2" w:rsidRDefault="005B3CE6">
      <w:pPr>
        <w:spacing w:after="0"/>
        <w:rPr>
          <w:rFonts w:eastAsia="Times New Roman"/>
          <w:noProof/>
          <w:color w:val="000000"/>
          <w:szCs w:val="24"/>
        </w:rPr>
      </w:pPr>
      <w:r w:rsidRPr="00E51EB2">
        <w:rPr>
          <w:noProof/>
          <w:color w:val="000000"/>
        </w:rPr>
        <w:t>metan (CH</w:t>
      </w:r>
      <w:r w:rsidRPr="00E51EB2">
        <w:rPr>
          <w:noProof/>
          <w:color w:val="000000"/>
          <w:vertAlign w:val="subscript"/>
        </w:rPr>
        <w:t>4</w:t>
      </w:r>
      <w:r w:rsidRPr="00E51EB2">
        <w:rPr>
          <w:noProof/>
          <w:color w:val="000000"/>
        </w:rPr>
        <w:t>)</w:t>
      </w:r>
    </w:p>
    <w:p w:rsidR="00E0439A" w:rsidRPr="00E51EB2" w:rsidRDefault="005B3CE6">
      <w:pPr>
        <w:spacing w:after="0"/>
        <w:rPr>
          <w:rFonts w:eastAsia="Times New Roman"/>
          <w:noProof/>
          <w:color w:val="000000"/>
          <w:szCs w:val="24"/>
        </w:rPr>
      </w:pPr>
      <w:r w:rsidRPr="00E51EB2">
        <w:rPr>
          <w:noProof/>
          <w:color w:val="000000"/>
        </w:rPr>
        <w:t>dušikov oksid (N</w:t>
      </w:r>
      <w:r w:rsidRPr="00E51EB2">
        <w:rPr>
          <w:noProof/>
          <w:color w:val="000000"/>
          <w:vertAlign w:val="subscript"/>
        </w:rPr>
        <w:t>2</w:t>
      </w:r>
      <w:r w:rsidRPr="00E51EB2">
        <w:rPr>
          <w:noProof/>
          <w:color w:val="000000"/>
        </w:rPr>
        <w:t>O)</w:t>
      </w:r>
    </w:p>
    <w:p w:rsidR="00E0439A" w:rsidRPr="00E51EB2" w:rsidRDefault="005B3CE6">
      <w:pPr>
        <w:spacing w:after="0"/>
        <w:rPr>
          <w:rFonts w:eastAsia="Times New Roman"/>
          <w:noProof/>
          <w:color w:val="000000"/>
          <w:szCs w:val="24"/>
        </w:rPr>
      </w:pPr>
      <w:r w:rsidRPr="00E51EB2">
        <w:rPr>
          <w:noProof/>
          <w:color w:val="000000"/>
        </w:rPr>
        <w:t>žveplov heksafluorid (SF</w:t>
      </w:r>
      <w:r w:rsidRPr="00E51EB2">
        <w:rPr>
          <w:noProof/>
          <w:color w:val="000000"/>
          <w:vertAlign w:val="subscript"/>
        </w:rPr>
        <w:t>6</w:t>
      </w:r>
      <w:r w:rsidRPr="00E51EB2">
        <w:rPr>
          <w:noProof/>
          <w:color w:val="000000"/>
        </w:rPr>
        <w:t>)</w:t>
      </w:r>
    </w:p>
    <w:p w:rsidR="00E0439A" w:rsidRPr="00E51EB2" w:rsidRDefault="005B3CE6">
      <w:pPr>
        <w:spacing w:after="0"/>
        <w:rPr>
          <w:rFonts w:eastAsia="Times New Roman"/>
          <w:noProof/>
          <w:color w:val="000000"/>
          <w:szCs w:val="24"/>
        </w:rPr>
      </w:pPr>
      <w:r w:rsidRPr="00E51EB2">
        <w:rPr>
          <w:noProof/>
          <w:color w:val="000000"/>
        </w:rPr>
        <w:t>dušikov trifluorid (NF</w:t>
      </w:r>
      <w:r w:rsidRPr="00E51EB2">
        <w:rPr>
          <w:noProof/>
          <w:color w:val="000000"/>
          <w:vertAlign w:val="subscript"/>
        </w:rPr>
        <w:t>3</w:t>
      </w:r>
      <w:r w:rsidRPr="00E51EB2">
        <w:rPr>
          <w:noProof/>
          <w:color w:val="000000"/>
        </w:rPr>
        <w:t>)</w:t>
      </w:r>
    </w:p>
    <w:p w:rsidR="00E0439A" w:rsidRPr="00E51EB2" w:rsidRDefault="005B3CE6">
      <w:pPr>
        <w:spacing w:after="0"/>
        <w:rPr>
          <w:rFonts w:eastAsia="Times New Roman"/>
          <w:noProof/>
          <w:color w:val="000000"/>
          <w:szCs w:val="24"/>
        </w:rPr>
      </w:pPr>
      <w:r w:rsidRPr="00E51EB2">
        <w:rPr>
          <w:noProof/>
          <w:color w:val="000000"/>
        </w:rPr>
        <w:t>fluorirani ogljikovodiki (HFC):</w:t>
      </w:r>
    </w:p>
    <w:tbl>
      <w:tblPr>
        <w:tblW w:w="5000" w:type="pct"/>
        <w:tblCellSpacing w:w="0" w:type="dxa"/>
        <w:tblCellMar>
          <w:left w:w="0" w:type="dxa"/>
          <w:right w:w="0" w:type="dxa"/>
        </w:tblCellMar>
        <w:tblLook w:val="04A0" w:firstRow="1" w:lastRow="0" w:firstColumn="1" w:lastColumn="0" w:noHBand="0" w:noVBand="1"/>
      </w:tblPr>
      <w:tblGrid>
        <w:gridCol w:w="421"/>
        <w:gridCol w:w="8652"/>
      </w:tblGrid>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HFC-23 CHF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HFC-32 CH</w:t>
            </w:r>
            <w:r w:rsidRPr="00E51EB2">
              <w:rPr>
                <w:noProof/>
                <w:color w:val="000000"/>
                <w:vertAlign w:val="subscript"/>
              </w:rPr>
              <w:t>2</w:t>
            </w:r>
            <w:r w:rsidRPr="00E51EB2">
              <w:rPr>
                <w:noProof/>
                <w:color w:val="000000"/>
              </w:rPr>
              <w:t>F</w:t>
            </w:r>
            <w:r w:rsidRPr="00E51EB2">
              <w:rPr>
                <w:noProof/>
                <w:color w:val="000000"/>
                <w:vertAlign w:val="subscript"/>
              </w:rPr>
              <w:t>2</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HFC-41 CH</w:t>
            </w:r>
            <w:r w:rsidRPr="00E51EB2">
              <w:rPr>
                <w:noProof/>
                <w:color w:val="000000"/>
                <w:vertAlign w:val="subscript"/>
              </w:rPr>
              <w:t>3</w:t>
            </w:r>
            <w:r w:rsidRPr="00E51EB2">
              <w:rPr>
                <w:noProof/>
                <w:color w:val="000000"/>
              </w:rPr>
              <w:t>F</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HFC-125 CHF</w:t>
            </w:r>
            <w:r w:rsidRPr="00E51EB2">
              <w:rPr>
                <w:noProof/>
                <w:color w:val="000000"/>
                <w:vertAlign w:val="subscript"/>
              </w:rPr>
              <w:t>2</w:t>
            </w:r>
            <w:r w:rsidRPr="00E51EB2">
              <w:rPr>
                <w:noProof/>
                <w:color w:val="000000"/>
              </w:rPr>
              <w:t>CF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HFC-134 CHF</w:t>
            </w:r>
            <w:r w:rsidRPr="00E51EB2">
              <w:rPr>
                <w:noProof/>
                <w:color w:val="000000"/>
                <w:vertAlign w:val="subscript"/>
              </w:rPr>
              <w:t>2</w:t>
            </w:r>
            <w:r w:rsidRPr="00E51EB2">
              <w:rPr>
                <w:noProof/>
                <w:color w:val="000000"/>
              </w:rPr>
              <w:t>CHF</w:t>
            </w:r>
            <w:r w:rsidRPr="00E51EB2">
              <w:rPr>
                <w:noProof/>
                <w:color w:val="000000"/>
                <w:vertAlign w:val="subscript"/>
              </w:rPr>
              <w:t>2</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HFC-134a CH</w:t>
            </w:r>
            <w:r w:rsidRPr="00E51EB2">
              <w:rPr>
                <w:noProof/>
                <w:color w:val="000000"/>
                <w:vertAlign w:val="subscript"/>
              </w:rPr>
              <w:t>2</w:t>
            </w:r>
            <w:r w:rsidRPr="00E51EB2">
              <w:rPr>
                <w:noProof/>
                <w:color w:val="000000"/>
              </w:rPr>
              <w:t>FCF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HFC-143 CH</w:t>
            </w:r>
            <w:r w:rsidRPr="00E51EB2">
              <w:rPr>
                <w:noProof/>
                <w:color w:val="000000"/>
                <w:vertAlign w:val="subscript"/>
              </w:rPr>
              <w:t>2</w:t>
            </w:r>
            <w:r w:rsidRPr="00E51EB2">
              <w:rPr>
                <w:noProof/>
                <w:color w:val="000000"/>
              </w:rPr>
              <w:t>FCHF</w:t>
            </w:r>
            <w:r w:rsidRPr="00E51EB2">
              <w:rPr>
                <w:noProof/>
                <w:color w:val="000000"/>
                <w:vertAlign w:val="subscript"/>
              </w:rPr>
              <w:t>2</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HFC-143a CH</w:t>
            </w:r>
            <w:r w:rsidRPr="00E51EB2">
              <w:rPr>
                <w:noProof/>
                <w:color w:val="000000"/>
                <w:vertAlign w:val="subscript"/>
              </w:rPr>
              <w:t>3</w:t>
            </w:r>
            <w:r w:rsidRPr="00E51EB2">
              <w:rPr>
                <w:noProof/>
                <w:color w:val="000000"/>
              </w:rPr>
              <w:t>CF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HFC-152 CH</w:t>
            </w:r>
            <w:r w:rsidRPr="00E51EB2">
              <w:rPr>
                <w:noProof/>
                <w:color w:val="000000"/>
                <w:vertAlign w:val="subscript"/>
              </w:rPr>
              <w:t>2</w:t>
            </w:r>
            <w:r w:rsidRPr="00E51EB2">
              <w:rPr>
                <w:noProof/>
                <w:color w:val="000000"/>
              </w:rPr>
              <w:t>FCH</w:t>
            </w:r>
            <w:r w:rsidRPr="00E51EB2">
              <w:rPr>
                <w:noProof/>
                <w:color w:val="000000"/>
                <w:vertAlign w:val="subscript"/>
              </w:rPr>
              <w:t>2</w:t>
            </w:r>
            <w:r w:rsidRPr="00E51EB2">
              <w:rPr>
                <w:noProof/>
                <w:color w:val="000000"/>
              </w:rPr>
              <w:t>F</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HFC-152a CH</w:t>
            </w:r>
            <w:r w:rsidRPr="00E51EB2">
              <w:rPr>
                <w:noProof/>
                <w:color w:val="000000"/>
                <w:vertAlign w:val="subscript"/>
              </w:rPr>
              <w:t>3</w:t>
            </w:r>
            <w:r w:rsidRPr="00E51EB2">
              <w:rPr>
                <w:noProof/>
                <w:color w:val="000000"/>
              </w:rPr>
              <w:t>CHF</w:t>
            </w:r>
            <w:r w:rsidRPr="00E51EB2">
              <w:rPr>
                <w:noProof/>
                <w:color w:val="000000"/>
                <w:vertAlign w:val="subscript"/>
              </w:rPr>
              <w:t>2</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HFC-161 CH</w:t>
            </w:r>
            <w:r w:rsidRPr="00E51EB2">
              <w:rPr>
                <w:noProof/>
                <w:color w:val="000000"/>
                <w:vertAlign w:val="subscript"/>
              </w:rPr>
              <w:t>3</w:t>
            </w:r>
            <w:r w:rsidRPr="00E51EB2">
              <w:rPr>
                <w:noProof/>
                <w:color w:val="000000"/>
              </w:rPr>
              <w:t>CH</w:t>
            </w:r>
            <w:r w:rsidRPr="00E51EB2">
              <w:rPr>
                <w:noProof/>
                <w:color w:val="000000"/>
                <w:vertAlign w:val="subscript"/>
              </w:rPr>
              <w:t>2</w:t>
            </w:r>
            <w:r w:rsidRPr="00E51EB2">
              <w:rPr>
                <w:noProof/>
                <w:color w:val="000000"/>
              </w:rPr>
              <w:t>F</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HFC-227ea CF</w:t>
            </w:r>
            <w:r w:rsidRPr="00E51EB2">
              <w:rPr>
                <w:noProof/>
                <w:color w:val="000000"/>
                <w:vertAlign w:val="subscript"/>
              </w:rPr>
              <w:t>3</w:t>
            </w:r>
            <w:r w:rsidRPr="00E51EB2">
              <w:rPr>
                <w:noProof/>
                <w:color w:val="000000"/>
              </w:rPr>
              <w:t>CHFCF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HFC-236cb CF</w:t>
            </w:r>
            <w:r w:rsidRPr="00E51EB2">
              <w:rPr>
                <w:noProof/>
                <w:color w:val="000000"/>
                <w:vertAlign w:val="subscript"/>
              </w:rPr>
              <w:t>3</w:t>
            </w:r>
            <w:r w:rsidRPr="00E51EB2">
              <w:rPr>
                <w:noProof/>
                <w:color w:val="000000"/>
              </w:rPr>
              <w:t>CF</w:t>
            </w:r>
            <w:r w:rsidRPr="00E51EB2">
              <w:rPr>
                <w:noProof/>
                <w:color w:val="000000"/>
                <w:vertAlign w:val="subscript"/>
              </w:rPr>
              <w:t>2</w:t>
            </w:r>
            <w:r w:rsidRPr="00E51EB2">
              <w:rPr>
                <w:noProof/>
                <w:color w:val="000000"/>
              </w:rPr>
              <w:t>CH</w:t>
            </w:r>
            <w:r w:rsidRPr="00E51EB2">
              <w:rPr>
                <w:noProof/>
                <w:color w:val="000000"/>
                <w:vertAlign w:val="subscript"/>
              </w:rPr>
              <w:t>2</w:t>
            </w:r>
            <w:r w:rsidRPr="00E51EB2">
              <w:rPr>
                <w:noProof/>
                <w:color w:val="000000"/>
              </w:rPr>
              <w:t>F</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HFC-236ea CF</w:t>
            </w:r>
            <w:r w:rsidRPr="00E51EB2">
              <w:rPr>
                <w:noProof/>
                <w:color w:val="000000"/>
                <w:vertAlign w:val="subscript"/>
              </w:rPr>
              <w:t>3</w:t>
            </w:r>
            <w:r w:rsidRPr="00E51EB2">
              <w:rPr>
                <w:noProof/>
                <w:color w:val="000000"/>
              </w:rPr>
              <w:t>CHFCHF</w:t>
            </w:r>
            <w:r w:rsidRPr="00E51EB2">
              <w:rPr>
                <w:noProof/>
                <w:color w:val="000000"/>
                <w:vertAlign w:val="subscript"/>
              </w:rPr>
              <w:t>2</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HFC-236fa CF</w:t>
            </w:r>
            <w:r w:rsidRPr="00E51EB2">
              <w:rPr>
                <w:noProof/>
                <w:color w:val="000000"/>
                <w:vertAlign w:val="subscript"/>
              </w:rPr>
              <w:t>3</w:t>
            </w:r>
            <w:r w:rsidRPr="00E51EB2">
              <w:rPr>
                <w:noProof/>
                <w:color w:val="000000"/>
              </w:rPr>
              <w:t>CH</w:t>
            </w:r>
            <w:r w:rsidRPr="00E51EB2">
              <w:rPr>
                <w:noProof/>
                <w:color w:val="000000"/>
                <w:vertAlign w:val="subscript"/>
              </w:rPr>
              <w:t>2</w:t>
            </w:r>
            <w:r w:rsidRPr="00E51EB2">
              <w:rPr>
                <w:noProof/>
                <w:color w:val="000000"/>
              </w:rPr>
              <w:t>CF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HFC-245fa CHF</w:t>
            </w:r>
            <w:r w:rsidRPr="00E51EB2">
              <w:rPr>
                <w:noProof/>
                <w:color w:val="000000"/>
                <w:vertAlign w:val="subscript"/>
              </w:rPr>
              <w:t>2</w:t>
            </w:r>
            <w:r w:rsidRPr="00E51EB2">
              <w:rPr>
                <w:noProof/>
                <w:color w:val="000000"/>
              </w:rPr>
              <w:t>CH</w:t>
            </w:r>
            <w:r w:rsidRPr="00E51EB2">
              <w:rPr>
                <w:noProof/>
                <w:color w:val="000000"/>
                <w:vertAlign w:val="subscript"/>
              </w:rPr>
              <w:t>2</w:t>
            </w:r>
            <w:r w:rsidRPr="00E51EB2">
              <w:rPr>
                <w:noProof/>
                <w:color w:val="000000"/>
              </w:rPr>
              <w:t>CF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HFC-245ca CH</w:t>
            </w:r>
            <w:r w:rsidRPr="00E51EB2">
              <w:rPr>
                <w:noProof/>
                <w:color w:val="000000"/>
                <w:vertAlign w:val="subscript"/>
              </w:rPr>
              <w:t>2</w:t>
            </w:r>
            <w:r w:rsidRPr="00E51EB2">
              <w:rPr>
                <w:noProof/>
                <w:color w:val="000000"/>
              </w:rPr>
              <w:t>FCF</w:t>
            </w:r>
            <w:r w:rsidRPr="00E51EB2">
              <w:rPr>
                <w:noProof/>
                <w:color w:val="000000"/>
                <w:vertAlign w:val="subscript"/>
              </w:rPr>
              <w:t>2</w:t>
            </w:r>
            <w:r w:rsidRPr="00E51EB2">
              <w:rPr>
                <w:noProof/>
                <w:color w:val="000000"/>
              </w:rPr>
              <w:t>CHF</w:t>
            </w:r>
            <w:r w:rsidRPr="00E51EB2">
              <w:rPr>
                <w:noProof/>
                <w:color w:val="000000"/>
                <w:vertAlign w:val="subscript"/>
              </w:rPr>
              <w:t>2</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HFC-365mfc CH</w:t>
            </w:r>
            <w:r w:rsidRPr="00E51EB2">
              <w:rPr>
                <w:noProof/>
                <w:color w:val="000000"/>
                <w:vertAlign w:val="subscript"/>
              </w:rPr>
              <w:t>3</w:t>
            </w:r>
            <w:r w:rsidRPr="00E51EB2">
              <w:rPr>
                <w:noProof/>
                <w:color w:val="000000"/>
              </w:rPr>
              <w:t>CF</w:t>
            </w:r>
            <w:r w:rsidRPr="00E51EB2">
              <w:rPr>
                <w:noProof/>
                <w:color w:val="000000"/>
                <w:vertAlign w:val="subscript"/>
              </w:rPr>
              <w:t>2</w:t>
            </w:r>
            <w:r w:rsidRPr="00E51EB2">
              <w:rPr>
                <w:noProof/>
                <w:color w:val="000000"/>
              </w:rPr>
              <w:t>CH</w:t>
            </w:r>
            <w:r w:rsidRPr="00E51EB2">
              <w:rPr>
                <w:noProof/>
                <w:color w:val="000000"/>
                <w:vertAlign w:val="subscript"/>
              </w:rPr>
              <w:t>2</w:t>
            </w:r>
            <w:r w:rsidRPr="00E51EB2">
              <w:rPr>
                <w:noProof/>
                <w:color w:val="000000"/>
              </w:rPr>
              <w:t>CF</w:t>
            </w:r>
            <w:r w:rsidRPr="00E51EB2">
              <w:rPr>
                <w:noProof/>
                <w:color w:val="000000"/>
                <w:vertAlign w:val="subscript"/>
              </w:rPr>
              <w:t>3</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HFC-43-10mee CF</w:t>
            </w:r>
            <w:r w:rsidRPr="00E51EB2">
              <w:rPr>
                <w:noProof/>
                <w:color w:val="000000"/>
                <w:vertAlign w:val="subscript"/>
              </w:rPr>
              <w:t>3</w:t>
            </w:r>
            <w:r w:rsidRPr="00E51EB2">
              <w:rPr>
                <w:noProof/>
                <w:color w:val="000000"/>
              </w:rPr>
              <w:t>CHFCHFCF</w:t>
            </w:r>
            <w:r w:rsidRPr="00E51EB2">
              <w:rPr>
                <w:noProof/>
                <w:color w:val="000000"/>
                <w:vertAlign w:val="subscript"/>
              </w:rPr>
              <w:t>2</w:t>
            </w:r>
            <w:r w:rsidRPr="00E51EB2">
              <w:rPr>
                <w:noProof/>
                <w:color w:val="000000"/>
              </w:rPr>
              <w:t>CF</w:t>
            </w:r>
            <w:r w:rsidRPr="00E51EB2">
              <w:rPr>
                <w:noProof/>
                <w:color w:val="000000"/>
                <w:vertAlign w:val="subscript"/>
              </w:rPr>
              <w:t>3</w:t>
            </w:r>
            <w:r w:rsidRPr="00E51EB2">
              <w:rPr>
                <w:noProof/>
                <w:color w:val="000000"/>
              </w:rPr>
              <w:t xml:space="preserve"> ali (C</w:t>
            </w:r>
            <w:r w:rsidRPr="00E51EB2">
              <w:rPr>
                <w:noProof/>
                <w:color w:val="000000"/>
                <w:vertAlign w:val="subscript"/>
              </w:rPr>
              <w:t>5</w:t>
            </w:r>
            <w:r w:rsidRPr="00E51EB2">
              <w:rPr>
                <w:noProof/>
                <w:color w:val="000000"/>
              </w:rPr>
              <w:t>H</w:t>
            </w:r>
            <w:r w:rsidRPr="00E51EB2">
              <w:rPr>
                <w:noProof/>
                <w:color w:val="000000"/>
                <w:vertAlign w:val="subscript"/>
              </w:rPr>
              <w:t>2</w:t>
            </w:r>
            <w:r w:rsidRPr="00E51EB2">
              <w:rPr>
                <w:noProof/>
                <w:color w:val="000000"/>
              </w:rPr>
              <w:t>F</w:t>
            </w:r>
            <w:r w:rsidRPr="00E51EB2">
              <w:rPr>
                <w:noProof/>
                <w:color w:val="000000"/>
                <w:vertAlign w:val="subscript"/>
              </w:rPr>
              <w:t>10</w:t>
            </w:r>
            <w:r w:rsidRPr="00E51EB2">
              <w:rPr>
                <w:noProof/>
                <w:color w:val="000000"/>
              </w:rPr>
              <w:t>)</w:t>
            </w:r>
          </w:p>
        </w:tc>
      </w:tr>
    </w:tbl>
    <w:p w:rsidR="00E0439A" w:rsidRPr="00E51EB2" w:rsidRDefault="005B3CE6">
      <w:pPr>
        <w:spacing w:after="0"/>
        <w:rPr>
          <w:rFonts w:eastAsia="Times New Roman"/>
          <w:noProof/>
          <w:color w:val="000000"/>
          <w:szCs w:val="24"/>
        </w:rPr>
      </w:pPr>
      <w:r w:rsidRPr="00E51EB2">
        <w:rPr>
          <w:noProof/>
          <w:color w:val="000000"/>
        </w:rPr>
        <w:t>perfluorirani ogljikovodiki (PFC):</w:t>
      </w:r>
    </w:p>
    <w:tbl>
      <w:tblPr>
        <w:tblW w:w="5000" w:type="pct"/>
        <w:tblCellSpacing w:w="0" w:type="dxa"/>
        <w:tblCellMar>
          <w:left w:w="0" w:type="dxa"/>
          <w:right w:w="0" w:type="dxa"/>
        </w:tblCellMar>
        <w:tblLook w:val="04A0" w:firstRow="1" w:lastRow="0" w:firstColumn="1" w:lastColumn="0" w:noHBand="0" w:noVBand="1"/>
      </w:tblPr>
      <w:tblGrid>
        <w:gridCol w:w="559"/>
        <w:gridCol w:w="8514"/>
      </w:tblGrid>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PFC-14, perfluorometan, CF</w:t>
            </w:r>
            <w:r w:rsidRPr="00E51EB2">
              <w:rPr>
                <w:noProof/>
                <w:color w:val="000000"/>
                <w:vertAlign w:val="subscript"/>
              </w:rPr>
              <w:t>4</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PFC-116, perfluoroetan, C</w:t>
            </w:r>
            <w:r w:rsidRPr="00E51EB2">
              <w:rPr>
                <w:noProof/>
                <w:color w:val="000000"/>
                <w:vertAlign w:val="subscript"/>
              </w:rPr>
              <w:t>2</w:t>
            </w:r>
            <w:r w:rsidRPr="00E51EB2">
              <w:rPr>
                <w:noProof/>
                <w:color w:val="000000"/>
              </w:rPr>
              <w:t>F</w:t>
            </w:r>
            <w:r w:rsidRPr="00E51EB2">
              <w:rPr>
                <w:noProof/>
                <w:color w:val="000000"/>
                <w:vertAlign w:val="subscript"/>
              </w:rPr>
              <w:t>6</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PFC-218, perfluoropropan, C</w:t>
            </w:r>
            <w:r w:rsidRPr="00E51EB2">
              <w:rPr>
                <w:noProof/>
                <w:color w:val="000000"/>
                <w:vertAlign w:val="subscript"/>
              </w:rPr>
              <w:t>3</w:t>
            </w:r>
            <w:r w:rsidRPr="00E51EB2">
              <w:rPr>
                <w:noProof/>
                <w:color w:val="000000"/>
              </w:rPr>
              <w:t>F</w:t>
            </w:r>
            <w:r w:rsidRPr="00E51EB2">
              <w:rPr>
                <w:noProof/>
                <w:color w:val="000000"/>
                <w:vertAlign w:val="subscript"/>
              </w:rPr>
              <w:t>8</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PFC-318, perfluorociklobutan, c-C</w:t>
            </w:r>
            <w:r w:rsidRPr="00E51EB2">
              <w:rPr>
                <w:noProof/>
                <w:color w:val="000000"/>
                <w:vertAlign w:val="subscript"/>
              </w:rPr>
              <w:t>4</w:t>
            </w:r>
            <w:r w:rsidRPr="00E51EB2">
              <w:rPr>
                <w:noProof/>
                <w:color w:val="000000"/>
              </w:rPr>
              <w:t>F</w:t>
            </w:r>
            <w:r w:rsidRPr="00E51EB2">
              <w:rPr>
                <w:noProof/>
                <w:color w:val="000000"/>
                <w:vertAlign w:val="subscript"/>
              </w:rPr>
              <w:t>8</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perfluorociklopropan, c-C</w:t>
            </w:r>
            <w:r w:rsidRPr="00E51EB2">
              <w:rPr>
                <w:noProof/>
                <w:color w:val="000000"/>
                <w:vertAlign w:val="subscript"/>
              </w:rPr>
              <w:t>3</w:t>
            </w:r>
            <w:r w:rsidRPr="00E51EB2">
              <w:rPr>
                <w:noProof/>
                <w:color w:val="000000"/>
              </w:rPr>
              <w:t>F</w:t>
            </w:r>
            <w:r w:rsidRPr="00E51EB2">
              <w:rPr>
                <w:noProof/>
                <w:color w:val="000000"/>
                <w:vertAlign w:val="subscript"/>
              </w:rPr>
              <w:t>6</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PFC-3-1-10, perfluorobutan, C</w:t>
            </w:r>
            <w:r w:rsidRPr="00E51EB2">
              <w:rPr>
                <w:noProof/>
                <w:color w:val="000000"/>
                <w:vertAlign w:val="subscript"/>
              </w:rPr>
              <w:t>4</w:t>
            </w:r>
            <w:r w:rsidRPr="00E51EB2">
              <w:rPr>
                <w:noProof/>
                <w:color w:val="000000"/>
              </w:rPr>
              <w:t>F</w:t>
            </w:r>
            <w:r w:rsidRPr="00E51EB2">
              <w:rPr>
                <w:noProof/>
                <w:color w:val="000000"/>
                <w:vertAlign w:val="subscript"/>
              </w:rPr>
              <w:t>10</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PFC-4-1-12, perfluoropentan, C</w:t>
            </w:r>
            <w:r w:rsidRPr="00E51EB2">
              <w:rPr>
                <w:noProof/>
                <w:color w:val="000000"/>
                <w:vertAlign w:val="subscript"/>
              </w:rPr>
              <w:t>5</w:t>
            </w:r>
            <w:r w:rsidRPr="00E51EB2">
              <w:rPr>
                <w:noProof/>
                <w:color w:val="000000"/>
              </w:rPr>
              <w:t>F</w:t>
            </w:r>
            <w:r w:rsidRPr="00E51EB2">
              <w:rPr>
                <w:noProof/>
                <w:color w:val="000000"/>
                <w:vertAlign w:val="subscript"/>
              </w:rPr>
              <w:t>12</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PFC-5-1-14, perfluoroheksan, C</w:t>
            </w:r>
            <w:r w:rsidRPr="00E51EB2">
              <w:rPr>
                <w:noProof/>
                <w:color w:val="000000"/>
                <w:vertAlign w:val="subscript"/>
              </w:rPr>
              <w:t>6</w:t>
            </w:r>
            <w:r w:rsidRPr="00E51EB2">
              <w:rPr>
                <w:noProof/>
                <w:color w:val="000000"/>
              </w:rPr>
              <w:t>F</w:t>
            </w:r>
            <w:r w:rsidRPr="00E51EB2">
              <w:rPr>
                <w:noProof/>
                <w:color w:val="000000"/>
                <w:vertAlign w:val="subscript"/>
              </w:rPr>
              <w:t>14</w:t>
            </w:r>
            <w:r w:rsidRPr="00E51EB2">
              <w:rPr>
                <w:noProof/>
                <w:color w:val="000000"/>
              </w:rPr>
              <w:t xml:space="preserve"> </w:t>
            </w:r>
          </w:p>
        </w:tc>
      </w:tr>
      <w:tr w:rsidR="00E0439A" w:rsidRPr="00E51EB2">
        <w:trPr>
          <w:tblCellSpacing w:w="0" w:type="dxa"/>
        </w:trPr>
        <w:tc>
          <w:tcPr>
            <w:tcW w:w="0" w:type="auto"/>
            <w:hideMark/>
          </w:tcPr>
          <w:p w:rsidR="00E0439A" w:rsidRPr="00E51EB2" w:rsidRDefault="005B3CE6">
            <w:pPr>
              <w:spacing w:after="0"/>
              <w:rPr>
                <w:rFonts w:eastAsia="Times New Roman"/>
                <w:noProof/>
                <w:color w:val="000000"/>
                <w:szCs w:val="24"/>
              </w:rPr>
            </w:pPr>
            <w:r w:rsidRPr="00E51EB2">
              <w:rPr>
                <w:noProof/>
                <w:color w:val="000000"/>
              </w:rPr>
              <w:t>—</w:t>
            </w:r>
          </w:p>
        </w:tc>
        <w:tc>
          <w:tcPr>
            <w:tcW w:w="0" w:type="auto"/>
            <w:hideMark/>
          </w:tcPr>
          <w:p w:rsidR="00E0439A" w:rsidRPr="00E51EB2" w:rsidRDefault="005B3CE6">
            <w:pPr>
              <w:spacing w:after="0"/>
              <w:rPr>
                <w:rFonts w:eastAsia="Times New Roman"/>
                <w:noProof/>
                <w:color w:val="000000"/>
                <w:szCs w:val="24"/>
              </w:rPr>
            </w:pPr>
            <w:r w:rsidRPr="00E51EB2">
              <w:rPr>
                <w:noProof/>
                <w:color w:val="000000"/>
              </w:rPr>
              <w:t>PFC-9-1-18, C</w:t>
            </w:r>
            <w:r w:rsidRPr="00E51EB2">
              <w:rPr>
                <w:noProof/>
                <w:color w:val="000000"/>
                <w:vertAlign w:val="subscript"/>
              </w:rPr>
              <w:t>10</w:t>
            </w:r>
            <w:r w:rsidRPr="00E51EB2">
              <w:rPr>
                <w:noProof/>
                <w:color w:val="000000"/>
              </w:rPr>
              <w:t>F</w:t>
            </w:r>
            <w:r w:rsidRPr="00E51EB2">
              <w:rPr>
                <w:noProof/>
                <w:color w:val="000000"/>
                <w:vertAlign w:val="subscript"/>
              </w:rPr>
              <w:t>18</w:t>
            </w:r>
            <w:r w:rsidRPr="00E51EB2">
              <w:rPr>
                <w:noProof/>
                <w:color w:val="000000"/>
              </w:rPr>
              <w:t xml:space="preserve"> </w:t>
            </w:r>
          </w:p>
        </w:tc>
      </w:tr>
    </w:tbl>
    <w:p w:rsidR="00E0439A" w:rsidRPr="00E51EB2" w:rsidRDefault="00E0439A">
      <w:pPr>
        <w:rPr>
          <w:rFonts w:eastAsia="Times New Roman"/>
          <w:noProof/>
          <w:color w:val="000000"/>
          <w:szCs w:val="24"/>
        </w:rPr>
      </w:pPr>
    </w:p>
    <w:p w:rsidR="00E0439A" w:rsidRPr="00E51EB2" w:rsidRDefault="005B3CE6">
      <w:pPr>
        <w:spacing w:after="0"/>
        <w:jc w:val="center"/>
        <w:rPr>
          <w:rFonts w:eastAsia="Times New Roman"/>
          <w:b/>
          <w:noProof/>
          <w:color w:val="000000"/>
          <w:szCs w:val="24"/>
        </w:rPr>
      </w:pPr>
      <w:r w:rsidRPr="00E51EB2">
        <w:rPr>
          <w:b/>
          <w:noProof/>
          <w:color w:val="000000"/>
        </w:rPr>
        <w:t>Del 3 - Metodologije za spremljanje in poročanje v sektorju LULUCF</w:t>
      </w:r>
    </w:p>
    <w:p w:rsidR="00E0439A" w:rsidRPr="00E51EB2" w:rsidRDefault="005B3CE6">
      <w:pPr>
        <w:rPr>
          <w:noProof/>
        </w:rPr>
      </w:pPr>
      <w:r w:rsidRPr="00E51EB2">
        <w:t xml:space="preserve">Geolokalizirani podatki o spremembi rabe zemljišč za identifikacijo in sledenje kategorij rabe zemljišč in sprememb med različnimi kategorijami rabe zemljišč. </w:t>
      </w:r>
    </w:p>
    <w:p w:rsidR="00E0439A" w:rsidRPr="00E51EB2" w:rsidRDefault="005B3CE6">
      <w:pPr>
        <w:rPr>
          <w:noProof/>
        </w:rPr>
      </w:pPr>
      <w:r w:rsidRPr="00E51EB2">
        <w:t xml:space="preserve">Metodologija prvega reda, ki uporablja globalno prilagojene standardne faktorje emisij in vrednosti parametrov v skladu s smernicami IPCC za nacionalne evidence toplogrednih plinov iz leta 2006. </w:t>
      </w:r>
    </w:p>
    <w:p w:rsidR="00E0439A" w:rsidRPr="00E51EB2" w:rsidRDefault="005B3CE6">
      <w:pPr>
        <w:rPr>
          <w:noProof/>
        </w:rPr>
      </w:pPr>
      <w:r w:rsidRPr="00E51EB2">
        <w:t xml:space="preserve">Za emisije in odvzeme za skladiščenje ogljika, ki predstavlja vsaj 25–30 % emisij ali odvzemov v kategoriji vira ali ponora, ki ima v nacionalnem sistemu evidenc države članice prednost, saj ima njena ocena pomemben vpliv na skupne evidence toplogrednih plinov države v smislu absolutne ravni emisij in odvzemov, na trend emisij in odvzemov ali na negotovost glede emisij in odvzemov v kategorijah rabe zemljišč, vsaj metodologija drugega reda z uporabo nacionalno določenih faktorjev emisij in vrednosti parametrov, prilagojenih na nacionalne razmere v skladu s smernicami IPCC za nacionalne evidence toplogrednih plinov iz leta 2006. </w:t>
      </w:r>
    </w:p>
    <w:p w:rsidR="00E0439A" w:rsidRPr="00E51EB2" w:rsidRDefault="005B3CE6">
      <w:pPr>
        <w:rPr>
          <w:noProof/>
        </w:rPr>
      </w:pPr>
      <w:r w:rsidRPr="00E51EB2">
        <w:t>Države članice se spodbujajo k uporabi metodologije tretjega reda, ki uporablja neparametrično modeliranje, prilagojeno na nacionalne razmere, z opisom fizične interakcije biofizikalnega sistema v skladu s smernicami IPCC za nacionalne evidence toplogrednih plinov iz leta 2006.</w:t>
      </w:r>
    </w:p>
    <w:p w:rsidR="00E0439A" w:rsidRPr="00E51EB2" w:rsidRDefault="005B3CE6">
      <w:pPr>
        <w:jc w:val="center"/>
        <w:rPr>
          <w:b/>
          <w:noProof/>
        </w:rPr>
      </w:pPr>
      <w:r w:rsidRPr="00E51EB2">
        <w:rPr>
          <w:b/>
          <w:noProof/>
        </w:rPr>
        <w:t>Del 4 - Kazalniki evidenc</w:t>
      </w:r>
    </w:p>
    <w:tbl>
      <w:tblPr>
        <w:tblW w:w="4516" w:type="pct"/>
        <w:tblLook w:val="04A0" w:firstRow="1" w:lastRow="0" w:firstColumn="1" w:lastColumn="0" w:noHBand="0" w:noVBand="1"/>
      </w:tblPr>
      <w:tblGrid>
        <w:gridCol w:w="2022"/>
        <w:gridCol w:w="6368"/>
      </w:tblGrid>
      <w:tr w:rsidR="00E0439A" w:rsidRPr="00E51EB2">
        <w:trPr>
          <w:tblHeader/>
        </w:trPr>
        <w:tc>
          <w:tcPr>
            <w:tcW w:w="120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Naziv kazalnika</w:t>
            </w: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Kazalnik</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TRANSFORMACIJA B0</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Specifične emisije CO</w:t>
            </w:r>
            <w:r w:rsidRPr="00E51EB2">
              <w:rPr>
                <w:rFonts w:ascii="Times New Roman" w:hAnsi="Times New Roman"/>
                <w:noProof/>
                <w:vertAlign w:val="subscript"/>
              </w:rPr>
              <w:t>2</w:t>
            </w:r>
            <w:r w:rsidRPr="00E51EB2">
              <w:rPr>
                <w:rFonts w:ascii="Times New Roman" w:hAnsi="Times New Roman"/>
                <w:noProof/>
              </w:rPr>
              <w:t xml:space="preserve"> iz javnih elektrarn in elektrarn samoproizvajalk, t/TJ</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Emisije CO</w:t>
            </w:r>
            <w:r w:rsidRPr="00E51EB2">
              <w:rPr>
                <w:rFonts w:ascii="Times New Roman" w:hAnsi="Times New Roman"/>
                <w:noProof/>
                <w:vertAlign w:val="subscript"/>
              </w:rPr>
              <w:t>2</w:t>
            </w:r>
            <w:r w:rsidRPr="00E51EB2">
              <w:rPr>
                <w:rFonts w:ascii="Times New Roman" w:hAnsi="Times New Roman"/>
                <w:noProof/>
              </w:rPr>
              <w:t xml:space="preserve"> iz javnih termoelektrarn in termoelektrarn samoproizvajalk, kt, deljene z vsemi proizvodi – proizvodnja javnih termoelektrarn in termoelektrarn samoproizvajalk, PJ</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TRANSFORMACIJA E0</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Specifične emisije CO</w:t>
            </w:r>
            <w:r w:rsidRPr="00E51EB2">
              <w:rPr>
                <w:rFonts w:ascii="Times New Roman" w:hAnsi="Times New Roman"/>
                <w:noProof/>
                <w:vertAlign w:val="subscript"/>
              </w:rPr>
              <w:t xml:space="preserve">2 </w:t>
            </w:r>
            <w:r w:rsidRPr="00E51EB2">
              <w:rPr>
                <w:rFonts w:ascii="Times New Roman" w:hAnsi="Times New Roman"/>
                <w:noProof/>
              </w:rPr>
              <w:t>iz elektrarn samoproizvajalk, t/TJ</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Emisije CO</w:t>
            </w:r>
            <w:r w:rsidRPr="00E51EB2">
              <w:rPr>
                <w:rFonts w:ascii="Times New Roman" w:hAnsi="Times New Roman"/>
                <w:noProof/>
                <w:vertAlign w:val="subscript"/>
              </w:rPr>
              <w:t>2</w:t>
            </w:r>
            <w:r w:rsidRPr="00E51EB2">
              <w:rPr>
                <w:rFonts w:ascii="Times New Roman" w:hAnsi="Times New Roman"/>
                <w:noProof/>
              </w:rPr>
              <w:t xml:space="preserve"> iz elektrarn samoproizvajalk, kt, deljene z vsemi proizvodi – proizvodnja termoelektrarn samoproizvajalk, PJ</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INDUSTRIJA A1.1</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Skupna intenzivnost CO</w:t>
            </w:r>
            <w:r w:rsidRPr="00E51EB2">
              <w:rPr>
                <w:rFonts w:ascii="Times New Roman" w:hAnsi="Times New Roman"/>
                <w:noProof/>
                <w:vertAlign w:val="subscript"/>
              </w:rPr>
              <w:t xml:space="preserve">2 </w:t>
            </w:r>
            <w:r w:rsidRPr="00E51EB2">
              <w:rPr>
                <w:rFonts w:ascii="Times New Roman" w:hAnsi="Times New Roman"/>
                <w:noProof/>
              </w:rPr>
              <w:t>– železarska in jeklarska industrija, t/milijonov EUR</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Skupne emisije CO</w:t>
            </w:r>
            <w:r w:rsidRPr="00E51EB2">
              <w:rPr>
                <w:rFonts w:ascii="Times New Roman" w:hAnsi="Times New Roman"/>
                <w:noProof/>
                <w:vertAlign w:val="subscript"/>
              </w:rPr>
              <w:t>2</w:t>
            </w:r>
            <w:r w:rsidRPr="00E51EB2">
              <w:rPr>
                <w:rFonts w:ascii="Times New Roman" w:hAnsi="Times New Roman"/>
                <w:noProof/>
              </w:rPr>
              <w:t xml:space="preserve"> iz železarske in jeklarske industrije, kt, deljene z bruto dodano vrednostjo – železarska in jeklarska industrija</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INDUSTRIJA A1.2</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Intenzivnost CO</w:t>
            </w:r>
            <w:r w:rsidRPr="00E51EB2">
              <w:rPr>
                <w:rFonts w:ascii="Times New Roman" w:hAnsi="Times New Roman"/>
                <w:noProof/>
                <w:vertAlign w:val="subscript"/>
              </w:rPr>
              <w:t>2</w:t>
            </w:r>
            <w:r w:rsidRPr="00E51EB2">
              <w:rPr>
                <w:rFonts w:ascii="Times New Roman" w:hAnsi="Times New Roman"/>
                <w:noProof/>
              </w:rPr>
              <w:t xml:space="preserve"> iz kemične industrije, povezanega z energetiko, t/milijonov EUR</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Emisije CO</w:t>
            </w:r>
            <w:r w:rsidRPr="00E51EB2">
              <w:rPr>
                <w:rFonts w:ascii="Times New Roman" w:hAnsi="Times New Roman"/>
                <w:noProof/>
                <w:vertAlign w:val="subscript"/>
              </w:rPr>
              <w:t>2</w:t>
            </w:r>
            <w:r w:rsidRPr="00E51EB2">
              <w:rPr>
                <w:rFonts w:ascii="Times New Roman" w:hAnsi="Times New Roman"/>
                <w:noProof/>
              </w:rPr>
              <w:t>, povezanega z energetiko, iz kemične industrije, kt, deljene z bruto dodano vrednostjo – kemična industrija</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INDUSTRIJA A1.3</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Intenzivnost CO</w:t>
            </w:r>
            <w:r w:rsidRPr="00E51EB2">
              <w:rPr>
                <w:rFonts w:ascii="Times New Roman" w:hAnsi="Times New Roman"/>
                <w:noProof/>
                <w:vertAlign w:val="subscript"/>
              </w:rPr>
              <w:t>2</w:t>
            </w:r>
            <w:r w:rsidRPr="00E51EB2">
              <w:rPr>
                <w:rFonts w:ascii="Times New Roman" w:hAnsi="Times New Roman"/>
                <w:noProof/>
              </w:rPr>
              <w:t>, povezanega z energetiko – steklarska industrija, lončarstvo in proizvodnja gradbenih materialov, t/milijonov EUR</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Emisije CO</w:t>
            </w:r>
            <w:r w:rsidRPr="00E51EB2">
              <w:rPr>
                <w:rFonts w:ascii="Times New Roman" w:hAnsi="Times New Roman"/>
                <w:noProof/>
                <w:vertAlign w:val="subscript"/>
              </w:rPr>
              <w:t>2</w:t>
            </w:r>
            <w:r w:rsidRPr="00E51EB2">
              <w:rPr>
                <w:rFonts w:ascii="Times New Roman" w:hAnsi="Times New Roman"/>
                <w:noProof/>
              </w:rPr>
              <w:t>, povezanega z energetiko, iz steklarske industrije, lončarstva in proizvodnje gradbenih materialov, kt, deljene z bruto dodano vrednostjo – steklarska industrija, lončarstvo in proizvodnja gradbenih materialov</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INDUSTRIJA A1.4</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Intenzivnost CO</w:t>
            </w:r>
            <w:r w:rsidRPr="00E51EB2">
              <w:rPr>
                <w:rFonts w:ascii="Times New Roman" w:hAnsi="Times New Roman"/>
                <w:noProof/>
                <w:vertAlign w:val="subscript"/>
              </w:rPr>
              <w:t>2</w:t>
            </w:r>
            <w:r w:rsidRPr="00E51EB2">
              <w:rPr>
                <w:rFonts w:ascii="Times New Roman" w:hAnsi="Times New Roman"/>
                <w:noProof/>
              </w:rPr>
              <w:t>, povezanega z energetiko – živilska industrija, proizvodnja pijač in tobačna industrija, t/milijonov EUR</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Emisije CO</w:t>
            </w:r>
            <w:r w:rsidRPr="00E51EB2">
              <w:rPr>
                <w:rFonts w:ascii="Times New Roman" w:hAnsi="Times New Roman"/>
                <w:noProof/>
                <w:vertAlign w:val="subscript"/>
              </w:rPr>
              <w:t>2</w:t>
            </w:r>
            <w:r w:rsidRPr="00E51EB2">
              <w:rPr>
                <w:rFonts w:ascii="Times New Roman" w:hAnsi="Times New Roman"/>
                <w:noProof/>
              </w:rPr>
              <w:t>, povezanega z energetiko, iz živilske industrije, proizvodnje pijač in tobačne industrije, kt, deljene z bruto dodano vrednostjo – živilska industrija, proizvodnja pijač in tobačna industrija, mio. EUR (EC95)</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INDUSTRIJA A1.5</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Intenzivnost CO</w:t>
            </w:r>
            <w:r w:rsidRPr="00E51EB2">
              <w:rPr>
                <w:rFonts w:ascii="Times New Roman" w:hAnsi="Times New Roman"/>
                <w:noProof/>
                <w:vertAlign w:val="subscript"/>
              </w:rPr>
              <w:t>2</w:t>
            </w:r>
            <w:r w:rsidRPr="00E51EB2">
              <w:rPr>
                <w:rFonts w:ascii="Times New Roman" w:hAnsi="Times New Roman"/>
                <w:noProof/>
              </w:rPr>
              <w:t>, povezanega z energetiko – papirna industrija in tiskarstvo, t/milijonov EUR Emisije CO</w:t>
            </w:r>
            <w:r w:rsidRPr="00E51EB2">
              <w:rPr>
                <w:rFonts w:ascii="Times New Roman" w:hAnsi="Times New Roman"/>
                <w:noProof/>
                <w:vertAlign w:val="subscript"/>
              </w:rPr>
              <w:t>2</w:t>
            </w:r>
            <w:r w:rsidRPr="00E51EB2">
              <w:rPr>
                <w:rFonts w:ascii="Times New Roman" w:hAnsi="Times New Roman"/>
                <w:noProof/>
              </w:rPr>
              <w:t>, povezanega z energetiko, iz papirne in grafične industrije, kt – bruto dodana vrednost – papirna industrija in tiskarstvo, mio. EUR (EC95)</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GOSPODINJSTVA A0</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Specifične emisije CO</w:t>
            </w:r>
            <w:r w:rsidRPr="00E51EB2">
              <w:rPr>
                <w:rFonts w:ascii="Times New Roman" w:hAnsi="Times New Roman"/>
                <w:noProof/>
                <w:vertAlign w:val="subscript"/>
              </w:rPr>
              <w:t>2</w:t>
            </w:r>
            <w:r w:rsidRPr="00E51EB2">
              <w:rPr>
                <w:rFonts w:ascii="Times New Roman" w:hAnsi="Times New Roman"/>
                <w:noProof/>
              </w:rPr>
              <w:t xml:space="preserve"> iz gospodinjstev za ogrevanje prostorov, t/m2</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Emisije CO</w:t>
            </w:r>
            <w:r w:rsidRPr="00E51EB2">
              <w:rPr>
                <w:rFonts w:ascii="Times New Roman" w:hAnsi="Times New Roman"/>
                <w:noProof/>
                <w:vertAlign w:val="subscript"/>
              </w:rPr>
              <w:t>2</w:t>
            </w:r>
            <w:r w:rsidRPr="00E51EB2">
              <w:rPr>
                <w:rFonts w:ascii="Times New Roman" w:hAnsi="Times New Roman"/>
                <w:noProof/>
              </w:rPr>
              <w:t xml:space="preserve"> iz gospodinjstev za ogrevanje prostorov, deljene s površino stalno naseljenih stanovanj, mio. m2</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STORITVE B0</w:t>
            </w:r>
          </w:p>
          <w:p w:rsidR="00E0439A" w:rsidRPr="00E51EB2" w:rsidRDefault="00E0439A">
            <w:pPr>
              <w:pStyle w:val="AFWTable"/>
              <w:rPr>
                <w:rFonts w:ascii="Times New Roman" w:hAnsi="Times New Roman" w:cs="Times New Roman"/>
                <w:b/>
                <w:noProof/>
              </w:rPr>
            </w:pP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Specifične emisije CO</w:t>
            </w:r>
            <w:r w:rsidRPr="00E51EB2">
              <w:rPr>
                <w:rFonts w:ascii="Times New Roman" w:hAnsi="Times New Roman"/>
                <w:noProof/>
                <w:vertAlign w:val="subscript"/>
              </w:rPr>
              <w:t>2</w:t>
            </w:r>
            <w:r w:rsidRPr="00E51EB2">
              <w:rPr>
                <w:rFonts w:ascii="Times New Roman" w:hAnsi="Times New Roman"/>
                <w:noProof/>
              </w:rPr>
              <w:t xml:space="preserve"> iz gospodarskega in institucionalnega sektorja za ogrevanje prostorov, kg/m2</w:t>
            </w:r>
          </w:p>
          <w:p w:rsidR="00E0439A" w:rsidRPr="00E51EB2" w:rsidRDefault="005B3CE6">
            <w:pPr>
              <w:pStyle w:val="AFWTable"/>
              <w:rPr>
                <w:rFonts w:ascii="Times New Roman" w:hAnsi="Times New Roman" w:cs="Times New Roman"/>
                <w:noProof/>
              </w:rPr>
            </w:pPr>
            <w:r w:rsidRPr="00E51EB2">
              <w:rPr>
                <w:rFonts w:ascii="Times New Roman" w:hAnsi="Times New Roman"/>
                <w:noProof/>
              </w:rPr>
              <w:t>Emisije CO</w:t>
            </w:r>
            <w:r w:rsidRPr="00E51EB2">
              <w:rPr>
                <w:rFonts w:ascii="Times New Roman" w:hAnsi="Times New Roman"/>
                <w:noProof/>
                <w:vertAlign w:val="subscript"/>
              </w:rPr>
              <w:t>2</w:t>
            </w:r>
            <w:r w:rsidRPr="00E51EB2">
              <w:rPr>
                <w:rFonts w:ascii="Times New Roman" w:hAnsi="Times New Roman"/>
                <w:noProof/>
              </w:rPr>
              <w:t xml:space="preserve"> zaradi ogrevanja prostorov v gospodarskem in institucionalnem sektorju, kt, deljene s površino zgradb, namenjenih storitvam, mio. m2</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PROMET B0</w:t>
            </w: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Specifične emisije CO</w:t>
            </w:r>
            <w:r w:rsidRPr="00E51EB2">
              <w:rPr>
                <w:rFonts w:ascii="Times New Roman" w:hAnsi="Times New Roman"/>
                <w:noProof/>
                <w:vertAlign w:val="subscript"/>
              </w:rPr>
              <w:t>2</w:t>
            </w:r>
            <w:r w:rsidRPr="00E51EB2">
              <w:rPr>
                <w:rFonts w:ascii="Times New Roman" w:hAnsi="Times New Roman"/>
                <w:noProof/>
              </w:rPr>
              <w:t xml:space="preserve"> iz osebnih avtomobilov z dizelskim motorjem, g/100 km</w:t>
            </w:r>
          </w:p>
        </w:tc>
      </w:tr>
      <w:tr w:rsidR="00E0439A" w:rsidRPr="00E51EB2">
        <w:tc>
          <w:tcPr>
            <w:tcW w:w="1205" w:type="pct"/>
          </w:tcPr>
          <w:p w:rsidR="00E0439A" w:rsidRPr="00E51EB2" w:rsidRDefault="005B3CE6">
            <w:pPr>
              <w:pStyle w:val="AFWTable"/>
              <w:rPr>
                <w:rFonts w:ascii="Times New Roman" w:hAnsi="Times New Roman" w:cs="Times New Roman"/>
                <w:b/>
                <w:noProof/>
              </w:rPr>
            </w:pPr>
            <w:r w:rsidRPr="00E51EB2">
              <w:rPr>
                <w:rFonts w:ascii="Times New Roman" w:hAnsi="Times New Roman"/>
                <w:noProof/>
              </w:rPr>
              <w:t>PROMET B0</w:t>
            </w:r>
          </w:p>
        </w:tc>
        <w:tc>
          <w:tcPr>
            <w:tcW w:w="3795" w:type="pct"/>
          </w:tcPr>
          <w:p w:rsidR="00E0439A" w:rsidRPr="00E51EB2" w:rsidRDefault="005B3CE6">
            <w:pPr>
              <w:pStyle w:val="AFWTable"/>
              <w:rPr>
                <w:rFonts w:ascii="Times New Roman" w:hAnsi="Times New Roman" w:cs="Times New Roman"/>
                <w:noProof/>
              </w:rPr>
            </w:pPr>
            <w:r w:rsidRPr="00E51EB2">
              <w:rPr>
                <w:rFonts w:ascii="Times New Roman" w:hAnsi="Times New Roman"/>
                <w:noProof/>
              </w:rPr>
              <w:t>Specifične emisije CO</w:t>
            </w:r>
            <w:r w:rsidRPr="00E51EB2">
              <w:rPr>
                <w:rFonts w:ascii="Times New Roman" w:hAnsi="Times New Roman"/>
                <w:noProof/>
                <w:vertAlign w:val="subscript"/>
              </w:rPr>
              <w:t>2</w:t>
            </w:r>
            <w:r w:rsidRPr="00E51EB2">
              <w:rPr>
                <w:rFonts w:ascii="Times New Roman" w:hAnsi="Times New Roman"/>
                <w:noProof/>
              </w:rPr>
              <w:t xml:space="preserve"> iz osebnih avtomobilov z bencinskim motorjem, g/100 km</w:t>
            </w:r>
          </w:p>
        </w:tc>
      </w:tr>
    </w:tbl>
    <w:p w:rsidR="00E0439A" w:rsidRPr="00E51EB2" w:rsidRDefault="00E0439A">
      <w:pPr>
        <w:rPr>
          <w:rFonts w:eastAsia="Times New Roman"/>
          <w:noProof/>
          <w:color w:val="000000"/>
          <w:szCs w:val="24"/>
        </w:rPr>
      </w:pPr>
    </w:p>
    <w:p w:rsidR="00E0439A" w:rsidRPr="00E51EB2" w:rsidRDefault="005B3CE6">
      <w:pPr>
        <w:pStyle w:val="Annexetitre"/>
        <w:rPr>
          <w:b w:val="0"/>
          <w:i/>
          <w:noProof/>
          <w:u w:val="none"/>
        </w:rPr>
      </w:pPr>
      <w:r w:rsidRPr="00E51EB2">
        <w:rPr>
          <w:b w:val="0"/>
          <w:i/>
          <w:noProof/>
          <w:u w:val="none"/>
        </w:rPr>
        <w:t>PRILOGA IV</w:t>
      </w:r>
    </w:p>
    <w:p w:rsidR="00E0439A" w:rsidRPr="00E51EB2" w:rsidRDefault="005B3CE6">
      <w:pPr>
        <w:jc w:val="center"/>
        <w:rPr>
          <w:noProof/>
        </w:rPr>
      </w:pPr>
      <w:r w:rsidRPr="00E51EB2">
        <w:rPr>
          <w:b/>
          <w:noProof/>
        </w:rPr>
        <w:t>INFORMACIJE O POLITIKAH IN UKREPIH NA PODROČJU EMISIJ TOPLOGREDNIH PLINOV</w:t>
      </w:r>
    </w:p>
    <w:p w:rsidR="00E0439A" w:rsidRPr="00E51EB2" w:rsidRDefault="005B3CE6">
      <w:pPr>
        <w:rPr>
          <w:noProof/>
        </w:rPr>
      </w:pPr>
      <w:r w:rsidRPr="00E51EB2">
        <w:t>Informacije, ki jih je treba navesti v poročilih iz člena 16:</w:t>
      </w:r>
    </w:p>
    <w:p w:rsidR="00E0439A" w:rsidRPr="00E51EB2" w:rsidRDefault="005B3CE6">
      <w:pPr>
        <w:pStyle w:val="Point0letter"/>
        <w:numPr>
          <w:ilvl w:val="1"/>
          <w:numId w:val="4"/>
        </w:numPr>
        <w:rPr>
          <w:noProof/>
        </w:rPr>
      </w:pPr>
      <w:r w:rsidRPr="00E51EB2">
        <w:t xml:space="preserve">opis nacionalnega sistema za poročanje o politikah in ukrepih ter za poročanje o projekcijah antropogenih emisij toplogrednih plinov iz virov in po ponorih odvzetih toplogrednih plinov v skladu s členom 32(1) ali informacije o morebitnih spremembah navedenega sistema, kadar je bil takšen opis že predložen; </w:t>
      </w:r>
    </w:p>
    <w:p w:rsidR="00E0439A" w:rsidRPr="00E51EB2" w:rsidRDefault="005B3CE6">
      <w:pPr>
        <w:pStyle w:val="Point0letter"/>
        <w:rPr>
          <w:noProof/>
        </w:rPr>
      </w:pPr>
      <w:r w:rsidRPr="00E51EB2">
        <w:t>posodobitve v zvezi z dolgoročnimi strategijami za nizke emisije iz člena 14 ter informacije o napredku pri izvajanju teh strategij;</w:t>
      </w:r>
    </w:p>
    <w:p w:rsidR="00E0439A" w:rsidRPr="00E51EB2" w:rsidRDefault="005B3CE6">
      <w:pPr>
        <w:pStyle w:val="Point0letter"/>
        <w:rPr>
          <w:noProof/>
        </w:rPr>
      </w:pPr>
      <w:r w:rsidRPr="00E51EB2">
        <w:t xml:space="preserve">informacije o nacionalnih politikah in ukrepih ali skupinah ukrepov ter o izvajanju politik in ukrepov ali skupin ukrepov Unije, ki omejujejo ali zmanjšujejo emisije toplogrednih plinov iz virov ali povečujejo odvzemanje po ponorih, razčlenjene po sektorjih ter plinih ali skupinah plinov (HFC in PFC) iz dela 2 Priloge II. Te informacije se sklicujejo na veljavne in ustrezne nacionalne politike ali politike Unije in vključujejo: </w:t>
      </w:r>
    </w:p>
    <w:p w:rsidR="00E0439A" w:rsidRPr="00E51EB2" w:rsidRDefault="005B3CE6">
      <w:pPr>
        <w:pStyle w:val="Point1"/>
        <w:rPr>
          <w:noProof/>
        </w:rPr>
      </w:pPr>
      <w:r w:rsidRPr="00E51EB2">
        <w:t>(i)</w:t>
      </w:r>
      <w:r w:rsidRPr="00E51EB2">
        <w:tab/>
        <w:t>cilj politike ali ukrepa in kratek opis politike ali ukrepa;</w:t>
      </w:r>
    </w:p>
    <w:p w:rsidR="00E0439A" w:rsidRPr="00E51EB2" w:rsidRDefault="005B3CE6">
      <w:pPr>
        <w:pStyle w:val="Point1"/>
        <w:rPr>
          <w:noProof/>
        </w:rPr>
      </w:pPr>
      <w:r w:rsidRPr="00E51EB2">
        <w:t>(ii)</w:t>
      </w:r>
      <w:r w:rsidRPr="00E51EB2">
        <w:tab/>
        <w:t>vrsto instrumenta politike;</w:t>
      </w:r>
    </w:p>
    <w:p w:rsidR="00E0439A" w:rsidRPr="00E51EB2" w:rsidRDefault="005B3CE6">
      <w:pPr>
        <w:pStyle w:val="Point1"/>
        <w:rPr>
          <w:noProof/>
        </w:rPr>
      </w:pPr>
      <w:r w:rsidRPr="00E51EB2">
        <w:t>(iii)</w:t>
      </w:r>
      <w:r w:rsidRPr="00E51EB2">
        <w:tab/>
        <w:t>stanje izvajanja politike ali ukrepa ali skupine ukrepov;</w:t>
      </w:r>
    </w:p>
    <w:p w:rsidR="00E0439A" w:rsidRPr="00E51EB2" w:rsidRDefault="005B3CE6">
      <w:pPr>
        <w:pStyle w:val="Point1"/>
        <w:rPr>
          <w:noProof/>
        </w:rPr>
      </w:pPr>
      <w:r w:rsidRPr="00E51EB2">
        <w:t>(iv)</w:t>
      </w:r>
      <w:r w:rsidRPr="00E51EB2">
        <w:tab/>
        <w:t>kazalnike za spremljanje in ocenjevanje napredka v določenem obdobju;</w:t>
      </w:r>
    </w:p>
    <w:p w:rsidR="00E0439A" w:rsidRPr="00E51EB2" w:rsidRDefault="005B3CE6">
      <w:pPr>
        <w:pStyle w:val="Point1"/>
        <w:rPr>
          <w:noProof/>
        </w:rPr>
      </w:pPr>
      <w:r w:rsidRPr="00E51EB2">
        <w:t>(v)</w:t>
      </w:r>
      <w:r w:rsidRPr="00E51EB2">
        <w:tab/>
        <w:t xml:space="preserve">količinske ocene učinkov na emisije toplogrednih plinov iz virov in po ponorih odvzete toplogredne pline, razdeljene na: </w:t>
      </w:r>
    </w:p>
    <w:p w:rsidR="00E0439A" w:rsidRPr="00E51EB2" w:rsidRDefault="005B3CE6">
      <w:pPr>
        <w:pStyle w:val="Tiret2"/>
        <w:numPr>
          <w:ilvl w:val="0"/>
          <w:numId w:val="12"/>
        </w:numPr>
        <w:rPr>
          <w:noProof/>
        </w:rPr>
      </w:pPr>
      <w:r w:rsidRPr="00E51EB2">
        <w:t>rezultate predhodnih ocen učinkov posameznih politik in ukrepov ali skupin politik in ukrepov za blažitev podnebnih sprememb. Predložijo se ocene za zaporedna štiri prihodnja leta po letu poročanja, ki se končajo z 0 ali 5, pri čemer se razlikuje med emisijami toplogrednih plinov iz Direktive 2003/87/ES in tistimi iz Uredbe [ ] [ESR] in Uredbe [ ] [LULUCF];</w:t>
      </w:r>
    </w:p>
    <w:p w:rsidR="00E0439A" w:rsidRPr="00E51EB2" w:rsidRDefault="005B3CE6">
      <w:pPr>
        <w:pStyle w:val="Tiret2"/>
        <w:rPr>
          <w:noProof/>
        </w:rPr>
      </w:pPr>
      <w:r w:rsidRPr="00E51EB2">
        <w:t>če so na voljo, rezultate naknadnih ocen učinkov posameznih politik in ukrepov ali skupin politik in ukrepov za blažitev podnebnih sprememb, pri čemer se razlikuje med emisijami toplogrednih plinov iz Direktive 2003/87/ES, Uredbe [ ] [ESR] in Uredbe [ ] [LULUCF];</w:t>
      </w:r>
    </w:p>
    <w:p w:rsidR="00E0439A" w:rsidRPr="00E51EB2" w:rsidRDefault="005B3CE6">
      <w:pPr>
        <w:pStyle w:val="Point1"/>
        <w:rPr>
          <w:noProof/>
        </w:rPr>
      </w:pPr>
      <w:r w:rsidRPr="00E51EB2">
        <w:t>(vi)</w:t>
      </w:r>
      <w:r w:rsidRPr="00E51EB2">
        <w:tab/>
        <w:t>ocene predvidenih stroškov in koristi politik in ukrepov ter ocene dejanskih stroškov in koristi politik in ukrepov;</w:t>
      </w:r>
    </w:p>
    <w:p w:rsidR="00E0439A" w:rsidRPr="00E51EB2" w:rsidRDefault="005B3CE6">
      <w:pPr>
        <w:pStyle w:val="Point1"/>
        <w:rPr>
          <w:noProof/>
        </w:rPr>
      </w:pPr>
      <w:r w:rsidRPr="00E51EB2">
        <w:t>(vii)</w:t>
      </w:r>
      <w:r w:rsidRPr="00E51EB2">
        <w:tab/>
        <w:t xml:space="preserve">vsa sklicevanja na ocene stroškov in učinkov nacionalnih politik in ukrepov ter informacije o izvajanju politik in ukrepov Unije, ki omejujejo ali zmanjšujejo emisije toplogrednih plinov iz virov ali povečujejo odvzemanje po ponorih, ter na vsa tehnična poročila, na katerih te ocene temeljijo; </w:t>
      </w:r>
    </w:p>
    <w:p w:rsidR="00E0439A" w:rsidRPr="00E51EB2" w:rsidRDefault="005B3CE6">
      <w:pPr>
        <w:pStyle w:val="Point1"/>
        <w:rPr>
          <w:noProof/>
        </w:rPr>
      </w:pPr>
      <w:r w:rsidRPr="00E51EB2">
        <w:t>(viii)</w:t>
      </w:r>
      <w:r w:rsidRPr="00E51EB2">
        <w:tab/>
        <w:t>oceno prispevka politike ali ukrepa k doseganju dolgoročne strategije za nizke emisije iz člena 14;</w:t>
      </w:r>
    </w:p>
    <w:p w:rsidR="00E0439A" w:rsidRPr="00E51EB2" w:rsidRDefault="005B3CE6">
      <w:pPr>
        <w:pStyle w:val="Point0letter"/>
        <w:rPr>
          <w:noProof/>
        </w:rPr>
      </w:pPr>
      <w:r w:rsidRPr="00E51EB2">
        <w:t>informacije o načrtovanih dodatnih nacionalnih politikah in ukrepih, predvidenih za omejevanje emisij toplogrednih plinov, ki presegajo zaveze iz Uredbe [ ] [ESR] in Uredbe [ ] [LULUCF];</w:t>
      </w:r>
    </w:p>
    <w:p w:rsidR="00E0439A" w:rsidRPr="00E51EB2" w:rsidRDefault="005B3CE6">
      <w:pPr>
        <w:pStyle w:val="Point0letter"/>
        <w:rPr>
          <w:noProof/>
        </w:rPr>
      </w:pPr>
      <w:r w:rsidRPr="00E51EB2">
        <w:t>informacije o povezavah med različnimi politikami in ukrepi, o katerih se poroča v skladu s točko c, in o načinu, na katerega te politike in ukrepi prispevajo k različnim scenarijem projekcij.</w:t>
      </w:r>
    </w:p>
    <w:p w:rsidR="00E0439A" w:rsidRPr="00E51EB2" w:rsidRDefault="005B3CE6">
      <w:pPr>
        <w:pStyle w:val="Annexetitre"/>
        <w:rPr>
          <w:b w:val="0"/>
          <w:i/>
          <w:noProof/>
          <w:u w:val="none"/>
        </w:rPr>
      </w:pPr>
      <w:r w:rsidRPr="00E51EB2">
        <w:rPr>
          <w:b w:val="0"/>
          <w:i/>
          <w:noProof/>
          <w:u w:val="none"/>
        </w:rPr>
        <w:t>PRILOGA V</w:t>
      </w:r>
    </w:p>
    <w:p w:rsidR="00E0439A" w:rsidRPr="00E51EB2" w:rsidRDefault="005B3CE6">
      <w:pPr>
        <w:jc w:val="center"/>
        <w:rPr>
          <w:noProof/>
        </w:rPr>
      </w:pPr>
      <w:r w:rsidRPr="00E51EB2">
        <w:rPr>
          <w:b/>
          <w:noProof/>
        </w:rPr>
        <w:t>INFORMACIJE O PROJEKCIJAH NA PODROČJU EMISIJ TOPLOGREDNIH PLINOV</w:t>
      </w:r>
    </w:p>
    <w:p w:rsidR="00E0439A" w:rsidRPr="00E51EB2" w:rsidRDefault="005B3CE6">
      <w:pPr>
        <w:rPr>
          <w:rFonts w:eastAsia="Times New Roman"/>
          <w:noProof/>
          <w:color w:val="000000"/>
          <w:sz w:val="19"/>
          <w:szCs w:val="19"/>
        </w:rPr>
      </w:pPr>
      <w:r w:rsidRPr="00E51EB2">
        <w:t>Informacije, ki jih je treba navesti v poročilih iz člena 16:</w:t>
      </w:r>
    </w:p>
    <w:p w:rsidR="00E0439A" w:rsidRPr="00E51EB2" w:rsidRDefault="005B3CE6">
      <w:pPr>
        <w:pStyle w:val="Point0letter"/>
        <w:numPr>
          <w:ilvl w:val="1"/>
          <w:numId w:val="3"/>
        </w:numPr>
        <w:rPr>
          <w:noProof/>
        </w:rPr>
      </w:pPr>
      <w:r w:rsidRPr="00E51EB2">
        <w:t xml:space="preserve">projekcije brez ukrepov, če so te na voljo, projekcije z ukrepi in projekcije z dodatnimi ukrepi; </w:t>
      </w:r>
    </w:p>
    <w:p w:rsidR="00E0439A" w:rsidRPr="00E51EB2" w:rsidRDefault="005B3CE6">
      <w:pPr>
        <w:pStyle w:val="Point0letter"/>
        <w:rPr>
          <w:noProof/>
        </w:rPr>
      </w:pPr>
      <w:r w:rsidRPr="00E51EB2">
        <w:t xml:space="preserve">projekcije vseh emisij toplogrednih plinov in ločene ocene za projekcije emisij toplogrednih plinov za vire emisij iz Direktive 2003/87/ES in Uredbe [ ] [ESR] ter projekcije emisij iz virov in po ponorih odvzetih toplogrednih plinov v skladu z Uredbo [ ] [LULUCF]; </w:t>
      </w:r>
    </w:p>
    <w:p w:rsidR="00E0439A" w:rsidRPr="00E51EB2" w:rsidRDefault="005B3CE6">
      <w:pPr>
        <w:pStyle w:val="Point0letter"/>
        <w:rPr>
          <w:noProof/>
        </w:rPr>
      </w:pPr>
      <w:r w:rsidRPr="00E51EB2">
        <w:t xml:space="preserve">učinke politik in ukrepov iz člena 16(1)(a). Kadar takšne politike in ukrepi niso vključeni, je to jasno navedeno in obrazloženo; </w:t>
      </w:r>
    </w:p>
    <w:p w:rsidR="00E0439A" w:rsidRPr="00E51EB2" w:rsidRDefault="005B3CE6">
      <w:pPr>
        <w:pStyle w:val="Point0letter"/>
        <w:rPr>
          <w:noProof/>
        </w:rPr>
      </w:pPr>
      <w:r w:rsidRPr="00E51EB2">
        <w:t xml:space="preserve">rezultate analize občutljivosti, izvedene za projekcije, in informacije o uporabljenih modelih in parametrih; </w:t>
      </w:r>
    </w:p>
    <w:p w:rsidR="00E0439A" w:rsidRPr="00E51EB2" w:rsidRDefault="005B3CE6">
      <w:pPr>
        <w:pStyle w:val="Point0letter"/>
        <w:rPr>
          <w:noProof/>
        </w:rPr>
      </w:pPr>
      <w:r w:rsidRPr="00E51EB2">
        <w:t xml:space="preserve">vsa ustrezna sklicevanja na ocene in tehnična poročila, na katerih temeljijo projekcije iz člena 16(4). </w:t>
      </w:r>
    </w:p>
    <w:p w:rsidR="00E0439A" w:rsidRPr="00E51EB2" w:rsidRDefault="005B3CE6">
      <w:pPr>
        <w:pStyle w:val="Annexetitre"/>
        <w:rPr>
          <w:b w:val="0"/>
          <w:i/>
          <w:noProof/>
          <w:u w:val="none"/>
        </w:rPr>
      </w:pPr>
      <w:r w:rsidRPr="00E51EB2">
        <w:rPr>
          <w:b w:val="0"/>
          <w:i/>
          <w:noProof/>
          <w:u w:val="none"/>
        </w:rPr>
        <w:t>PRILOGA VI</w:t>
      </w:r>
    </w:p>
    <w:p w:rsidR="00E0439A" w:rsidRPr="00E51EB2" w:rsidRDefault="005B3CE6">
      <w:pPr>
        <w:jc w:val="center"/>
        <w:rPr>
          <w:noProof/>
        </w:rPr>
      </w:pPr>
      <w:r w:rsidRPr="00E51EB2">
        <w:rPr>
          <w:b/>
          <w:noProof/>
        </w:rPr>
        <w:t>INFORMACIJE O NACIONALNIH PRILAGODITVENIH UKREPIH, FINANČNI IN TEHNOLOŠKI PODPORI DRŽAVAM V RAZVOJU, PRIHODKIH Z DRAŽB</w:t>
      </w:r>
    </w:p>
    <w:p w:rsidR="00E0439A" w:rsidRPr="00E51EB2" w:rsidRDefault="005B3CE6">
      <w:pPr>
        <w:jc w:val="center"/>
        <w:rPr>
          <w:b/>
          <w:noProof/>
        </w:rPr>
      </w:pPr>
      <w:r w:rsidRPr="00E51EB2">
        <w:rPr>
          <w:b/>
        </w:rPr>
        <w:t>Del 1</w:t>
      </w:r>
    </w:p>
    <w:p w:rsidR="00E0439A" w:rsidRPr="00E51EB2" w:rsidRDefault="005B3CE6">
      <w:pPr>
        <w:jc w:val="center"/>
        <w:rPr>
          <w:i/>
          <w:noProof/>
        </w:rPr>
      </w:pPr>
      <w:r w:rsidRPr="00E51EB2">
        <w:rPr>
          <w:i/>
          <w:noProof/>
        </w:rPr>
        <w:t>Poročanje o prilagoditvi</w:t>
      </w:r>
    </w:p>
    <w:p w:rsidR="00E0439A" w:rsidRPr="00E51EB2" w:rsidRDefault="005B3CE6">
      <w:pPr>
        <w:pStyle w:val="NormalWeb"/>
        <w:rPr>
          <w:noProof/>
        </w:rPr>
      </w:pPr>
      <w:r w:rsidRPr="00E51EB2">
        <w:t>Informacije, ki jih je treba navesti v poročilih iz člena 17(1):</w:t>
      </w:r>
    </w:p>
    <w:p w:rsidR="00E0439A" w:rsidRPr="00E51EB2" w:rsidRDefault="005B3CE6">
      <w:pPr>
        <w:pStyle w:val="Point0letter"/>
        <w:numPr>
          <w:ilvl w:val="1"/>
          <w:numId w:val="34"/>
        </w:numPr>
        <w:rPr>
          <w:noProof/>
        </w:rPr>
      </w:pPr>
      <w:r w:rsidRPr="00E51EB2">
        <w:t>glavne splošne in posamezne cilje ter institucionalni okvir za prilagajanje;</w:t>
      </w:r>
    </w:p>
    <w:p w:rsidR="00E0439A" w:rsidRPr="00E51EB2" w:rsidRDefault="005B3CE6">
      <w:pPr>
        <w:pStyle w:val="Point0letter"/>
        <w:rPr>
          <w:noProof/>
        </w:rPr>
      </w:pPr>
      <w:r w:rsidRPr="00E51EB2">
        <w:t xml:space="preserve">projekcije podnebnih sprememb, vključno z izjemnimi vremenskimi pojavi, učinki podnebnih sprememb, oceno ranljivosti zaradi podnebnih sprememb ter tveganji in ključnimi podnebnimi nevarnostmi; </w:t>
      </w:r>
    </w:p>
    <w:p w:rsidR="00E0439A" w:rsidRPr="00E51EB2" w:rsidRDefault="005B3CE6">
      <w:pPr>
        <w:pStyle w:val="Point0letter"/>
        <w:rPr>
          <w:noProof/>
        </w:rPr>
      </w:pPr>
      <w:r w:rsidRPr="00E51EB2">
        <w:t>zmogljivost prilagajanja;</w:t>
      </w:r>
    </w:p>
    <w:p w:rsidR="00E0439A" w:rsidRPr="00E51EB2" w:rsidRDefault="005B3CE6">
      <w:pPr>
        <w:pStyle w:val="Point0letter"/>
        <w:rPr>
          <w:noProof/>
        </w:rPr>
      </w:pPr>
      <w:r w:rsidRPr="00E51EB2">
        <w:t>načrte in strategije za prilagajanje;</w:t>
      </w:r>
    </w:p>
    <w:p w:rsidR="00E0439A" w:rsidRPr="00E51EB2" w:rsidRDefault="005B3CE6">
      <w:pPr>
        <w:pStyle w:val="Point0letter"/>
        <w:rPr>
          <w:noProof/>
        </w:rPr>
      </w:pPr>
      <w:r w:rsidRPr="00E51EB2">
        <w:t>institucionalne okvire, vključno z vertikalnim in horizontalnim upravljanjem in usklajevanjem, sistemi spremljanja in ocenjevanja;</w:t>
      </w:r>
    </w:p>
    <w:p w:rsidR="00E0439A" w:rsidRPr="00E51EB2" w:rsidRDefault="005B3CE6">
      <w:pPr>
        <w:pStyle w:val="Point0letter"/>
        <w:rPr>
          <w:noProof/>
        </w:rPr>
      </w:pPr>
      <w:r w:rsidRPr="00E51EB2">
        <w:t>dosežen napredek pri izvajanju, vključno z dobrimi praksami in spremembami upravljanja.</w:t>
      </w:r>
    </w:p>
    <w:p w:rsidR="00E0439A" w:rsidRPr="00E51EB2" w:rsidRDefault="005B3CE6">
      <w:pPr>
        <w:jc w:val="center"/>
        <w:rPr>
          <w:b/>
          <w:noProof/>
        </w:rPr>
      </w:pPr>
      <w:r w:rsidRPr="00E51EB2">
        <w:rPr>
          <w:b/>
          <w:noProof/>
        </w:rPr>
        <w:t>Del 2</w:t>
      </w:r>
    </w:p>
    <w:p w:rsidR="00E0439A" w:rsidRPr="00E51EB2" w:rsidRDefault="005B3CE6">
      <w:pPr>
        <w:jc w:val="center"/>
        <w:rPr>
          <w:i/>
          <w:noProof/>
        </w:rPr>
      </w:pPr>
      <w:r w:rsidRPr="00E51EB2">
        <w:rPr>
          <w:i/>
          <w:noProof/>
        </w:rPr>
        <w:t>Poročanje o podpori državam v razvoju</w:t>
      </w:r>
    </w:p>
    <w:p w:rsidR="00E0439A" w:rsidRPr="00E51EB2" w:rsidRDefault="005B3CE6">
      <w:pPr>
        <w:rPr>
          <w:noProof/>
        </w:rPr>
      </w:pPr>
      <w:r w:rsidRPr="00E51EB2">
        <w:t>Informacije, ki jih je treba navesti v poročilih iz člena 17(2)(a):</w:t>
      </w:r>
    </w:p>
    <w:p w:rsidR="00E0439A" w:rsidRPr="00E51EB2" w:rsidRDefault="005B3CE6">
      <w:pPr>
        <w:pStyle w:val="Point0letter"/>
        <w:numPr>
          <w:ilvl w:val="1"/>
          <w:numId w:val="5"/>
        </w:numPr>
        <w:rPr>
          <w:noProof/>
        </w:rPr>
      </w:pPr>
      <w:r w:rsidRPr="00E51EB2">
        <w:t>informacije o finančni podpori, dodeljeni in posredovani državam v razvoju, za leto X – 1, vključno s:</w:t>
      </w:r>
    </w:p>
    <w:p w:rsidR="00E0439A" w:rsidRPr="00E51EB2" w:rsidRDefault="005B3CE6">
      <w:pPr>
        <w:pStyle w:val="Point1"/>
        <w:rPr>
          <w:noProof/>
        </w:rPr>
      </w:pPr>
      <w:r w:rsidRPr="00E51EB2">
        <w:t>(i)</w:t>
      </w:r>
      <w:r w:rsidRPr="00E51EB2">
        <w:tab/>
        <w:t>kvantitativnimi podatki o javnih in sproščenih finančnih sredstvih države članice. Informacije o finančnih tokovih naj bi temeljile na podlagi tako imenovanih „kazalnikov iz Ria“ za podporo za blažitev podnebnih sprememb in podporo za prilagajanje podnebnim spremembam ter drugih sistemov za sledenje, ki jih je uvedel odbor za razvojno pomoč pri OECD;</w:t>
      </w:r>
    </w:p>
    <w:p w:rsidR="00E0439A" w:rsidRPr="00E51EB2" w:rsidRDefault="005B3CE6">
      <w:pPr>
        <w:pStyle w:val="Point1"/>
        <w:rPr>
          <w:noProof/>
        </w:rPr>
      </w:pPr>
      <w:r w:rsidRPr="00E51EB2">
        <w:t>(ii)</w:t>
      </w:r>
      <w:r w:rsidRPr="00E51EB2">
        <w:tab/>
        <w:t>kvalitativnimi metodološkimi informacijami, ki pojasnjujejo metodo, uporabljeno za izračun kvantitativnih podatkov, vključno s pojasnilom metode za kvantificiranje podatkov in, kjer je primerno, tudi drugimi informacijami o opredelitvah in metodologijah, uporabljenih za določitev kakršnih koli zneskov, predvsem za sporočene informacije o mobiliziranih finančnih tokovih;</w:t>
      </w:r>
    </w:p>
    <w:p w:rsidR="00E0439A" w:rsidRPr="00E51EB2" w:rsidRDefault="005B3CE6">
      <w:pPr>
        <w:pStyle w:val="Point1"/>
        <w:rPr>
          <w:noProof/>
        </w:rPr>
      </w:pPr>
      <w:r w:rsidRPr="00E51EB2">
        <w:t>(iii)</w:t>
      </w:r>
      <w:r w:rsidRPr="00E51EB2">
        <w:tab/>
        <w:t>razpoložljivimi informacijami o dejavnostih države članice, povezanih s projekti za prenos tehnologije in projekti za krepitev zmogljivosti za države v razvoju, financiranimi iz javnih sredstev, na podlagi UNFCCC, vključno s podatkom, ali se je prenesena tehnologija ali projekt za krepitev zmogljivosti uporabil za blažitev ali prilagajanje učinkom podnebnih sprememb, državo prejemnico, višino zagotovljene podpore in vrsto prenesene tehnologije ali projekta za krepitev zmogljivosti;</w:t>
      </w:r>
    </w:p>
    <w:p w:rsidR="00E0439A" w:rsidRPr="00E51EB2" w:rsidRDefault="005B3CE6">
      <w:pPr>
        <w:pStyle w:val="Point0letter"/>
        <w:numPr>
          <w:ilvl w:val="1"/>
          <w:numId w:val="5"/>
        </w:numPr>
        <w:rPr>
          <w:noProof/>
        </w:rPr>
      </w:pPr>
      <w:r w:rsidRPr="00E51EB2">
        <w:t>informacije o načrtovani zagotovitvi podpore za leto X in naslednja leta, vključno z informacijami o načrtovanih dejavnostih, povezanih s projekti za prenos tehnologije in projekti za krepitev zmogljivosti za države v razvoju, financiranimi iz javnih sredstev, na podlagi UNFCCC ter o tehnologijah za prenos in projektih za krepitev zmogljivosti, vključno s podatkom, ali je prenesena tehnologija ali projekt za krepitev zmogljivosti namenjen blažitvi ali prilagajanju učinkom podnebnih sprememb, državo prejemnico, višino zagotovljene podpore in vrsto prenesene tehnologije ali projekta za krepitev zmogljivosti.</w:t>
      </w:r>
    </w:p>
    <w:p w:rsidR="00E0439A" w:rsidRPr="00E51EB2" w:rsidRDefault="005B3CE6">
      <w:pPr>
        <w:jc w:val="center"/>
        <w:rPr>
          <w:b/>
          <w:noProof/>
        </w:rPr>
      </w:pPr>
      <w:r w:rsidRPr="00E51EB2">
        <w:rPr>
          <w:b/>
          <w:noProof/>
        </w:rPr>
        <w:t>Del 3</w:t>
      </w:r>
    </w:p>
    <w:p w:rsidR="00E0439A" w:rsidRPr="00E51EB2" w:rsidRDefault="005B3CE6">
      <w:pPr>
        <w:jc w:val="center"/>
        <w:rPr>
          <w:i/>
          <w:noProof/>
        </w:rPr>
      </w:pPr>
      <w:r w:rsidRPr="00E51EB2">
        <w:rPr>
          <w:i/>
          <w:noProof/>
        </w:rPr>
        <w:t>Poročanje o prihodkih z dražb</w:t>
      </w:r>
    </w:p>
    <w:p w:rsidR="00E0439A" w:rsidRPr="00E51EB2" w:rsidRDefault="005B3CE6">
      <w:pPr>
        <w:rPr>
          <w:noProof/>
        </w:rPr>
      </w:pPr>
      <w:r w:rsidRPr="00E51EB2">
        <w:t>Informacije, ki jih je treba navesti v poročilih iz člena 17(2)(b):</w:t>
      </w:r>
    </w:p>
    <w:p w:rsidR="00E0439A" w:rsidRPr="00E51EB2" w:rsidRDefault="005B3CE6">
      <w:pPr>
        <w:pStyle w:val="Point0letter"/>
        <w:numPr>
          <w:ilvl w:val="1"/>
          <w:numId w:val="6"/>
        </w:numPr>
        <w:rPr>
          <w:noProof/>
        </w:rPr>
      </w:pPr>
      <w:r w:rsidRPr="00E51EB2">
        <w:t xml:space="preserve">informacije o uporabi prihodkov v letu X – 1, ki jih je država članica ustvarila s prodajo pravic na dražbi v skladu s členom 10(1) Direktive 2003/87/ES, vključno z informacijami o takem prihodku, ki je bil uporabljen za enega ali več namenov iz člena 10(3) navedene direktive, ali enakovredni finančni vrednosti tega prihodka ter ukrepih, sprejetih na podlagi navedenega člena; </w:t>
      </w:r>
    </w:p>
    <w:p w:rsidR="00E0439A" w:rsidRPr="00E51EB2" w:rsidRDefault="005B3CE6">
      <w:pPr>
        <w:pStyle w:val="Point0letter"/>
        <w:numPr>
          <w:ilvl w:val="1"/>
          <w:numId w:val="5"/>
        </w:numPr>
        <w:rPr>
          <w:noProof/>
        </w:rPr>
      </w:pPr>
      <w:r w:rsidRPr="00E51EB2">
        <w:t xml:space="preserve">informacije o uporabi, kot jo določijo države članice, vseh prihodkov, ki jih je država članica ustvarila s prodajo pravic za letalstvo na dražbi v skladu s členom 3d(1) ali (2) Direktive 2003/87/ES; te informacije se zagotovijo v skladu s členom 3d(4) navedene direktive. </w:t>
      </w:r>
    </w:p>
    <w:p w:rsidR="00E0439A" w:rsidRPr="00E51EB2" w:rsidRDefault="005B3CE6">
      <w:pPr>
        <w:rPr>
          <w:noProof/>
        </w:rPr>
      </w:pPr>
      <w:r w:rsidRPr="00E51EB2">
        <w:t>Prihodek z dražb, ki v času, ko država članica Komisiji predloži poročilo v skladu s členom 17(2)(b), ni izplačan, se količinsko opredeli in sporoči v poročilih za naslednja leta.</w:t>
      </w:r>
    </w:p>
    <w:p w:rsidR="00E0439A" w:rsidRPr="00E51EB2" w:rsidRDefault="005B3CE6">
      <w:pPr>
        <w:pStyle w:val="Annexetitre"/>
        <w:rPr>
          <w:b w:val="0"/>
          <w:i/>
          <w:noProof/>
          <w:u w:val="none"/>
        </w:rPr>
      </w:pPr>
      <w:r w:rsidRPr="00E51EB2">
        <w:rPr>
          <w:b w:val="0"/>
          <w:i/>
          <w:noProof/>
          <w:u w:val="none"/>
        </w:rPr>
        <w:t>PRILOGA VII</w:t>
      </w:r>
    </w:p>
    <w:p w:rsidR="00E0439A" w:rsidRPr="00E51EB2" w:rsidRDefault="005B3CE6">
      <w:pPr>
        <w:jc w:val="center"/>
        <w:rPr>
          <w:noProof/>
        </w:rPr>
      </w:pPr>
      <w:r w:rsidRPr="00E51EB2">
        <w:rPr>
          <w:b/>
          <w:noProof/>
        </w:rPr>
        <w:t>DODATNE OBVEZNOSTI POROČANJA</w:t>
      </w:r>
    </w:p>
    <w:p w:rsidR="00E0439A" w:rsidRPr="00E51EB2" w:rsidRDefault="005B3CE6">
      <w:pPr>
        <w:jc w:val="center"/>
        <w:rPr>
          <w:b/>
          <w:noProof/>
        </w:rPr>
      </w:pPr>
      <w:r w:rsidRPr="00E51EB2">
        <w:rPr>
          <w:b/>
          <w:noProof/>
        </w:rPr>
        <w:t>Del 1</w:t>
      </w:r>
    </w:p>
    <w:p w:rsidR="00E0439A" w:rsidRPr="00E51EB2" w:rsidRDefault="005B3CE6">
      <w:pPr>
        <w:jc w:val="center"/>
        <w:rPr>
          <w:i/>
          <w:noProof/>
        </w:rPr>
      </w:pPr>
      <w:r w:rsidRPr="00E51EB2">
        <w:rPr>
          <w:i/>
          <w:noProof/>
        </w:rPr>
        <w:t>Dodatne obveznosti poročanja na področju energije iz obnovljivih virov</w:t>
      </w:r>
    </w:p>
    <w:p w:rsidR="00E0439A" w:rsidRPr="00E51EB2" w:rsidRDefault="005B3CE6" w:rsidP="00071918">
      <w:pPr>
        <w:rPr>
          <w:b/>
          <w:noProof/>
          <w:sz w:val="28"/>
          <w:szCs w:val="28"/>
        </w:rPr>
      </w:pPr>
      <w:r w:rsidRPr="00E51EB2">
        <w:t>Če ni navedeno drugače, se v skladu s členom 18(</w:t>
      </w:r>
      <w:r w:rsidR="00071918" w:rsidRPr="00E51EB2">
        <w:t>c</w:t>
      </w:r>
      <w:r w:rsidRPr="00E51EB2">
        <w:t>) vključijo naslednje dodatne informacije:</w:t>
      </w:r>
    </w:p>
    <w:p w:rsidR="00E0439A" w:rsidRPr="00E51EB2" w:rsidRDefault="005B3CE6">
      <w:pPr>
        <w:pStyle w:val="Point0letter"/>
        <w:numPr>
          <w:ilvl w:val="1"/>
          <w:numId w:val="7"/>
        </w:numPr>
        <w:rPr>
          <w:noProof/>
        </w:rPr>
      </w:pPr>
      <w:r w:rsidRPr="00E51EB2">
        <w:t>o delovanju sistema potrdil o izvoru za električno energijo ter plin, ogrevanje in hlajenje iz obnovljivih virov energije, ravni izdaje in preklica potrdil o izvoru in posledični letni nacionalni porabi energije iz obnovljivih virov kot tudi sprejetih ukrepih zaradi zagotavljanja zanesljivosti in zaščite pred goljufijami v sistemu;</w:t>
      </w:r>
    </w:p>
    <w:p w:rsidR="00E0439A" w:rsidRPr="00E51EB2" w:rsidRDefault="005B3CE6">
      <w:pPr>
        <w:pStyle w:val="Point0letter"/>
        <w:rPr>
          <w:noProof/>
        </w:rPr>
      </w:pPr>
      <w:r w:rsidRPr="00E51EB2">
        <w:t>agregirane informacije iz nacionalnih podatkovnih zbirk iz člena 25(4) [</w:t>
      </w:r>
      <w:r w:rsidR="00C40218" w:rsidRPr="00E51EB2">
        <w:t>prenovitev Direktive 2009/28/ES, kot je predlagano s COM(2016) 767</w:t>
      </w:r>
      <w:r w:rsidRPr="00E51EB2">
        <w:t>] o biogorivih, b</w:t>
      </w:r>
      <w:r w:rsidR="00CD5D08" w:rsidRPr="00E51EB2">
        <w:t>i</w:t>
      </w:r>
      <w:r w:rsidRPr="00E51EB2">
        <w:t>oplinih, proizvedenih iz surovin, naštetih v Prilogi IX k [</w:t>
      </w:r>
      <w:r w:rsidR="00C40218" w:rsidRPr="00E51EB2">
        <w:t>prenovitev Direktive 2009/28/ES, kot je predlagano s COM(2016) 767</w:t>
      </w:r>
      <w:r w:rsidRPr="00E51EB2">
        <w:t>], gorivih nebiološkega izvora iz obnovljivih virov, namenjenih uporabi v prometu, fosilnih gorivih na podlagi odpadkov in električni energiji, ki so jih dali na trg dobavitelji goriva, vključno s podatki o vrsti goriv, njihovi energijski vsebnosti in, če je primerno, njihovi osnovni surovini in, če je ustrezno, prihranku emisij toplogrednih plinov; če nacionalna podatkovna zbirka ne vsebuje dejanskih vrednosti, lahko države članice uporabijo značilne vrednosti ali, če je ustrezno, privzete vrednosti iz dela A in dela B Priloge V</w:t>
      </w:r>
      <w:r w:rsidR="00071918" w:rsidRPr="00E51EB2">
        <w:t xml:space="preserve"> in dela A Priloge VI</w:t>
      </w:r>
      <w:r w:rsidRPr="00E51EB2">
        <w:t xml:space="preserve"> k [</w:t>
      </w:r>
      <w:r w:rsidR="00C40218" w:rsidRPr="00E51EB2">
        <w:t>prenovitev Direktive 2009/28/ES, kot je predlagano s COM(2016) 767</w:t>
      </w:r>
      <w:r w:rsidRPr="00E51EB2">
        <w:t>];</w:t>
      </w:r>
    </w:p>
    <w:p w:rsidR="00E0439A" w:rsidRPr="00E51EB2" w:rsidRDefault="005B3CE6">
      <w:pPr>
        <w:pStyle w:val="Point0letter"/>
        <w:rPr>
          <w:noProof/>
        </w:rPr>
      </w:pPr>
      <w:r w:rsidRPr="00E51EB2">
        <w:t>razvoj glede razpoložljivosti, izvora in uporabe biomasnih virov za energetske namene;</w:t>
      </w:r>
    </w:p>
    <w:p w:rsidR="00E0439A" w:rsidRPr="00E51EB2" w:rsidRDefault="005B3CE6">
      <w:pPr>
        <w:pStyle w:val="Point0letter"/>
        <w:rPr>
          <w:noProof/>
        </w:rPr>
      </w:pPr>
      <w:r w:rsidRPr="00E51EB2">
        <w:t>spremembe cen surovin in spremembe rabe zemljišč v državi članici, ki so povezane z njeno večjo uporabo biomase in drugih oblik energije iz obnovljivih virov;</w:t>
      </w:r>
    </w:p>
    <w:p w:rsidR="00E0439A" w:rsidRPr="00E51EB2" w:rsidRDefault="005B3CE6" w:rsidP="00071918">
      <w:pPr>
        <w:pStyle w:val="Point0letter"/>
        <w:rPr>
          <w:noProof/>
        </w:rPr>
      </w:pPr>
      <w:r w:rsidRPr="00E51EB2">
        <w:t xml:space="preserve">ocenjeni presežek pri proizvodnji energije iz obnovljivih virov, ki bi se lahko prenesel v druge države članice, tako da bi te zagotovile skladnost z odstavkom </w:t>
      </w:r>
      <w:r w:rsidR="00071918" w:rsidRPr="00E51EB2">
        <w:t>3</w:t>
      </w:r>
      <w:r w:rsidRPr="00E51EB2">
        <w:t xml:space="preserve"> člena 3 [</w:t>
      </w:r>
      <w:r w:rsidR="00C40218" w:rsidRPr="00E51EB2">
        <w:t>prenovitev Direktive 2009/28/ES, kot je predlagano s COM(2016) 767</w:t>
      </w:r>
      <w:r w:rsidRPr="00E51EB2">
        <w:t>] ter dosegle nacionalni prispevek in začrtane poteke iz točke (a)(2)</w:t>
      </w:r>
      <w:r w:rsidR="00071918" w:rsidRPr="00E51EB2">
        <w:t>(i)</w:t>
      </w:r>
      <w:r w:rsidRPr="00E51EB2">
        <w:t xml:space="preserve"> člena </w:t>
      </w:r>
      <w:r w:rsidR="00071918" w:rsidRPr="00E51EB2">
        <w:t>4</w:t>
      </w:r>
      <w:r w:rsidRPr="00E51EB2">
        <w:t>;</w:t>
      </w:r>
    </w:p>
    <w:p w:rsidR="00E0439A" w:rsidRPr="00E51EB2" w:rsidRDefault="005B3CE6">
      <w:pPr>
        <w:pStyle w:val="Point0letter"/>
        <w:rPr>
          <w:noProof/>
        </w:rPr>
      </w:pPr>
      <w:r w:rsidRPr="00E51EB2">
        <w:t>ocenjeno povpraševanje po energiji iz obnovljivih virov, ki ni proizvedena doma, in sicer do leta 2030, vključno z uvoženimi surovinami za biomaso;</w:t>
      </w:r>
    </w:p>
    <w:p w:rsidR="00E0439A" w:rsidRPr="00E51EB2" w:rsidRDefault="005B3CE6">
      <w:pPr>
        <w:pStyle w:val="Point0letter"/>
        <w:rPr>
          <w:noProof/>
        </w:rPr>
      </w:pPr>
      <w:r w:rsidRPr="00E51EB2">
        <w:t>razvoj in delež biogoriv, proizvedenih iz surovin, navedenih v Prilogi IX k [</w:t>
      </w:r>
      <w:r w:rsidR="00C40218" w:rsidRPr="00E51EB2">
        <w:t>prenovitev Direktive 2009/28/ES, kot je predlagano s COM(2016) 767</w:t>
      </w:r>
      <w:r w:rsidRPr="00E51EB2">
        <w:t>], vključno z oceno virov s poudarkom na vidikih trajnosti v zvezi z učinkom nadomestitve prehranskih proizvodov in krme za proizvodnjo biogoriva, ob ustreznem upoštevanju načel hierarhije ravnanja z odpadki, vzpostavljene v Direktivi 2008/98/ES, in načela kaskadne uporabe biomase ter regionalnih in lokalnih ekonomskih in tehnoloških okoliščin, ohranitve potrebne zaloge ogljika v zemlji ter kakovosti zemlje in ekosistemov;</w:t>
      </w:r>
    </w:p>
    <w:p w:rsidR="00E0439A" w:rsidRPr="00E51EB2" w:rsidRDefault="005B3CE6">
      <w:pPr>
        <w:pStyle w:val="Point0letter"/>
        <w:rPr>
          <w:noProof/>
        </w:rPr>
      </w:pPr>
      <w:r w:rsidRPr="00E51EB2">
        <w:t>ocenjeni učinek proizvodnje ali uporabe biogoriv, tekočih biogoriv in goriv iz biomase na biotsko raznovrstnost, vodne vire, razpoložljivost in kakovost vode, zemlje in zraka v državi članici;</w:t>
      </w:r>
    </w:p>
    <w:p w:rsidR="00E0439A" w:rsidRPr="00E51EB2" w:rsidRDefault="005B3CE6">
      <w:pPr>
        <w:pStyle w:val="Point0letter"/>
        <w:rPr>
          <w:noProof/>
        </w:rPr>
      </w:pPr>
      <w:r w:rsidRPr="00E51EB2">
        <w:t>tveganja ali ugotovljeni primeri v nadzorni verigi biogoriv, tekočih biogoriv in goriv iz biomase;</w:t>
      </w:r>
    </w:p>
    <w:p w:rsidR="00E0439A" w:rsidRPr="00E51EB2" w:rsidRDefault="005B3CE6">
      <w:pPr>
        <w:pStyle w:val="Point0letter"/>
        <w:rPr>
          <w:noProof/>
        </w:rPr>
      </w:pPr>
      <w:r w:rsidRPr="00E51EB2">
        <w:t>informacije o tem, kako je ocenjen delež biološko razgradljivih odpadkov v odpadkih, uporabljenih za proizvodnjo energije, ter kaj je storjeno za izboljšanje in preverjanje takšnih ocen;</w:t>
      </w:r>
    </w:p>
    <w:p w:rsidR="00E0439A" w:rsidRPr="00E51EB2" w:rsidRDefault="005B3CE6">
      <w:pPr>
        <w:pStyle w:val="Point0letter"/>
        <w:rPr>
          <w:noProof/>
        </w:rPr>
      </w:pPr>
      <w:r w:rsidRPr="00E51EB2">
        <w:t>proizvodnja električne energije in toplote iz energije iz obnovljivih virov v stavbah (kot so opredeljene v členu 2(1) Direktive 2010/31/EU). To vključuje razčlenjene podatke o energiji, ki je bila proizvedena, porabljena in poslana v omrežje iz sončnih fotonapetostnih sistemov, sončnih toplotnih sistemov, sistemov na biomaso, toplotnih črpalk, geotermalnih sistemov kot tudi vseh drugih decentraliziranih sistemov na obnovljive vire;</w:t>
      </w:r>
    </w:p>
    <w:p w:rsidR="00E0439A" w:rsidRPr="00E51EB2" w:rsidRDefault="005B3CE6">
      <w:pPr>
        <w:pStyle w:val="Point0letter"/>
        <w:rPr>
          <w:noProof/>
        </w:rPr>
      </w:pPr>
      <w:r w:rsidRPr="00E51EB2">
        <w:t>če je ustrezno, delež biogoriv na osnovi hrane in naprednih biogoriv, delež energije iz obnovljivih virov v daljinskem ogrevanju kot tudi energije iz obnovljivih virov, ki jo proizvedejo mesta in energetske skupnosti, kot je opredeljeno v členu 22 [</w:t>
      </w:r>
      <w:r w:rsidR="00C40218" w:rsidRPr="00E51EB2">
        <w:t>prenovitev Direktive 2009/28/ES, kot je predlagano s COM(2016) 767</w:t>
      </w:r>
      <w:r w:rsidRPr="00E51EB2">
        <w:t>];</w:t>
      </w:r>
    </w:p>
    <w:p w:rsidR="00E0439A" w:rsidRPr="00E51EB2" w:rsidRDefault="005B3CE6">
      <w:pPr>
        <w:pStyle w:val="Point0letter"/>
        <w:rPr>
          <w:noProof/>
        </w:rPr>
      </w:pPr>
      <w:r w:rsidRPr="00E51EB2">
        <w:t>primarna dobava trdne biomase (v 1000 m3, razen za 1)b)iii) v tonah)</w:t>
      </w:r>
    </w:p>
    <w:p w:rsidR="00E0439A" w:rsidRPr="00E51EB2" w:rsidRDefault="005B3CE6">
      <w:pPr>
        <w:pStyle w:val="Point1number"/>
        <w:rPr>
          <w:noProof/>
        </w:rPr>
      </w:pPr>
      <w:r w:rsidRPr="00E51EB2">
        <w:t xml:space="preserve">gozdna biomasa, ki se uporablja za pridobivanje energije (domača proizvodnja, uvoz in izvoz) </w:t>
      </w:r>
    </w:p>
    <w:p w:rsidR="00E0439A" w:rsidRPr="00E51EB2" w:rsidRDefault="005B3CE6">
      <w:pPr>
        <w:pStyle w:val="Point2letter"/>
        <w:rPr>
          <w:noProof/>
        </w:rPr>
      </w:pPr>
      <w:r w:rsidRPr="00E51EB2">
        <w:t>primarna biomasa iz gozda, ki se neposredno uporablja za pridobivanje energije</w:t>
      </w:r>
    </w:p>
    <w:p w:rsidR="00E0439A" w:rsidRPr="00E51EB2" w:rsidRDefault="005B3CE6">
      <w:pPr>
        <w:pStyle w:val="Point3"/>
        <w:rPr>
          <w:noProof/>
        </w:rPr>
      </w:pPr>
      <w:r w:rsidRPr="00E51EB2">
        <w:t>i)</w:t>
      </w:r>
      <w:r w:rsidRPr="00E51EB2">
        <w:tab/>
        <w:t>veje in vrhovi drev</w:t>
      </w:r>
      <w:r w:rsidR="00965DA3" w:rsidRPr="00E51EB2">
        <w:t>es (poročanje je prostovoljno)</w:t>
      </w:r>
    </w:p>
    <w:p w:rsidR="00E0439A" w:rsidRPr="00E51EB2" w:rsidRDefault="005B3CE6">
      <w:pPr>
        <w:pStyle w:val="Point3"/>
        <w:rPr>
          <w:noProof/>
        </w:rPr>
      </w:pPr>
      <w:r w:rsidRPr="00E51EB2">
        <w:t>ii)</w:t>
      </w:r>
      <w:r w:rsidRPr="00E51EB2">
        <w:tab/>
        <w:t>štori (poročanje je prostovoljno)</w:t>
      </w:r>
    </w:p>
    <w:p w:rsidR="00E0439A" w:rsidRPr="00E51EB2" w:rsidRDefault="005B3CE6">
      <w:pPr>
        <w:pStyle w:val="Point3"/>
      </w:pPr>
      <w:r w:rsidRPr="00E51EB2">
        <w:t>iii)</w:t>
      </w:r>
      <w:r w:rsidRPr="00E51EB2">
        <w:tab/>
        <w:t xml:space="preserve">hlodovina (ki se deli na okrogel industrijski les in les za kurjavo) </w:t>
      </w:r>
    </w:p>
    <w:p w:rsidR="00E0439A" w:rsidRPr="00E51EB2" w:rsidRDefault="005B3CE6">
      <w:pPr>
        <w:pStyle w:val="Point2letter"/>
        <w:rPr>
          <w:noProof/>
        </w:rPr>
      </w:pPr>
      <w:r w:rsidRPr="00E51EB2">
        <w:t xml:space="preserve">soproizvodi gozdarskega sektorja, ki se neposredno uporabljajo za pridobivanje energije </w:t>
      </w:r>
    </w:p>
    <w:p w:rsidR="00E0439A" w:rsidRPr="00E51EB2" w:rsidRDefault="005B3CE6">
      <w:pPr>
        <w:pStyle w:val="Point3"/>
        <w:rPr>
          <w:noProof/>
        </w:rPr>
      </w:pPr>
      <w:r w:rsidRPr="00E51EB2">
        <w:t>i)</w:t>
      </w:r>
      <w:r w:rsidRPr="00E51EB2">
        <w:tab/>
        <w:t>lubje (poročanje je prostovoljno)</w:t>
      </w:r>
    </w:p>
    <w:p w:rsidR="00E0439A" w:rsidRPr="00E51EB2" w:rsidRDefault="005B3CE6">
      <w:pPr>
        <w:pStyle w:val="Point3"/>
        <w:rPr>
          <w:noProof/>
        </w:rPr>
      </w:pPr>
      <w:r w:rsidRPr="00E51EB2">
        <w:t>ii)</w:t>
      </w:r>
      <w:r w:rsidRPr="00E51EB2">
        <w:tab/>
        <w:t>sekanci, žagovina in drugi lesni delci</w:t>
      </w:r>
    </w:p>
    <w:p w:rsidR="00E0439A" w:rsidRPr="00E51EB2" w:rsidRDefault="005B3CE6">
      <w:pPr>
        <w:pStyle w:val="Point3"/>
        <w:rPr>
          <w:noProof/>
        </w:rPr>
      </w:pPr>
      <w:r w:rsidRPr="00E51EB2">
        <w:t>iii)</w:t>
      </w:r>
      <w:r w:rsidRPr="00E51EB2">
        <w:tab/>
        <w:t>črna lužina in surovo talovo olje</w:t>
      </w:r>
    </w:p>
    <w:p w:rsidR="00E0439A" w:rsidRPr="00E51EB2" w:rsidRDefault="005B3CE6">
      <w:pPr>
        <w:pStyle w:val="Point2letter"/>
        <w:rPr>
          <w:noProof/>
        </w:rPr>
      </w:pPr>
      <w:r w:rsidRPr="00E51EB2">
        <w:t>že uporabljen les, ki se neposredno uporablja za pridobivanje energije</w:t>
      </w:r>
    </w:p>
    <w:p w:rsidR="00E0439A" w:rsidRPr="00E51EB2" w:rsidRDefault="005B3CE6">
      <w:pPr>
        <w:pStyle w:val="Point2letter"/>
        <w:rPr>
          <w:noProof/>
        </w:rPr>
      </w:pPr>
      <w:r w:rsidRPr="00E51EB2">
        <w:t xml:space="preserve">predelano gorivo na osnovi lesa, proizvedeno iz surovin, ki niso vključene v točke 1a), 1b) ali 1c): </w:t>
      </w:r>
    </w:p>
    <w:p w:rsidR="00E0439A" w:rsidRPr="00E51EB2" w:rsidRDefault="005B3CE6">
      <w:pPr>
        <w:pStyle w:val="Point3"/>
        <w:rPr>
          <w:noProof/>
        </w:rPr>
      </w:pPr>
      <w:r w:rsidRPr="00E51EB2">
        <w:t>i)</w:t>
      </w:r>
      <w:r w:rsidRPr="00E51EB2">
        <w:tab/>
        <w:t>lesno oglje</w:t>
      </w:r>
    </w:p>
    <w:p w:rsidR="00E0439A" w:rsidRPr="00E51EB2" w:rsidRDefault="005B3CE6">
      <w:pPr>
        <w:pStyle w:val="Point3"/>
        <w:rPr>
          <w:noProof/>
        </w:rPr>
      </w:pPr>
      <w:r w:rsidRPr="00E51EB2">
        <w:t>ii)</w:t>
      </w:r>
      <w:r w:rsidRPr="00E51EB2">
        <w:tab/>
        <w:t>lesni peleti in lesni briketi</w:t>
      </w:r>
    </w:p>
    <w:p w:rsidR="00E0439A" w:rsidRPr="00E51EB2" w:rsidRDefault="005B3CE6">
      <w:pPr>
        <w:pStyle w:val="Point1number"/>
        <w:rPr>
          <w:noProof/>
        </w:rPr>
      </w:pPr>
      <w:r w:rsidRPr="00E51EB2">
        <w:t>kmetijska biomasa, ki se uporablja za pridobivanje energije (domača proizvodnja, uvoz in izvoz)</w:t>
      </w:r>
    </w:p>
    <w:p w:rsidR="00E0439A" w:rsidRPr="00E51EB2" w:rsidRDefault="005B3CE6">
      <w:pPr>
        <w:pStyle w:val="Point2letter"/>
        <w:rPr>
          <w:noProof/>
        </w:rPr>
      </w:pPr>
      <w:r w:rsidRPr="00E51EB2">
        <w:t>energijske poljščine za električno energijo ali toploto (vključno s panjevci s kratko obhodnjo)</w:t>
      </w:r>
    </w:p>
    <w:p w:rsidR="00E0439A" w:rsidRPr="00E51EB2" w:rsidRDefault="005B3CE6">
      <w:pPr>
        <w:pStyle w:val="Point2letter"/>
        <w:rPr>
          <w:noProof/>
        </w:rPr>
      </w:pPr>
      <w:r w:rsidRPr="00E51EB2">
        <w:t>ostanki kmetijskih pridelkov za električno energijo ali toploto</w:t>
      </w:r>
    </w:p>
    <w:p w:rsidR="00E0439A" w:rsidRPr="00E51EB2" w:rsidRDefault="005B3CE6">
      <w:pPr>
        <w:pStyle w:val="Point1number"/>
        <w:rPr>
          <w:noProof/>
        </w:rPr>
      </w:pPr>
      <w:r w:rsidRPr="00E51EB2">
        <w:t xml:space="preserve">biomasa iz organskih odpadkov za pridobivanje energije (domača proizvodnja, uvoz in izvoz) </w:t>
      </w:r>
    </w:p>
    <w:p w:rsidR="00E0439A" w:rsidRPr="00E51EB2" w:rsidRDefault="005B3CE6">
      <w:pPr>
        <w:pStyle w:val="Point2letter"/>
        <w:rPr>
          <w:noProof/>
        </w:rPr>
      </w:pPr>
      <w:r w:rsidRPr="00E51EB2">
        <w:t>organske frakcije industrijskih odpadkov</w:t>
      </w:r>
    </w:p>
    <w:p w:rsidR="00E0439A" w:rsidRPr="00E51EB2" w:rsidRDefault="005B3CE6">
      <w:pPr>
        <w:pStyle w:val="Point2letter"/>
        <w:rPr>
          <w:noProof/>
        </w:rPr>
      </w:pPr>
      <w:r w:rsidRPr="00E51EB2">
        <w:t>organske frakcije komunalnih odpadkov</w:t>
      </w:r>
    </w:p>
    <w:p w:rsidR="00E0439A" w:rsidRPr="00E51EB2" w:rsidRDefault="005B3CE6">
      <w:pPr>
        <w:pStyle w:val="Point2letter"/>
        <w:rPr>
          <w:noProof/>
        </w:rPr>
      </w:pPr>
      <w:r w:rsidRPr="00E51EB2">
        <w:t>odpadni mulji</w:t>
      </w:r>
    </w:p>
    <w:p w:rsidR="00E0439A" w:rsidRPr="00E51EB2" w:rsidRDefault="005B3CE6">
      <w:pPr>
        <w:pStyle w:val="Point0letter"/>
        <w:rPr>
          <w:noProof/>
        </w:rPr>
      </w:pPr>
      <w:r w:rsidRPr="00E51EB2">
        <w:t>poraba končne energije iz trdne biomase (količine trdne biomase, ki se uporablja za pridobivanje energije v naslednjih sektorjih):</w:t>
      </w:r>
    </w:p>
    <w:p w:rsidR="00E0439A" w:rsidRPr="00E51EB2" w:rsidRDefault="005B3CE6">
      <w:pPr>
        <w:pStyle w:val="Point1number"/>
        <w:numPr>
          <w:ilvl w:val="2"/>
          <w:numId w:val="38"/>
        </w:numPr>
        <w:rPr>
          <w:noProof/>
        </w:rPr>
      </w:pPr>
      <w:r w:rsidRPr="00E51EB2">
        <w:t>energetski sektor</w:t>
      </w:r>
    </w:p>
    <w:p w:rsidR="00E0439A" w:rsidRPr="00E51EB2" w:rsidRDefault="005B3CE6">
      <w:pPr>
        <w:pStyle w:val="Point2letter"/>
        <w:rPr>
          <w:noProof/>
        </w:rPr>
      </w:pPr>
      <w:r w:rsidRPr="00E51EB2">
        <w:t>električna energija</w:t>
      </w:r>
    </w:p>
    <w:p w:rsidR="00E0439A" w:rsidRPr="00E51EB2" w:rsidRDefault="005B3CE6">
      <w:pPr>
        <w:pStyle w:val="Point2letter"/>
        <w:rPr>
          <w:noProof/>
        </w:rPr>
      </w:pPr>
      <w:r w:rsidRPr="00E51EB2">
        <w:t>soproizvodnja toplote in električne energije</w:t>
      </w:r>
    </w:p>
    <w:p w:rsidR="00E0439A" w:rsidRPr="00E51EB2" w:rsidRDefault="005B3CE6">
      <w:pPr>
        <w:pStyle w:val="Point2letter"/>
        <w:rPr>
          <w:noProof/>
        </w:rPr>
      </w:pPr>
      <w:r w:rsidRPr="00E51EB2">
        <w:t xml:space="preserve">toplota </w:t>
      </w:r>
    </w:p>
    <w:p w:rsidR="00E0439A" w:rsidRPr="00E51EB2" w:rsidRDefault="005B3CE6">
      <w:pPr>
        <w:pStyle w:val="Point1number"/>
        <w:rPr>
          <w:noProof/>
        </w:rPr>
      </w:pPr>
      <w:r w:rsidRPr="00E51EB2">
        <w:t>industrijski sektor, notranja poraba (porabljena in samoproizvedena električna energija, SPTE in toplota)</w:t>
      </w:r>
    </w:p>
    <w:p w:rsidR="00E0439A" w:rsidRPr="00E51EB2" w:rsidRDefault="005B3CE6">
      <w:pPr>
        <w:pStyle w:val="Point1number"/>
        <w:rPr>
          <w:noProof/>
        </w:rPr>
      </w:pPr>
      <w:r w:rsidRPr="00E51EB2">
        <w:t>neposredna končna poraba v stanovanjskem sektorju</w:t>
      </w:r>
    </w:p>
    <w:p w:rsidR="00E0439A" w:rsidRPr="00E51EB2" w:rsidRDefault="005B3CE6">
      <w:pPr>
        <w:pStyle w:val="Point1number"/>
        <w:rPr>
          <w:noProof/>
        </w:rPr>
      </w:pPr>
      <w:r w:rsidRPr="00E51EB2">
        <w:t>drugo</w:t>
      </w:r>
    </w:p>
    <w:p w:rsidR="00E0439A" w:rsidRPr="00E51EB2" w:rsidRDefault="00E0439A">
      <w:pPr>
        <w:rPr>
          <w:noProof/>
        </w:rPr>
      </w:pPr>
    </w:p>
    <w:p w:rsidR="00E0439A" w:rsidRPr="00E51EB2" w:rsidRDefault="005B3CE6">
      <w:pPr>
        <w:jc w:val="center"/>
        <w:rPr>
          <w:b/>
          <w:noProof/>
          <w:szCs w:val="24"/>
        </w:rPr>
      </w:pPr>
      <w:r w:rsidRPr="00E51EB2">
        <w:rPr>
          <w:b/>
          <w:noProof/>
        </w:rPr>
        <w:t>Del 2</w:t>
      </w:r>
    </w:p>
    <w:p w:rsidR="00E0439A" w:rsidRPr="00E51EB2" w:rsidRDefault="005B3CE6">
      <w:pPr>
        <w:jc w:val="center"/>
        <w:rPr>
          <w:i/>
          <w:noProof/>
          <w:szCs w:val="24"/>
        </w:rPr>
      </w:pPr>
      <w:r w:rsidRPr="00E51EB2">
        <w:rPr>
          <w:i/>
          <w:noProof/>
        </w:rPr>
        <w:t>Dodatne obveznosti poročanja na področju energijske učinkovitosti</w:t>
      </w:r>
    </w:p>
    <w:p w:rsidR="00E0439A" w:rsidRPr="00E51EB2" w:rsidRDefault="005B3CE6">
      <w:pPr>
        <w:rPr>
          <w:b/>
          <w:noProof/>
          <w:szCs w:val="24"/>
        </w:rPr>
      </w:pPr>
      <w:r w:rsidRPr="00E51EB2">
        <w:t>Na področju energijske učinkovitosti se v skladu s členom 19(c) vključijo naslednje dodatne informacije:</w:t>
      </w:r>
    </w:p>
    <w:p w:rsidR="00E0439A" w:rsidRPr="00E51EB2" w:rsidRDefault="005B3CE6">
      <w:pPr>
        <w:pStyle w:val="Point0letter"/>
        <w:numPr>
          <w:ilvl w:val="1"/>
          <w:numId w:val="35"/>
        </w:numPr>
        <w:rPr>
          <w:noProof/>
        </w:rPr>
      </w:pPr>
      <w:r w:rsidRPr="00E51EB2">
        <w:t>glavne zakonodajne in nezakonodajne politike, ukrepi, ukrepi financiranja in programi, izvedeni v letu X – 2 in X – 1 (X pomeni leto, ko je treba predložiti poročilo) z namenom doseči cilje, določene v členu 4(b), ki spodbujajo trge energetskih storitev, boljšo energ</w:t>
      </w:r>
      <w:r w:rsidR="00965DA3" w:rsidRPr="00E51EB2">
        <w:t>ij</w:t>
      </w:r>
      <w:r w:rsidRPr="00E51EB2">
        <w:t>sko učinkovitost stavb, ukrepe za izkoriščanje potenciala energ</w:t>
      </w:r>
      <w:r w:rsidR="00965DA3" w:rsidRPr="00E51EB2">
        <w:t>ij</w:t>
      </w:r>
      <w:r w:rsidRPr="00E51EB2">
        <w:t>ske učinkovitosti plinske in električne infrastrukture ter ogrevanja in hlajenja, boljše obveščanje in kvalifikacije, drugi ukrepi za spodbujanje energ</w:t>
      </w:r>
      <w:r w:rsidR="00965DA3" w:rsidRPr="00E51EB2">
        <w:t>ij</w:t>
      </w:r>
      <w:r w:rsidRPr="00E51EB2">
        <w:t>ske učinkovitosti;</w:t>
      </w:r>
    </w:p>
    <w:p w:rsidR="00E0439A" w:rsidRPr="00E51EB2" w:rsidRDefault="005B3CE6" w:rsidP="00002706">
      <w:pPr>
        <w:pStyle w:val="Point0letter"/>
        <w:rPr>
          <w:noProof/>
          <w:szCs w:val="24"/>
        </w:rPr>
      </w:pPr>
      <w:r w:rsidRPr="00E51EB2">
        <w:t>prihrank</w:t>
      </w:r>
      <w:r w:rsidR="00965DA3" w:rsidRPr="00E51EB2">
        <w:t>i</w:t>
      </w:r>
      <w:r w:rsidRPr="00E51EB2">
        <w:t xml:space="preserve"> energij</w:t>
      </w:r>
      <w:r w:rsidR="00965DA3" w:rsidRPr="00E51EB2">
        <w:t>i</w:t>
      </w:r>
      <w:r w:rsidRPr="00E51EB2">
        <w:t>, dosežen</w:t>
      </w:r>
      <w:r w:rsidR="00965DA3" w:rsidRPr="00E51EB2">
        <w:t>i</w:t>
      </w:r>
      <w:r w:rsidRPr="00E51EB2">
        <w:t xml:space="preserve"> na podlagi člena 7 Direktive 2012/27/EU [</w:t>
      </w:r>
      <w:r w:rsidR="00002706" w:rsidRPr="00E51EB2">
        <w:t>različica, kakor</w:t>
      </w:r>
      <w:r w:rsidRPr="00E51EB2">
        <w:t xml:space="preserve"> je bila spremenjena s predlogom COM(2016)761] v letih X – 3 in X – 2;</w:t>
      </w:r>
    </w:p>
    <w:p w:rsidR="00E0439A" w:rsidRPr="00E51EB2" w:rsidRDefault="005B3CE6">
      <w:pPr>
        <w:pStyle w:val="Point0letter"/>
        <w:rPr>
          <w:noProof/>
          <w:szCs w:val="24"/>
        </w:rPr>
      </w:pPr>
      <w:r w:rsidRPr="00E51EB2">
        <w:t>napredek v vsakem sektorju in razloge, zakaj je poraba energije ostala stabilna ali se povečala v letih X – 3 in X – 2 v sektorjih končne porabe energije;</w:t>
      </w:r>
    </w:p>
    <w:p w:rsidR="00E0439A" w:rsidRPr="00E51EB2" w:rsidRDefault="005B3CE6">
      <w:pPr>
        <w:pStyle w:val="Point0letter"/>
        <w:rPr>
          <w:noProof/>
          <w:szCs w:val="24"/>
        </w:rPr>
      </w:pPr>
      <w:r w:rsidRPr="00E51EB2">
        <w:t>skupna tlorisna površina stavb s skupno uporabno tlorisno površino več kot 250 m2 v lasti in uporabi osrednje vlade držav članic, ki 1. januarja v letih X – 2 in X – 1 niso izpolnjevale zahtev glede energ</w:t>
      </w:r>
      <w:r w:rsidR="00965DA3" w:rsidRPr="00E51EB2">
        <w:t>ij</w:t>
      </w:r>
      <w:r w:rsidRPr="00E51EB2">
        <w:t>ske učinkovitosti iz člena 5(1) Direktive 2012/27/EU;</w:t>
      </w:r>
    </w:p>
    <w:p w:rsidR="00E0439A" w:rsidRPr="00E51EB2" w:rsidRDefault="005B3CE6">
      <w:pPr>
        <w:pStyle w:val="Point0letter"/>
        <w:rPr>
          <w:noProof/>
          <w:szCs w:val="24"/>
        </w:rPr>
      </w:pPr>
      <w:r w:rsidRPr="00E51EB2">
        <w:t>skupna tlorisna površina ogrevanih in/ali hlajenih stavb v lasti in uporabi osrednje vlade držav članic, ki je bila obnovljena v letih X – 3 in X – 2, iz člena 5(1) Direktive 2012/27/EU, ali prihranek energije v upravičenih stavbah v lasti in uporabi osrednje vlade držav članic, kakor je navedeno v členu 5(6) Direktive 2012/27/EU;</w:t>
      </w:r>
    </w:p>
    <w:p w:rsidR="00E0439A" w:rsidRPr="00E51EB2" w:rsidRDefault="005B3CE6">
      <w:pPr>
        <w:pStyle w:val="Point0letter"/>
        <w:rPr>
          <w:noProof/>
          <w:szCs w:val="24"/>
        </w:rPr>
      </w:pPr>
      <w:r w:rsidRPr="00E51EB2">
        <w:t>število energetskih pregledov, izvedenih v letih X – 3 in X – 2. Poleg tega tudi število velikih podjetij na zadevnem ozemlju, za katera se uporablja člen 8(4) Direktive 2012/27/EU, in število energetskih pregledov, izvedenih v teh podjetjih v letih X – 3 in X – 2;</w:t>
      </w:r>
    </w:p>
    <w:p w:rsidR="00E0439A" w:rsidRPr="00E51EB2" w:rsidRDefault="005B3CE6">
      <w:pPr>
        <w:pStyle w:val="Point0letter"/>
        <w:rPr>
          <w:noProof/>
          <w:szCs w:val="24"/>
        </w:rPr>
      </w:pPr>
      <w:r w:rsidRPr="00E51EB2">
        <w:t>uporabljeni nacionalni faktor primarne energije za električno energijo;</w:t>
      </w:r>
    </w:p>
    <w:p w:rsidR="00E0439A" w:rsidRPr="00E51EB2" w:rsidRDefault="005B3CE6">
      <w:pPr>
        <w:pStyle w:val="Point0letter"/>
        <w:rPr>
          <w:noProof/>
          <w:szCs w:val="24"/>
        </w:rPr>
      </w:pPr>
      <w:r w:rsidRPr="00E51EB2">
        <w:t xml:space="preserve">število in tlorisna </w:t>
      </w:r>
      <w:r w:rsidR="00965DA3" w:rsidRPr="00E51EB2">
        <w:t xml:space="preserve">površina novih in prenovljenih </w:t>
      </w:r>
      <w:r w:rsidRPr="00E51EB2">
        <w:t xml:space="preserve">stavb </w:t>
      </w:r>
      <w:r w:rsidR="00965DA3" w:rsidRPr="00E51EB2">
        <w:t xml:space="preserve">s skoraj nično porabo energije </w:t>
      </w:r>
      <w:r w:rsidRPr="00E51EB2">
        <w:t>v letih X – 2 in X – 1, kot je opredeljeno v členu 9 Direktive 2010/31/EU;</w:t>
      </w:r>
    </w:p>
    <w:p w:rsidR="00E0439A" w:rsidRPr="00E51EB2" w:rsidRDefault="005B3CE6">
      <w:pPr>
        <w:pStyle w:val="Point0letter"/>
        <w:rPr>
          <w:noProof/>
        </w:rPr>
      </w:pPr>
      <w:r w:rsidRPr="00E51EB2">
        <w:t>povezava do spletne strani, prek katere je mogoče dostopati do seznama ponudnikov energetskih storitev ali njim namenjenega vmesnika iz točke (c) člena 18(1) Direktive 2012/27/EU.</w:t>
      </w:r>
    </w:p>
    <w:p w:rsidR="00E0439A" w:rsidRPr="00E51EB2" w:rsidRDefault="005B3CE6">
      <w:pPr>
        <w:pStyle w:val="Annexetitre"/>
        <w:rPr>
          <w:b w:val="0"/>
          <w:i/>
          <w:noProof/>
          <w:szCs w:val="24"/>
          <w:u w:val="none"/>
        </w:rPr>
      </w:pPr>
      <w:r w:rsidRPr="00E51EB2">
        <w:rPr>
          <w:b w:val="0"/>
          <w:i/>
          <w:noProof/>
          <w:u w:val="none"/>
        </w:rPr>
        <w:t>PRILOGA VIII</w:t>
      </w:r>
    </w:p>
    <w:p w:rsidR="00E0439A" w:rsidRPr="00E51EB2" w:rsidRDefault="005B3CE6">
      <w:pPr>
        <w:jc w:val="center"/>
        <w:rPr>
          <w:noProof/>
        </w:rPr>
      </w:pPr>
      <w:r w:rsidRPr="00E51EB2">
        <w:rPr>
          <w:b/>
          <w:noProof/>
        </w:rPr>
        <w:t>TRAJNOSTNO POROČILO UNIJE O BIOENERGIJI</w:t>
      </w:r>
    </w:p>
    <w:p w:rsidR="00E0439A" w:rsidRPr="00E51EB2" w:rsidRDefault="005B3CE6">
      <w:pPr>
        <w:rPr>
          <w:noProof/>
          <w:szCs w:val="24"/>
        </w:rPr>
      </w:pPr>
      <w:r w:rsidRPr="00E51EB2">
        <w:t>Trajnostno poročilo EU o energiji iz biomase, ki ga Komisija sprejema vsaki dve leti skupaj s poročilom o stanju energetske unije v skladu s členom 29(2)(d), vsebuje vsaj naslednje informacije:</w:t>
      </w:r>
    </w:p>
    <w:p w:rsidR="00E0439A" w:rsidRPr="00E51EB2" w:rsidRDefault="005B3CE6">
      <w:pPr>
        <w:pStyle w:val="Point0letter"/>
        <w:numPr>
          <w:ilvl w:val="1"/>
          <w:numId w:val="8"/>
        </w:numPr>
        <w:rPr>
          <w:noProof/>
          <w:szCs w:val="24"/>
        </w:rPr>
      </w:pPr>
      <w:r w:rsidRPr="00E51EB2">
        <w:t>relativne prednosti različnih biogoriv, tekočih biogoriv in goriv iz biomase za okolje in njihove stroške za okolje, učinke uvoznih politik Unije nanje, posledice za zanesljivost oskrbe z energijo in načine za doseganje uravnoteženega pristopa med domačo proizvodnjo in uvozom;</w:t>
      </w:r>
    </w:p>
    <w:p w:rsidR="00E0439A" w:rsidRPr="00E51EB2" w:rsidRDefault="005B3CE6">
      <w:pPr>
        <w:pStyle w:val="Point0letter"/>
        <w:rPr>
          <w:noProof/>
          <w:szCs w:val="24"/>
        </w:rPr>
      </w:pPr>
      <w:r w:rsidRPr="00E51EB2">
        <w:t>učinek proizvodnje in uporabe biomase na trajnost v Uniji in tretjih državah, vključno z učinki na biotsko raznovrstnost;</w:t>
      </w:r>
    </w:p>
    <w:p w:rsidR="00E0439A" w:rsidRPr="00E51EB2" w:rsidRDefault="005B3CE6">
      <w:pPr>
        <w:pStyle w:val="Point0letter"/>
        <w:rPr>
          <w:noProof/>
          <w:szCs w:val="24"/>
        </w:rPr>
      </w:pPr>
      <w:r w:rsidRPr="00E51EB2">
        <w:t xml:space="preserve">podatke in analizo sedanje in predvidene razpoložljivosti trajnostne biomase in povpraševanja po njej, vključno z učinkom večjega povpraševanja po biomasi na sektorje, ki uporabljajo biomaso; </w:t>
      </w:r>
    </w:p>
    <w:p w:rsidR="00E0439A" w:rsidRPr="00E51EB2" w:rsidRDefault="005B3CE6">
      <w:pPr>
        <w:pStyle w:val="Point0letter"/>
        <w:rPr>
          <w:noProof/>
          <w:szCs w:val="24"/>
        </w:rPr>
      </w:pPr>
      <w:r w:rsidRPr="00E51EB2">
        <w:t>tehnološki razvoj, razpoložljivost in trajnost biogoriv, proizvedenih iz surovin, navedenih v Prilogi IX k [</w:t>
      </w:r>
      <w:r w:rsidR="00C40218" w:rsidRPr="00E51EB2">
        <w:t>prenovitev Direktive 2009/28/ES, kot je predlagano s COM(2016) 767</w:t>
      </w:r>
      <w:r w:rsidRPr="00E51EB2">
        <w:t>], vključno z oceno učinka nadomestitve prehranskih proizvodov in krme za proizvodnjo biogoriva, ob ustreznem upoštevanju načel hierarhije ravnanja z odpadki, vzpostavljene v Direktivi 2008/98/ES, in načela kaskadne uporabe biomase ter regionalnih in lokalnih ekonomskih in tehnoloških okoliščin, ohranitve potrebne zaloge ogljika v zemlji ter kakovosti zemlje in ekosistemov;</w:t>
      </w:r>
    </w:p>
    <w:p w:rsidR="00E0439A" w:rsidRPr="00E51EB2" w:rsidRDefault="005B3CE6">
      <w:pPr>
        <w:pStyle w:val="Point0letter"/>
        <w:rPr>
          <w:noProof/>
          <w:szCs w:val="24"/>
        </w:rPr>
      </w:pPr>
      <w:r w:rsidRPr="00E51EB2">
        <w:t>informacije o razpoložljivih rezultatih znanstvenih raziskav o posredni spremembi rabe zemljišč v povezavi z vsemi postopki proizvodnje in analizo teh rezultatov z oceno, ali je razpon negotovosti, ugotovljen pri analizi, na kateri temeljijo ocene emisij zaradi posredne spremembe rabe zemljišč, mogoče zmanjšati in upoštevati morebitni učinek politik Unije, kot so okoljska, podnebna in kmetijska politika; in</w:t>
      </w:r>
    </w:p>
    <w:p w:rsidR="00E0439A" w:rsidRPr="00E51EB2" w:rsidRDefault="005B3CE6">
      <w:pPr>
        <w:pStyle w:val="Point0letter"/>
        <w:rPr>
          <w:noProof/>
          <w:szCs w:val="24"/>
        </w:rPr>
      </w:pPr>
      <w:r w:rsidRPr="00E51EB2">
        <w:t>informacije o nacionalnih ukrepih za spoštovanje trajnostnih meril in meril za prihranek emisij toplogrednih plinov iz odstavkov 2 do 7 člena 26 [</w:t>
      </w:r>
      <w:r w:rsidR="00C40218" w:rsidRPr="00E51EB2">
        <w:t>prenovitev Direktive 2009/28/ES, kot je predlagano s COM(2016) 767</w:t>
      </w:r>
      <w:r w:rsidRPr="00E51EB2">
        <w:t>], za zaščito tal, vode in zraka, in sicer v zvezi s tretjimi državami kot tudi državami članicami, v katerih se proizvede velik delež biogoriv, tekočih biogoriv in goriv iz biomase, ki se porabijo v Uniji.</w:t>
      </w:r>
    </w:p>
    <w:p w:rsidR="00E0439A" w:rsidRPr="00E51EB2" w:rsidRDefault="005B3CE6" w:rsidP="00071918">
      <w:pPr>
        <w:rPr>
          <w:noProof/>
          <w:szCs w:val="24"/>
        </w:rPr>
      </w:pPr>
      <w:r w:rsidRPr="00E51EB2">
        <w:t xml:space="preserve">Pri poročanju o prihrankih emisij toplogrednih plinov zaradi uporabe biomase Komisija uporabi količine, ki so jih države članice sporočile v skladu s točko (b) dela 1 Priloge </w:t>
      </w:r>
      <w:r w:rsidR="00071918" w:rsidRPr="00E51EB2">
        <w:t>VII</w:t>
      </w:r>
      <w:r w:rsidRPr="00E51EB2">
        <w:t>, vključno z okvirnimi povprečnimi vrednostmi ocenjenih emisij zaradi posredne spremembe rabe zemljišč in s tem povezanim razponom iz analize občutljivosti, kot je določeno v Prilogi VIII k [</w:t>
      </w:r>
      <w:r w:rsidR="00031C6D" w:rsidRPr="00E51EB2">
        <w:t>prenovitev</w:t>
      </w:r>
      <w:r w:rsidRPr="00E51EB2">
        <w:t xml:space="preserve"> Direktiv</w:t>
      </w:r>
      <w:r w:rsidR="00031C6D" w:rsidRPr="00E51EB2">
        <w:t>e</w:t>
      </w:r>
      <w:r w:rsidRPr="00E51EB2">
        <w:t xml:space="preserve"> 2</w:t>
      </w:r>
      <w:r w:rsidR="00031C6D" w:rsidRPr="00E51EB2">
        <w:t>009/28/ES, kot je predlagano s</w:t>
      </w:r>
      <w:r w:rsidRPr="00E51EB2">
        <w:t xml:space="preserve"> COM(2016) 767]. Komisija javno objavi podatke o okvirnih povprečnih vrednostih ocenjenih emisij zaradi posredne spremembe rabe zemljišč in s tem povezanim razponom iz analize občutljivosti. Komisija tudi oceni, ali in koliko bi se spremenila ocena neposrednih prihrankov emisij zaradi upoštevanja soproizvodov z uporabo substitucijskega pristopa.</w:t>
      </w:r>
    </w:p>
    <w:p w:rsidR="00E0439A" w:rsidRPr="00E51EB2" w:rsidRDefault="005B3CE6">
      <w:pPr>
        <w:pStyle w:val="Annexetitre"/>
        <w:rPr>
          <w:b w:val="0"/>
          <w:i/>
          <w:noProof/>
          <w:szCs w:val="24"/>
          <w:u w:val="none"/>
        </w:rPr>
      </w:pPr>
      <w:r w:rsidRPr="00E51EB2">
        <w:rPr>
          <w:b w:val="0"/>
          <w:i/>
          <w:noProof/>
          <w:u w:val="none"/>
        </w:rPr>
        <w:t>PRILOGA IX</w:t>
      </w:r>
    </w:p>
    <w:p w:rsidR="00E0439A" w:rsidRPr="00E51EB2" w:rsidRDefault="005B3CE6">
      <w:pPr>
        <w:jc w:val="center"/>
        <w:rPr>
          <w:noProof/>
        </w:rPr>
      </w:pPr>
      <w:r w:rsidRPr="00E51EB2">
        <w:rPr>
          <w:b/>
          <w:noProof/>
        </w:rPr>
        <w:t>PROSTOVOLJNI SISTEMI, ZA KATERE JE KOMISIJA SPREJELA ODLOČITEV V SKLADU S ČLENOM 27(4) [</w:t>
      </w:r>
      <w:r w:rsidR="00C40218" w:rsidRPr="00E51EB2">
        <w:rPr>
          <w:b/>
          <w:noProof/>
        </w:rPr>
        <w:t>PRENOVITEV</w:t>
      </w:r>
      <w:r w:rsidRPr="00E51EB2">
        <w:rPr>
          <w:b/>
          <w:noProof/>
        </w:rPr>
        <w:t xml:space="preserve"> DIREKTIVE 2009/28/ES, KOT JE PREDLAGANO </w:t>
      </w:r>
      <w:r w:rsidR="00C40218" w:rsidRPr="00E51EB2">
        <w:rPr>
          <w:b/>
          <w:noProof/>
        </w:rPr>
        <w:t>S</w:t>
      </w:r>
      <w:r w:rsidRPr="00E51EB2">
        <w:rPr>
          <w:b/>
          <w:noProof/>
        </w:rPr>
        <w:t xml:space="preserve"> COM(2016) 767]</w:t>
      </w:r>
    </w:p>
    <w:p w:rsidR="00E0439A" w:rsidRPr="00E51EB2" w:rsidRDefault="005B3CE6">
      <w:pPr>
        <w:rPr>
          <w:noProof/>
          <w:szCs w:val="24"/>
        </w:rPr>
      </w:pPr>
      <w:r w:rsidRPr="00E51EB2">
        <w:t>Poročilo o prostovoljnih sistemih, za katere je Komisija sprejela odločitev v skladu s členom 27(4) [</w:t>
      </w:r>
      <w:r w:rsidR="00031C6D" w:rsidRPr="00E51EB2">
        <w:t>prenovitev Direktive 2009/28/ES, kot je predlagano s COM(2016) 767</w:t>
      </w:r>
      <w:r w:rsidRPr="00E51EB2">
        <w:t>], ki ga Komisija sprejema vsaki dve leti skupaj s poročilom o stanju energetske unije v skladu s členom 29(2)(e), vsebuje oceno Komisije, ki zajema vsaj:</w:t>
      </w:r>
    </w:p>
    <w:p w:rsidR="00E0439A" w:rsidRPr="00E51EB2" w:rsidRDefault="005B3CE6">
      <w:pPr>
        <w:pStyle w:val="Point0letter"/>
        <w:numPr>
          <w:ilvl w:val="1"/>
          <w:numId w:val="9"/>
        </w:numPr>
        <w:rPr>
          <w:noProof/>
          <w:szCs w:val="24"/>
        </w:rPr>
      </w:pPr>
      <w:r w:rsidRPr="00E51EB2">
        <w:t>neodvisnost, način in pogostost revizij, tako v zvezi z navedbami o teh vidikih v dokumentaciji sistema v času, ko je zadevni sistem potrdila Komisija, kot v zvezi z najboljšo prakso v sektorju;</w:t>
      </w:r>
    </w:p>
    <w:p w:rsidR="00E0439A" w:rsidRPr="00E51EB2" w:rsidRDefault="005B3CE6">
      <w:pPr>
        <w:pStyle w:val="Point0letter"/>
        <w:rPr>
          <w:noProof/>
        </w:rPr>
      </w:pPr>
      <w:r w:rsidRPr="00E51EB2">
        <w:t>razpoložljivost, izkušnje in preglednost pri uporabi metod za odkrivanje in odzivanje na nespoštovanje določb, s posebnim poudarkom na reševanju dejanskih ali domnevnih resnih kršitev s strani članov sistema;</w:t>
      </w:r>
    </w:p>
    <w:p w:rsidR="00E0439A" w:rsidRPr="00E51EB2" w:rsidRDefault="005B3CE6">
      <w:pPr>
        <w:pStyle w:val="Point0letter"/>
        <w:rPr>
          <w:noProof/>
        </w:rPr>
      </w:pPr>
      <w:r w:rsidRPr="00E51EB2">
        <w:t>preglednost, zlasti v zvezi z dostopnostjo sistema, razpoložljivostjo prevodov v uradne jezike držav in regij, iz katerih izvirajo surovine, dostopnostjo seznama pooblaščenih subjektov in zadevnih certifikatov ter dostopnostjo revizijskih poročil;</w:t>
      </w:r>
    </w:p>
    <w:p w:rsidR="00E0439A" w:rsidRPr="00E51EB2" w:rsidRDefault="005B3CE6">
      <w:pPr>
        <w:pStyle w:val="Point0letter"/>
        <w:rPr>
          <w:noProof/>
        </w:rPr>
      </w:pPr>
      <w:r w:rsidRPr="00E51EB2">
        <w:t>udeležbo zainteresiranih strani, zlasti kar zadeva posvetovanja z domorodnimi in lokalnimi skupnostmi pred odločanjem, med pripravo in pregledom sistema in revizijami ter odziv na njihove prispevke;</w:t>
      </w:r>
    </w:p>
    <w:p w:rsidR="00E0439A" w:rsidRPr="00E51EB2" w:rsidRDefault="005B3CE6">
      <w:pPr>
        <w:pStyle w:val="Point0letter"/>
        <w:rPr>
          <w:noProof/>
        </w:rPr>
      </w:pPr>
      <w:r w:rsidRPr="00E51EB2">
        <w:t>splošno zanesljivost sistema, zlasti v zvezi s pravili o akreditaciji, usposobljenostjo in neodvisnostjo revizorjev ter zadevnih teles sistema;</w:t>
      </w:r>
    </w:p>
    <w:p w:rsidR="00E0439A" w:rsidRPr="00E51EB2" w:rsidRDefault="005B3CE6">
      <w:pPr>
        <w:pStyle w:val="Point0letter"/>
        <w:rPr>
          <w:noProof/>
        </w:rPr>
      </w:pPr>
      <w:r w:rsidRPr="00E51EB2">
        <w:t>tržno posodabljanje sistema, količino certificiranih surovin in biogoriv za vsako državo izvora in vrsto ter število udeležencev;</w:t>
      </w:r>
    </w:p>
    <w:p w:rsidR="00E0439A" w:rsidRPr="00E51EB2" w:rsidRDefault="005B3CE6">
      <w:pPr>
        <w:pStyle w:val="Point0letter"/>
        <w:rPr>
          <w:noProof/>
        </w:rPr>
      </w:pPr>
      <w:r w:rsidRPr="00E51EB2">
        <w:t>enostavnost in učinkovitost izvajanja sistema za sledenje dokazil o spoštovanju trajnostnih meril, ki jih članu oziroma članom izda sistem, pri čemer je tak sistem namenjen preprečevanju goljufij, zlasti odkrivanju in obravnavi sumov goljufij in drugih nepravilnosti ter nadaljnjemu ukrepanju po njih, po potrebi pa tudi število odkritih goljufij in nepravilnosti;</w:t>
      </w:r>
    </w:p>
    <w:p w:rsidR="00E0439A" w:rsidRPr="00E51EB2" w:rsidRDefault="005B3CE6">
      <w:pPr>
        <w:pStyle w:val="Point0letter"/>
        <w:rPr>
          <w:noProof/>
        </w:rPr>
      </w:pPr>
      <w:r w:rsidRPr="00E51EB2">
        <w:t>možnosti, da bi se subjekte pooblastilo za priznavanje in spremljanje organov za certificiranje;</w:t>
      </w:r>
    </w:p>
    <w:p w:rsidR="00E0439A" w:rsidRPr="00E51EB2" w:rsidRDefault="005B3CE6">
      <w:pPr>
        <w:pStyle w:val="Point0letter"/>
        <w:rPr>
          <w:noProof/>
        </w:rPr>
      </w:pPr>
      <w:r w:rsidRPr="00E51EB2">
        <w:t>merila za priznavanje ali akreditacijo organov za certificiranje;</w:t>
      </w:r>
    </w:p>
    <w:p w:rsidR="00E0439A" w:rsidRPr="00E51EB2" w:rsidRDefault="005B3CE6">
      <w:pPr>
        <w:pStyle w:val="Point0letter"/>
        <w:rPr>
          <w:noProof/>
        </w:rPr>
      </w:pPr>
      <w:r w:rsidRPr="00E51EB2">
        <w:t>pravila o izvajanju spremljanja organov za certificiranje;</w:t>
      </w:r>
    </w:p>
    <w:p w:rsidR="00E0439A" w:rsidRPr="00E51EB2" w:rsidRDefault="005B3CE6">
      <w:pPr>
        <w:pStyle w:val="Point0letter"/>
        <w:rPr>
          <w:noProof/>
        </w:rPr>
      </w:pPr>
      <w:r w:rsidRPr="00E51EB2">
        <w:t>načine za lažje ali boljše razširjanje najboljše prakse.</w:t>
      </w:r>
    </w:p>
    <w:p w:rsidR="00E0439A" w:rsidRPr="00E51EB2" w:rsidRDefault="005B3CE6">
      <w:pPr>
        <w:pStyle w:val="Annexetitre"/>
        <w:rPr>
          <w:b w:val="0"/>
          <w:i/>
          <w:noProof/>
          <w:u w:val="none"/>
        </w:rPr>
      </w:pPr>
      <w:r w:rsidRPr="00E51EB2">
        <w:rPr>
          <w:b w:val="0"/>
          <w:i/>
          <w:noProof/>
          <w:u w:val="none"/>
        </w:rPr>
        <w:t>PRILOGA X</w:t>
      </w:r>
    </w:p>
    <w:p w:rsidR="00E0439A" w:rsidRPr="00E51EB2" w:rsidRDefault="005B3CE6">
      <w:pPr>
        <w:jc w:val="center"/>
        <w:rPr>
          <w:noProof/>
        </w:rPr>
      </w:pPr>
      <w:r w:rsidRPr="00E51EB2">
        <w:rPr>
          <w:b/>
          <w:noProof/>
        </w:rPr>
        <w:t>NACIONALNI SISTEMI EVIDENC</w:t>
      </w:r>
    </w:p>
    <w:p w:rsidR="00E0439A" w:rsidRPr="00E51EB2" w:rsidRDefault="005B3CE6">
      <w:pPr>
        <w:rPr>
          <w:noProof/>
        </w:rPr>
      </w:pPr>
      <w:r w:rsidRPr="00E51EB2">
        <w:t>Informacije iz člena 30 vključujejo:</w:t>
      </w:r>
    </w:p>
    <w:p w:rsidR="00E0439A" w:rsidRPr="00E51EB2" w:rsidRDefault="005B3CE6">
      <w:pPr>
        <w:pStyle w:val="Point0letter"/>
        <w:numPr>
          <w:ilvl w:val="1"/>
          <w:numId w:val="10"/>
        </w:numPr>
        <w:rPr>
          <w:noProof/>
        </w:rPr>
      </w:pPr>
      <w:r w:rsidRPr="00E51EB2">
        <w:t xml:space="preserve">podatke in metode, o katerih se poroča za dejavnosti in naprave na podlagi Direktive 2003/87/ES za namene priprave nacionalnih evidenc toplogrednih plinov, da se zagotovi skladnost sporočenih emisij toplogrednih plinov v okviru sistema Unije za trgovanje z emisijami s podatki v nacionalnih evidencah toplogrednih plinov; </w:t>
      </w:r>
    </w:p>
    <w:p w:rsidR="00E0439A" w:rsidRPr="00E51EB2" w:rsidRDefault="005B3CE6">
      <w:pPr>
        <w:pStyle w:val="Point0letter"/>
        <w:rPr>
          <w:noProof/>
        </w:rPr>
      </w:pPr>
      <w:r w:rsidRPr="00E51EB2">
        <w:t xml:space="preserve">podatke, ki se zberejo v okviru sistemov poročanja o fluoriranih plinih v različnih sektorjih, vzpostavljenih v skladu s členom 20 Uredbe (EU) št. 517/2014, za namene priprave nacionalnih evidenc toplogrednih plinov; </w:t>
      </w:r>
    </w:p>
    <w:p w:rsidR="00E0439A" w:rsidRPr="00E51EB2" w:rsidRDefault="005B3CE6">
      <w:pPr>
        <w:pStyle w:val="Point0letter"/>
        <w:rPr>
          <w:noProof/>
        </w:rPr>
      </w:pPr>
      <w:r w:rsidRPr="00E51EB2">
        <w:t xml:space="preserve">emisije, temeljne podatke in metodologije, o katerih poročajo industrijski kompleksi v skladu z Uredbo (ES) št. 166/2006, za namene priprave nacionalnih evidenc toplogrednih plinov; </w:t>
      </w:r>
    </w:p>
    <w:p w:rsidR="00E0439A" w:rsidRPr="00E51EB2" w:rsidRDefault="005B3CE6">
      <w:pPr>
        <w:pStyle w:val="Point0letter"/>
        <w:rPr>
          <w:noProof/>
        </w:rPr>
      </w:pPr>
      <w:r w:rsidRPr="00E51EB2">
        <w:t xml:space="preserve">podatke, o katerih se poroča v skladu z Uredbo (ES) št. 1099/2008; </w:t>
      </w:r>
    </w:p>
    <w:p w:rsidR="00E0439A" w:rsidRPr="00E51EB2" w:rsidRDefault="005B3CE6">
      <w:pPr>
        <w:pStyle w:val="Point0letter"/>
        <w:rPr>
          <w:noProof/>
        </w:rPr>
      </w:pPr>
      <w:r w:rsidRPr="00E51EB2">
        <w:t xml:space="preserve">podatke, zbrane z geografskim sledenjem zemljiščem v okviru obstoječih programov in popisov Unije in </w:t>
      </w:r>
      <w:r w:rsidR="00965DA3" w:rsidRPr="00E51EB2">
        <w:t>držav članic, vključno s</w:t>
      </w:r>
      <w:r w:rsidRPr="00E51EB2">
        <w:t xml:space="preserve"> statističnim popisom uporabe in pokritosti tal LUCAS ter evropskim programom za opazovanje Zemlje Kopernikus.</w:t>
      </w:r>
    </w:p>
    <w:p w:rsidR="00E0439A" w:rsidRPr="00E51EB2" w:rsidRDefault="005B3CE6">
      <w:pPr>
        <w:pStyle w:val="Annexetitre"/>
        <w:rPr>
          <w:b w:val="0"/>
          <w:i/>
          <w:noProof/>
          <w:u w:val="none"/>
        </w:rPr>
      </w:pPr>
      <w:r w:rsidRPr="00E51EB2">
        <w:rPr>
          <w:b w:val="0"/>
          <w:i/>
          <w:noProof/>
          <w:u w:val="none"/>
        </w:rPr>
        <w:t>PRILOGA XI</w:t>
      </w:r>
    </w:p>
    <w:p w:rsidR="00E0439A" w:rsidRPr="00E51EB2" w:rsidRDefault="005B3CE6">
      <w:pPr>
        <w:jc w:val="center"/>
        <w:rPr>
          <w:noProof/>
        </w:rPr>
      </w:pPr>
      <w:r w:rsidRPr="00E51EB2">
        <w:rPr>
          <w:b/>
          <w:noProof/>
        </w:rPr>
        <w:t>KORELACIJSKA TABELA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32"/>
        <w:gridCol w:w="5871"/>
      </w:tblGrid>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ind w:right="195"/>
              <w:jc w:val="center"/>
              <w:rPr>
                <w:rFonts w:eastAsia="Times New Roman"/>
                <w:b/>
                <w:bCs/>
                <w:noProof/>
                <w:color w:val="000000"/>
              </w:rPr>
            </w:pPr>
            <w:r w:rsidRPr="00E51EB2">
              <w:rPr>
                <w:b/>
                <w:noProof/>
                <w:color w:val="000000"/>
              </w:rPr>
              <w:t>Uredba (EU) št. 525/2013</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ind w:right="195"/>
              <w:jc w:val="center"/>
              <w:rPr>
                <w:rFonts w:eastAsia="Times New Roman"/>
                <w:b/>
                <w:bCs/>
                <w:noProof/>
                <w:color w:val="000000"/>
              </w:rPr>
            </w:pPr>
            <w:r w:rsidRPr="00E51EB2">
              <w:rPr>
                <w:b/>
                <w:noProof/>
                <w:color w:val="000000"/>
              </w:rPr>
              <w:t>Ta uredba</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1(1)</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4</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14</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5</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30(1); 30(2); 30(6); Priloga X</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6</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30(3); 30(6);</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7</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23(2); 23(3); 23(5); 23(6); Priloga III</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8</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23(1)(a); zadnji pododstavek člena 23(1); 23(6)</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9</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30(4); 30(5)</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10</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33</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11</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12</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32</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13</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16(1)(a); 16(3); 16(4); Priloga IV</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14</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16(1)(b); 16(2); 16(3); 16(4); Priloga V</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15</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17(1); Priloga VI, del 1</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16</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17(2)(a); Priloga VI, del 2</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17</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17(2)(b); 17(3); 17(4); Priloga VI, del 3</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18</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15(2)(e); drugi pododstavek člena 15(2)</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19</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20</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21</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25(1)(c); 25(4); 25(7)</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22</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23</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34(1)(d); 34(1)(e); 34(1)(f); 34(1)(g); 34(1)(h)</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24</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35</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25</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26</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37</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27</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w:t>
            </w:r>
          </w:p>
        </w:tc>
      </w:tr>
      <w:tr w:rsidR="00E0439A" w:rsidRPr="00E51EB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28</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50</w:t>
            </w:r>
          </w:p>
        </w:tc>
      </w:tr>
      <w:tr w:rsidR="00E0439A" w:rsidRPr="003B3C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0439A" w:rsidRPr="00E51EB2" w:rsidRDefault="005B3CE6">
            <w:pPr>
              <w:spacing w:before="60" w:after="60"/>
              <w:rPr>
                <w:rFonts w:eastAsia="Times New Roman"/>
                <w:noProof/>
                <w:color w:val="000000"/>
              </w:rPr>
            </w:pPr>
            <w:r w:rsidRPr="00E51EB2">
              <w:rPr>
                <w:noProof/>
                <w:color w:val="000000"/>
              </w:rPr>
              <w:t>Člen 29</w:t>
            </w:r>
          </w:p>
        </w:tc>
        <w:tc>
          <w:tcPr>
            <w:tcW w:w="0" w:type="auto"/>
            <w:tcBorders>
              <w:top w:val="single" w:sz="6" w:space="0" w:color="000000"/>
              <w:left w:val="single" w:sz="6" w:space="0" w:color="000000"/>
              <w:bottom w:val="single" w:sz="6" w:space="0" w:color="000000"/>
              <w:right w:val="single" w:sz="6" w:space="0" w:color="000000"/>
            </w:tcBorders>
            <w:hideMark/>
          </w:tcPr>
          <w:p w:rsidR="00E0439A" w:rsidRPr="003B3C3B" w:rsidRDefault="005B3CE6">
            <w:pPr>
              <w:spacing w:before="60" w:after="60"/>
              <w:rPr>
                <w:rFonts w:eastAsia="Times New Roman"/>
                <w:noProof/>
                <w:color w:val="000000"/>
              </w:rPr>
            </w:pPr>
            <w:r w:rsidRPr="00E51EB2">
              <w:rPr>
                <w:noProof/>
                <w:color w:val="000000"/>
              </w:rPr>
              <w:t>—</w:t>
            </w:r>
          </w:p>
        </w:tc>
      </w:tr>
    </w:tbl>
    <w:p w:rsidR="00E0439A" w:rsidRPr="003B3C3B" w:rsidRDefault="00E0439A">
      <w:pPr>
        <w:rPr>
          <w:noProof/>
        </w:rPr>
      </w:pPr>
    </w:p>
    <w:sectPr w:rsidR="00E0439A" w:rsidRPr="003B3C3B" w:rsidSect="00BC2BEE">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30" w:rsidRDefault="00186C30">
      <w:pPr>
        <w:spacing w:before="0" w:after="0"/>
      </w:pPr>
      <w:r>
        <w:separator/>
      </w:r>
    </w:p>
  </w:endnote>
  <w:endnote w:type="continuationSeparator" w:id="0">
    <w:p w:rsidR="00186C30" w:rsidRDefault="00186C30">
      <w:pPr>
        <w:spacing w:before="0" w:after="0"/>
      </w:pPr>
      <w:r>
        <w:continuationSeparator/>
      </w:r>
    </w:p>
  </w:endnote>
  <w:endnote w:type="continuationNotice" w:id="1">
    <w:p w:rsidR="00186C30" w:rsidRDefault="00186C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Footer"/>
      <w:rPr>
        <w:rFonts w:ascii="Arial" w:hAnsi="Arial" w:cs="Arial"/>
        <w:b/>
        <w:sz w:val="48"/>
      </w:rPr>
    </w:pPr>
    <w:r w:rsidRPr="00BC2BEE">
      <w:rPr>
        <w:rFonts w:ascii="Arial" w:hAnsi="Arial" w:cs="Arial"/>
        <w:b/>
        <w:sz w:val="48"/>
      </w:rPr>
      <w:t>SL</w:t>
    </w:r>
    <w:r w:rsidRPr="00BC2BEE">
      <w:rPr>
        <w:rFonts w:ascii="Arial" w:hAnsi="Arial" w:cs="Arial"/>
        <w:b/>
        <w:sz w:val="48"/>
      </w:rPr>
      <w:tab/>
    </w:r>
    <w:r w:rsidRPr="00BC2BEE">
      <w:rPr>
        <w:rFonts w:ascii="Arial" w:hAnsi="Arial" w:cs="Arial"/>
        <w:b/>
        <w:sz w:val="48"/>
      </w:rPr>
      <w:tab/>
    </w:r>
    <w:fldSimple w:instr=" DOCVARIABLE &quot;LW_Confidence&quot; \* MERGEFORMAT ">
      <w:r>
        <w:t xml:space="preserve"> </w:t>
      </w:r>
    </w:fldSimple>
    <w:r w:rsidRPr="00BC2BEE">
      <w:tab/>
    </w:r>
    <w:proofErr w:type="spellStart"/>
    <w:r w:rsidRPr="00BC2BEE">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Footer"/>
      <w:rPr>
        <w:rFonts w:ascii="Arial" w:hAnsi="Arial" w:cs="Arial"/>
        <w:b/>
        <w:sz w:val="48"/>
      </w:rPr>
    </w:pPr>
    <w:r w:rsidRPr="00BC2BEE">
      <w:rPr>
        <w:rFonts w:ascii="Arial" w:hAnsi="Arial" w:cs="Arial"/>
        <w:b/>
        <w:sz w:val="48"/>
      </w:rPr>
      <w:t>SL</w:t>
    </w:r>
    <w:r w:rsidRPr="00BC2BEE">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BC2BEE">
      <w:tab/>
    </w:r>
    <w:r w:rsidRPr="00BC2BEE">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30" w:rsidRDefault="00186C30">
      <w:pPr>
        <w:spacing w:before="0" w:after="0"/>
      </w:pPr>
      <w:r>
        <w:separator/>
      </w:r>
    </w:p>
  </w:footnote>
  <w:footnote w:type="continuationSeparator" w:id="0">
    <w:p w:rsidR="00186C30" w:rsidRDefault="00186C30">
      <w:pPr>
        <w:spacing w:before="0" w:after="0"/>
      </w:pPr>
      <w:r>
        <w:continuationSeparator/>
      </w:r>
    </w:p>
  </w:footnote>
  <w:footnote w:type="continuationNotice" w:id="1">
    <w:p w:rsidR="00186C30" w:rsidRDefault="00186C30">
      <w:pPr>
        <w:spacing w:before="0" w:after="0"/>
      </w:pPr>
    </w:p>
  </w:footnote>
  <w:footnote w:id="2">
    <w:p w:rsidR="00186C30" w:rsidRDefault="00186C30">
      <w:pPr>
        <w:pStyle w:val="FootnoteText"/>
      </w:pPr>
      <w:r>
        <w:rPr>
          <w:rStyle w:val="FootnoteReference"/>
        </w:rPr>
        <w:footnoteRef/>
      </w:r>
      <w:r>
        <w:tab/>
        <w:t xml:space="preserve">Zagotoviti je treba skladnost z dolgoročnimi strategijami za nizke emisije v skladu s členom 14. </w:t>
      </w:r>
    </w:p>
  </w:footnote>
  <w:footnote w:id="3">
    <w:p w:rsidR="00186C30" w:rsidRDefault="00186C30">
      <w:pPr>
        <w:pStyle w:val="FootnoteText"/>
      </w:pPr>
      <w:r>
        <w:rPr>
          <w:rStyle w:val="FootnoteReference"/>
        </w:rPr>
        <w:footnoteRef/>
      </w:r>
      <w:r>
        <w:tab/>
        <w:t>Za načrt, ki zajema obdobje od leta 2021 do 2030: Zavezujoči nacionalni cilji države članice za toplogredne pline za leto 2030 v sektorjih, ki niso vključeni v sistem trgovanja z emisijami, in letne zavezujoče omejitve, določene v uredbi [ ] [ESR].</w:t>
      </w:r>
    </w:p>
  </w:footnote>
  <w:footnote w:id="4">
    <w:p w:rsidR="00186C30" w:rsidRDefault="00186C30">
      <w:pPr>
        <w:pStyle w:val="FootnoteText"/>
      </w:pPr>
      <w:r>
        <w:rPr>
          <w:rStyle w:val="FootnoteReference"/>
        </w:rPr>
        <w:footnoteRef/>
      </w:r>
      <w:r>
        <w:tab/>
        <w:t>Uredba [ ] [LULUCF].</w:t>
      </w:r>
    </w:p>
  </w:footnote>
  <w:footnote w:id="5">
    <w:p w:rsidR="00186C30" w:rsidRDefault="00186C30">
      <w:pPr>
        <w:pStyle w:val="FootnoteText"/>
      </w:pPr>
      <w:r>
        <w:rPr>
          <w:rStyle w:val="FootnoteReference"/>
        </w:rPr>
        <w:footnoteRef/>
      </w:r>
      <w:r>
        <w:tab/>
        <w:t>Skladnost se zagotovi s preventivnimi akcijskimi načrti in načrti za izredne razmere skladno z Uredbo [kot je predlagano s COM(2016) 52] o ukrepih za zagotavljanje zanesljivosti oskrbe s plinom in o razveljavitvi Uredbe (EU) št. 994/2010 kot tudi načrti pripravljenosti na tveganja skladno z Uredbo [kot je predlagano s COM(2016) 862] o pripravljenosti na tveganja v sektorju električne energije in o razveljavitvi Direktive 2005/89/ES.</w:t>
      </w:r>
    </w:p>
  </w:footnote>
  <w:footnote w:id="6">
    <w:p w:rsidR="00186C30" w:rsidRDefault="00186C30">
      <w:pPr>
        <w:pStyle w:val="FootnoteText"/>
      </w:pPr>
      <w:r>
        <w:rPr>
          <w:rStyle w:val="FootnoteReference"/>
        </w:rPr>
        <w:footnoteRef/>
      </w:r>
      <w:r>
        <w:tab/>
        <w:t>V skladu z Uredbo (EU) št. 347/2013 Evropskega parlamenta in Sveta z dne 17. aprila 2013 o smernicah za vseevropsko energetsko infrastrukturo in razveljavitvi Odločbe št. 1364/2006/ES in spremembi uredb (ES) št. 713/2009, (ES) št. 714/2009 in (ES) št. 715/2009 (UL L 115, 25.4.2013, str. 39).</w:t>
      </w:r>
    </w:p>
  </w:footnote>
  <w:footnote w:id="7">
    <w:p w:rsidR="00186C30" w:rsidRDefault="00186C30">
      <w:pPr>
        <w:pStyle w:val="FootnoteText"/>
      </w:pPr>
      <w:r>
        <w:rPr>
          <w:rStyle w:val="FootnoteReference"/>
        </w:rPr>
        <w:footnoteRef/>
      </w:r>
      <w:r>
        <w:tab/>
        <w:t>Države članice pri načrtovanju teh ukrepov upoštevajo konec življenjske dobe obratov in potencial za nadomestitev stare zmogljivosti z novo zmogljivostjo.</w:t>
      </w:r>
    </w:p>
  </w:footnote>
  <w:footnote w:id="8">
    <w:p w:rsidR="00186C30" w:rsidRDefault="00186C30">
      <w:pPr>
        <w:pStyle w:val="FootnoteText"/>
      </w:pPr>
      <w:r>
        <w:rPr>
          <w:rStyle w:val="FootnoteReference"/>
        </w:rPr>
        <w:footnoteRef/>
      </w:r>
      <w:r>
        <w:tab/>
        <w:t>V skladu s členom 2a Direktive 2010/31/</w:t>
      </w:r>
      <w:r w:rsidRPr="00E51EB2">
        <w:t>EU [različica, kakor</w:t>
      </w:r>
      <w:r>
        <w:t xml:space="preserve"> je bila spremenjena s predlogom COM(2016)765].</w:t>
      </w:r>
    </w:p>
  </w:footnote>
  <w:footnote w:id="9">
    <w:p w:rsidR="00186C30" w:rsidRDefault="00186C30">
      <w:pPr>
        <w:pStyle w:val="FootnoteText"/>
      </w:pPr>
      <w:r>
        <w:rPr>
          <w:rStyle w:val="FootnoteReference"/>
        </w:rPr>
        <w:footnoteRef/>
      </w:r>
      <w:r>
        <w:tab/>
        <w:t>V skladu s členom 18 Direktive 2012/27/EU.</w:t>
      </w:r>
    </w:p>
  </w:footnote>
  <w:footnote w:id="10">
    <w:p w:rsidR="00186C30" w:rsidRDefault="00186C30">
      <w:pPr>
        <w:pStyle w:val="FootnoteText"/>
      </w:pPr>
      <w:r>
        <w:rPr>
          <w:rStyle w:val="FootnoteReference"/>
        </w:rPr>
        <w:footnoteRef/>
      </w:r>
      <w:r>
        <w:tab/>
        <w:t>V skladu s členom 8 Direktive 2012/27/EU.</w:t>
      </w:r>
    </w:p>
  </w:footnote>
  <w:footnote w:id="11">
    <w:p w:rsidR="00186C30" w:rsidRDefault="00186C30">
      <w:pPr>
        <w:pStyle w:val="FootnoteText"/>
      </w:pPr>
      <w:r>
        <w:rPr>
          <w:rStyle w:val="FootnoteReference"/>
        </w:rPr>
        <w:footnoteRef/>
      </w:r>
      <w:r>
        <w:tab/>
        <w:t>V skladu s členoma 12 in 17 Direktive 2012/27/EU.</w:t>
      </w:r>
    </w:p>
  </w:footnote>
  <w:footnote w:id="12">
    <w:p w:rsidR="00186C30" w:rsidRDefault="00186C30">
      <w:pPr>
        <w:pStyle w:val="FootnoteText"/>
      </w:pPr>
      <w:r>
        <w:rPr>
          <w:rStyle w:val="FootnoteReference"/>
        </w:rPr>
        <w:footnoteRef/>
      </w:r>
      <w:r>
        <w:tab/>
        <w:t>V skladu s členom 19 Direktive 2012/27/EU.</w:t>
      </w:r>
    </w:p>
  </w:footnote>
  <w:footnote w:id="13">
    <w:p w:rsidR="00186C30" w:rsidRDefault="00186C30">
      <w:pPr>
        <w:pStyle w:val="FootnoteText"/>
      </w:pPr>
      <w:r>
        <w:rPr>
          <w:rStyle w:val="FootnoteReference"/>
        </w:rPr>
        <w:footnoteRef/>
      </w:r>
      <w:r>
        <w:tab/>
        <w:t>V skladu s členom 15(2) Direktive 2012/27/EU.</w:t>
      </w:r>
    </w:p>
  </w:footnote>
  <w:footnote w:id="14">
    <w:p w:rsidR="00186C30" w:rsidRDefault="00186C30">
      <w:pPr>
        <w:pStyle w:val="FootnoteText"/>
      </w:pPr>
      <w:r>
        <w:rPr>
          <w:rStyle w:val="FootnoteReference"/>
        </w:rPr>
        <w:footnoteRef/>
      </w:r>
      <w:r>
        <w:tab/>
        <w:t>Politike in ukrepi odražajo prvo načelo energijske učinkovitosti</w:t>
      </w:r>
    </w:p>
  </w:footnote>
  <w:footnote w:id="15">
    <w:p w:rsidR="00186C30" w:rsidRDefault="00186C30">
      <w:pPr>
        <w:pStyle w:val="FootnoteText"/>
      </w:pPr>
      <w:r>
        <w:rPr>
          <w:rStyle w:val="FootnoteReference"/>
        </w:rPr>
        <w:footnoteRef/>
      </w:r>
      <w:r>
        <w:tab/>
        <w:t>Skladnost se zagotovi s preventivnimi akcijskimi načrti in načrti za izredne razmere skladno z Uredbo [kot je predlagano s COM(2016) 52] o ukrepih za zagotavljanje zanesljivosti oskrbe s plinom in o razveljavitvi Uredbe (EU) št. 994/2010 kot tudi načrti pripravljenosti na tveganja skladno z Uredbo [kot je predlagano s COM(2016) 862] o pripravljenosti na tveganja v sektorju električne energije in o razveljavitvi Direktive 2005/89/ES.</w:t>
      </w:r>
    </w:p>
  </w:footnote>
  <w:footnote w:id="16">
    <w:p w:rsidR="00186C30" w:rsidRDefault="00186C30">
      <w:pPr>
        <w:pStyle w:val="FootnoteText"/>
      </w:pPr>
      <w:r>
        <w:rPr>
          <w:rStyle w:val="FootnoteReference"/>
        </w:rPr>
        <w:footnoteRef/>
      </w:r>
      <w:r>
        <w:tab/>
        <w:t>Politike in ukrepi odražajo prvo načelo energijske učinkovitosti</w:t>
      </w:r>
    </w:p>
  </w:footnote>
  <w:footnote w:id="17">
    <w:p w:rsidR="00186C30" w:rsidRDefault="00186C30">
      <w:pPr>
        <w:pStyle w:val="FootnoteText"/>
      </w:pPr>
      <w:r>
        <w:rPr>
          <w:rStyle w:val="FootnoteReference"/>
        </w:rPr>
        <w:footnoteRef/>
      </w:r>
      <w:r>
        <w:tab/>
        <w:t>Razen regionalnih skupin PSI, vzpostavljenih v skladu z Uredbo (EU) št. 347/2013.</w:t>
      </w:r>
    </w:p>
  </w:footnote>
  <w:footnote w:id="18">
    <w:p w:rsidR="00186C30" w:rsidRDefault="00186C30">
      <w:pPr>
        <w:pStyle w:val="FootnoteText"/>
      </w:pPr>
      <w:r>
        <w:rPr>
          <w:rStyle w:val="FootnoteReference"/>
        </w:rPr>
        <w:footnoteRef/>
      </w:r>
      <w:r>
        <w:tab/>
        <w:t>Razen regionalnih skupin PSI, vzpostavljenih v skladu z Uredbo (EU) št. 347/2013.</w:t>
      </w:r>
    </w:p>
  </w:footnote>
  <w:footnote w:id="19">
    <w:p w:rsidR="00186C30" w:rsidRDefault="00186C30">
      <w:pPr>
        <w:pStyle w:val="FootnoteText"/>
      </w:pPr>
      <w:r>
        <w:rPr>
          <w:rStyle w:val="FootnoteReference"/>
        </w:rPr>
        <w:footnoteRef/>
      </w:r>
      <w:r>
        <w:tab/>
        <w:t>V skladu s [prenovljeno Direktivo 2009/72/ES, kot je predlagano s COM(2016) 864, in prenovljeno Uredbo (ES) št. 714/2009, kot je predlagano s COM(2016) 861]</w:t>
      </w:r>
    </w:p>
  </w:footnote>
  <w:footnote w:id="20">
    <w:p w:rsidR="00186C30" w:rsidRDefault="00186C30">
      <w:pPr>
        <w:pStyle w:val="FootnoteText"/>
      </w:pPr>
      <w:r>
        <w:rPr>
          <w:rStyle w:val="FootnoteReference"/>
        </w:rPr>
        <w:footnoteRef/>
      </w:r>
      <w:r>
        <w:tab/>
        <w:t>V skladu s členom 15(8) Direktive 2012/27/EU.</w:t>
      </w:r>
    </w:p>
  </w:footnote>
  <w:footnote w:id="21">
    <w:p w:rsidR="00186C30" w:rsidRDefault="00186C30">
      <w:pPr>
        <w:pStyle w:val="FootnoteText"/>
      </w:pPr>
      <w:r>
        <w:rPr>
          <w:rStyle w:val="FootnoteReference"/>
        </w:rPr>
        <w:footnoteRef/>
      </w:r>
      <w:r>
        <w:tab/>
        <w:t>Glejte del 2 za podroben seznam parametrov in spremenljivk, ki se sporočajo v oddelku B načrta.</w:t>
      </w:r>
    </w:p>
  </w:footnote>
  <w:footnote w:id="22">
    <w:p w:rsidR="00186C30" w:rsidRPr="00E51EB2" w:rsidRDefault="00186C30" w:rsidP="00C87C90">
      <w:pPr>
        <w:pStyle w:val="FootnoteText"/>
      </w:pPr>
      <w:r>
        <w:rPr>
          <w:rStyle w:val="FootnoteReference"/>
        </w:rPr>
        <w:footnoteRef/>
      </w:r>
      <w:r>
        <w:tab/>
        <w:t xml:space="preserve">Trenutno stanje odraža datum predložitve nacionalnega načrta (ali zadnji razpoložljivi datum). Obstoječe </w:t>
      </w:r>
      <w:r w:rsidRPr="00E51EB2">
        <w:t xml:space="preserve">politike in ukrepi zajemajo izvedene in sprejete politike in ukrepe. Sprejete politike in ukrepi so tisti, za katere je bil do dneva predložitve nacionalnega načrta sprejet uraden vladni sklep in za katere obstaja jasna zaveza, da se bodo nadalje izvajali. Izvedene politike in ukrepi so tisti, za katere na dan predložitve nacionalnega načrta ali poročila o napredku velja eden ali več spodnjih primerov: evropska zakonodaja, ki se neposredno uporablja ali nacionalna zakonodaja je v veljavi, sklenjen je bil eden ali več prostovoljnih dogovorov, finančna sredstva so bila dodeljena, uporabljeni so bili človeški viri. </w:t>
      </w:r>
    </w:p>
  </w:footnote>
  <w:footnote w:id="23">
    <w:p w:rsidR="00186C30" w:rsidRDefault="00186C30">
      <w:pPr>
        <w:pStyle w:val="FootnoteText"/>
      </w:pPr>
      <w:r w:rsidRPr="00E51EB2">
        <w:rPr>
          <w:rStyle w:val="FootnoteReference"/>
        </w:rPr>
        <w:footnoteRef/>
      </w:r>
      <w:r w:rsidRPr="00E51EB2">
        <w:tab/>
        <w:t>Izbor zunanjih dejavnikov lahko temelji na predpostavkah iz referenčnega scenarija EU za leto 2016 ali drugih naknadnih scenarijev politike za iste spremenljivke</w:t>
      </w:r>
      <w:r>
        <w:t>. Poleg tega so lahko posebni rezultati referenčnega scenarija EU za leto 2016 kot tudi rezultati naknadnih scenarijev politike koristen vir informacij pri pripravi nacionalnih projekcij z obstoječimi politikami in ukrepi ter ocen učinka.</w:t>
      </w:r>
    </w:p>
  </w:footnote>
  <w:footnote w:id="24">
    <w:p w:rsidR="00186C30" w:rsidRDefault="00186C30">
      <w:pPr>
        <w:pStyle w:val="FootnoteText"/>
      </w:pPr>
      <w:r>
        <w:rPr>
          <w:rStyle w:val="FootnoteReference"/>
        </w:rPr>
        <w:footnoteRef/>
      </w:r>
      <w:r>
        <w:tab/>
        <w:t>V skladu s členom 14(1) Direktive 2012/27/EU.</w:t>
      </w:r>
    </w:p>
  </w:footnote>
  <w:footnote w:id="25">
    <w:p w:rsidR="00186C30" w:rsidRDefault="00186C30">
      <w:pPr>
        <w:pStyle w:val="FootnoteText"/>
      </w:pPr>
      <w:r>
        <w:rPr>
          <w:rStyle w:val="FootnoteReference"/>
        </w:rPr>
        <w:footnoteRef/>
      </w:r>
      <w:r>
        <w:tab/>
        <w:t>Ta referenčna projekcija za scenarij brez sprememb je podlaga za ciljno porabo primarne in končne energije za leto 2030, ki je opisana v točki 2.3, in pretvorbene faktorje.</w:t>
      </w:r>
    </w:p>
  </w:footnote>
  <w:footnote w:id="26">
    <w:p w:rsidR="00186C30" w:rsidRDefault="00186C30">
      <w:pPr>
        <w:pStyle w:val="FootnoteText"/>
      </w:pPr>
      <w:r>
        <w:rPr>
          <w:rStyle w:val="FootnoteReference"/>
        </w:rPr>
        <w:footnoteRef/>
      </w:r>
      <w:r>
        <w:tab/>
        <w:t>Ob upoštevanju pregledov obstoječe infrastrukture za prenos, ki jih izvajajo operaterji prenosnih sistemov.</w:t>
      </w:r>
    </w:p>
  </w:footnote>
  <w:footnote w:id="27">
    <w:p w:rsidR="00186C30" w:rsidRDefault="00186C30">
      <w:pPr>
        <w:pStyle w:val="FootnoteText"/>
      </w:pPr>
      <w:r>
        <w:rPr>
          <w:rStyle w:val="FootnoteReference"/>
        </w:rPr>
        <w:footnoteRef/>
      </w:r>
      <w:r>
        <w:tab/>
        <w:t>Ob upoštevanju nacionalnih načrtov za razvoj omrežja in regionalnih naložbenih načrtov operaterjev prenosnih sistemov.</w:t>
      </w:r>
    </w:p>
  </w:footnote>
  <w:footnote w:id="28">
    <w:p w:rsidR="00186C30" w:rsidRDefault="00186C30">
      <w:pPr>
        <w:pStyle w:val="FootnoteText"/>
      </w:pPr>
      <w:r>
        <w:rPr>
          <w:rStyle w:val="FootnoteReference"/>
        </w:rPr>
        <w:footnoteRef/>
      </w:r>
      <w:r>
        <w:tab/>
        <w:t>Ob upoštevanju pregledov obstoječe infrastrukture za prenos, ki jih izvajajo operaterji prenosnih sistemov.</w:t>
      </w:r>
    </w:p>
  </w:footnote>
  <w:footnote w:id="29">
    <w:p w:rsidR="00186C30" w:rsidRDefault="00186C30">
      <w:pPr>
        <w:pStyle w:val="FootnoteText"/>
      </w:pPr>
      <w:r>
        <w:rPr>
          <w:rStyle w:val="FootnoteReference"/>
        </w:rPr>
        <w:footnoteRef/>
      </w:r>
      <w:r>
        <w:tab/>
        <w:t>Ob upoštevanju nacionalnih načrtov za razvoj omrežja in regionalnih naložbenih načrtov operaterjev prenosnih sistemov.</w:t>
      </w:r>
    </w:p>
  </w:footnote>
  <w:footnote w:id="30">
    <w:p w:rsidR="00186C30" w:rsidRDefault="00186C30">
      <w:pPr>
        <w:pStyle w:val="FootnoteText"/>
      </w:pPr>
      <w:r>
        <w:rPr>
          <w:rStyle w:val="FootnoteReference"/>
        </w:rPr>
        <w:footnoteRef/>
      </w:r>
      <w:r>
        <w:tab/>
        <w:t xml:space="preserve">Načrtovane politike in ukrepi so možnosti, o katerih se razpravlja in za katere obstaja realna možnost sprejetja in izvedbe po datumu predložitve nacionalnega načrta. Posledične projekcije iz oddelka </w:t>
      </w:r>
      <w:proofErr w:type="spellStart"/>
      <w:r>
        <w:t>5.1.i</w:t>
      </w:r>
      <w:proofErr w:type="spellEnd"/>
      <w:r>
        <w:t xml:space="preserve"> torej vključujejo ne le izvedene in sprejete politike in ukrepe (projekcije z obstoječimi politikami in ukrepi), temveč tudi načrtovane politike in ukrepe.</w:t>
      </w:r>
    </w:p>
  </w:footnote>
  <w:footnote w:id="31">
    <w:p w:rsidR="00186C30" w:rsidRDefault="00186C30">
      <w:pPr>
        <w:pStyle w:val="FootnoteText"/>
      </w:pPr>
      <w:r>
        <w:rPr>
          <w:rStyle w:val="FootnoteReference"/>
        </w:rPr>
        <w:footnoteRef/>
      </w:r>
      <w:r>
        <w:tab/>
        <w:t>Direktiva [kot je predlagano s COM/2013/0920] o zmanjšanju nacionalnih emisij za nekatera onesnaževala zraka, spremembi Direktive 2003/35/ES in razveljavitvi Direktive</w:t>
      </w:r>
      <w:r>
        <w:rPr>
          <w:b/>
        </w:rPr>
        <w:t xml:space="preserve"> </w:t>
      </w:r>
      <w:r>
        <w:t>2001/81/ES.</w:t>
      </w:r>
    </w:p>
  </w:footnote>
  <w:footnote w:id="32">
    <w:p w:rsidR="00186C30" w:rsidRDefault="00186C30" w:rsidP="00B72783">
      <w:pPr>
        <w:pStyle w:val="FootnoteText"/>
      </w:pPr>
      <w:r>
        <w:rPr>
          <w:rStyle w:val="FootnoteReference"/>
        </w:rPr>
        <w:footnoteRef/>
      </w:r>
      <w:r>
        <w:tab/>
        <w:t xml:space="preserve">Za načrt, ki zajema obdobje od leta 2021 do 2030: za vsak parameter/spremenljivko na seznamu se v petletnih intervalih poročajo trendi v letih 2005–2040 (2005–2050, če je ustrezno), vključno za leto 2030, tako v oddelku 4 kot 5. Navede se parameter na podlagi zunanjih predpostavk v primerjavi z izidom modeliranja. </w:t>
      </w:r>
    </w:p>
  </w:footnote>
  <w:footnote w:id="33">
    <w:p w:rsidR="00186C30" w:rsidRDefault="00186C30">
      <w:pPr>
        <w:pStyle w:val="FootnoteText"/>
      </w:pPr>
      <w:r>
        <w:rPr>
          <w:rStyle w:val="FootnoteReference"/>
        </w:rPr>
        <w:footnoteRef/>
      </w:r>
      <w:r>
        <w:tab/>
        <w:t xml:space="preserve">Kolikor je mogoče, sporočeni podatki in projekcije temeljijo na podatkih </w:t>
      </w:r>
      <w:proofErr w:type="spellStart"/>
      <w:r>
        <w:t>Eurostata</w:t>
      </w:r>
      <w:proofErr w:type="spellEnd"/>
      <w:r>
        <w:t xml:space="preserve"> in metodologiji, ki se uporablja za poročanje evropske statistike v zadevnih sektorskih zakonodajah, in so z njimi skladni, saj je evropska statistika glavni vir statističnih podatkov, ki se uporabljajo za poročanje in spremljanje, v skladu z Uredbo (ES) št. 223/2009 o evropski statistiki.</w:t>
      </w:r>
    </w:p>
  </w:footnote>
  <w:footnote w:id="34">
    <w:p w:rsidR="00186C30" w:rsidRDefault="00186C30">
      <w:pPr>
        <w:pStyle w:val="FootnoteText"/>
      </w:pPr>
      <w:r>
        <w:rPr>
          <w:rStyle w:val="FootnoteReference"/>
        </w:rPr>
        <w:footnoteRef/>
      </w:r>
      <w:r>
        <w:tab/>
        <w:t>Opomba: vse projekcije je treba izdelati na podlagi stalnih cen (cene za leto 2016 se uporabijo kot izhodišče)</w:t>
      </w:r>
    </w:p>
  </w:footnote>
  <w:footnote w:id="35">
    <w:p w:rsidR="00186C30" w:rsidRDefault="00186C30">
      <w:pPr>
        <w:pStyle w:val="FootnoteText"/>
      </w:pPr>
      <w:r>
        <w:rPr>
          <w:rStyle w:val="FootnoteReference"/>
        </w:rPr>
        <w:footnoteRef/>
      </w:r>
      <w:r>
        <w:tab/>
        <w:t>Komisija bo zagotovila priporočila za ključne parametre za projekcije, ki zajemajo vsaj uvozne cene nafte, plina in premoga kot tudi cene ogljika v sistemu za trgovanje z emisijami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E" w:rsidRPr="00BC2BEE" w:rsidRDefault="00BC2BEE" w:rsidP="00BC2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2 16:28: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3"/>
    <w:docVar w:name="DQCStatus" w:val="Yellow"/>
    <w:docVar w:name="DQCVersion" w:val="3"/>
    <w:docVar w:name="DQCWithWarnings" w:val="0"/>
    <w:docVar w:name="LW_ACCOMPAGNANT" w:val="k"/>
    <w:docVar w:name="LW_ACCOMPAGNANT.CP" w:val="k"/>
    <w:docVar w:name="LW_ANNEX_NBR_FIRST" w:val="1"/>
    <w:docVar w:name="LW_ANNEX_NBR_LAST" w:val="11"/>
    <w:docVar w:name="LW_CONFIDENCE" w:val=" "/>
    <w:docVar w:name="LW_CONST_RESTREINT_UE" w:val="RESTREINT UE/EU RESTRICTED"/>
    <w:docVar w:name="LW_CORRIGENDUM" w:val="CORRIGENDUM_x000b_This document corrects Annexes 1 to 11 of COM (2016) 759 final of 30.11.2016_x000b_Concerns all language versions._x000b_The text shall read as follows:"/>
    <w:docVar w:name="LW_COVERPAGE_GUID" w:val="3A2C4F6A7A774B42BB8E3E0CBCC5097E"/>
    <w:docVar w:name="LW_CROSSREFERENCE" w:val="{SWD(2016) 394 final}_x000a_{SWD(2016) 395 final}_x000a_{SWD(2016) 396 final}_x000a_{SWD(2016) 397 final}"/>
    <w:docVar w:name="LW_DocType" w:val="ANNEX"/>
    <w:docVar w:name="LW_EMISSION" w:val="23.2.2017"/>
    <w:docVar w:name="LW_EMISSION_ISODATE" w:val="2017-02-23"/>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PRILOGE"/>
    <w:docVar w:name="LW_TYPE.DOC.CP" w:val="PRILOGE"/>
    <w:docVar w:name="LW_TYPEACTEPRINCIPAL" w:val="predlogu UREDBE EVROPSKEGA PARLAMENTA IN SVETA_x000b__x000b_o upravljanju energetske unije,_x000b__x000b_spremembi Direktive 94/22/ES, Direktive 98/70/ES, Direktive 2009/31/ES, Uredbe (ES) \u353?t. 663/2009, Uredbe (ES) \u353?t. 715/2009, Direktive 2009/73/ES, Direktive Sveta 2009/119/ES, Direktive 2010/31/EU, Direktive 2012/27/EU, Direktive 2013/30/EU in Direktive Sveta (EU) 2015/652 ter razveljavitvi Uredbe (EU) \u353?t.&lt;LWCR:NBS&gt;525/2013"/>
    <w:docVar w:name="LW_TYPEACTEPRINCIPAL.CP" w:val="predlogu UREDBE EVROPSKEGA PARLAMENTA IN SVETA_x000b__x000b_o upravljanju energetske unije,_x000b__x000b_spremembi Direktive 94/22/ES, Direktive 98/70/ES, Direktive 2009/31/ES, Uredbe (ES) \u353?t. 663/2009, Uredbe (ES) \u353?t. 715/2009, Direktive 2009/73/ES, Direktive Sveta 2009/119/ES, Direktive 2010/31/EU, Direktive 2012/27/EU, Direktive 2013/30/EU in Direktive Sveta (EU) 2015/652 ter razveljavitvi Uredbe (EU) \u353?t. 525/2013"/>
  </w:docVars>
  <w:rsids>
    <w:rsidRoot w:val="00E0439A"/>
    <w:rsid w:val="00002706"/>
    <w:rsid w:val="00031C6D"/>
    <w:rsid w:val="00071918"/>
    <w:rsid w:val="001077B4"/>
    <w:rsid w:val="001248DF"/>
    <w:rsid w:val="00124F63"/>
    <w:rsid w:val="00186C30"/>
    <w:rsid w:val="001D2C20"/>
    <w:rsid w:val="00312F09"/>
    <w:rsid w:val="00347533"/>
    <w:rsid w:val="003B3C3B"/>
    <w:rsid w:val="004F4610"/>
    <w:rsid w:val="005B3CE6"/>
    <w:rsid w:val="0060314F"/>
    <w:rsid w:val="007A2C42"/>
    <w:rsid w:val="0080314F"/>
    <w:rsid w:val="00854733"/>
    <w:rsid w:val="008E6695"/>
    <w:rsid w:val="00965DA3"/>
    <w:rsid w:val="00A71ABB"/>
    <w:rsid w:val="00AA1439"/>
    <w:rsid w:val="00B07613"/>
    <w:rsid w:val="00B54D3D"/>
    <w:rsid w:val="00B72783"/>
    <w:rsid w:val="00BA1731"/>
    <w:rsid w:val="00BC2BEE"/>
    <w:rsid w:val="00BD71F2"/>
    <w:rsid w:val="00C40218"/>
    <w:rsid w:val="00C87C90"/>
    <w:rsid w:val="00CD23B2"/>
    <w:rsid w:val="00CD5D08"/>
    <w:rsid w:val="00D6449B"/>
    <w:rsid w:val="00DD2D14"/>
    <w:rsid w:val="00E0439A"/>
    <w:rsid w:val="00E51EB2"/>
    <w:rsid w:val="00F92ABC"/>
    <w:rsid w:val="00FC3CBC"/>
    <w:rsid w:val="00FD3C36"/>
    <w:rsid w:val="00FD5A87"/>
    <w:rsid w:val="00FE3A1A"/>
    <w:rsid w:val="00FF4F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l-SI"/>
    </w:rPr>
  </w:style>
  <w:style w:type="character" w:customStyle="1" w:styleId="CommentSubjectChar">
    <w:name w:val="Comment Subject Char"/>
    <w:basedOn w:val="CommentTextChar"/>
    <w:link w:val="CommentSubject"/>
    <w:uiPriority w:val="99"/>
    <w:semiHidden/>
    <w:rPr>
      <w:b/>
      <w:bCs/>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BC2BE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C2BEE"/>
    <w:rPr>
      <w:rFonts w:ascii="Times New Roman" w:hAnsi="Times New Roman" w:cs="Times New Roman"/>
      <w:sz w:val="24"/>
      <w:lang w:eastAsia="en-US" w:bidi="ar-SA"/>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BC2BEE"/>
    <w:pPr>
      <w:tabs>
        <w:tab w:val="center" w:pos="7285"/>
        <w:tab w:val="right" w:pos="14003"/>
      </w:tabs>
      <w:spacing w:before="0"/>
    </w:pPr>
    <w:rPr>
      <w:lang w:eastAsia="en-US" w:bidi="ar-SA"/>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l-SI"/>
    </w:rPr>
  </w:style>
  <w:style w:type="character" w:customStyle="1" w:styleId="CommentSubjectChar">
    <w:name w:val="Comment Subject Char"/>
    <w:basedOn w:val="CommentTextChar"/>
    <w:link w:val="CommentSubject"/>
    <w:uiPriority w:val="99"/>
    <w:semiHidden/>
    <w:rPr>
      <w:b/>
      <w:bCs/>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BC2BE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C2BEE"/>
    <w:rPr>
      <w:rFonts w:ascii="Times New Roman" w:hAnsi="Times New Roman" w:cs="Times New Roman"/>
      <w:sz w:val="24"/>
      <w:lang w:eastAsia="en-US" w:bidi="ar-SA"/>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BC2BEE"/>
    <w:pPr>
      <w:tabs>
        <w:tab w:val="center" w:pos="7285"/>
        <w:tab w:val="right" w:pos="14003"/>
      </w:tabs>
      <w:spacing w:before="0"/>
    </w:pPr>
    <w:rPr>
      <w:lang w:eastAsia="en-US" w:bidi="ar-SA"/>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7525E1A0-0654-4986-9393-9D87AD11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30</Pages>
  <Words>9156</Words>
  <Characters>55036</Characters>
  <Application>Microsoft Office Word</Application>
  <DocSecurity>0</DocSecurity>
  <Lines>1158</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Stefanie Heilemann</cp:lastModifiedBy>
  <cp:revision>4</cp:revision>
  <cp:lastPrinted>2016-11-26T15:08:00Z</cp:lastPrinted>
  <dcterms:created xsi:type="dcterms:W3CDTF">2017-03-02T15:28:00Z</dcterms:created>
  <dcterms:modified xsi:type="dcterms:W3CDTF">2017-03-06T09:21:00Z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Yellow (DQC version 03)</vt:lpwstr>
  </property>
</Properties>
</file>