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C54008EFD2F417C9246FEA8F6E29246" style="width:450.8pt;height:395.0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Bdr>
          <w:top w:val="nil"/>
          <w:left w:val="nil"/>
          <w:bottom w:val="nil"/>
          <w:right w:val="nil"/>
          <w:between w:val="nil"/>
          <w:bar w:val="nil"/>
        </w:pBdr>
        <w:spacing w:before="0" w:after="240"/>
        <w:rPr>
          <w:rFonts w:eastAsia="Arial Unicode MS"/>
          <w:noProof/>
        </w:rPr>
      </w:pPr>
      <w:r>
        <w:rPr>
          <w:noProof/>
        </w:rPr>
        <w:t>Tratatul de la Lisabona a modificat în mod substanțial structura în ceea ce privește competențele care pot fi conferite Comisiei de către legiuitor. Acesta prevede o distincție clară între actele de natură cvasilegislativă, pe de o parte, și, pe de altă parte, actele care pun în aplicare dispozițiile unui act de bază. Tratatul de la Lisabona prevede, de asemenea, un cadru juridic total diferit pentru fiecare tip de act.</w:t>
      </w:r>
    </w:p>
    <w:p>
      <w:pPr>
        <w:pBdr>
          <w:top w:val="nil"/>
          <w:left w:val="nil"/>
          <w:bottom w:val="nil"/>
          <w:right w:val="nil"/>
          <w:between w:val="nil"/>
          <w:bar w:val="nil"/>
        </w:pBdr>
        <w:spacing w:before="0" w:after="240"/>
        <w:rPr>
          <w:rFonts w:eastAsia="Arial Unicode MS"/>
          <w:noProof/>
        </w:rPr>
      </w:pPr>
      <w:r>
        <w:rPr>
          <w:noProof/>
        </w:rPr>
        <w:t>Cele două dispoziții în cauză sunt articolele 290 și 291 din Tratatul privind funcționarea Uniunii Europene (denumit în continuare „TFUE”), astfel cum au fost introduse de Tratatul de la Lisabona, care a intrat în vigoare la data de 1 decembrie 2009</w:t>
      </w:r>
      <w:r>
        <w:rPr>
          <w:rStyle w:val="FootnoteReference"/>
          <w:noProof/>
        </w:rPr>
        <w:footnoteReference w:id="1"/>
      </w:r>
      <w:r>
        <w:rPr>
          <w:noProof/>
        </w:rPr>
        <w:t xml:space="preserve">. Articolele menționate determină modificări semnificative ale procedurii cunoscute până în prezent sub denumirea de „procedura comitetului”. </w:t>
      </w:r>
    </w:p>
    <w:p>
      <w:pPr>
        <w:pBdr>
          <w:top w:val="nil"/>
          <w:left w:val="nil"/>
          <w:bottom w:val="nil"/>
          <w:right w:val="nil"/>
          <w:between w:val="nil"/>
          <w:bar w:val="nil"/>
        </w:pBdr>
        <w:spacing w:before="0" w:after="240"/>
        <w:rPr>
          <w:rFonts w:eastAsia="Arial Unicode MS"/>
          <w:noProof/>
        </w:rPr>
      </w:pPr>
      <w:r>
        <w:rPr>
          <w:noProof/>
        </w:rPr>
        <w:t>În ceea ce privește formularea, definiția actelor delegate de la articolul 290 alineatul (1) din tratat este foarte asemănătoare cu cea a actelor care, în temeiul Deciziei 1999/468/CE</w:t>
      </w:r>
      <w:r>
        <w:rPr>
          <w:rStyle w:val="FootnoteReference"/>
          <w:noProof/>
        </w:rPr>
        <w:footnoteReference w:id="2"/>
      </w:r>
      <w:r>
        <w:rPr>
          <w:noProof/>
        </w:rPr>
        <w:t>, astfel cum a fost modificată de Decizia 2006/512/CE a Consiliului („Decizia privind procedura comitetelor”), fac obiectul procedurii de reglementare cu control prevăzută la articolul 5a din decizia menționată. În ambele cazuri, actele respective au un domeniu de aplicare general și vizează modificarea sau completarea anumitor elemente neesențiale ale instrumentului legislativ.</w:t>
      </w:r>
    </w:p>
    <w:p>
      <w:pPr>
        <w:pBdr>
          <w:top w:val="nil"/>
          <w:left w:val="nil"/>
          <w:bottom w:val="nil"/>
          <w:right w:val="nil"/>
          <w:between w:val="nil"/>
          <w:bar w:val="nil"/>
        </w:pBdr>
        <w:spacing w:before="0" w:after="240"/>
        <w:rPr>
          <w:rFonts w:eastAsia="Arial Unicode MS"/>
          <w:noProof/>
        </w:rPr>
      </w:pPr>
      <w:r>
        <w:rPr>
          <w:noProof/>
        </w:rPr>
        <w:t>Din acest motiv, revizuirea Deciziei privind procedura comitetelor prin intermediul Regulamentului 182/2011</w:t>
      </w:r>
      <w:r>
        <w:rPr>
          <w:rStyle w:val="FootnoteReference"/>
          <w:noProof/>
        </w:rPr>
        <w:footnoteReference w:id="3"/>
      </w:r>
      <w:r>
        <w:rPr>
          <w:noProof/>
        </w:rPr>
        <w:t xml:space="preserve"> („Regulamentul privind procedura comitetelor”), care a fost adoptat pe baza articolului 291 alineatul (3) din TFUE privind competențele de executare, nu a inclus în domeniul său de aplicare și articolul 5a din Decizia privind procedura comitetelor. Prin urmare, articolul 5a, care stabilește procedura de reglementare cu control, a trebuit să fie menținut provizoriu în scopurile actelor de bază existente care fac trimitere la acest articol. </w:t>
      </w:r>
    </w:p>
    <w:p>
      <w:pPr>
        <w:pBdr>
          <w:top w:val="nil"/>
          <w:left w:val="nil"/>
          <w:bottom w:val="nil"/>
          <w:right w:val="nil"/>
          <w:between w:val="nil"/>
          <w:bar w:val="nil"/>
        </w:pBdr>
        <w:spacing w:before="0" w:after="240"/>
        <w:rPr>
          <w:rFonts w:eastAsia="Arial Unicode MS"/>
          <w:noProof/>
        </w:rPr>
      </w:pPr>
      <w:r>
        <w:rPr>
          <w:noProof/>
        </w:rPr>
        <w:t xml:space="preserve">În consecință, procedura de reglementare cu control apare încă în cele 168 de acte de bază existente care fac obiectul prezentei propuneri și continuă să se aplice (în conformitate cu articolul 5a din Decizia privind procedura comitetelor) în actele respective până când acestea sunt modificate și adaptate în mod formal la Tratatul de la Lisabona. </w:t>
      </w:r>
    </w:p>
    <w:p>
      <w:pPr>
        <w:pBdr>
          <w:top w:val="nil"/>
          <w:left w:val="nil"/>
          <w:bottom w:val="nil"/>
          <w:right w:val="nil"/>
          <w:between w:val="nil"/>
          <w:bar w:val="nil"/>
        </w:pBdr>
        <w:spacing w:before="0" w:after="240"/>
        <w:rPr>
          <w:rFonts w:eastAsia="Arial Unicode MS"/>
          <w:noProof/>
        </w:rPr>
      </w:pPr>
      <w:r>
        <w:rPr>
          <w:noProof/>
        </w:rPr>
        <w:t>La momentul adoptării Regulamentului 182/2011, Comisia și-a luat angajamentul de a revizui dispozițiile legate de această procedură, pentru a le adapta în timp util, conform criteriilor prevăzute în Tratatul privind funcționarea Uniunii Europene</w:t>
      </w:r>
      <w:r>
        <w:rPr>
          <w:rStyle w:val="FootnoteReference"/>
          <w:noProof/>
        </w:rPr>
        <w:footnoteReference w:id="4"/>
      </w:r>
      <w:r>
        <w:rPr>
          <w:noProof/>
        </w:rPr>
        <w:t>. În conformitate cu acest angajament, în 2013 Comisia a înaintat trei propuneri legislative de aliniere orizontală (Omnibus I, II și III)</w:t>
      </w:r>
      <w:r>
        <w:rPr>
          <w:rStyle w:val="FootnoteReference"/>
          <w:noProof/>
        </w:rPr>
        <w:footnoteReference w:id="5"/>
      </w:r>
      <w:r>
        <w:rPr>
          <w:rStyle w:val="CommentReference"/>
          <w:noProof/>
        </w:rPr>
        <w:t xml:space="preserve"> </w:t>
      </w:r>
      <w:r>
        <w:rPr>
          <w:noProof/>
        </w:rPr>
        <w:t xml:space="preserve">. </w:t>
      </w:r>
    </w:p>
    <w:p>
      <w:pPr>
        <w:pBdr>
          <w:top w:val="nil"/>
          <w:left w:val="nil"/>
          <w:bottom w:val="nil"/>
          <w:right w:val="nil"/>
          <w:between w:val="nil"/>
          <w:bar w:val="nil"/>
        </w:pBdr>
        <w:spacing w:before="0" w:after="240"/>
        <w:rPr>
          <w:rFonts w:eastAsia="Arial Unicode MS"/>
          <w:noProof/>
        </w:rPr>
      </w:pPr>
      <w:r>
        <w:rPr>
          <w:noProof/>
        </w:rPr>
        <w:t>Parlamentul European a adoptat rezoluțiile legislative referitoare la aceste propuneri la data de 25 februarie 2014</w:t>
      </w:r>
      <w:r>
        <w:rPr>
          <w:rStyle w:val="FootnoteReference"/>
          <w:noProof/>
        </w:rPr>
        <w:footnoteReference w:id="6"/>
      </w:r>
      <w:r>
        <w:rPr>
          <w:noProof/>
        </w:rPr>
        <w:t>, propunând o serie de modificări la Omnibus I și III, fiind însă de acord, în general, cu propunerile Comisiei. În schimb, Consiliul nu a susținut propunerile Comisiei, în special deoarece abordarea care prevedea o aliniere automată de la procedura de reglementare cu control la acte delegate a fost respinsă în absența unor garanții mai solide cu privire la faptul că experții statelor membre vor fi consultați în mod sistematic în elaborarea actelor delegate.</w:t>
      </w:r>
    </w:p>
    <w:p>
      <w:pPr>
        <w:pBdr>
          <w:top w:val="nil"/>
          <w:left w:val="nil"/>
          <w:bottom w:val="nil"/>
          <w:right w:val="nil"/>
          <w:between w:val="nil"/>
          <w:bar w:val="nil"/>
        </w:pBdr>
        <w:spacing w:before="0" w:after="240"/>
        <w:rPr>
          <w:rFonts w:eastAsia="Arial Unicode MS"/>
          <w:noProof/>
        </w:rPr>
      </w:pPr>
      <w:r>
        <w:rPr>
          <w:noProof/>
        </w:rPr>
        <w:t>Din cauza stagnării negocierilor interinstituționale privind aceste dosare, Comisia a retras propunerile</w:t>
      </w:r>
      <w:r>
        <w:rPr>
          <w:rStyle w:val="FootnoteReference"/>
          <w:noProof/>
        </w:rPr>
        <w:footnoteReference w:id="7"/>
      </w:r>
      <w:r>
        <w:rPr>
          <w:noProof/>
        </w:rPr>
        <w:t>, așa cum anunțase în programul său de lucru pentru 2015</w:t>
      </w:r>
      <w:r>
        <w:rPr>
          <w:rStyle w:val="FootnoteReference"/>
          <w:noProof/>
        </w:rPr>
        <w:footnoteReference w:id="8"/>
      </w:r>
      <w:r>
        <w:rPr>
          <w:noProof/>
        </w:rPr>
        <w:t xml:space="preserve">. </w:t>
      </w:r>
    </w:p>
    <w:p>
      <w:pPr>
        <w:pBdr>
          <w:top w:val="nil"/>
          <w:left w:val="nil"/>
          <w:bottom w:val="nil"/>
          <w:right w:val="nil"/>
          <w:between w:val="nil"/>
          <w:bar w:val="nil"/>
        </w:pBdr>
        <w:spacing w:before="0" w:after="240"/>
        <w:rPr>
          <w:rFonts w:eastAsia="Arial Unicode MS"/>
          <w:noProof/>
        </w:rPr>
      </w:pPr>
      <w:r>
        <w:rPr>
          <w:noProof/>
        </w:rPr>
        <w:t>Chestiunea alinierii a fost abordată din nou în cadrul discuțiilor referitoare la revizuirea Acordului interinstituțional privind o mai bună legiferare</w:t>
      </w:r>
      <w:r>
        <w:rPr>
          <w:rStyle w:val="FootnoteReference"/>
          <w:noProof/>
        </w:rPr>
        <w:footnoteReference w:id="9"/>
      </w:r>
      <w:r>
        <w:rPr>
          <w:noProof/>
        </w:rPr>
        <w:t xml:space="preserve">. Toate instituțiile au recunoscut necesitatea alinierii și Comisia s-a angajat să înainteze, până la sfârșitul anului 2016, o nouă propunere de aliniere a actelor legislative care conțin încă trimiteri la procedura de reglementare cu control. Prezenta propunere răspunde acestui angajament. </w:t>
      </w:r>
    </w:p>
    <w:p>
      <w:pPr>
        <w:pBdr>
          <w:top w:val="nil"/>
          <w:left w:val="nil"/>
          <w:bottom w:val="nil"/>
          <w:right w:val="nil"/>
          <w:between w:val="nil"/>
          <w:bar w:val="nil"/>
        </w:pBdr>
        <w:spacing w:before="0" w:after="240"/>
        <w:rPr>
          <w:rFonts w:eastAsia="Arial Unicode MS"/>
          <w:noProof/>
        </w:rPr>
      </w:pPr>
      <w:r>
        <w:rPr>
          <w:noProof/>
        </w:rPr>
        <w:t xml:space="preserve">În același timp, acordul interinstituțional și înțelegerea comună privind actele delegate anexată la acesta îmbunătățesc, de asemenea, cadrul pentru actele delegate și, prin urmare, răspund principalei preocupări care a împiedicat adesea acceptarea de către Consiliu a actelor delegate, și anume consultarea experților din statele membre. Acordul prevede acum un angajament clar de consultare sistematică a experților din statele membre în elaborarea actelor delegate, inclusiv cu privire la proiectul de text, îndeplinind astfel o condiție-cheie pentru reușita celei de a doua încercări de a alinia vechile dispoziții referitoare la procedura de reglementare cu control la Tratatul de la Lisabona. Acest angajament este inclus acum în mod explicit în noile clauze standard care urmează să fie utilizate în redactarea competențelor conferite Comisiei. De asemenea, acordul recunoaște în mod explicit rolul important al cooperării timpurii și al schimbului timpuriu de opinii cu Parlamentul European cu privire la actele delegate. Acordul confirmă faptul că Parlamentul European trebuie să primească toate documentele în același timp cu experții din statele membre, inclusiv proiectele de acte delegate, și prevede asigurarea sistematică și facilitarea accesului experților Parlamentului European la reuniunile grupurilor de experți ale Comisiei care elaborează acte delegate. În fine, acordul prevede posibilitatea invitării Comisiei la reuniuni în Parlamentul European (sau în Consiliu) pentru un schimb de opinii suplimentar în ceea ce privește elaborarea actelor delegate. </w:t>
      </w:r>
    </w:p>
    <w:p>
      <w:pPr>
        <w:pStyle w:val="ManualHeading2"/>
        <w:rPr>
          <w:rFonts w:eastAsia="Arial Unicode MS"/>
          <w:noProof/>
          <w:color w:val="000000"/>
          <w:u w:color="000000"/>
          <w:bdr w:val="nil"/>
        </w:rPr>
      </w:pPr>
      <w:r>
        <w:rPr>
          <w:noProof/>
          <w:color w:val="000000"/>
          <w:u w:color="000000"/>
          <w:bdr w:val="nil"/>
        </w:rPr>
        <w:t xml:space="preserve">2. </w:t>
      </w:r>
      <w:r>
        <w:rPr>
          <w:noProof/>
        </w:rPr>
        <w:tab/>
      </w:r>
      <w:r>
        <w:rPr>
          <w:noProof/>
          <w:color w:val="000000"/>
          <w:u w:color="000000"/>
          <w:bdr w:val="nil"/>
        </w:rPr>
        <w:t xml:space="preserve">METODA </w:t>
      </w:r>
      <w:r>
        <w:rPr>
          <w:caps/>
          <w:noProof/>
          <w:color w:val="000000"/>
          <w:u w:color="000000"/>
          <w:bdr w:val="nil"/>
        </w:rPr>
        <w:t>alinierii și principalele elemente ale propunerii</w:t>
      </w:r>
      <w:r>
        <w:rPr>
          <w:noProof/>
          <w:color w:val="000000"/>
          <w:u w:color="000000"/>
          <w:bdr w:val="nil"/>
        </w:rPr>
        <w:t xml:space="preserve"> </w:t>
      </w:r>
    </w:p>
    <w:p>
      <w:pPr>
        <w:pBdr>
          <w:top w:val="nil"/>
          <w:left w:val="nil"/>
          <w:bottom w:val="nil"/>
          <w:right w:val="nil"/>
          <w:between w:val="nil"/>
          <w:bar w:val="nil"/>
        </w:pBdr>
        <w:spacing w:before="0" w:after="240"/>
        <w:rPr>
          <w:rFonts w:eastAsia="Arial Unicode MS"/>
          <w:noProof/>
        </w:rPr>
      </w:pPr>
      <w:r>
        <w:rPr>
          <w:noProof/>
        </w:rPr>
        <w:t xml:space="preserve">Punctul de plecare pentru determinarea </w:t>
      </w:r>
      <w:r>
        <w:rPr>
          <w:b/>
          <w:noProof/>
        </w:rPr>
        <w:t>domeniului de aplicare</w:t>
      </w:r>
      <w:r>
        <w:rPr>
          <w:noProof/>
        </w:rPr>
        <w:t xml:space="preserve"> al prezentei propuneri îl reprezintă actele juridice vizate de cele trei propuneri de aliniere legislativă adoptate de Comisie în 2013. Actele cu privire la care s-au făcut între timp propuneri legislative individuale nu sunt incluse în prezenta propunere</w:t>
      </w:r>
      <w:r>
        <w:rPr>
          <w:rStyle w:val="FootnoteReference"/>
          <w:noProof/>
        </w:rPr>
        <w:footnoteReference w:id="10"/>
      </w:r>
      <w:r>
        <w:rPr>
          <w:noProof/>
        </w:rPr>
        <w:t xml:space="preserve">. În prezenta propunere a fost adăugat un singur act care nu a făcut obiectul propunerii din 2013, dar în cazul căruia alinierea este necesară. </w:t>
      </w:r>
    </w:p>
    <w:p>
      <w:pPr>
        <w:pBdr>
          <w:top w:val="nil"/>
          <w:left w:val="nil"/>
          <w:bottom w:val="nil"/>
          <w:right w:val="nil"/>
          <w:between w:val="nil"/>
          <w:bar w:val="nil"/>
        </w:pBdr>
        <w:spacing w:before="0" w:after="240"/>
        <w:rPr>
          <w:rFonts w:eastAsia="Arial Unicode MS"/>
          <w:noProof/>
        </w:rPr>
      </w:pPr>
      <w:r>
        <w:rPr>
          <w:noProof/>
        </w:rPr>
        <w:t>Prezenta propunere nu vizează opt acte legislative din domeniul pesticidelor și al produselor alimentare</w:t>
      </w:r>
      <w:r>
        <w:rPr>
          <w:rStyle w:val="FootnoteReference"/>
          <w:noProof/>
        </w:rPr>
        <w:footnoteReference w:id="11"/>
      </w:r>
      <w:r>
        <w:rPr>
          <w:noProof/>
        </w:rPr>
        <w:t>. Având în vedere structura actuală a acestor acte de bază, alinierea la actele delegate, astfel cum a propus Comisia în 2013, ar fi abordarea corectă. Totuși, Comisia nu a inclus în etapa actuală aceste acte în prezenta propunere, deoarece analizează dacă există o modalitate mai adecvată de a le structura în ceea ce privește autorizațiile individuale/stabilirea valorilor/includerea pe listă a anumitor substanțe pe baza criteriilor specifice prevăzute în act, având în vedere abordarea îmbunătățită recent adoptată de colegiuitori în legătură cu legislația referitoare la alimentele noi</w:t>
      </w:r>
      <w:r>
        <w:rPr>
          <w:rStyle w:val="FootnoteReference"/>
          <w:noProof/>
        </w:rPr>
        <w:footnoteReference w:id="12"/>
      </w:r>
      <w:r>
        <w:rPr>
          <w:noProof/>
        </w:rPr>
        <w:t xml:space="preserve"> și analiza REFIT în curs a actelor de bază în materie de pesticide, precum și activitatea planificată de evaluare a legitimității democratice a procedurilor existente pentru adoptarea anumitor acte secundare (astfel cum s-a anunțat în Programul de lucru al Comisiei pentru 2017). </w:t>
      </w:r>
    </w:p>
    <w:p>
      <w:pPr>
        <w:pBdr>
          <w:top w:val="nil"/>
          <w:left w:val="nil"/>
          <w:bottom w:val="nil"/>
          <w:right w:val="nil"/>
          <w:between w:val="nil"/>
          <w:bar w:val="nil"/>
        </w:pBdr>
        <w:spacing w:before="0" w:after="240"/>
        <w:rPr>
          <w:rFonts w:eastAsia="Arial Unicode MS"/>
          <w:noProof/>
        </w:rPr>
      </w:pPr>
      <w:r>
        <w:rPr>
          <w:noProof/>
        </w:rPr>
        <w:t xml:space="preserve">În propunerile de aliniere din 2013, </w:t>
      </w:r>
      <w:r>
        <w:rPr>
          <w:b/>
          <w:noProof/>
        </w:rPr>
        <w:t>abordarea legislativă</w:t>
      </w:r>
      <w:r>
        <w:rPr>
          <w:noProof/>
        </w:rPr>
        <w:t xml:space="preserve"> aleasă nu fost aceea de a modifica individual actele de bază în cauză, ci de a prevedea într-o manieră generală că trimiterile la procedura de reglementare cu control prevăzute în actele de bază trebuie citite ca trimiteri la articolul 290, respectiv la articolul 290 sau la articolul 291. În cadrul acestei abordări, fiecare act de bază ar fi trebuit citit întotdeauna împreună cu Regulamentul Omnibus relevant, dacă acesta ar fi fost adoptat. </w:t>
      </w:r>
    </w:p>
    <w:p>
      <w:pPr>
        <w:pBdr>
          <w:top w:val="nil"/>
          <w:left w:val="nil"/>
          <w:bottom w:val="nil"/>
          <w:right w:val="nil"/>
          <w:between w:val="nil"/>
          <w:bar w:val="nil"/>
        </w:pBdr>
        <w:spacing w:before="0" w:after="240"/>
        <w:rPr>
          <w:rFonts w:eastAsia="Arial Unicode MS"/>
          <w:noProof/>
        </w:rPr>
      </w:pPr>
      <w:r>
        <w:rPr>
          <w:noProof/>
        </w:rPr>
        <w:t>Având în vedere dificultățile cu care s-a confruntat în special Consiliul în ceea ce privește această tehnică, abordarea adoptată în prezenta propunere este diferită. Acum se propune modificarea fiecărui act de bază în cauză.</w:t>
      </w:r>
      <w:r>
        <w:rPr>
          <w:noProof/>
          <w:color w:val="000000"/>
        </w:rPr>
        <w:t xml:space="preserve"> Această abordare este similară cu cea aleasă în 2007, atunci când în cadrul unui exercițiu similar s-au introdus dispozițiile privind procedura de reglementare cu control</w:t>
      </w:r>
      <w:r>
        <w:rPr>
          <w:rStyle w:val="FootnoteReference"/>
          <w:noProof/>
        </w:rPr>
        <w:footnoteReference w:id="13"/>
      </w:r>
      <w:r>
        <w:rPr>
          <w:noProof/>
        </w:rPr>
        <w:t>. În consecință, se aduc o serie de modificări fiecărui act de bază. Dispoziția de împuternicire, și anume textul care conține împuternicirea materială pentru procedura de reglementare cu control, este reformulată și urmează redactarea convenită în clauzele standard pentru articolele de delegare de competențe. Articolul standard privind exercitarea delegării, deci articolul procedural, este introdus în fiecare act de bază și se elimină trimiterile la procedura de reglementare cu control. Pentru fiecare act se menționează în mod explicit dacă împuternicirea permite modificarea actului de bază. Noile clauze standard care prevăd consultarea experților din statele membre în elaborarea actelor delegate sunt incluse în prezent în fiecare act de bază. Nicio împuternicire nu prevede modificări ale altor acte.</w:t>
      </w:r>
    </w:p>
    <w:p>
      <w:pPr>
        <w:pBdr>
          <w:top w:val="nil"/>
          <w:left w:val="nil"/>
          <w:bottom w:val="nil"/>
          <w:right w:val="nil"/>
          <w:between w:val="nil"/>
          <w:bar w:val="nil"/>
        </w:pBdr>
        <w:spacing w:before="0" w:after="240"/>
        <w:rPr>
          <w:rFonts w:eastAsia="Arial Unicode MS"/>
          <w:noProof/>
        </w:rPr>
      </w:pPr>
      <w:r>
        <w:rPr>
          <w:noProof/>
        </w:rPr>
        <w:t xml:space="preserve">În ceea ce privește </w:t>
      </w:r>
      <w:r>
        <w:rPr>
          <w:b/>
          <w:noProof/>
        </w:rPr>
        <w:t>alegerea dintre împuternici pentru acte delegate și împuternici pentru acte de punere în aplicare</w:t>
      </w:r>
      <w:r>
        <w:rPr>
          <w:noProof/>
        </w:rPr>
        <w:t xml:space="preserve">, propunerile de aliniere din 2013 au pornit de la ipoteza că măsurile care fac obiectul procedurii de reglementare cu control corespund, în principiu, celor care pot face obiectul delegării de competențe, astfel cum se prevede la articolul 290 din TFUE. În ceea ce privește Omnibus III, numai în câteva cazuri, pe baza unei evaluări de la caz la caz efectuate la momentul respectiv, s-a propus alinierea la articolul 291, în locul articolului 290. </w:t>
      </w:r>
    </w:p>
    <w:p>
      <w:pPr>
        <w:pBdr>
          <w:top w:val="nil"/>
          <w:left w:val="nil"/>
          <w:bottom w:val="nil"/>
          <w:right w:val="nil"/>
          <w:between w:val="nil"/>
          <w:bar w:val="nil"/>
        </w:pBdr>
        <w:spacing w:before="0" w:after="240"/>
        <w:rPr>
          <w:rFonts w:eastAsia="Arial Unicode MS"/>
          <w:noProof/>
        </w:rPr>
      </w:pPr>
      <w:r>
        <w:rPr>
          <w:noProof/>
        </w:rPr>
        <w:t>Ipoteza generală care stă la baza noii propuneri este aceea că evaluarea efectuată în cadrul propunerilor Omnibus din 2013 rămâne valabilă. Nici negocierile privind Omnibus din 2013, nici jurisprudența pe această temă</w:t>
      </w:r>
      <w:r>
        <w:rPr>
          <w:rStyle w:val="FootnoteReference"/>
          <w:noProof/>
        </w:rPr>
        <w:footnoteReference w:id="14"/>
      </w:r>
      <w:r>
        <w:rPr>
          <w:noProof/>
        </w:rPr>
        <w:t xml:space="preserve">, nici rezultatul Acordului interinstituțional privind o mai bună legiferare nu au dus la noi criterii care să fi impus o reevaluare globală. </w:t>
      </w:r>
    </w:p>
    <w:p>
      <w:pPr>
        <w:pBdr>
          <w:top w:val="nil"/>
          <w:left w:val="nil"/>
          <w:bottom w:val="nil"/>
          <w:right w:val="nil"/>
          <w:between w:val="nil"/>
          <w:bar w:val="nil"/>
        </w:pBdr>
        <w:spacing w:before="0" w:after="240"/>
        <w:rPr>
          <w:rFonts w:eastAsia="Arial Unicode MS"/>
          <w:bCs/>
          <w:noProof/>
        </w:rPr>
      </w:pPr>
      <w:r>
        <w:rPr>
          <w:noProof/>
        </w:rPr>
        <w:t xml:space="preserve">În cazul alinierii la acte de punere în aplicare, se adaugă o observație introductivă. Pe lângă cazurile în care s-a propus deja în 2013 alinierea la acte de punere în aplicare, în prezenta propunere s-au adăugat doar câteva cazuri noi. Acestea se referă la împuterniciri pentru stabilirea de formate în domeniul statisticii. </w:t>
      </w:r>
    </w:p>
    <w:p>
      <w:pPr>
        <w:pBdr>
          <w:top w:val="nil"/>
          <w:left w:val="nil"/>
          <w:bottom w:val="nil"/>
          <w:right w:val="nil"/>
          <w:between w:val="nil"/>
          <w:bar w:val="nil"/>
        </w:pBdr>
        <w:spacing w:before="0" w:after="240"/>
        <w:rPr>
          <w:rFonts w:eastAsia="Arial Unicode MS"/>
          <w:b/>
          <w:bCs/>
          <w:noProof/>
        </w:rPr>
      </w:pPr>
      <w:r>
        <w:rPr>
          <w:b/>
          <w:noProof/>
        </w:rPr>
        <w:t xml:space="preserve">Tabelul 1: Lista actelor în cazul cărora se propune alinierea la acte de punere în aplicare pentru anumite împuterniciri </w:t>
      </w:r>
    </w:p>
    <w:tbl>
      <w:tblPr>
        <w:tblStyle w:val="TableGrid"/>
        <w:tblW w:w="0" w:type="auto"/>
        <w:tblLayout w:type="fixed"/>
        <w:tblLook w:val="04A0" w:firstRow="1" w:lastRow="0" w:firstColumn="1" w:lastColumn="0" w:noHBand="0" w:noVBand="1"/>
      </w:tblPr>
      <w:tblGrid>
        <w:gridCol w:w="1068"/>
        <w:gridCol w:w="8160"/>
      </w:tblGrid>
      <w:tr>
        <w:tc>
          <w:tcPr>
            <w:tcW w:w="1068" w:type="dxa"/>
          </w:tcPr>
          <w:p>
            <w:pPr>
              <w:pBdr>
                <w:top w:val="nil"/>
                <w:left w:val="nil"/>
                <w:bottom w:val="nil"/>
                <w:right w:val="nil"/>
                <w:between w:val="nil"/>
                <w:bar w:val="nil"/>
              </w:pBdr>
              <w:spacing w:before="0" w:after="240"/>
              <w:rPr>
                <w:rFonts w:eastAsia="Arial Unicode MS"/>
                <w:b/>
                <w:bCs/>
                <w:noProof/>
              </w:rPr>
            </w:pPr>
            <w:r>
              <w:rPr>
                <w:b/>
                <w:noProof/>
              </w:rPr>
              <w:t>Numărul anexei</w:t>
            </w:r>
          </w:p>
        </w:tc>
        <w:tc>
          <w:tcPr>
            <w:tcW w:w="8160" w:type="dxa"/>
          </w:tcPr>
          <w:p>
            <w:pPr>
              <w:pBdr>
                <w:top w:val="nil"/>
                <w:left w:val="nil"/>
                <w:bottom w:val="nil"/>
                <w:right w:val="nil"/>
                <w:between w:val="nil"/>
                <w:bar w:val="nil"/>
              </w:pBdr>
              <w:spacing w:before="0" w:after="240"/>
              <w:rPr>
                <w:rFonts w:eastAsia="Arial Unicode MS"/>
                <w:b/>
                <w:bCs/>
                <w:noProof/>
              </w:rPr>
            </w:pPr>
            <w:r>
              <w:rPr>
                <w:b/>
                <w:noProof/>
              </w:rPr>
              <w:t>Titlul actului</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2</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Decizia nr. 406/2009/CE a Parlamentului European și a Consiliului din 23 aprilie 2009 privind efortul statelor membre de a reduce emisiile de gaze cu efect de seră astfel încât să respecte angajamentele Comunității de reducere a emisiilor de gaze cu efect de seră până în 2020*</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Decizia nr. 626/2008/CE a Parlamentului European și a Consiliului din 30 iunie 2008 privind selectarea și autorizarea sistemelor care furnizează servicii mobile de comunicații prin satelit (Decizia MSS)*</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53</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1221/2009 al Parlamentului European și al Consiliului din 25 noiembrie 2009 privind participarea voluntară a organizațiilor la un sistem comunitar de management de mediu și audit (EMAS) și de abrogare a Regulamentului (CE) nr. 761/2001 și a Deciziilor 2001/681/CE și 2006/193/CE ale Comisiei*</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58</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530/1999 al Consiliului din 9 martie 1999 privind statisticile structurale ale câștigurilor salariale și ale costului forței de muncă</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59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2150/2002 al Parlamentului European și al Consiliului din 25 noiembrie 2002 referitor la statisticile privind deșeurile*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60</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437/2003 al Parlamentului European și al Consiliului din 27 februarie 2003 privind rapoartele statistice referitoare la transportul aerian de pasageri, mărfuri și poștă</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61</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450/2003 al Parlamentului European și al Consiliului din 27 februarie 2003 privind indicele costului forței de muncă*</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1552/2005 al Parlamentului European și al Consiliului din 7 septembrie 2005 privind statisticile referitoare la formarea profesională în întreprinderi*</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67</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716/2007 al Parlamentului European și al Consiliului din 20 iunie 2007 privind statisticile comunitare legate de structura și activitatea filialelor străine*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69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1445/2007 al Parlamentului European și al Consiliului din 11 decembrie 2007 de stabilire a unor norme comune pentru furnizarea de informații de bază privind paritățile puterii de cumpărare și pentru calculul și diseminarea acestora*</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70</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177/2008 al Parlamentului European și al Consiliului din 20 februarie 2008 de stabilire a unui cadru comun pentru registrele de uz statistic ale întreprinderilor și de abrogare a Regulamentului (CEE) nr. 2186/93 al Consiliului*</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73</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452/2008 al Parlamentului European și al Consiliului din 23 aprilie 2008 privind producerea și dezvoltarea de statistici în materie de educație și învățare continuă</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74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453/2008 al Parlamentului European și al Consiliului din 23 aprilie 2008 referitor la statisticile trimestriale privind locurile de muncă vacante în Comunitate*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89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Directiva 2006/42/CE a Parlamentului European și a Consiliului privind echipamentele tehnice și de modificare a Directivei 95/16/CE*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99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1223/2009 al Parlamentului European și al Consiliului din 30 noiembrie 2009 privind produsele cosmetice*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104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Directiva 97/70/CE a Consiliului din 11 decembrie 1997 de instituire a unui regim armonizat de siguranță pentru navele de pescuit cu lungimea de 24 metri sau mai mare*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114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725/2004 al Parlamentului European și al Consiliului din 31 martie 2004 privind consolidarea securității navelor și a instalațiilor portuare*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143</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Directiva 2002/46/CE din 10 iunie 2002 referitoare la apropierea legislațiilor statelor membre privind suplimentele alimentare*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144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Directiva 2002/98/CE a Parlamentului European și a Consiliului din 27 ianuarie 2003 privind stabilirea standardelor de calitate și securitate pentru recoltarea, controlul, prelucrarea, stocarea și distribuirea sângelui uman și a componentelor sanguine și de modificare a Directivei 2001/83/CE*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147</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1829/2003 al Parlamentului European și al Consiliului din 22 septembrie 2003 privind produsele alimentare și furajele modificate genetic*</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151</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2160/2003 al Parlamentului European și al Consiliului din 17 noiembrie 2003 privind controlul salmonellei și al altor agenți zoonotici specifici, prezenți în rețeaua alimentară</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154</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Directiva 2004/23/CE a Parlamentului European și a Consiliului din 31 martie 2004 privind stabilirea standardelor de calitate și securitate pentru donarea, obținerea, controlul, prelucrarea, conservarea, stocarea și distribuirea țesuturilor și a celulelor umane*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158</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1924/2006 al Parlamentului European și al Consiliului din 20 decembrie 2006 privind mențiunile nutriționale și de sănătate înscrise pe produsele alimentare*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159</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nr.1925/2006 din 20 decembrie 2006 privind adaosul de vitamine și minerale, precum și de anumite substanțe de alt tip în produsele alimentare*</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165</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470/2009 al Parlamentului European și al Consiliului din 6 mai 2009 de stabilire a procedurilor comunitare în vederea stabilirii limitelor de reziduuri ale substanțelor farmacologic active din alimentele de origine animală, de abrogare a Regulamentului (CEE) nr. 2377/90 al Consiliului și de modificare a Directivei 2001/82/CE a Parlamentului European și a Consiliului și a Regulamentului (CE) nr. 726/2004 al Parlamentului European și al Consiliului*</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166</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767/2009 al Parlamentului European și al Consiliului din 13 iulie 2009 privind introducerea pe piață și utilizarea furajelor, de modificare a Regulamentului (CE) nr. 1831/2003 al Parlamentului European și al Consiliului și de abrogare a Directivei 79/373/CEE a Consiliului, a Directivei 80/511/CEE a Comisiei, a Directivelor 82/471/CEE, 83/228/CEE, 93/74/CEE, 93/113/CE și 96/25/CE ale Consiliului și a Deciziei 2004/217/CE a Comisiei*</w:t>
            </w:r>
          </w:p>
        </w:tc>
      </w:tr>
      <w:tr>
        <w:tc>
          <w:tcPr>
            <w:tcW w:w="1068" w:type="dxa"/>
          </w:tcPr>
          <w:p>
            <w:pPr>
              <w:pBdr>
                <w:top w:val="nil"/>
                <w:left w:val="nil"/>
                <w:bottom w:val="nil"/>
                <w:right w:val="nil"/>
                <w:between w:val="nil"/>
                <w:bar w:val="nil"/>
              </w:pBdr>
              <w:spacing w:before="0" w:after="240"/>
              <w:rPr>
                <w:rFonts w:eastAsia="Arial Unicode MS"/>
                <w:bCs/>
                <w:noProof/>
                <w:sz w:val="20"/>
                <w:szCs w:val="20"/>
              </w:rPr>
            </w:pPr>
            <w:r>
              <w:rPr>
                <w:noProof/>
                <w:sz w:val="20"/>
              </w:rPr>
              <w:t>167</w:t>
            </w:r>
          </w:p>
        </w:tc>
        <w:tc>
          <w:tcPr>
            <w:tcW w:w="8160" w:type="dxa"/>
          </w:tcPr>
          <w:p>
            <w:pPr>
              <w:pBdr>
                <w:top w:val="nil"/>
                <w:left w:val="nil"/>
                <w:bottom w:val="nil"/>
                <w:right w:val="nil"/>
                <w:between w:val="nil"/>
                <w:bar w:val="nil"/>
              </w:pBdr>
              <w:spacing w:before="0" w:after="240"/>
              <w:rPr>
                <w:rFonts w:eastAsia="Arial Unicode MS"/>
                <w:bCs/>
                <w:noProof/>
                <w:sz w:val="20"/>
                <w:szCs w:val="20"/>
              </w:rPr>
            </w:pPr>
            <w:r>
              <w:rPr>
                <w:noProof/>
                <w:sz w:val="20"/>
              </w:rPr>
              <w:t>Regulamentul (CE) nr. 1069/2009 al Parlamentului European și al Consiliului din 21 octombrie 2009 de stabilire a unor norme sanitare privind subprodusele de origine animală și produsele derivate care nu sunt destinate consumului uman și de abrogare a Regulamentului (CE) nr. 1774/2002 (Regulament privind subprodusele de origine animală)*</w:t>
            </w:r>
          </w:p>
        </w:tc>
      </w:tr>
    </w:tbl>
    <w:p>
      <w:pPr>
        <w:pBdr>
          <w:top w:val="nil"/>
          <w:left w:val="nil"/>
          <w:bottom w:val="nil"/>
          <w:right w:val="nil"/>
          <w:between w:val="nil"/>
          <w:bar w:val="nil"/>
        </w:pBdr>
        <w:spacing w:before="0" w:after="240"/>
        <w:rPr>
          <w:rFonts w:eastAsia="Arial Unicode MS"/>
          <w:bCs/>
          <w:noProof/>
          <w:sz w:val="20"/>
          <w:szCs w:val="20"/>
        </w:rPr>
      </w:pPr>
      <w:r>
        <w:rPr>
          <w:noProof/>
          <w:sz w:val="20"/>
        </w:rPr>
        <w:t xml:space="preserve">* </w:t>
      </w:r>
      <w:r>
        <w:rPr>
          <w:noProof/>
        </w:rPr>
        <w:tab/>
      </w:r>
      <w:r>
        <w:rPr>
          <w:noProof/>
          <w:sz w:val="20"/>
        </w:rPr>
        <w:t xml:space="preserve">Pentru aceste acte, alinierea unor dispoziții la acte de punere în aplicare a fost propusă deja în 2013. </w:t>
      </w:r>
    </w:p>
    <w:p>
      <w:pPr>
        <w:pBdr>
          <w:top w:val="nil"/>
          <w:left w:val="nil"/>
          <w:bottom w:val="nil"/>
          <w:right w:val="nil"/>
          <w:between w:val="nil"/>
          <w:bar w:val="nil"/>
        </w:pBdr>
        <w:spacing w:before="0" w:after="240"/>
        <w:rPr>
          <w:rFonts w:eastAsia="Arial Unicode MS"/>
          <w:bCs/>
          <w:noProof/>
        </w:rPr>
      </w:pPr>
      <w:r>
        <w:rPr>
          <w:noProof/>
        </w:rPr>
        <w:t xml:space="preserve">Se propune ca împuternicirile să fie </w:t>
      </w:r>
      <w:r>
        <w:rPr>
          <w:noProof/>
          <w:u w:val="single"/>
        </w:rPr>
        <w:t>eliminate</w:t>
      </w:r>
      <w:r>
        <w:rPr>
          <w:noProof/>
        </w:rPr>
        <w:t xml:space="preserve"> în cazurile în care acestea au devenit caduce, fie din motive temporale (de exemplu, atunci când autorizau o măsură tranzitorie, dar acum actul de bază se aplică deja integral de mai mulți ani), fie în cazurile în care experiența a arătat că nu erau necesare. </w:t>
      </w:r>
    </w:p>
    <w:p>
      <w:pPr>
        <w:pBdr>
          <w:top w:val="nil"/>
          <w:left w:val="nil"/>
          <w:bottom w:val="nil"/>
          <w:right w:val="nil"/>
          <w:between w:val="nil"/>
          <w:bar w:val="nil"/>
        </w:pBdr>
        <w:spacing w:before="0" w:after="240"/>
        <w:rPr>
          <w:rFonts w:eastAsia="Arial Unicode MS"/>
          <w:bCs/>
          <w:noProof/>
        </w:rPr>
      </w:pPr>
      <w:r>
        <w:rPr>
          <w:noProof/>
        </w:rPr>
        <w:t>Tabelul 2: Lista actelor în cazul cărora se prevede eliminarea anumitor împuterniciri</w:t>
      </w:r>
    </w:p>
    <w:tbl>
      <w:tblPr>
        <w:tblStyle w:val="TableGrid"/>
        <w:tblW w:w="0" w:type="auto"/>
        <w:tblLayout w:type="fixed"/>
        <w:tblLook w:val="04A0" w:firstRow="1" w:lastRow="0" w:firstColumn="1" w:lastColumn="0" w:noHBand="0" w:noVBand="1"/>
      </w:tblPr>
      <w:tblGrid>
        <w:gridCol w:w="1068"/>
        <w:gridCol w:w="8160"/>
      </w:tblGrid>
      <w:tr>
        <w:tc>
          <w:tcPr>
            <w:tcW w:w="1068" w:type="dxa"/>
            <w:shd w:val="clear" w:color="auto" w:fill="FFFFFF" w:themeFill="background1"/>
          </w:tcPr>
          <w:p>
            <w:pPr>
              <w:spacing w:before="0" w:after="240"/>
              <w:rPr>
                <w:rFonts w:eastAsia="Arial Unicode MS"/>
                <w:b/>
                <w:noProof/>
                <w:sz w:val="20"/>
                <w:szCs w:val="20"/>
              </w:rPr>
            </w:pPr>
            <w:r>
              <w:rPr>
                <w:b/>
                <w:noProof/>
                <w:sz w:val="20"/>
              </w:rPr>
              <w:t>Numărul</w:t>
            </w:r>
          </w:p>
          <w:p>
            <w:pPr>
              <w:spacing w:before="0" w:after="240"/>
              <w:rPr>
                <w:rFonts w:eastAsia="Arial Unicode MS"/>
                <w:b/>
                <w:noProof/>
                <w:sz w:val="20"/>
                <w:szCs w:val="20"/>
              </w:rPr>
            </w:pPr>
            <w:r>
              <w:rPr>
                <w:b/>
                <w:noProof/>
                <w:sz w:val="20"/>
              </w:rPr>
              <w:t xml:space="preserve">anexei </w:t>
            </w:r>
          </w:p>
        </w:tc>
        <w:tc>
          <w:tcPr>
            <w:tcW w:w="8160" w:type="dxa"/>
            <w:shd w:val="clear" w:color="auto" w:fill="FFFFFF" w:themeFill="background1"/>
          </w:tcPr>
          <w:p>
            <w:pPr>
              <w:spacing w:before="0" w:after="240"/>
              <w:rPr>
                <w:rFonts w:eastAsia="Arial Unicode MS"/>
                <w:b/>
                <w:noProof/>
                <w:sz w:val="20"/>
                <w:szCs w:val="20"/>
              </w:rPr>
            </w:pPr>
            <w:r>
              <w:rPr>
                <w:b/>
                <w:noProof/>
                <w:sz w:val="20"/>
              </w:rPr>
              <w:t xml:space="preserve">Titlul actului </w:t>
            </w:r>
          </w:p>
        </w:tc>
      </w:tr>
      <w:tr>
        <w:tc>
          <w:tcPr>
            <w:tcW w:w="1068" w:type="dxa"/>
          </w:tcPr>
          <w:p>
            <w:pPr>
              <w:spacing w:before="0" w:after="240"/>
              <w:rPr>
                <w:rFonts w:eastAsia="Arial Unicode MS"/>
                <w:noProof/>
                <w:sz w:val="20"/>
                <w:szCs w:val="20"/>
              </w:rPr>
            </w:pPr>
            <w:r>
              <w:rPr>
                <w:noProof/>
                <w:sz w:val="20"/>
              </w:rPr>
              <w:t>2</w:t>
            </w:r>
          </w:p>
        </w:tc>
        <w:tc>
          <w:tcPr>
            <w:tcW w:w="8160" w:type="dxa"/>
          </w:tcPr>
          <w:p>
            <w:pPr>
              <w:spacing w:before="0" w:after="240"/>
              <w:rPr>
                <w:rFonts w:eastAsia="Arial Unicode MS"/>
                <w:noProof/>
                <w:sz w:val="20"/>
                <w:szCs w:val="20"/>
              </w:rPr>
            </w:pPr>
            <w:r>
              <w:rPr>
                <w:noProof/>
                <w:sz w:val="20"/>
              </w:rPr>
              <w:t>Decizia nr. 406/2009/CE a Parlamentului European și a Consiliului din 23 aprilie 2009 privind efortul statelor membre de a reduce emisiile de gaze cu efect de seră astfel încât să respecte angajamentele Comunității de reducere a emisiilor de gaze cu efect de seră până în 2020</w:t>
            </w:r>
          </w:p>
        </w:tc>
      </w:tr>
      <w:tr>
        <w:tc>
          <w:tcPr>
            <w:tcW w:w="1068" w:type="dxa"/>
          </w:tcPr>
          <w:p>
            <w:pPr>
              <w:spacing w:before="0" w:after="240"/>
              <w:rPr>
                <w:rFonts w:eastAsia="Arial Unicode MS"/>
                <w:noProof/>
                <w:sz w:val="20"/>
                <w:szCs w:val="20"/>
              </w:rPr>
            </w:pPr>
            <w:r>
              <w:rPr>
                <w:noProof/>
                <w:sz w:val="20"/>
              </w:rPr>
              <w:t>7</w:t>
            </w:r>
          </w:p>
        </w:tc>
        <w:tc>
          <w:tcPr>
            <w:tcW w:w="8160" w:type="dxa"/>
          </w:tcPr>
          <w:p>
            <w:pPr>
              <w:spacing w:before="0" w:after="240"/>
              <w:rPr>
                <w:rFonts w:eastAsia="Arial Unicode MS"/>
                <w:noProof/>
                <w:sz w:val="20"/>
                <w:szCs w:val="20"/>
              </w:rPr>
            </w:pPr>
            <w:r>
              <w:rPr>
                <w:noProof/>
                <w:sz w:val="20"/>
              </w:rPr>
              <w:t xml:space="preserve">Regulamentul (CE) nr. 1257/96 al Consiliului din 20 iunie 1996 privind ajutorul umanitar* </w:t>
            </w:r>
          </w:p>
        </w:tc>
      </w:tr>
      <w:tr>
        <w:tc>
          <w:tcPr>
            <w:tcW w:w="1068" w:type="dxa"/>
          </w:tcPr>
          <w:p>
            <w:pPr>
              <w:spacing w:before="0" w:after="240"/>
              <w:rPr>
                <w:rFonts w:eastAsia="Arial Unicode MS"/>
                <w:noProof/>
                <w:sz w:val="20"/>
                <w:szCs w:val="20"/>
              </w:rPr>
            </w:pPr>
            <w:r>
              <w:rPr>
                <w:noProof/>
                <w:sz w:val="20"/>
              </w:rPr>
              <w:t>36</w:t>
            </w:r>
          </w:p>
        </w:tc>
        <w:tc>
          <w:tcPr>
            <w:tcW w:w="8160" w:type="dxa"/>
          </w:tcPr>
          <w:p>
            <w:pPr>
              <w:spacing w:before="0" w:after="240"/>
              <w:rPr>
                <w:rFonts w:eastAsia="Arial Unicode MS"/>
                <w:noProof/>
                <w:sz w:val="20"/>
                <w:szCs w:val="20"/>
              </w:rPr>
            </w:pPr>
            <w:r>
              <w:rPr>
                <w:noProof/>
                <w:sz w:val="20"/>
              </w:rPr>
              <w:t>Directiva 98/83/CE a Consiliului din 3 noiembrie 1998 privind calitatea apei destinate consumului uman</w:t>
            </w:r>
          </w:p>
        </w:tc>
      </w:tr>
      <w:tr>
        <w:tc>
          <w:tcPr>
            <w:tcW w:w="1068" w:type="dxa"/>
          </w:tcPr>
          <w:p>
            <w:pPr>
              <w:spacing w:before="0" w:after="240"/>
              <w:rPr>
                <w:rFonts w:eastAsia="Arial Unicode MS"/>
                <w:noProof/>
                <w:sz w:val="20"/>
                <w:szCs w:val="20"/>
              </w:rPr>
            </w:pPr>
            <w:r>
              <w:rPr>
                <w:noProof/>
                <w:sz w:val="20"/>
              </w:rPr>
              <w:t>54</w:t>
            </w:r>
          </w:p>
        </w:tc>
        <w:tc>
          <w:tcPr>
            <w:tcW w:w="8160" w:type="dxa"/>
          </w:tcPr>
          <w:p>
            <w:pPr>
              <w:spacing w:before="0" w:after="240"/>
              <w:rPr>
                <w:rFonts w:eastAsia="Arial Unicode MS"/>
                <w:noProof/>
                <w:sz w:val="20"/>
                <w:szCs w:val="20"/>
              </w:rPr>
            </w:pPr>
            <w:r>
              <w:rPr>
                <w:noProof/>
                <w:sz w:val="20"/>
              </w:rPr>
              <w:t>Regulamentul (CE) nr. 66/2010 al Parlamentului European și al Consiliului din 25 noiembrie 2009 privind eticheta UE ecologică*</w:t>
            </w:r>
          </w:p>
        </w:tc>
      </w:tr>
      <w:tr>
        <w:tc>
          <w:tcPr>
            <w:tcW w:w="1068" w:type="dxa"/>
          </w:tcPr>
          <w:p>
            <w:pPr>
              <w:spacing w:before="0" w:after="240"/>
              <w:rPr>
                <w:rFonts w:eastAsia="Arial Unicode MS"/>
                <w:noProof/>
                <w:sz w:val="20"/>
                <w:szCs w:val="20"/>
              </w:rPr>
            </w:pPr>
            <w:r>
              <w:rPr>
                <w:noProof/>
                <w:sz w:val="20"/>
              </w:rPr>
              <w:t>57</w:t>
            </w:r>
          </w:p>
        </w:tc>
        <w:tc>
          <w:tcPr>
            <w:tcW w:w="8160" w:type="dxa"/>
          </w:tcPr>
          <w:p>
            <w:pPr>
              <w:spacing w:before="0" w:after="240"/>
              <w:rPr>
                <w:rFonts w:eastAsia="Arial Unicode MS"/>
                <w:noProof/>
                <w:sz w:val="20"/>
                <w:szCs w:val="20"/>
              </w:rPr>
            </w:pPr>
            <w:r>
              <w:rPr>
                <w:noProof/>
                <w:sz w:val="20"/>
              </w:rPr>
              <w:t>Regulamentul (CE) nr. 1165/98 al Consiliului din 19 mai 1998 privind statisticile pe termen scurt</w:t>
            </w:r>
          </w:p>
        </w:tc>
      </w:tr>
      <w:tr>
        <w:tc>
          <w:tcPr>
            <w:tcW w:w="1068" w:type="dxa"/>
          </w:tcPr>
          <w:p>
            <w:pPr>
              <w:spacing w:before="0" w:after="240"/>
              <w:rPr>
                <w:rFonts w:eastAsia="Arial Unicode MS"/>
                <w:noProof/>
                <w:sz w:val="20"/>
                <w:szCs w:val="20"/>
              </w:rPr>
            </w:pPr>
            <w:r>
              <w:rPr>
                <w:noProof/>
                <w:sz w:val="20"/>
              </w:rPr>
              <w:t>66</w:t>
            </w:r>
          </w:p>
        </w:tc>
        <w:tc>
          <w:tcPr>
            <w:tcW w:w="8160" w:type="dxa"/>
          </w:tcPr>
          <w:p>
            <w:pPr>
              <w:spacing w:before="0" w:after="240"/>
              <w:rPr>
                <w:rFonts w:eastAsia="Arial Unicode MS"/>
                <w:noProof/>
                <w:sz w:val="20"/>
                <w:szCs w:val="20"/>
              </w:rPr>
            </w:pPr>
            <w:r>
              <w:rPr>
                <w:noProof/>
                <w:sz w:val="20"/>
              </w:rPr>
              <w:t>Regulamentul (CE) nr. 458/2007 al Parlamentului European și al Consiliului din 25 aprilie 2007 privind Sistemul european de statistici integrate privind protecția socială (SESPROS)</w:t>
            </w:r>
          </w:p>
        </w:tc>
      </w:tr>
      <w:tr>
        <w:tc>
          <w:tcPr>
            <w:tcW w:w="1068" w:type="dxa"/>
          </w:tcPr>
          <w:p>
            <w:pPr>
              <w:spacing w:before="0" w:after="240"/>
              <w:rPr>
                <w:rFonts w:eastAsia="Arial Unicode MS"/>
                <w:noProof/>
                <w:sz w:val="20"/>
                <w:szCs w:val="20"/>
              </w:rPr>
            </w:pPr>
            <w:r>
              <w:rPr>
                <w:noProof/>
                <w:sz w:val="20"/>
              </w:rPr>
              <w:t>92</w:t>
            </w:r>
          </w:p>
        </w:tc>
        <w:tc>
          <w:tcPr>
            <w:tcW w:w="8160" w:type="dxa"/>
          </w:tcPr>
          <w:p>
            <w:pPr>
              <w:spacing w:before="0" w:after="240"/>
              <w:rPr>
                <w:rFonts w:eastAsia="Arial Unicode MS"/>
                <w:noProof/>
                <w:sz w:val="20"/>
                <w:szCs w:val="20"/>
              </w:rPr>
            </w:pPr>
            <w:r>
              <w:rPr>
                <w:noProof/>
                <w:sz w:val="20"/>
              </w:rPr>
              <w:t>Directiva 2009/34/CE a Parlamentului European și a Consiliului din 23 aprilie 2009 privind dispozițiile comune pentru mijloacele de măsurare și metodele de control metrologic</w:t>
            </w:r>
          </w:p>
        </w:tc>
      </w:tr>
      <w:tr>
        <w:tc>
          <w:tcPr>
            <w:tcW w:w="1068" w:type="dxa"/>
          </w:tcPr>
          <w:p>
            <w:pPr>
              <w:spacing w:before="0" w:after="240"/>
              <w:rPr>
                <w:rFonts w:eastAsia="Arial Unicode MS"/>
                <w:noProof/>
                <w:sz w:val="20"/>
                <w:szCs w:val="20"/>
              </w:rPr>
            </w:pPr>
            <w:r>
              <w:rPr>
                <w:noProof/>
                <w:sz w:val="20"/>
              </w:rPr>
              <w:t>133</w:t>
            </w:r>
          </w:p>
        </w:tc>
        <w:tc>
          <w:tcPr>
            <w:tcW w:w="8160" w:type="dxa"/>
          </w:tcPr>
          <w:p>
            <w:pPr>
              <w:spacing w:before="0" w:after="240"/>
              <w:rPr>
                <w:rFonts w:eastAsia="Arial Unicode MS"/>
                <w:bCs/>
                <w:noProof/>
                <w:sz w:val="20"/>
                <w:szCs w:val="20"/>
              </w:rPr>
            </w:pPr>
            <w:r>
              <w:rPr>
                <w:noProof/>
                <w:sz w:val="20"/>
              </w:rPr>
              <w:t>Regulamentul (CE) nr. 1071/2009 al Parlamentului European și al Consiliului din 21 octombrie 2009 de stabilire a unor norme comune privind condițiile care trebuie îndeplinite pentru exercitarea ocupației de operator de transport rutier și de abrogare a Directivei 96/26/CE a Consiliului</w:t>
            </w:r>
          </w:p>
        </w:tc>
      </w:tr>
      <w:tr>
        <w:tc>
          <w:tcPr>
            <w:tcW w:w="1068" w:type="dxa"/>
          </w:tcPr>
          <w:p>
            <w:pPr>
              <w:spacing w:before="0" w:after="240"/>
              <w:rPr>
                <w:rFonts w:eastAsia="Arial Unicode MS"/>
                <w:noProof/>
                <w:sz w:val="20"/>
                <w:szCs w:val="20"/>
              </w:rPr>
            </w:pPr>
            <w:r>
              <w:rPr>
                <w:noProof/>
                <w:sz w:val="20"/>
              </w:rPr>
              <w:t>168</w:t>
            </w:r>
          </w:p>
        </w:tc>
        <w:tc>
          <w:tcPr>
            <w:tcW w:w="8160" w:type="dxa"/>
          </w:tcPr>
          <w:p>
            <w:pPr>
              <w:spacing w:before="0" w:after="240"/>
              <w:rPr>
                <w:rFonts w:eastAsia="Arial Unicode MS"/>
                <w:bCs/>
                <w:noProof/>
                <w:sz w:val="20"/>
                <w:szCs w:val="20"/>
              </w:rPr>
            </w:pPr>
            <w:r>
              <w:rPr>
                <w:noProof/>
                <w:sz w:val="20"/>
              </w:rPr>
              <w:t>Decizia nr. 70/2008/CE a Parlamentului European și a Consiliului din 15 ianuarie 2008 privind crearea unui mediu informatizat pentru vamă și comerț</w:t>
            </w:r>
          </w:p>
        </w:tc>
      </w:tr>
    </w:tbl>
    <w:p>
      <w:pPr>
        <w:pBdr>
          <w:top w:val="nil"/>
          <w:left w:val="nil"/>
          <w:bottom w:val="nil"/>
          <w:right w:val="nil"/>
          <w:between w:val="nil"/>
          <w:bar w:val="nil"/>
        </w:pBdr>
        <w:spacing w:before="0" w:after="240"/>
        <w:rPr>
          <w:rFonts w:eastAsia="Arial Unicode MS"/>
          <w:bCs/>
          <w:noProof/>
          <w:sz w:val="20"/>
          <w:szCs w:val="20"/>
        </w:rPr>
      </w:pPr>
      <w:r>
        <w:rPr>
          <w:noProof/>
          <w:sz w:val="20"/>
        </w:rPr>
        <w:t xml:space="preserve">* </w:t>
      </w:r>
      <w:r>
        <w:rPr>
          <w:noProof/>
        </w:rPr>
        <w:tab/>
      </w:r>
      <w:r>
        <w:rPr>
          <w:noProof/>
          <w:sz w:val="20"/>
        </w:rPr>
        <w:t xml:space="preserve">Pentru aceste acte, eliminarea unor dispoziții a fost propusă deja în 2013. </w:t>
      </w:r>
    </w:p>
    <w:p>
      <w:pPr>
        <w:pBdr>
          <w:top w:val="nil"/>
          <w:left w:val="nil"/>
          <w:bottom w:val="nil"/>
          <w:right w:val="nil"/>
          <w:between w:val="nil"/>
          <w:bar w:val="nil"/>
        </w:pBdr>
        <w:spacing w:before="0" w:after="240"/>
        <w:rPr>
          <w:rFonts w:eastAsia="Arial Unicode MS"/>
          <w:noProof/>
        </w:rPr>
      </w:pPr>
      <w:r>
        <w:rPr>
          <w:noProof/>
        </w:rPr>
        <w:t xml:space="preserve">În ceea ce privește </w:t>
      </w:r>
      <w:r>
        <w:rPr>
          <w:b/>
          <w:noProof/>
        </w:rPr>
        <w:t>durata împuternicirii</w:t>
      </w:r>
      <w:r>
        <w:rPr>
          <w:noProof/>
        </w:rPr>
        <w:t xml:space="preserve">, Comisia propune împuterniciri cu o durată nedeterminată. În cadrul negocierilor privind propunerile din 2013, atât Consiliul, cât și Parlamentul European au favorizat o durată fixă de 5 ani cu reînnoire automată în urma unui raport al Comisiei care să fie prezentat înainte de expirarea delegării. În noua propunere, Comisia își menține poziția potrivit căreia durata nedeterminată a împuternicirii este justificată deoarece legiuitorul are posibilitatea de a revoca o împuternicire în toate cazurile și în orice moment. De asemenea, impunerea unei cerințe de raportare înainte de reînnoirea automată ar impune Comisiei obligația de a prezenta, în termen de cinci ani de la adoptarea prezentei propuneri, rapoarte privind 174 de acte, ceea ce ar genera o sarcină administrativă semnificativă. În fine, acordul interinstituțional aduce o mai mare transparență în ceea ce privește actele delegate, în special prin intermediul registrului comun pentru acte delegate pe care instituțiile au convenit să-l instituie până la sfârșitul anului 2017. Acest registru va permite formarea cu ușurință a unei imagini de ansamblu asupra actelor delegate adoptate în temeiul tuturor instrumentelor. </w:t>
      </w:r>
    </w:p>
    <w:p>
      <w:pPr>
        <w:pBdr>
          <w:top w:val="nil"/>
          <w:left w:val="nil"/>
          <w:bottom w:val="nil"/>
          <w:right w:val="nil"/>
          <w:between w:val="nil"/>
          <w:bar w:val="nil"/>
        </w:pBdr>
        <w:spacing w:before="0" w:after="240"/>
        <w:rPr>
          <w:rFonts w:eastAsia="Arial Unicode MS"/>
          <w:noProof/>
        </w:rPr>
      </w:pPr>
      <w:r>
        <w:rPr>
          <w:noProof/>
        </w:rPr>
        <w:t xml:space="preserve">Propunerea prevede, în unele cazuri, introducerea </w:t>
      </w:r>
      <w:r>
        <w:rPr>
          <w:b/>
          <w:noProof/>
        </w:rPr>
        <w:t>procedurii de urgență</w:t>
      </w:r>
      <w:r>
        <w:rPr>
          <w:noProof/>
        </w:rPr>
        <w:t xml:space="preserve">. Este vorba despre cazurile în care în prezent se are în vedere recurgerea la procedura de urgență existentă, prevăzută la articolul 5a alineatul (6) din Decizia 1999/468/CE, și această posibilitate a fost considerată necesară. Într-un astfel de caz, clauza standard corespunzătoare care permite recurgerea la procedura de urgență este introdusă în fiecare act legislativ și utilizarea sa este justificată în mod explicit în fiecare caz. </w:t>
      </w:r>
    </w:p>
    <w:p>
      <w:pPr>
        <w:pStyle w:val="ManualHeading1"/>
        <w:rPr>
          <w:caps/>
          <w:noProof/>
        </w:rPr>
      </w:pPr>
      <w:r>
        <w:rPr>
          <w:noProof/>
        </w:rPr>
        <w:t xml:space="preserve">3. </w:t>
      </w:r>
      <w:r>
        <w:rPr>
          <w:noProof/>
        </w:rPr>
        <w:tab/>
        <w:t xml:space="preserve">LISTA ACTELOR DE BAZĂ CARE FAC TRIMITERE LA PROCEDURA DE REGLEMENTARE CU CONTROL ȘI CARE FAC ÎN PREZENT OBIECTUL UNEI REVIZUIRI SEPARATE </w:t>
      </w:r>
      <w:r>
        <w:rPr>
          <w:caps/>
          <w:noProof/>
        </w:rPr>
        <w:t xml:space="preserve">sau pentru care se are în vedere o revizuire </w:t>
      </w:r>
    </w:p>
    <w:p>
      <w:pPr>
        <w:pBdr>
          <w:top w:val="nil"/>
          <w:left w:val="nil"/>
          <w:bottom w:val="nil"/>
          <w:right w:val="nil"/>
          <w:between w:val="nil"/>
          <w:bar w:val="nil"/>
        </w:pBdr>
        <w:spacing w:before="0" w:after="240"/>
        <w:rPr>
          <w:rFonts w:eastAsia="Arial Unicode MS"/>
          <w:b/>
          <w:noProof/>
        </w:rPr>
      </w:pPr>
      <w:r>
        <w:rPr>
          <w:b/>
          <w:noProof/>
        </w:rPr>
        <w:t xml:space="preserve">Tabelul 3: Propuneri adoptate de Comisie </w:t>
      </w:r>
    </w:p>
    <w:tbl>
      <w:tblPr>
        <w:tblStyle w:val="TableGrid"/>
        <w:tblW w:w="0" w:type="auto"/>
        <w:tblLook w:val="04A0" w:firstRow="1" w:lastRow="0" w:firstColumn="1" w:lastColumn="0" w:noHBand="0" w:noVBand="1"/>
      </w:tblPr>
      <w:tblGrid>
        <w:gridCol w:w="1308"/>
        <w:gridCol w:w="5640"/>
        <w:gridCol w:w="2340"/>
      </w:tblGrid>
      <w:tr>
        <w:tc>
          <w:tcPr>
            <w:tcW w:w="1308" w:type="dxa"/>
            <w:shd w:val="clear" w:color="auto" w:fill="FFFFFF" w:themeFill="background1"/>
          </w:tcPr>
          <w:p>
            <w:pPr>
              <w:spacing w:before="0" w:after="0"/>
              <w:jc w:val="left"/>
              <w:rPr>
                <w:b/>
                <w:noProof/>
                <w:sz w:val="22"/>
              </w:rPr>
            </w:pPr>
            <w:r>
              <w:rPr>
                <w:b/>
                <w:noProof/>
                <w:sz w:val="22"/>
              </w:rPr>
              <w:t xml:space="preserve">Domeniu </w:t>
            </w:r>
          </w:p>
        </w:tc>
        <w:tc>
          <w:tcPr>
            <w:tcW w:w="5640" w:type="dxa"/>
            <w:shd w:val="clear" w:color="auto" w:fill="FFFFFF" w:themeFill="background1"/>
          </w:tcPr>
          <w:p>
            <w:pPr>
              <w:spacing w:before="0" w:after="0"/>
              <w:jc w:val="left"/>
              <w:rPr>
                <w:b/>
                <w:noProof/>
                <w:sz w:val="22"/>
              </w:rPr>
            </w:pPr>
            <w:r>
              <w:rPr>
                <w:b/>
                <w:noProof/>
                <w:sz w:val="22"/>
              </w:rPr>
              <w:t xml:space="preserve">Instrument </w:t>
            </w:r>
          </w:p>
        </w:tc>
        <w:tc>
          <w:tcPr>
            <w:tcW w:w="2340" w:type="dxa"/>
            <w:shd w:val="clear" w:color="auto" w:fill="FFFFFF" w:themeFill="background1"/>
          </w:tcPr>
          <w:p>
            <w:pPr>
              <w:spacing w:before="0" w:after="0"/>
              <w:jc w:val="left"/>
              <w:rPr>
                <w:b/>
                <w:noProof/>
                <w:sz w:val="22"/>
              </w:rPr>
            </w:pPr>
            <w:r>
              <w:rPr>
                <w:b/>
                <w:noProof/>
                <w:sz w:val="22"/>
              </w:rPr>
              <w:t xml:space="preserve">Referința propunerii </w:t>
            </w:r>
          </w:p>
          <w:p>
            <w:pPr>
              <w:spacing w:before="0" w:after="0"/>
              <w:jc w:val="left"/>
              <w:rPr>
                <w:b/>
                <w:noProof/>
                <w:sz w:val="22"/>
              </w:rPr>
            </w:pPr>
          </w:p>
        </w:tc>
      </w:tr>
      <w:tr>
        <w:tc>
          <w:tcPr>
            <w:tcW w:w="1308" w:type="dxa"/>
          </w:tcPr>
          <w:p>
            <w:pPr>
              <w:spacing w:before="0" w:after="0"/>
              <w:jc w:val="left"/>
              <w:rPr>
                <w:noProof/>
                <w:sz w:val="22"/>
                <w:highlight w:val="yellow"/>
              </w:rPr>
            </w:pPr>
            <w:r>
              <w:rPr>
                <w:noProof/>
                <w:sz w:val="22"/>
              </w:rPr>
              <w:t>CLIMA</w:t>
            </w:r>
          </w:p>
        </w:tc>
        <w:tc>
          <w:tcPr>
            <w:tcW w:w="5640" w:type="dxa"/>
          </w:tcPr>
          <w:p>
            <w:pPr>
              <w:spacing w:before="0" w:after="0"/>
              <w:jc w:val="left"/>
              <w:rPr>
                <w:noProof/>
                <w:sz w:val="22"/>
              </w:rPr>
            </w:pPr>
            <w:r>
              <w:rPr>
                <w:noProof/>
                <w:sz w:val="22"/>
              </w:rPr>
              <w:t>Directiva 2003/87/CE a Parlamentului European și a Consiliului din 13 octombrie 2003 de stabilire a unui sistem de comercializare a cotelor de emisie de gaze cu efect de seră în cadrul Comunității și de modificare a Directivei 96/61/CE a Consiliului</w:t>
            </w:r>
          </w:p>
        </w:tc>
        <w:tc>
          <w:tcPr>
            <w:tcW w:w="2340" w:type="dxa"/>
          </w:tcPr>
          <w:p>
            <w:pPr>
              <w:spacing w:before="0" w:after="0"/>
              <w:jc w:val="left"/>
              <w:rPr>
                <w:bCs/>
                <w:noProof/>
                <w:sz w:val="22"/>
              </w:rPr>
            </w:pPr>
            <w:r>
              <w:rPr>
                <w:noProof/>
                <w:sz w:val="22"/>
              </w:rPr>
              <w:t>COM(2015) 337 final</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Directiva 2002/19/CE a Parlamentului European și a Consiliului din 7 martie 2002 privind accesul la rețelele de comunicații electronice și la infrastructura asociată, precum și interconectarea acestora (Directiva privind accesul).</w:t>
            </w:r>
            <w:r>
              <w:rPr>
                <w:rStyle w:val="CommentReference"/>
                <w:noProof/>
              </w:rPr>
              <w:t xml:space="preserve"> </w:t>
            </w:r>
          </w:p>
        </w:tc>
        <w:tc>
          <w:tcPr>
            <w:tcW w:w="2340" w:type="dxa"/>
          </w:tcPr>
          <w:p>
            <w:pPr>
              <w:spacing w:before="0" w:after="0"/>
              <w:jc w:val="left"/>
              <w:rPr>
                <w:bCs/>
                <w:noProof/>
                <w:sz w:val="22"/>
              </w:rPr>
            </w:pPr>
            <w:r>
              <w:rPr>
                <w:noProof/>
                <w:sz w:val="22"/>
              </w:rPr>
              <w:t>COM(2016) 0590</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Directiva 2002/21/CE a Parlamentului European și a Consiliului din 7 martie 2002 privind un cadru de reglementare comun pentru rețelele și serviciile de comunicații electronice (Directivă-cadru).</w:t>
            </w:r>
            <w:r>
              <w:rPr>
                <w:rStyle w:val="CommentReference"/>
                <w:noProof/>
              </w:rPr>
              <w:t xml:space="preserve"> </w:t>
            </w:r>
          </w:p>
        </w:tc>
        <w:tc>
          <w:tcPr>
            <w:tcW w:w="2340" w:type="dxa"/>
          </w:tcPr>
          <w:p>
            <w:pPr>
              <w:spacing w:before="0" w:after="0"/>
              <w:jc w:val="left"/>
              <w:rPr>
                <w:bCs/>
                <w:noProof/>
                <w:sz w:val="22"/>
              </w:rPr>
            </w:pPr>
            <w:r>
              <w:rPr>
                <w:noProof/>
                <w:sz w:val="22"/>
              </w:rPr>
              <w:t>COM(2016) 0590</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 xml:space="preserve">Directiva 2002/22/CE a Parlamentului European și a Consiliului din 7 martie 2002 privind serviciul universal și drepturile utilizatorilor cu privire la rețelele și serviciile electronice de comunicații (Directiva privind serviciul universal). </w:t>
            </w:r>
          </w:p>
        </w:tc>
        <w:tc>
          <w:tcPr>
            <w:tcW w:w="2340" w:type="dxa"/>
          </w:tcPr>
          <w:p>
            <w:pPr>
              <w:spacing w:before="0" w:after="0"/>
              <w:jc w:val="left"/>
              <w:rPr>
                <w:bCs/>
                <w:noProof/>
                <w:sz w:val="22"/>
              </w:rPr>
            </w:pPr>
            <w:r>
              <w:rPr>
                <w:noProof/>
                <w:sz w:val="22"/>
              </w:rPr>
              <w:t>COM(2016) 0590</w:t>
            </w:r>
          </w:p>
        </w:tc>
      </w:tr>
      <w:tr>
        <w:tc>
          <w:tcPr>
            <w:tcW w:w="1308" w:type="dxa"/>
          </w:tcPr>
          <w:p>
            <w:pPr>
              <w:spacing w:before="0" w:after="0"/>
              <w:jc w:val="left"/>
              <w:rPr>
                <w:noProof/>
                <w:sz w:val="22"/>
              </w:rPr>
            </w:pPr>
            <w:r>
              <w:rPr>
                <w:noProof/>
                <w:sz w:val="22"/>
              </w:rPr>
              <w:t xml:space="preserve">ENER </w:t>
            </w:r>
          </w:p>
        </w:tc>
        <w:tc>
          <w:tcPr>
            <w:tcW w:w="5640" w:type="dxa"/>
          </w:tcPr>
          <w:p>
            <w:pPr>
              <w:spacing w:before="0" w:after="0"/>
              <w:jc w:val="left"/>
              <w:rPr>
                <w:noProof/>
                <w:sz w:val="22"/>
              </w:rPr>
            </w:pPr>
            <w:r>
              <w:rPr>
                <w:noProof/>
                <w:sz w:val="22"/>
              </w:rPr>
              <w:t>Directiva 2008/92/CE a Parlamentului European și a Consiliului din 22 octombrie 2008 privind o procedură comunitară de ameliorare a transparenței prețurilor la gaz și energie electrică aplicate utilizatorilor finali din industrie (reformare)</w:t>
            </w:r>
          </w:p>
        </w:tc>
        <w:tc>
          <w:tcPr>
            <w:tcW w:w="2340" w:type="dxa"/>
          </w:tcPr>
          <w:p>
            <w:pPr>
              <w:spacing w:before="0" w:after="0"/>
              <w:jc w:val="left"/>
              <w:rPr>
                <w:noProof/>
                <w:sz w:val="22"/>
              </w:rPr>
            </w:pPr>
            <w:r>
              <w:rPr>
                <w:noProof/>
                <w:sz w:val="22"/>
              </w:rPr>
              <w:t>COM(2015) 496</w:t>
            </w:r>
          </w:p>
        </w:tc>
      </w:tr>
      <w:tr>
        <w:tc>
          <w:tcPr>
            <w:tcW w:w="1308" w:type="dxa"/>
          </w:tcPr>
          <w:p>
            <w:pPr>
              <w:spacing w:before="0" w:after="0"/>
              <w:jc w:val="left"/>
              <w:rPr>
                <w:noProof/>
                <w:sz w:val="22"/>
              </w:rPr>
            </w:pPr>
            <w:r>
              <w:rPr>
                <w:noProof/>
                <w:sz w:val="22"/>
              </w:rPr>
              <w:t xml:space="preserve">GROW </w:t>
            </w:r>
          </w:p>
        </w:tc>
        <w:tc>
          <w:tcPr>
            <w:tcW w:w="5640" w:type="dxa"/>
          </w:tcPr>
          <w:p>
            <w:pPr>
              <w:spacing w:before="0" w:after="0"/>
              <w:rPr>
                <w:bCs/>
                <w:noProof/>
                <w:sz w:val="22"/>
              </w:rPr>
            </w:pPr>
            <w:r>
              <w:rPr>
                <w:noProof/>
                <w:sz w:val="22"/>
              </w:rPr>
              <w:t>Regulamentul (CE) nr. 595/2009 al Parlamentului European și al Consiliului din 18 iunie 2009 privind omologarea de tip a autovehiculelor și a motoarelor cu privire la emisiile provenite de la vehicule grele (Euro VI) și accesul la informații privind repararea și întreținerea vehiculelor și de modificare a Regulamentului (CE) nr. 715/2007 și a Directivei 2007/46/CE și de abrogare a Directivelor 80/1269/CEE, 2005/55/CE și 2005/78/CE</w:t>
            </w:r>
          </w:p>
        </w:tc>
        <w:tc>
          <w:tcPr>
            <w:tcW w:w="2340" w:type="dxa"/>
          </w:tcPr>
          <w:p>
            <w:pPr>
              <w:spacing w:before="0" w:after="0"/>
              <w:jc w:val="left"/>
              <w:rPr>
                <w:bCs/>
                <w:noProof/>
                <w:sz w:val="22"/>
              </w:rPr>
            </w:pPr>
            <w:r>
              <w:rPr>
                <w:noProof/>
                <w:sz w:val="22"/>
              </w:rPr>
              <w:t>COM(2014) 28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Directiva 2007/46/CE a Parlamentului European și a Consiliului din 5 septembrie 2007 de stabilire a unui cadru pentru omologarea autovehiculelor și remorcilor acestora, precum și a sistemelor, componentelor și unităților tehnice separate destinate vehiculelor respective (Directivă-cadru)</w:t>
            </w:r>
          </w:p>
        </w:tc>
        <w:tc>
          <w:tcPr>
            <w:tcW w:w="2340" w:type="dxa"/>
          </w:tcPr>
          <w:p>
            <w:pPr>
              <w:spacing w:before="0" w:after="0"/>
              <w:jc w:val="left"/>
              <w:rPr>
                <w:bCs/>
                <w:noProof/>
                <w:sz w:val="22"/>
              </w:rPr>
            </w:pPr>
            <w:r>
              <w:rPr>
                <w:noProof/>
                <w:sz w:val="22"/>
              </w:rPr>
              <w:t>COM(2016) 31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Directiva 97/68/CE a Parlamentului European și a Consiliului din 16 decembrie 1997 privind apropierea legislațiilor statelor membre referitoare la măsurile împotriva emisiei de poluanți gazoși și de pulberi provenind de la motoarele cu ardere internă care urmează să fie instalate pe echipamentele mobile fără destinație rutieră</w:t>
            </w:r>
          </w:p>
        </w:tc>
        <w:tc>
          <w:tcPr>
            <w:tcW w:w="2340" w:type="dxa"/>
          </w:tcPr>
          <w:p>
            <w:pPr>
              <w:spacing w:before="0" w:after="0"/>
              <w:jc w:val="left"/>
              <w:rPr>
                <w:bCs/>
                <w:noProof/>
                <w:sz w:val="22"/>
              </w:rPr>
            </w:pPr>
            <w:r>
              <w:rPr>
                <w:noProof/>
                <w:sz w:val="22"/>
              </w:rPr>
              <w:t>COM(2014) 581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Regulamentul (CE) nr. 715/2007 al Parlamentului European și al Consiliului din 20 iunie 2007 privind omologarea de tip a autovehiculelor în ceea ce privește emisiile provenind de la vehiculele ușoare pentru pasageri și de la vehiculele ușoare comerciale (Euro 5 și Euro 6) și privind accesul la informațiile referitoare la repararea și întreținerea vehiculelor</w:t>
            </w:r>
          </w:p>
        </w:tc>
        <w:tc>
          <w:tcPr>
            <w:tcW w:w="2340" w:type="dxa"/>
          </w:tcPr>
          <w:p>
            <w:pPr>
              <w:spacing w:before="0" w:after="0"/>
              <w:jc w:val="left"/>
              <w:rPr>
                <w:bCs/>
                <w:noProof/>
                <w:sz w:val="22"/>
              </w:rPr>
            </w:pPr>
            <w:r>
              <w:rPr>
                <w:noProof/>
                <w:sz w:val="22"/>
              </w:rPr>
              <w:t>COM(2014) 28 final</w:t>
            </w: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Directiva 2008/98/CE a Parlamentului European și a Consiliului din 19 noiembrie 2008 privind deșeurile și de abrogare a anumitor directive (Directiva-cadru privind deșeurile)</w:t>
            </w:r>
          </w:p>
        </w:tc>
        <w:tc>
          <w:tcPr>
            <w:tcW w:w="2340" w:type="dxa"/>
          </w:tcPr>
          <w:p>
            <w:pPr>
              <w:spacing w:before="0" w:after="0"/>
              <w:jc w:val="left"/>
              <w:rPr>
                <w:bCs/>
                <w:noProof/>
                <w:sz w:val="22"/>
              </w:rPr>
            </w:pPr>
            <w:r>
              <w:rPr>
                <w:noProof/>
                <w:sz w:val="22"/>
              </w:rPr>
              <w:t>COM(2015)595</w:t>
            </w:r>
          </w:p>
          <w:p>
            <w:pPr>
              <w:spacing w:before="0" w:after="0"/>
              <w:jc w:val="left"/>
              <w:rPr>
                <w:bCs/>
                <w:noProof/>
                <w:sz w:val="22"/>
              </w:rPr>
            </w:pP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Directiva 1999/31/CE a Consiliului din 26 aprilie 1999 privind depozitele de deșeuri</w:t>
            </w:r>
          </w:p>
        </w:tc>
        <w:tc>
          <w:tcPr>
            <w:tcW w:w="2340" w:type="dxa"/>
          </w:tcPr>
          <w:p>
            <w:pPr>
              <w:spacing w:before="0" w:after="0"/>
              <w:jc w:val="left"/>
              <w:rPr>
                <w:bCs/>
                <w:noProof/>
                <w:sz w:val="22"/>
              </w:rPr>
            </w:pPr>
            <w:r>
              <w:rPr>
                <w:noProof/>
                <w:sz w:val="22"/>
              </w:rPr>
              <w:t>COM(2015)594</w:t>
            </w:r>
          </w:p>
          <w:p>
            <w:pPr>
              <w:spacing w:before="0" w:after="0"/>
              <w:jc w:val="left"/>
              <w:rPr>
                <w:bCs/>
                <w:noProof/>
                <w:sz w:val="22"/>
              </w:rPr>
            </w:pP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Directiva 94/62/CE a Parlamentului European și a Consiliului din 20 decembrie 1994 privind ambalajele și deșeurile de ambalaje</w:t>
            </w:r>
          </w:p>
        </w:tc>
        <w:tc>
          <w:tcPr>
            <w:tcW w:w="2340" w:type="dxa"/>
          </w:tcPr>
          <w:p>
            <w:pPr>
              <w:spacing w:before="0" w:after="0"/>
              <w:jc w:val="left"/>
              <w:rPr>
                <w:bCs/>
                <w:noProof/>
                <w:sz w:val="22"/>
              </w:rPr>
            </w:pPr>
            <w:r>
              <w:rPr>
                <w:noProof/>
                <w:sz w:val="22"/>
              </w:rPr>
              <w:t>COM(2015)593</w:t>
            </w:r>
          </w:p>
          <w:p>
            <w:pPr>
              <w:spacing w:before="0" w:after="0"/>
              <w:jc w:val="left"/>
              <w:rPr>
                <w:bCs/>
                <w:i/>
                <w:noProof/>
                <w:sz w:val="22"/>
              </w:rPr>
            </w:pPr>
          </w:p>
        </w:tc>
      </w:tr>
      <w:tr>
        <w:tc>
          <w:tcPr>
            <w:tcW w:w="1308" w:type="dxa"/>
          </w:tcPr>
          <w:p>
            <w:pPr>
              <w:spacing w:before="0" w:after="0"/>
              <w:jc w:val="left"/>
              <w:rPr>
                <w:noProof/>
                <w:sz w:val="22"/>
              </w:rPr>
            </w:pPr>
            <w:r>
              <w:rPr>
                <w:noProof/>
                <w:sz w:val="22"/>
              </w:rPr>
              <w:t xml:space="preserve">ENV </w:t>
            </w:r>
          </w:p>
        </w:tc>
        <w:tc>
          <w:tcPr>
            <w:tcW w:w="5640" w:type="dxa"/>
          </w:tcPr>
          <w:p>
            <w:pPr>
              <w:spacing w:before="0" w:after="0"/>
              <w:jc w:val="left"/>
              <w:rPr>
                <w:bCs/>
                <w:noProof/>
                <w:sz w:val="22"/>
              </w:rPr>
            </w:pPr>
            <w:r>
              <w:rPr>
                <w:noProof/>
                <w:sz w:val="22"/>
              </w:rPr>
              <w:t>Regulamentul (CE) nr. 338/97 al Consiliului din 9 decembrie 1996 privind protecția speciilor faunei și florei sălbatice prin controlul comerțului cu acestea</w:t>
            </w:r>
          </w:p>
        </w:tc>
        <w:tc>
          <w:tcPr>
            <w:tcW w:w="2340" w:type="dxa"/>
          </w:tcPr>
          <w:p>
            <w:pPr>
              <w:spacing w:before="0" w:after="0"/>
              <w:jc w:val="left"/>
              <w:rPr>
                <w:bCs/>
                <w:noProof/>
                <w:sz w:val="22"/>
              </w:rPr>
            </w:pPr>
            <w:r>
              <w:rPr>
                <w:noProof/>
                <w:sz w:val="22"/>
              </w:rPr>
              <w:t>COM(2012)0403</w:t>
            </w:r>
          </w:p>
        </w:tc>
      </w:tr>
      <w:tr>
        <w:tc>
          <w:tcPr>
            <w:tcW w:w="1308" w:type="dxa"/>
          </w:tcPr>
          <w:p>
            <w:pPr>
              <w:spacing w:before="0" w:after="0"/>
              <w:jc w:val="left"/>
              <w:rPr>
                <w:noProof/>
                <w:sz w:val="22"/>
              </w:rPr>
            </w:pPr>
            <w:r>
              <w:rPr>
                <w:noProof/>
                <w:sz w:val="22"/>
              </w:rPr>
              <w:t>ESTAT</w:t>
            </w:r>
          </w:p>
        </w:tc>
        <w:tc>
          <w:tcPr>
            <w:tcW w:w="5640" w:type="dxa"/>
          </w:tcPr>
          <w:p>
            <w:pPr>
              <w:spacing w:before="0" w:after="0"/>
              <w:jc w:val="left"/>
              <w:rPr>
                <w:bCs/>
                <w:noProof/>
                <w:sz w:val="22"/>
              </w:rPr>
            </w:pPr>
            <w:r>
              <w:rPr>
                <w:noProof/>
                <w:sz w:val="22"/>
              </w:rPr>
              <w:t>Regulamentul (CE) nr. 1177/2003 al Parlamentului European și al Consiliului din 16 iunie 2003 privind statisticile comunitare referitoare la venit și la condițiile de viață (EU-SILC)</w:t>
            </w:r>
          </w:p>
        </w:tc>
        <w:tc>
          <w:tcPr>
            <w:tcW w:w="2340" w:type="dxa"/>
          </w:tcPr>
          <w:p>
            <w:pPr>
              <w:spacing w:before="0" w:after="0"/>
              <w:jc w:val="left"/>
              <w:rPr>
                <w:bCs/>
                <w:noProof/>
                <w:sz w:val="22"/>
              </w:rPr>
            </w:pPr>
            <w:r>
              <w:rPr>
                <w:noProof/>
                <w:sz w:val="22"/>
              </w:rPr>
              <w:t xml:space="preserve">Abrogare propusă prin COM(2016)551 </w:t>
            </w:r>
          </w:p>
        </w:tc>
      </w:tr>
      <w:tr>
        <w:tc>
          <w:tcPr>
            <w:tcW w:w="1308" w:type="dxa"/>
            <w:shd w:val="clear" w:color="auto" w:fill="FFFFFF" w:themeFill="background1"/>
          </w:tcPr>
          <w:p>
            <w:pPr>
              <w:spacing w:before="0" w:after="0"/>
              <w:jc w:val="left"/>
              <w:rPr>
                <w:noProof/>
                <w:sz w:val="22"/>
              </w:rPr>
            </w:pPr>
            <w:r>
              <w:rPr>
                <w:noProof/>
                <w:sz w:val="22"/>
              </w:rPr>
              <w:t>MOVE</w:t>
            </w:r>
          </w:p>
        </w:tc>
        <w:tc>
          <w:tcPr>
            <w:tcW w:w="5640" w:type="dxa"/>
            <w:shd w:val="clear" w:color="auto" w:fill="FFFFFF" w:themeFill="background1"/>
          </w:tcPr>
          <w:p>
            <w:pPr>
              <w:spacing w:before="0" w:after="0"/>
              <w:jc w:val="left"/>
              <w:rPr>
                <w:noProof/>
                <w:sz w:val="22"/>
              </w:rPr>
            </w:pPr>
            <w:r>
              <w:rPr>
                <w:noProof/>
                <w:sz w:val="22"/>
              </w:rPr>
              <w:t xml:space="preserve">Directiva 2006/87/CE a Parlamentului European și a Consiliului din 12 decembrie 2016 de stabilire a cerințelor tehnice pentru navele de navigație interioară </w:t>
            </w:r>
          </w:p>
        </w:tc>
        <w:tc>
          <w:tcPr>
            <w:tcW w:w="2340" w:type="dxa"/>
            <w:shd w:val="clear" w:color="auto" w:fill="FFFFFF" w:themeFill="background1"/>
          </w:tcPr>
          <w:p>
            <w:pPr>
              <w:spacing w:before="0" w:after="0"/>
              <w:jc w:val="left"/>
              <w:rPr>
                <w:noProof/>
                <w:sz w:val="22"/>
              </w:rPr>
            </w:pPr>
            <w:r>
              <w:rPr>
                <w:noProof/>
                <w:sz w:val="22"/>
              </w:rPr>
              <w:t>COM(2013) 0622</w:t>
            </w:r>
          </w:p>
        </w:tc>
      </w:tr>
      <w:tr>
        <w:tc>
          <w:tcPr>
            <w:tcW w:w="1308" w:type="dxa"/>
            <w:shd w:val="clear" w:color="auto" w:fill="FFFFFF" w:themeFill="background1"/>
          </w:tcPr>
          <w:p>
            <w:pPr>
              <w:spacing w:before="0" w:after="0"/>
              <w:jc w:val="left"/>
              <w:rPr>
                <w:noProof/>
                <w:sz w:val="22"/>
              </w:rPr>
            </w:pPr>
            <w:r>
              <w:rPr>
                <w:noProof/>
                <w:sz w:val="22"/>
              </w:rPr>
              <w:t>MOVE</w:t>
            </w:r>
          </w:p>
        </w:tc>
        <w:tc>
          <w:tcPr>
            <w:tcW w:w="5640" w:type="dxa"/>
            <w:shd w:val="clear" w:color="auto" w:fill="FFFFFF" w:themeFill="background1"/>
          </w:tcPr>
          <w:p>
            <w:pPr>
              <w:spacing w:before="0" w:after="0"/>
              <w:jc w:val="left"/>
              <w:rPr>
                <w:noProof/>
                <w:sz w:val="22"/>
              </w:rPr>
            </w:pPr>
            <w:r>
              <w:rPr>
                <w:noProof/>
                <w:sz w:val="22"/>
              </w:rPr>
              <w:t xml:space="preserve">Directiva 2002/30/CE a Parlamentului European și a Consiliului din 26 martie 2002 privind stabilirea normelor și a procedurilor cu privire la introducerea restricțiilor de exploatare referitoare la zgomot pe aeroporturile comunitare </w:t>
            </w:r>
          </w:p>
        </w:tc>
        <w:tc>
          <w:tcPr>
            <w:tcW w:w="2340" w:type="dxa"/>
            <w:shd w:val="clear" w:color="auto" w:fill="FFFFFF" w:themeFill="background1"/>
          </w:tcPr>
          <w:p>
            <w:pPr>
              <w:spacing w:before="0" w:after="0"/>
              <w:jc w:val="left"/>
              <w:rPr>
                <w:noProof/>
                <w:sz w:val="22"/>
              </w:rPr>
            </w:pPr>
            <w:r>
              <w:rPr>
                <w:noProof/>
                <w:sz w:val="22"/>
              </w:rPr>
              <w:t>COM(2011) 0828</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Directiva 96/50/CE a Consiliului din 23 iulie 1996 privind armonizarea condițiilor de obținere a brevetelor de comandant de navă pentru transportul de mărfuri și călători pe căile navigabile interioare din Comunitate</w:t>
            </w:r>
          </w:p>
        </w:tc>
        <w:tc>
          <w:tcPr>
            <w:tcW w:w="2340" w:type="dxa"/>
          </w:tcPr>
          <w:p>
            <w:pPr>
              <w:spacing w:before="0" w:after="0"/>
              <w:jc w:val="left"/>
              <w:rPr>
                <w:noProof/>
                <w:sz w:val="22"/>
              </w:rPr>
            </w:pPr>
            <w:r>
              <w:rPr>
                <w:noProof/>
                <w:sz w:val="22"/>
              </w:rPr>
              <w:t>COM(2016) 82 final</w:t>
            </w:r>
          </w:p>
        </w:tc>
      </w:tr>
      <w:tr>
        <w:trPr>
          <w:trHeight w:val="169"/>
        </w:trP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Directiva 91/672/CEE a Consiliului din 16 decembrie 1991 privind recunoașterea reciprocă a brevetelor naționale ale conducătorilor de navă pentru transportul de mărfuri și călători pe căile navigabile interioare</w:t>
            </w:r>
          </w:p>
        </w:tc>
        <w:tc>
          <w:tcPr>
            <w:tcW w:w="2340" w:type="dxa"/>
          </w:tcPr>
          <w:p>
            <w:pPr>
              <w:spacing w:before="0" w:after="0"/>
              <w:jc w:val="left"/>
              <w:rPr>
                <w:noProof/>
                <w:sz w:val="22"/>
              </w:rPr>
            </w:pPr>
            <w:r>
              <w:rPr>
                <w:noProof/>
                <w:sz w:val="22"/>
              </w:rPr>
              <w:t>COM(2016) 82 final</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Directiva 2009/45/CE a Parlamentului European și a Consiliului din 6 mai 2009 privind normele și standardele de siguranță pentru navele de pasageri (reformare)</w:t>
            </w:r>
          </w:p>
        </w:tc>
        <w:tc>
          <w:tcPr>
            <w:tcW w:w="2340" w:type="dxa"/>
          </w:tcPr>
          <w:p>
            <w:pPr>
              <w:spacing w:before="0" w:after="0"/>
              <w:jc w:val="left"/>
              <w:rPr>
                <w:noProof/>
                <w:sz w:val="22"/>
              </w:rPr>
            </w:pPr>
            <w:r>
              <w:rPr>
                <w:noProof/>
                <w:sz w:val="22"/>
              </w:rPr>
              <w:t>COM(2016) 0369</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Directiva 1999/35/CE a Consiliului din 29 aprilie 1999 privind sistemul de expertize obligatorii pentru operarea în siguranță a serviciilor regulate de feriboturi cu punte ruliu și ambarcațiuni rapide de pasageri</w:t>
            </w:r>
          </w:p>
        </w:tc>
        <w:tc>
          <w:tcPr>
            <w:tcW w:w="2340" w:type="dxa"/>
          </w:tcPr>
          <w:p>
            <w:pPr>
              <w:spacing w:before="0" w:after="0"/>
              <w:jc w:val="left"/>
              <w:rPr>
                <w:noProof/>
                <w:sz w:val="22"/>
              </w:rPr>
            </w:pPr>
            <w:r>
              <w:rPr>
                <w:noProof/>
                <w:sz w:val="22"/>
              </w:rPr>
              <w:t>COM(2016)371</w:t>
            </w:r>
          </w:p>
        </w:tc>
      </w:tr>
      <w:tr>
        <w:tc>
          <w:tcPr>
            <w:tcW w:w="1308" w:type="dxa"/>
          </w:tcPr>
          <w:p>
            <w:pPr>
              <w:spacing w:before="0" w:after="0"/>
              <w:jc w:val="left"/>
              <w:rPr>
                <w:noProof/>
                <w:sz w:val="22"/>
              </w:rPr>
            </w:pPr>
            <w:r>
              <w:rPr>
                <w:noProof/>
                <w:sz w:val="22"/>
              </w:rPr>
              <w:t xml:space="preserve">MOVE </w:t>
            </w:r>
          </w:p>
        </w:tc>
        <w:tc>
          <w:tcPr>
            <w:tcW w:w="5640" w:type="dxa"/>
          </w:tcPr>
          <w:p>
            <w:pPr>
              <w:spacing w:before="0" w:after="0"/>
              <w:jc w:val="left"/>
              <w:rPr>
                <w:noProof/>
                <w:sz w:val="22"/>
              </w:rPr>
            </w:pPr>
            <w:r>
              <w:rPr>
                <w:noProof/>
                <w:sz w:val="22"/>
              </w:rPr>
              <w:t>Directiva 98/41/CE a Consiliului din 18 iunie 1998 privind înregistrarea persoanelor care călătoresc la bordul navelor de pasageri care operează în porturile de destinație sau de plecare din statele membre ale Comunității</w:t>
            </w:r>
          </w:p>
        </w:tc>
        <w:tc>
          <w:tcPr>
            <w:tcW w:w="2340" w:type="dxa"/>
          </w:tcPr>
          <w:p>
            <w:pPr>
              <w:spacing w:before="0" w:after="0"/>
              <w:jc w:val="left"/>
              <w:rPr>
                <w:noProof/>
                <w:sz w:val="22"/>
              </w:rPr>
            </w:pPr>
            <w:r>
              <w:rPr>
                <w:noProof/>
                <w:sz w:val="22"/>
              </w:rPr>
              <w:t>COM(2016)370</w:t>
            </w:r>
          </w:p>
        </w:tc>
      </w:tr>
      <w:tr>
        <w:tc>
          <w:tcPr>
            <w:tcW w:w="1308" w:type="dxa"/>
          </w:tcPr>
          <w:p>
            <w:pPr>
              <w:spacing w:before="0" w:after="0"/>
              <w:jc w:val="left"/>
              <w:rPr>
                <w:noProof/>
                <w:sz w:val="22"/>
              </w:rPr>
            </w:pPr>
            <w:r>
              <w:rPr>
                <w:noProof/>
                <w:sz w:val="22"/>
              </w:rPr>
              <w:t xml:space="preserve">SANTE </w:t>
            </w:r>
          </w:p>
        </w:tc>
        <w:tc>
          <w:tcPr>
            <w:tcW w:w="5640" w:type="dxa"/>
          </w:tcPr>
          <w:p>
            <w:pPr>
              <w:spacing w:before="0" w:after="0"/>
              <w:rPr>
                <w:bCs/>
                <w:noProof/>
                <w:sz w:val="22"/>
              </w:rPr>
            </w:pPr>
            <w:r>
              <w:rPr>
                <w:noProof/>
                <w:sz w:val="22"/>
              </w:rPr>
              <w:t>Regulamentul (CE) nr. 726/2004 al Parlamentului European și al Consiliului din 31 martie 2004 de stabilire a procedurilor comunitare privind autorizarea și supravegherea medicamentelor de uz uman și veterinar și de instituire a unei Agenții Europene pentru Medicamente</w:t>
            </w:r>
          </w:p>
        </w:tc>
        <w:tc>
          <w:tcPr>
            <w:tcW w:w="2340" w:type="dxa"/>
          </w:tcPr>
          <w:p>
            <w:pPr>
              <w:spacing w:before="0" w:after="0"/>
              <w:jc w:val="left"/>
              <w:rPr>
                <w:bCs/>
                <w:noProof/>
                <w:sz w:val="22"/>
              </w:rPr>
            </w:pPr>
            <w:r>
              <w:rPr>
                <w:noProof/>
                <w:sz w:val="22"/>
              </w:rPr>
              <w:t>COM(2014)0557</w:t>
            </w:r>
          </w:p>
        </w:tc>
      </w:tr>
    </w:tbl>
    <w:p>
      <w:pPr>
        <w:pBdr>
          <w:top w:val="nil"/>
          <w:left w:val="nil"/>
          <w:bottom w:val="nil"/>
          <w:right w:val="nil"/>
          <w:between w:val="nil"/>
          <w:bar w:val="nil"/>
        </w:pBdr>
        <w:spacing w:before="0" w:after="240"/>
        <w:rPr>
          <w:rFonts w:eastAsia="Arial Unicode MS"/>
          <w:noProof/>
          <w:sz w:val="22"/>
        </w:rPr>
      </w:pPr>
      <w:r>
        <w:rPr>
          <w:noProof/>
          <w:sz w:val="22"/>
        </w:rPr>
        <w:t xml:space="preserve">Mai jos sunt enumerate instrumentele care fac trimitere la procedura de reglementare cu control pentru care se are în vedere o revizuire substanțială separată, dar care nu a fost încă adoptată. Alinierea acestora va face parte din revizuirile avute în vedere. </w:t>
      </w:r>
    </w:p>
    <w:p>
      <w:pPr>
        <w:pBdr>
          <w:top w:val="nil"/>
          <w:left w:val="nil"/>
          <w:bottom w:val="nil"/>
          <w:right w:val="nil"/>
          <w:between w:val="nil"/>
          <w:bar w:val="nil"/>
        </w:pBdr>
        <w:spacing w:before="0" w:after="240"/>
        <w:rPr>
          <w:rFonts w:eastAsia="Arial Unicode MS"/>
          <w:b/>
          <w:noProof/>
          <w:sz w:val="22"/>
        </w:rPr>
      </w:pPr>
      <w:r>
        <w:rPr>
          <w:b/>
          <w:noProof/>
          <w:sz w:val="22"/>
        </w:rPr>
        <w:t>Tabelul 4: Acte pentru care sunt planificate propuneri</w:t>
      </w:r>
    </w:p>
    <w:tbl>
      <w:tblPr>
        <w:tblW w:w="5000" w:type="pct"/>
        <w:tblLook w:val="04A0" w:firstRow="1" w:lastRow="0" w:firstColumn="1" w:lastColumn="0" w:noHBand="0" w:noVBand="1"/>
      </w:tblPr>
      <w:tblGrid>
        <w:gridCol w:w="1308"/>
        <w:gridCol w:w="7981"/>
      </w:tblGrid>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b/>
                <w:noProof/>
                <w:sz w:val="22"/>
              </w:rPr>
              <w:t>Domeniu</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b/>
                <w:noProof/>
                <w:sz w:val="22"/>
              </w:rPr>
              <w:t>Instrument</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AGRI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noProof/>
                <w:sz w:val="22"/>
              </w:rPr>
              <w:t>Regulamentul (CE) nr. 110/2008 al Parlamentului European și al Consiliului din 15 ianuarie 2008 privind definirea, desemnarea, prezentarea, etichetarea și protecția indicațiilor geografice ale băuturilor spirtoase și de abrogare a Regulamentului (CEE) nr. 1576/89 al Consiliului</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CLIMA</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Directiva 2009/31/CE a Parlamentului European și a Consiliului din 23 aprilie 2009 privind stocarea geologică a dioxidului de carbon și de modificare a Directivei 85/337/CEE a Consiliului, precum și a Directivelor 2000/60/CE, 2001/80/CE, 2004/35/CE, 2006/12/CE, 2008/1/CE și a Regulamentului (CE) nr. 1013/2006 ale Parlamentului European și ale Consiliului</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Regulamentul (CE) nr. 713/2009 al Parlamentului European și al Consiliului din 13 iulie 2009 de instituire a Agenției pentru Cooperarea Autorităților de Reglementare din Domeniul Energiei</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Regulamentul (CE) nr. 714/2009 al Parlamentului European și al Consiliului din 13 iulie 2009 privind condițiile de acces la rețea pentru schimburile transfrontaliere de energie electrică și de abrogare a Regulamentului (CE) nr. 1228/2003</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Directiva 2009/72/CE a Parlamentului European și a Consiliului din 13 iulie 2009 privind normele comune pentru piața internă a energiei electrice și de abrogare a Directivei 2003/54/CE</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ENV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Regulamentul (CE) nr. 850/2004 al Parlamentului European și al Consiliului din 29 aprilie 2004 privind poluanții organici persistenți și de modificare a Directivei 79/117/CEE</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ENV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Directiva 86/278/CEE a Consiliului din 12 iunie 1986 privind protecția mediului, în special a solului, atunci când se utilizează nămoluri de epurare în agricultură</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ESTAT</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Regulamentul (CE) nr. 1166/2008 al Parlamentului European și al Consiliului din 19 noiembrie 2008 privind anchetele structurale în agricultură și ancheta privind metodele de producție agricolă și de abrogare a Regulamentului (CEE) nr. 571/88 al Consiliului</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ESTAT</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Regulamentul (CE) nr. 1059/2003 al Parlamentului European și al Consiliului din 26 mai 2003 privind instituirea unui nomenclator comun al unităților teritoriale de statistică (NUTS)</w:t>
            </w:r>
          </w:p>
        </w:tc>
      </w:tr>
    </w:tbl>
    <w:p>
      <w:pPr>
        <w:pStyle w:val="ManualHeading1"/>
        <w:rPr>
          <w:noProof/>
        </w:rPr>
      </w:pPr>
      <w:r>
        <w:rPr>
          <w:noProof/>
        </w:rPr>
        <w:t xml:space="preserve">4. </w:t>
      </w:r>
      <w:r>
        <w:rPr>
          <w:noProof/>
        </w:rPr>
        <w:tab/>
        <w:t xml:space="preserve">TEMEI JURIDIC, SUBSIDIARITATE </w:t>
      </w:r>
    </w:p>
    <w:p>
      <w:pPr>
        <w:pBdr>
          <w:top w:val="nil"/>
          <w:left w:val="nil"/>
          <w:bottom w:val="nil"/>
          <w:right w:val="nil"/>
          <w:between w:val="nil"/>
          <w:bar w:val="nil"/>
        </w:pBdr>
        <w:spacing w:before="0" w:after="240"/>
        <w:rPr>
          <w:rFonts w:eastAsia="Arial Unicode MS"/>
          <w:noProof/>
        </w:rPr>
      </w:pPr>
      <w:r>
        <w:rPr>
          <w:noProof/>
        </w:rPr>
        <w:t xml:space="preserve">Prezenta propunere se bazează pe temeiurile juridice ale tuturor actelor de bază modificate. </w:t>
      </w:r>
    </w:p>
    <w:p>
      <w:pPr>
        <w:pBdr>
          <w:top w:val="nil"/>
          <w:left w:val="nil"/>
          <w:bottom w:val="nil"/>
          <w:right w:val="nil"/>
          <w:between w:val="nil"/>
          <w:bar w:val="nil"/>
        </w:pBdr>
        <w:spacing w:before="0" w:after="240"/>
        <w:rPr>
          <w:rFonts w:eastAsia="Arial Unicode MS"/>
          <w:noProof/>
        </w:rPr>
      </w:pPr>
      <w:r>
        <w:rPr>
          <w:noProof/>
        </w:rPr>
        <w:t xml:space="preserve">Prezenta inițiativă se referă exclusiv la procedurile care trebuie aplicate la nivelul Uniunii pentru adoptarea actelor pe baza competențelor conferite. </w:t>
      </w: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t>2016/0400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adaptare la articolele 290 și 291 din Tratatul privind funcționarea Uniunii Europene a unei serii de acte juridice care prevăd utilizarea procedurii de reglementare cu control</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color w:val="0000FF"/>
        </w:rPr>
      </w:pPr>
      <w:r>
        <w:rPr>
          <w:noProof/>
        </w:rPr>
        <w:t>având în vedere Tratatul privind funcționarea Uniunii Europene, în special articolul 33, articolul 43 alineatul (2), articolul 53 alineatul (1), articolul 62, articolul 64 alineatul (2), articolul 91, articolul 100 alineatul (2), articolul 114, articolul 153 alineatul (2) litera (b), articolul 168 alineatul (4) litera (a), articolul 168 alineatul (4) litera (b), articolul 172, articolul 192 alineatul (1), articolul 207, articolul 214 alineatul (3) și articolul 338 alineatul (1),</w:t>
      </w:r>
    </w:p>
    <w:p>
      <w:pPr>
        <w:rPr>
          <w:noProof/>
        </w:rPr>
      </w:pPr>
      <w:r>
        <w:rPr>
          <w:noProof/>
        </w:rPr>
        <w:t>având în vedere propunerea Comisiei Europene,</w:t>
      </w:r>
    </w:p>
    <w:p>
      <w:pPr>
        <w:rPr>
          <w:noProof/>
        </w:rPr>
      </w:pPr>
      <w:r>
        <w:rPr>
          <w:noProof/>
        </w:rPr>
        <w:t>după transmiterea proiectului de act legislativ parlamentelor naționale,</w:t>
      </w:r>
    </w:p>
    <w:p>
      <w:pPr>
        <w:rPr>
          <w:noProof/>
        </w:rPr>
      </w:pPr>
      <w:r>
        <w:rPr>
          <w:noProof/>
        </w:rPr>
        <w:t>având în vedere avizul Comitetului Economic și Social European</w:t>
      </w:r>
      <w:r>
        <w:rPr>
          <w:rStyle w:val="FootnoteReference"/>
          <w:noProof/>
        </w:rPr>
        <w:footnoteReference w:id="15"/>
      </w:r>
      <w:r>
        <w:rPr>
          <w:noProof/>
        </w:rPr>
        <w:t xml:space="preserve">, </w:t>
      </w:r>
    </w:p>
    <w:p>
      <w:pPr>
        <w:rPr>
          <w:noProof/>
        </w:rPr>
      </w:pPr>
      <w:r>
        <w:rPr>
          <w:noProof/>
        </w:rPr>
        <w:t>având în vedere avizul Comitetului Regiunilor</w:t>
      </w:r>
      <w:r>
        <w:rPr>
          <w:rStyle w:val="FootnoteReference"/>
          <w:noProof/>
        </w:rPr>
        <w:footnoteReference w:id="16"/>
      </w:r>
      <w:r>
        <w:rPr>
          <w:noProof/>
        </w:rPr>
        <w:t xml:space="preserve">, </w:t>
      </w:r>
    </w:p>
    <w:p>
      <w:pPr>
        <w:rPr>
          <w:noProof/>
        </w:rPr>
      </w:pPr>
      <w:r>
        <w:rPr>
          <w:noProof/>
        </w:rPr>
        <w:t>acționând în conformitate cu procedura legislativă ordinară,</w:t>
      </w:r>
    </w:p>
    <w:p>
      <w:pPr>
        <w:rPr>
          <w:noProof/>
        </w:rPr>
      </w:pPr>
      <w:r>
        <w:rPr>
          <w:noProof/>
        </w:rPr>
        <w:t>întrucât:</w:t>
      </w:r>
    </w:p>
    <w:p>
      <w:pPr>
        <w:pStyle w:val="ManualConsidrant"/>
        <w:rPr>
          <w:noProof/>
        </w:rPr>
      </w:pPr>
      <w:r>
        <w:t>(1)</w:t>
      </w:r>
      <w:r>
        <w:tab/>
      </w:r>
      <w:r>
        <w:rPr>
          <w:noProof/>
        </w:rPr>
        <w:t>Tratatul de la Lisabona a introdus o distincție între competențele delegate Comisiei de a adopta acte fără caracter legislativ și cu domeniu de aplicare general pentru a completa sau modifica anumite elemente neesențiale ale unui act legislativ (acte delegate) și competențele conferite Comisiei de a adopta acte pentru a asigura condiții unitare de punere în aplicare a actelor obligatorii din punct de vedere juridic ale Uniunii (acte de punere în aplicare).</w:t>
      </w:r>
    </w:p>
    <w:p>
      <w:pPr>
        <w:pStyle w:val="ManualConsidrant"/>
        <w:rPr>
          <w:noProof/>
        </w:rPr>
      </w:pPr>
      <w:r>
        <w:t>(2)</w:t>
      </w:r>
      <w:r>
        <w:tab/>
      </w:r>
      <w:r>
        <w:rPr>
          <w:noProof/>
        </w:rPr>
        <w:t>Măsurile care pot face obiectul delegării de competențe, astfel cum se prevede la articolul 290 alineatul (1) din Tratatul privind funcționarea Uniunii Europene (TFUE), corespund, în principiu, măsurilor care fac obiectul procedurii de reglementare cu control, stabilită la articolul 5a din Decizia 1999/468/CE a Consiliului</w:t>
      </w:r>
      <w:r>
        <w:rPr>
          <w:rStyle w:val="FootnoteReference"/>
          <w:noProof/>
        </w:rPr>
        <w:footnoteReference w:id="17"/>
      </w:r>
      <w:r>
        <w:rPr>
          <w:noProof/>
        </w:rPr>
        <w:t xml:space="preserve">. </w:t>
      </w:r>
    </w:p>
    <w:p>
      <w:pPr>
        <w:pStyle w:val="ManualConsidrant"/>
        <w:rPr>
          <w:noProof/>
        </w:rPr>
      </w:pPr>
      <w:r>
        <w:t>(3)</w:t>
      </w:r>
      <w:r>
        <w:tab/>
      </w:r>
      <w:r>
        <w:rPr>
          <w:noProof/>
        </w:rPr>
        <w:t>Propunerile anterioare privind alinierea legislației referitoare la procedura de reglementare cu control la cadrul juridic introdus de Tratatul de la Lisabona</w:t>
      </w:r>
      <w:r>
        <w:rPr>
          <w:rStyle w:val="FootnoteReference"/>
          <w:noProof/>
        </w:rPr>
        <w:footnoteReference w:id="18"/>
      </w:r>
      <w:r>
        <w:rPr>
          <w:noProof/>
        </w:rPr>
        <w:t xml:space="preserve"> au fost retrase</w:t>
      </w:r>
      <w:r>
        <w:rPr>
          <w:rStyle w:val="FootnoteReference"/>
          <w:noProof/>
        </w:rPr>
        <w:footnoteReference w:id="19"/>
      </w:r>
      <w:r>
        <w:rPr>
          <w:noProof/>
        </w:rPr>
        <w:t xml:space="preserve"> din cauza stagnării negocierilor interinstituționale. </w:t>
      </w:r>
    </w:p>
    <w:p>
      <w:pPr>
        <w:pStyle w:val="ManualConsidrant"/>
        <w:rPr>
          <w:noProof/>
        </w:rPr>
      </w:pPr>
      <w:r>
        <w:t>(4)</w:t>
      </w:r>
      <w:r>
        <w:tab/>
      </w:r>
      <w:r>
        <w:rPr>
          <w:noProof/>
        </w:rPr>
        <w:t xml:space="preserve"> Parlamentul European, Consiliul și Comisia Europeană au convenit ulterior asupra unui nou cadru pentru actele delegate în Acordul interinstituțional privind o mai bună legiferare din 13 aprilie 2016</w:t>
      </w:r>
      <w:r>
        <w:rPr>
          <w:rStyle w:val="FootnoteReference"/>
          <w:noProof/>
        </w:rPr>
        <w:footnoteReference w:id="20"/>
      </w:r>
      <w:r>
        <w:rPr>
          <w:noProof/>
        </w:rPr>
        <w:t xml:space="preserve"> și au recunoscut necesitatea de a alinia întreaga legislație existentă la cadrul legislativ introdus de Tratatul de la Lisabona. În special, cele trei instituții au convenit asupra necesității de a acorda o prioritate deosebită alinierii rapide a tuturor actelor de bază care se referă în continuare la procedura de reglementare cu control. Comisia și-a luat angajamentul de a elabora o propunere privind această aliniere până la sfârșitul anului 2016.</w:t>
      </w:r>
    </w:p>
    <w:p>
      <w:pPr>
        <w:pStyle w:val="ManualConsidrant"/>
        <w:rPr>
          <w:noProof/>
        </w:rPr>
      </w:pPr>
      <w:r>
        <w:t>(5)</w:t>
      </w:r>
      <w:r>
        <w:tab/>
      </w:r>
      <w:r>
        <w:rPr>
          <w:noProof/>
        </w:rPr>
        <w:t xml:space="preserve">Majoritatea împuternicirilor din actele de bază care prevăd utilizarea procedurii de reglementare cu control îndeplinesc criteriile prevăzute la articolul 290 alineatul (1) din TFUE și ar trebui adaptate la această dispoziție. </w:t>
      </w:r>
    </w:p>
    <w:p>
      <w:pPr>
        <w:pStyle w:val="ManualConsidrant"/>
        <w:rPr>
          <w:noProof/>
        </w:rPr>
      </w:pPr>
      <w:r>
        <w:t>(6)</w:t>
      </w:r>
      <w:r>
        <w:tab/>
      </w:r>
      <w:r>
        <w:rPr>
          <w:noProof/>
        </w:rPr>
        <w:t>Alte împuterniciri din actele de bază care prevăd utilizarea procedurii de reglementare cu control îndeplinesc criteriile prevăzute la articolul 291 alineatul (2) din TFUE și ar trebui adaptate la această dispoziție.</w:t>
      </w:r>
    </w:p>
    <w:p>
      <w:pPr>
        <w:pStyle w:val="ManualConsidrant"/>
        <w:rPr>
          <w:noProof/>
        </w:rPr>
      </w:pPr>
      <w:r>
        <w:t>(7)</w:t>
      </w:r>
      <w:r>
        <w:tab/>
      </w:r>
      <w:r>
        <w:rPr>
          <w:noProof/>
        </w:rPr>
        <w:t>Atunci când Comisei îi sunt conferite competențe de punere în aplicare, acestea ar trebui să fie exercitate în conformitate cu Regulamentul (UE) nr. 182/2011 al Parlamentului European și al Consiliului</w:t>
      </w:r>
      <w:r>
        <w:rPr>
          <w:rStyle w:val="FootnoteReference"/>
          <w:noProof/>
        </w:rPr>
        <w:footnoteReference w:id="21"/>
      </w:r>
      <w:r>
        <w:rPr>
          <w:noProof/>
        </w:rPr>
        <w:t xml:space="preserve">. </w:t>
      </w:r>
    </w:p>
    <w:p>
      <w:pPr>
        <w:pStyle w:val="ManualConsidrant"/>
        <w:rPr>
          <w:noProof/>
        </w:rPr>
      </w:pPr>
      <w:r>
        <w:t>(8)</w:t>
      </w:r>
      <w:r>
        <w:tab/>
      </w:r>
      <w:r>
        <w:rPr>
          <w:noProof/>
        </w:rPr>
        <w:t>În câteva acte de bază care prevăd în prezent utilizarea procedurii de reglementare cu control, anumite împuterniciri au devenit caduce și, prin urmare, ar trebui eliminate.</w:t>
      </w:r>
    </w:p>
    <w:p>
      <w:pPr>
        <w:pStyle w:val="ManualConsidrant"/>
        <w:rPr>
          <w:noProof/>
        </w:rPr>
      </w:pPr>
      <w:r>
        <w:t>(9)</w:t>
      </w:r>
      <w:r>
        <w:tab/>
      </w:r>
      <w:r>
        <w:rPr>
          <w:noProof/>
        </w:rPr>
        <w:t>Prezentul regulament nu ar trebui să aibă incidență asupra procedurilor în curs în cadrul cărora un comitet emisese deja un aviz în conformitate cu articolul 5a din Decizia 1999/468/CE înainte de intrarea în vigoare a prezentului regulament.</w:t>
      </w:r>
    </w:p>
    <w:p>
      <w:pPr>
        <w:pStyle w:val="ManualConsidrant"/>
        <w:rPr>
          <w:noProof/>
        </w:rPr>
      </w:pPr>
      <w:r>
        <w:t>(10)</w:t>
      </w:r>
      <w:r>
        <w:tab/>
      </w:r>
      <w:r>
        <w:rPr>
          <w:noProof/>
        </w:rPr>
        <w:t xml:space="preserve">Având în vedere faptul că adaptările și modificările care trebuie efectuate vizează numai proceduri de la nivelul Uniunii, nu este necesară transpunerea acestora de către statele membre în cazul directivelor. </w:t>
      </w:r>
    </w:p>
    <w:p>
      <w:pPr>
        <w:pStyle w:val="ManualConsidrant"/>
        <w:rPr>
          <w:noProof/>
        </w:rPr>
      </w:pPr>
      <w:r>
        <w:t>(11)</w:t>
      </w:r>
      <w:r>
        <w:tab/>
      </w:r>
      <w:r>
        <w:rPr>
          <w:noProof/>
        </w:rPr>
        <w:t xml:space="preserve">Prin urmare, actele în cauză ar trebui modificate în consecință, </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 xml:space="preserve">Actele enumerate în anexă se modifică în conformitate cu anexa. </w:t>
      </w:r>
    </w:p>
    <w:p>
      <w:pPr>
        <w:pStyle w:val="Titrearticle"/>
        <w:rPr>
          <w:noProof/>
        </w:rPr>
      </w:pPr>
      <w:r>
        <w:rPr>
          <w:noProof/>
        </w:rPr>
        <w:t>Articolul 2</w:t>
      </w:r>
    </w:p>
    <w:p>
      <w:pPr>
        <w:rPr>
          <w:noProof/>
        </w:rPr>
      </w:pPr>
      <w:r>
        <w:rPr>
          <w:noProof/>
        </w:rPr>
        <w:t>Prezentul regulament nu are incidență asupra procedurilor în curs în cadrul cărora un comitet a emis deja un aviz în conformitate cu articolul 5a din Decizia 1999/468/CE.</w:t>
      </w:r>
    </w:p>
    <w:p>
      <w:pPr>
        <w:pStyle w:val="Titrearticle"/>
        <w:rPr>
          <w:noProof/>
        </w:rPr>
      </w:pPr>
      <w:r>
        <w:rPr>
          <w:noProof/>
        </w:rPr>
        <w:t>Articolul 3</w:t>
      </w:r>
    </w:p>
    <w:p>
      <w:pPr>
        <w:rPr>
          <w:noProof/>
        </w:rPr>
      </w:pPr>
      <w:r>
        <w:rPr>
          <w:noProof/>
        </w:rPr>
        <w:t xml:space="preserve">Prezentul regulament intră în vigoare în 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o-MO"/>
        </w:rPr>
      </w:pPr>
      <w:r>
        <w:rPr>
          <w:rStyle w:val="FootnoteReference"/>
          <w:lang w:val="ro-MO"/>
        </w:rPr>
        <w:footnoteRef/>
      </w:r>
      <w:r>
        <w:rPr>
          <w:lang w:val="ro-MO"/>
        </w:rPr>
        <w:tab/>
        <w:t>JO C 306, 17.12.2007.</w:t>
      </w:r>
    </w:p>
  </w:footnote>
  <w:footnote w:id="2">
    <w:p>
      <w:pPr>
        <w:pStyle w:val="FootnoteText"/>
        <w:rPr>
          <w:lang w:val="ro-MO"/>
        </w:rPr>
      </w:pPr>
      <w:r>
        <w:rPr>
          <w:rStyle w:val="FootnoteReference"/>
          <w:lang w:val="ro-MO"/>
        </w:rPr>
        <w:footnoteRef/>
      </w:r>
      <w:r>
        <w:rPr>
          <w:lang w:val="ro-MO"/>
        </w:rPr>
        <w:tab/>
        <w:t>JO L 184, 17.7.1999, p. 23.</w:t>
      </w:r>
    </w:p>
  </w:footnote>
  <w:footnote w:id="3">
    <w:p>
      <w:pPr>
        <w:pStyle w:val="FootnoteText"/>
        <w:rPr>
          <w:lang w:val="ro-MO"/>
        </w:rPr>
      </w:pPr>
      <w:r>
        <w:rPr>
          <w:rStyle w:val="FootnoteReference"/>
          <w:lang w:val="ro-MO"/>
        </w:rPr>
        <w:footnoteRef/>
      </w:r>
      <w:r>
        <w:rPr>
          <w:lang w:val="ro-MO"/>
        </w:rPr>
        <w:tab/>
        <w:t>JO L 55, 28.2.2011, p. 13.</w:t>
      </w:r>
    </w:p>
  </w:footnote>
  <w:footnote w:id="4">
    <w:p>
      <w:pPr>
        <w:pStyle w:val="FootnoteText"/>
        <w:rPr>
          <w:lang w:val="ro-MO"/>
        </w:rPr>
      </w:pPr>
      <w:r>
        <w:rPr>
          <w:rStyle w:val="FootnoteReference"/>
          <w:lang w:val="ro-MO"/>
        </w:rPr>
        <w:footnoteRef/>
      </w:r>
      <w:r>
        <w:rPr>
          <w:lang w:val="ro-MO"/>
        </w:rPr>
        <w:tab/>
        <w:t xml:space="preserve">JO L 55, 28.2.2011, p. 19.  </w:t>
      </w:r>
    </w:p>
  </w:footnote>
  <w:footnote w:id="5">
    <w:p>
      <w:pPr>
        <w:pStyle w:val="FootnoteText"/>
        <w:rPr>
          <w:lang w:val="ro-MO"/>
        </w:rPr>
      </w:pPr>
      <w:r>
        <w:rPr>
          <w:rStyle w:val="FootnoteReference"/>
          <w:lang w:val="ro-MO"/>
        </w:rPr>
        <w:footnoteRef/>
      </w:r>
      <w:r>
        <w:rPr>
          <w:lang w:val="ro-MO"/>
        </w:rPr>
        <w:tab/>
        <w:t>COM(2013) 451 final, COM(2013) 452 final și COM(2013) 751 final.</w:t>
      </w:r>
    </w:p>
  </w:footnote>
  <w:footnote w:id="6">
    <w:p>
      <w:pPr>
        <w:pStyle w:val="FootnoteText"/>
        <w:rPr>
          <w:lang w:val="ro-MO"/>
        </w:rPr>
      </w:pPr>
      <w:r>
        <w:rPr>
          <w:rStyle w:val="FootnoteReference"/>
          <w:lang w:val="ro-MO"/>
        </w:rPr>
        <w:footnoteRef/>
      </w:r>
      <w:r>
        <w:rPr>
          <w:lang w:val="ro-MO"/>
        </w:rPr>
        <w:tab/>
        <w:t>A7-0010/2014, P7_TA-PROV(2014)0114, A7-0011/2014, P7_TA-PROV(2014)0112.</w:t>
      </w:r>
    </w:p>
  </w:footnote>
  <w:footnote w:id="7">
    <w:p>
      <w:pPr>
        <w:pStyle w:val="FootnoteText"/>
        <w:rPr>
          <w:lang w:val="ro-MO"/>
        </w:rPr>
      </w:pPr>
      <w:r>
        <w:rPr>
          <w:rStyle w:val="FootnoteReference"/>
          <w:lang w:val="ro-MO"/>
        </w:rPr>
        <w:footnoteRef/>
      </w:r>
      <w:r>
        <w:rPr>
          <w:lang w:val="ro-MO"/>
        </w:rPr>
        <w:tab/>
        <w:t>(2015/C 80/08), J C 80, 7.2.2015, p. 17.</w:t>
      </w:r>
    </w:p>
  </w:footnote>
  <w:footnote w:id="8">
    <w:p>
      <w:pPr>
        <w:pStyle w:val="FootnoteText"/>
        <w:rPr>
          <w:lang w:val="ro-MO"/>
        </w:rPr>
      </w:pPr>
      <w:r>
        <w:rPr>
          <w:rStyle w:val="FootnoteReference"/>
          <w:lang w:val="ro-MO"/>
        </w:rPr>
        <w:footnoteRef/>
      </w:r>
      <w:r>
        <w:rPr>
          <w:lang w:val="ro-MO"/>
        </w:rPr>
        <w:tab/>
        <w:t>COM(2014) 910 final.</w:t>
      </w:r>
    </w:p>
  </w:footnote>
  <w:footnote w:id="9">
    <w:p>
      <w:pPr>
        <w:pStyle w:val="FootnoteText"/>
        <w:rPr>
          <w:lang w:val="ro-MO"/>
        </w:rPr>
      </w:pPr>
      <w:r>
        <w:rPr>
          <w:rStyle w:val="FootnoteReference"/>
          <w:lang w:val="ro-MO"/>
        </w:rPr>
        <w:footnoteRef/>
      </w:r>
      <w:r>
        <w:rPr>
          <w:lang w:val="ro-MO"/>
        </w:rPr>
        <w:tab/>
        <w:t>JO L 123, 12.5.2016, p. 1.</w:t>
      </w:r>
    </w:p>
  </w:footnote>
  <w:footnote w:id="10">
    <w:p>
      <w:pPr>
        <w:pStyle w:val="FootnoteText"/>
        <w:rPr>
          <w:lang w:val="ro-MO"/>
        </w:rPr>
      </w:pPr>
      <w:r>
        <w:rPr>
          <w:rStyle w:val="FootnoteReference"/>
          <w:lang w:val="ro-MO"/>
        </w:rPr>
        <w:footnoteRef/>
      </w:r>
      <w:r>
        <w:rPr>
          <w:lang w:val="ro-MO"/>
        </w:rPr>
        <w:tab/>
        <w:t>Aceste actele sunt enumerate cu titlu informativ la punctul 3.</w:t>
      </w:r>
    </w:p>
  </w:footnote>
  <w:footnote w:id="11">
    <w:p>
      <w:pPr>
        <w:pStyle w:val="FootnoteText"/>
        <w:jc w:val="left"/>
        <w:rPr>
          <w:lang w:val="ro-MO"/>
        </w:rPr>
      </w:pPr>
      <w:r>
        <w:rPr>
          <w:rStyle w:val="FootnoteReference"/>
          <w:lang w:val="ro-MO"/>
        </w:rPr>
        <w:footnoteRef/>
      </w:r>
      <w:r>
        <w:rPr>
          <w:lang w:val="ro-MO"/>
        </w:rPr>
        <w:tab/>
        <w:t>Regulamentul (CE) nr. 1331/2008 al Parlamentului European și al Consiliului din 16 decembrie 2008 de instituire a unei proceduri comune de autorizare pentru aditivii alimentari, enzimele alimentare și aromele alimentare (JO L 354, 31.12.2008, p. 1); Regulamentul (CE) nr. 1332/2008 al Parlamentului European și al Consiliului din 16 decembrie 2008 privind enzimele alimentare și de modificare a Directivei 83/417/CEE a Consiliului, a Regulamentului (CE) nr. 1493/1999 al Consiliului, a Directivei 2000/13/CE, a Directivei 2001/112/CE a Consiliului și a Regulamentului (CE) nr. 258/97 (JO L 354, 31.12.2008, p. 7);</w:t>
      </w:r>
      <w:r>
        <w:rPr>
          <w:i/>
          <w:lang w:val="ro-MO"/>
        </w:rPr>
        <w:t xml:space="preserve"> </w:t>
      </w:r>
      <w:r>
        <w:rPr>
          <w:lang w:val="ro-MO"/>
        </w:rPr>
        <w:t>Regulamentul (CE) nr. 1333/2008 al Parlamentului European și al Consiliului din 16 decembrie 2008 privind aditivii alimentari (JO L 354, 31.12.2008, p. 16); Regulamentul (CE) nr. 1334/2008 al Parlamentului European și al Consiliului din 16 decembrie 2008 privind aromele și anumite ingrediente alimentare cu proprietăți aromatizante destinate utilizării în și pe produsele alimentare și de modificare a Regulamentului (CEE) nr. 1601/91 al Consiliului, a Regulamentelor (CE) nr. 2232/96 și (CE) nr. 110/2008 și a Directivei 2000/13/CE (JO L 354, 31.12.2008, p. 34); Regulamentul (CE) nr. 1935/2004 al Parlamentului European și al Consiliului din 27 octombrie 2004 privind materialele și obiectele destinate să vină în contact cu produsele alimentare și de abrogare a Directivelor 80/590/CEE și 89/109/CEE (JO L 338, 13.11.2004, p. 4); Regulamentul (CEE) nr. 315/93 al Consiliului din 8 februarie 1993 de stabilire a procedurilor comunitare privind contaminanții din alimente (JO L 37, 13.2.1993, p. 1); Regulamentul (CE) nr. 396/2005 al Parlamentului European și al Consiliului din 23 februarie 2005 privind conținuturile maxime aplicabile reziduurilor de pesticide din sau de pe produse alimentare și hrana de origine vegetală și animală pentru animale și de modificare a Directivei 91/414/CEE (JO L 70, 16.3.2005, p. 1) și Regulamentul (CE) nr. 1107/2009 al Parlamentului European și al Consiliului din 21 octombrie 2009 privind introducerea pe piață a produselor fitosanitare și de abrogare a Directivelor 79/117/CEE și 91/414/CEE ale Consiliului (JO L 309, 24.11.2009, p. 1).</w:t>
      </w:r>
    </w:p>
  </w:footnote>
  <w:footnote w:id="12">
    <w:p>
      <w:pPr>
        <w:pStyle w:val="FootnoteText"/>
        <w:jc w:val="left"/>
        <w:rPr>
          <w:lang w:val="ro-MO"/>
        </w:rPr>
      </w:pPr>
      <w:r>
        <w:rPr>
          <w:rStyle w:val="FootnoteReference"/>
          <w:lang w:val="ro-MO"/>
        </w:rPr>
        <w:footnoteRef/>
      </w:r>
      <w:r>
        <w:rPr>
          <w:lang w:val="ro-MO"/>
        </w:rPr>
        <w:tab/>
        <w:t>Regulamentul (UE) 2015/2283 al Parlamentului European și al Consiliului din 25 noiembrie 2015 privind alimentele noi, de modificare a Regulamentului (UE) nr. 1169/2011 al Parlamentului European și al Consiliului și de abrogare a Regulamentului (CE) nr. 258/97 al Parlamentului European și al Consiliului și a Regulamentului (CE) nr. 1852/2001 al Comisiei (JO L 327, 11.12.2015, p. 1).</w:t>
      </w:r>
    </w:p>
  </w:footnote>
  <w:footnote w:id="13">
    <w:p>
      <w:pPr>
        <w:pStyle w:val="FootnoteText"/>
        <w:rPr>
          <w:lang w:val="ro-MO"/>
        </w:rPr>
      </w:pPr>
      <w:r>
        <w:rPr>
          <w:rStyle w:val="FootnoteReference"/>
          <w:lang w:val="ro-MO"/>
        </w:rPr>
        <w:footnoteRef/>
      </w:r>
      <w:r>
        <w:rPr>
          <w:lang w:val="ro-MO"/>
        </w:rPr>
        <w:tab/>
        <w:t>Regulamentul (CE) nr. 1137/2008, JO L 311, 21.11.2008, p. 1.</w:t>
      </w:r>
    </w:p>
  </w:footnote>
  <w:footnote w:id="14">
    <w:p>
      <w:pPr>
        <w:pStyle w:val="FootnoteText"/>
        <w:rPr>
          <w:lang w:val="ro-MO"/>
        </w:rPr>
      </w:pPr>
      <w:r>
        <w:rPr>
          <w:rStyle w:val="FootnoteReference"/>
          <w:lang w:val="ro-MO"/>
        </w:rPr>
        <w:footnoteRef/>
      </w:r>
      <w:r>
        <w:rPr>
          <w:lang w:val="ro-MO"/>
        </w:rPr>
        <w:tab/>
        <w:t>Cauza C-88/14 Comisia/Parlamentul European și Consiliul, cauza C-286/14 Parlamentul European/Comisia și cauza C-472/12 Comisia/Parlamentul European și Consiliul.</w:t>
      </w:r>
    </w:p>
  </w:footnote>
  <w:footnote w:id="15">
    <w:p>
      <w:pPr>
        <w:pStyle w:val="FootnoteText"/>
        <w:rPr>
          <w:lang w:val="ro-MO"/>
        </w:rPr>
      </w:pPr>
      <w:r>
        <w:rPr>
          <w:rStyle w:val="FootnoteReference"/>
          <w:lang w:val="ro-MO"/>
        </w:rPr>
        <w:footnoteRef/>
      </w:r>
      <w:r>
        <w:rPr>
          <w:lang w:val="ro-MO"/>
        </w:rPr>
        <w:tab/>
        <w:t>JO C , , p. .</w:t>
      </w:r>
    </w:p>
  </w:footnote>
  <w:footnote w:id="16">
    <w:p>
      <w:pPr>
        <w:pStyle w:val="FootnoteText"/>
        <w:rPr>
          <w:lang w:val="ro-MO"/>
        </w:rPr>
      </w:pPr>
      <w:r>
        <w:rPr>
          <w:rStyle w:val="FootnoteReference"/>
          <w:lang w:val="ro-MO"/>
        </w:rPr>
        <w:footnoteRef/>
      </w:r>
      <w:r>
        <w:rPr>
          <w:lang w:val="ro-MO"/>
        </w:rPr>
        <w:tab/>
        <w:t>JO C , , p. .</w:t>
      </w:r>
    </w:p>
  </w:footnote>
  <w:footnote w:id="17">
    <w:p>
      <w:pPr>
        <w:pStyle w:val="FootnoteText"/>
        <w:rPr>
          <w:lang w:val="ro-MO"/>
        </w:rPr>
      </w:pPr>
      <w:r>
        <w:rPr>
          <w:rStyle w:val="FootnoteReference"/>
          <w:lang w:val="ro-MO"/>
        </w:rPr>
        <w:footnoteRef/>
      </w:r>
      <w:r>
        <w:rPr>
          <w:lang w:val="ro-MO"/>
        </w:rPr>
        <w:tab/>
        <w:t>Decizia 1999/468/CE a Consiliului din 28 iunie 1999 de stabilire a normelor privind exercitarea competențelor de executare conferite Comisiei (JO L 184, 17.7.1999, p. 23).</w:t>
      </w:r>
    </w:p>
  </w:footnote>
  <w:footnote w:id="18">
    <w:p>
      <w:pPr>
        <w:pStyle w:val="FootnoteText"/>
        <w:rPr>
          <w:lang w:val="ro-MO"/>
        </w:rPr>
      </w:pPr>
      <w:r>
        <w:rPr>
          <w:rStyle w:val="FootnoteReference"/>
          <w:lang w:val="ro-MO"/>
        </w:rPr>
        <w:footnoteRef/>
      </w:r>
      <w:r>
        <w:rPr>
          <w:lang w:val="ro-MO"/>
        </w:rPr>
        <w:tab/>
        <w:t>COM(2013) 451 final, COM(2013) 452 final și COM(2013) 751 final.</w:t>
      </w:r>
    </w:p>
  </w:footnote>
  <w:footnote w:id="19">
    <w:p>
      <w:pPr>
        <w:pStyle w:val="FootnoteText"/>
        <w:rPr>
          <w:lang w:val="ro-MO"/>
        </w:rPr>
      </w:pPr>
      <w:r>
        <w:rPr>
          <w:rStyle w:val="FootnoteReference"/>
          <w:lang w:val="ro-MO"/>
        </w:rPr>
        <w:footnoteRef/>
      </w:r>
      <w:r>
        <w:rPr>
          <w:lang w:val="ro-MO"/>
        </w:rPr>
        <w:tab/>
        <w:t xml:space="preserve">(2015/C 80/08), J C 80, 7.2.2015, p. 17.  </w:t>
      </w:r>
    </w:p>
  </w:footnote>
  <w:footnote w:id="20">
    <w:p>
      <w:pPr>
        <w:pStyle w:val="FootnoteText"/>
        <w:rPr>
          <w:lang w:val="ro-MO"/>
        </w:rPr>
      </w:pPr>
      <w:r>
        <w:rPr>
          <w:rStyle w:val="FootnoteReference"/>
          <w:lang w:val="ro-MO"/>
        </w:rPr>
        <w:footnoteRef/>
      </w:r>
      <w:r>
        <w:rPr>
          <w:lang w:val="ro-MO"/>
        </w:rPr>
        <w:tab/>
        <w:t xml:space="preserve">JO L 123, 12.5.2016, p. 1. </w:t>
      </w:r>
    </w:p>
  </w:footnote>
  <w:footnote w:id="21">
    <w:p>
      <w:pPr>
        <w:pStyle w:val="FootnoteText"/>
        <w:rPr>
          <w:lang w:val="ro-MO"/>
        </w:rPr>
      </w:pPr>
      <w:r>
        <w:rPr>
          <w:rStyle w:val="FootnoteReference"/>
          <w:lang w:val="ro-MO"/>
        </w:rPr>
        <w:footnoteRef/>
      </w:r>
      <w:r>
        <w:rPr>
          <w:lang w:val="ro-MO"/>
        </w:rP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B2A8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E020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D2BE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C4B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2A6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8C0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EEFD2C"/>
    <w:lvl w:ilvl="0">
      <w:start w:val="1"/>
      <w:numFmt w:val="decimal"/>
      <w:pStyle w:val="ListNumber"/>
      <w:lvlText w:val="%1."/>
      <w:lvlJc w:val="left"/>
      <w:pPr>
        <w:tabs>
          <w:tab w:val="num" w:pos="360"/>
        </w:tabs>
        <w:ind w:left="360" w:hanging="360"/>
      </w:pPr>
    </w:lvl>
  </w:abstractNum>
  <w:abstractNum w:abstractNumId="7">
    <w:nsid w:val="FFFFFF89"/>
    <w:multiLevelType w:val="singleLevel"/>
    <w:tmpl w:val="ED2EC2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the Christensen">
    <w15:presenceInfo w15:providerId="Windows Live" w15:userId="456c02a2a9256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hideSpellingErrors/>
  <w:hideGrammaticalErrors/>
  <w:attachedTemplate r:id="rId1"/>
  <w:revisionView w:markup="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6 17:36:2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C54008EFD2F417C9246FEA8F6E29246"/>
    <w:docVar w:name="LW_CROSSREFERENCE" w:val="&lt;UNUSED&gt;"/>
    <w:docVar w:name="LW_DocType" w:val="COM"/>
    <w:docVar w:name="LW_EMISSION" w:val="14.12.2016"/>
    <w:docVar w:name="LW_EMISSION_ISODATE" w:val="2016-12-1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400"/>
    <w:docVar w:name="LW_REF.II.NEW.CP_YEAR" w:val="2016"/>
    <w:docVar w:name="LW_REF.INST.NEW" w:val="COM"/>
    <w:docVar w:name="LW_REF.INST.NEW_ADOPTED" w:val="final"/>
    <w:docVar w:name="LW_REF.INST.NEW_TEXT" w:val="(2016) 799"/>
    <w:docVar w:name="LW_REF.INTERNE" w:val="&lt;UNUSED&gt;"/>
    <w:docVar w:name="LW_SOUS.TITRE.OBJ.CP" w:val="&lt;UNUSED&gt;"/>
    <w:docVar w:name="LW_STATUT.CP" w:val="Propunere de"/>
    <w:docVar w:name="LW_SUPERTITRE" w:val="&lt;UNUSED&gt;"/>
    <w:docVar w:name="LW_TITRE.OBJ.CP" w:val="de adaptare la articolele 290 \u537?i 291 din Tratatul privind func\u539?ionarea Uniunii Europene a unei serii de acte juridice care prev\u259?d utilizarea procedurii de reglementare cu control"/>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sz w:val="18"/>
      <w:szCs w:val="18"/>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sz w:val="18"/>
      <w:szCs w:val="18"/>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5">
      <w:bodyDiv w:val="1"/>
      <w:marLeft w:val="0"/>
      <w:marRight w:val="0"/>
      <w:marTop w:val="0"/>
      <w:marBottom w:val="0"/>
      <w:divBdr>
        <w:top w:val="none" w:sz="0" w:space="0" w:color="auto"/>
        <w:left w:val="none" w:sz="0" w:space="0" w:color="auto"/>
        <w:bottom w:val="none" w:sz="0" w:space="0" w:color="auto"/>
        <w:right w:val="none" w:sz="0" w:space="0" w:color="auto"/>
      </w:divBdr>
    </w:div>
    <w:div w:id="132795430">
      <w:bodyDiv w:val="1"/>
      <w:marLeft w:val="0"/>
      <w:marRight w:val="0"/>
      <w:marTop w:val="0"/>
      <w:marBottom w:val="0"/>
      <w:divBdr>
        <w:top w:val="none" w:sz="0" w:space="0" w:color="auto"/>
        <w:left w:val="none" w:sz="0" w:space="0" w:color="auto"/>
        <w:bottom w:val="none" w:sz="0" w:space="0" w:color="auto"/>
        <w:right w:val="none" w:sz="0" w:space="0" w:color="auto"/>
      </w:divBdr>
      <w:divsChild>
        <w:div w:id="2074741547">
          <w:marLeft w:val="0"/>
          <w:marRight w:val="0"/>
          <w:marTop w:val="0"/>
          <w:marBottom w:val="0"/>
          <w:divBdr>
            <w:top w:val="none" w:sz="0" w:space="0" w:color="auto"/>
            <w:left w:val="none" w:sz="0" w:space="0" w:color="auto"/>
            <w:bottom w:val="none" w:sz="0" w:space="0" w:color="auto"/>
            <w:right w:val="none" w:sz="0" w:space="0" w:color="auto"/>
          </w:divBdr>
          <w:divsChild>
            <w:div w:id="495071122">
              <w:marLeft w:val="0"/>
              <w:marRight w:val="0"/>
              <w:marTop w:val="0"/>
              <w:marBottom w:val="0"/>
              <w:divBdr>
                <w:top w:val="none" w:sz="0" w:space="0" w:color="auto"/>
                <w:left w:val="none" w:sz="0" w:space="0" w:color="auto"/>
                <w:bottom w:val="none" w:sz="0" w:space="0" w:color="auto"/>
                <w:right w:val="none" w:sz="0" w:space="0" w:color="auto"/>
              </w:divBdr>
              <w:divsChild>
                <w:div w:id="1483498887">
                  <w:marLeft w:val="0"/>
                  <w:marRight w:val="0"/>
                  <w:marTop w:val="0"/>
                  <w:marBottom w:val="0"/>
                  <w:divBdr>
                    <w:top w:val="none" w:sz="0" w:space="0" w:color="auto"/>
                    <w:left w:val="none" w:sz="0" w:space="0" w:color="auto"/>
                    <w:bottom w:val="none" w:sz="0" w:space="0" w:color="auto"/>
                    <w:right w:val="none" w:sz="0" w:space="0" w:color="auto"/>
                  </w:divBdr>
                  <w:divsChild>
                    <w:div w:id="1243685809">
                      <w:marLeft w:val="1"/>
                      <w:marRight w:val="1"/>
                      <w:marTop w:val="0"/>
                      <w:marBottom w:val="0"/>
                      <w:divBdr>
                        <w:top w:val="none" w:sz="0" w:space="0" w:color="auto"/>
                        <w:left w:val="none" w:sz="0" w:space="0" w:color="auto"/>
                        <w:bottom w:val="none" w:sz="0" w:space="0" w:color="auto"/>
                        <w:right w:val="none" w:sz="0" w:space="0" w:color="auto"/>
                      </w:divBdr>
                      <w:divsChild>
                        <w:div w:id="1001544459">
                          <w:marLeft w:val="0"/>
                          <w:marRight w:val="0"/>
                          <w:marTop w:val="0"/>
                          <w:marBottom w:val="0"/>
                          <w:divBdr>
                            <w:top w:val="none" w:sz="0" w:space="0" w:color="auto"/>
                            <w:left w:val="none" w:sz="0" w:space="0" w:color="auto"/>
                            <w:bottom w:val="none" w:sz="0" w:space="0" w:color="auto"/>
                            <w:right w:val="none" w:sz="0" w:space="0" w:color="auto"/>
                          </w:divBdr>
                          <w:divsChild>
                            <w:div w:id="1519346943">
                              <w:marLeft w:val="0"/>
                              <w:marRight w:val="0"/>
                              <w:marTop w:val="0"/>
                              <w:marBottom w:val="360"/>
                              <w:divBdr>
                                <w:top w:val="none" w:sz="0" w:space="0" w:color="auto"/>
                                <w:left w:val="none" w:sz="0" w:space="0" w:color="auto"/>
                                <w:bottom w:val="none" w:sz="0" w:space="0" w:color="auto"/>
                                <w:right w:val="none" w:sz="0" w:space="0" w:color="auto"/>
                              </w:divBdr>
                              <w:divsChild>
                                <w:div w:id="843015925">
                                  <w:marLeft w:val="0"/>
                                  <w:marRight w:val="0"/>
                                  <w:marTop w:val="0"/>
                                  <w:marBottom w:val="0"/>
                                  <w:divBdr>
                                    <w:top w:val="none" w:sz="0" w:space="0" w:color="auto"/>
                                    <w:left w:val="none" w:sz="0" w:space="0" w:color="auto"/>
                                    <w:bottom w:val="none" w:sz="0" w:space="0" w:color="auto"/>
                                    <w:right w:val="none" w:sz="0" w:space="0" w:color="auto"/>
                                  </w:divBdr>
                                  <w:divsChild>
                                    <w:div w:id="14684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3435">
      <w:bodyDiv w:val="1"/>
      <w:marLeft w:val="0"/>
      <w:marRight w:val="0"/>
      <w:marTop w:val="0"/>
      <w:marBottom w:val="0"/>
      <w:divBdr>
        <w:top w:val="none" w:sz="0" w:space="0" w:color="auto"/>
        <w:left w:val="none" w:sz="0" w:space="0" w:color="auto"/>
        <w:bottom w:val="none" w:sz="0" w:space="0" w:color="auto"/>
        <w:right w:val="none" w:sz="0" w:space="0" w:color="auto"/>
      </w:divBdr>
      <w:divsChild>
        <w:div w:id="164394439">
          <w:marLeft w:val="0"/>
          <w:marRight w:val="0"/>
          <w:marTop w:val="0"/>
          <w:marBottom w:val="0"/>
          <w:divBdr>
            <w:top w:val="none" w:sz="0" w:space="0" w:color="auto"/>
            <w:left w:val="none" w:sz="0" w:space="0" w:color="auto"/>
            <w:bottom w:val="none" w:sz="0" w:space="0" w:color="auto"/>
            <w:right w:val="none" w:sz="0" w:space="0" w:color="auto"/>
          </w:divBdr>
          <w:divsChild>
            <w:div w:id="520708650">
              <w:marLeft w:val="0"/>
              <w:marRight w:val="0"/>
              <w:marTop w:val="0"/>
              <w:marBottom w:val="0"/>
              <w:divBdr>
                <w:top w:val="none" w:sz="0" w:space="0" w:color="auto"/>
                <w:left w:val="none" w:sz="0" w:space="0" w:color="auto"/>
                <w:bottom w:val="none" w:sz="0" w:space="0" w:color="auto"/>
                <w:right w:val="none" w:sz="0" w:space="0" w:color="auto"/>
              </w:divBdr>
              <w:divsChild>
                <w:div w:id="2025202141">
                  <w:marLeft w:val="0"/>
                  <w:marRight w:val="0"/>
                  <w:marTop w:val="0"/>
                  <w:marBottom w:val="0"/>
                  <w:divBdr>
                    <w:top w:val="none" w:sz="0" w:space="0" w:color="auto"/>
                    <w:left w:val="none" w:sz="0" w:space="0" w:color="auto"/>
                    <w:bottom w:val="none" w:sz="0" w:space="0" w:color="auto"/>
                    <w:right w:val="none" w:sz="0" w:space="0" w:color="auto"/>
                  </w:divBdr>
                  <w:divsChild>
                    <w:div w:id="956060230">
                      <w:marLeft w:val="1"/>
                      <w:marRight w:val="1"/>
                      <w:marTop w:val="0"/>
                      <w:marBottom w:val="0"/>
                      <w:divBdr>
                        <w:top w:val="none" w:sz="0" w:space="0" w:color="auto"/>
                        <w:left w:val="none" w:sz="0" w:space="0" w:color="auto"/>
                        <w:bottom w:val="none" w:sz="0" w:space="0" w:color="auto"/>
                        <w:right w:val="none" w:sz="0" w:space="0" w:color="auto"/>
                      </w:divBdr>
                      <w:divsChild>
                        <w:div w:id="1536578837">
                          <w:marLeft w:val="0"/>
                          <w:marRight w:val="0"/>
                          <w:marTop w:val="0"/>
                          <w:marBottom w:val="0"/>
                          <w:divBdr>
                            <w:top w:val="none" w:sz="0" w:space="0" w:color="auto"/>
                            <w:left w:val="none" w:sz="0" w:space="0" w:color="auto"/>
                            <w:bottom w:val="none" w:sz="0" w:space="0" w:color="auto"/>
                            <w:right w:val="none" w:sz="0" w:space="0" w:color="auto"/>
                          </w:divBdr>
                          <w:divsChild>
                            <w:div w:id="1686899124">
                              <w:marLeft w:val="0"/>
                              <w:marRight w:val="0"/>
                              <w:marTop w:val="0"/>
                              <w:marBottom w:val="360"/>
                              <w:divBdr>
                                <w:top w:val="none" w:sz="0" w:space="0" w:color="auto"/>
                                <w:left w:val="none" w:sz="0" w:space="0" w:color="auto"/>
                                <w:bottom w:val="none" w:sz="0" w:space="0" w:color="auto"/>
                                <w:right w:val="none" w:sz="0" w:space="0" w:color="auto"/>
                              </w:divBdr>
                              <w:divsChild>
                                <w:div w:id="1539780070">
                                  <w:marLeft w:val="0"/>
                                  <w:marRight w:val="0"/>
                                  <w:marTop w:val="0"/>
                                  <w:marBottom w:val="0"/>
                                  <w:divBdr>
                                    <w:top w:val="none" w:sz="0" w:space="0" w:color="auto"/>
                                    <w:left w:val="none" w:sz="0" w:space="0" w:color="auto"/>
                                    <w:bottom w:val="none" w:sz="0" w:space="0" w:color="auto"/>
                                    <w:right w:val="none" w:sz="0" w:space="0" w:color="auto"/>
                                  </w:divBdr>
                                  <w:divsChild>
                                    <w:div w:id="186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420855">
      <w:bodyDiv w:val="1"/>
      <w:marLeft w:val="0"/>
      <w:marRight w:val="0"/>
      <w:marTop w:val="0"/>
      <w:marBottom w:val="0"/>
      <w:divBdr>
        <w:top w:val="none" w:sz="0" w:space="0" w:color="auto"/>
        <w:left w:val="none" w:sz="0" w:space="0" w:color="auto"/>
        <w:bottom w:val="none" w:sz="0" w:space="0" w:color="auto"/>
        <w:right w:val="none" w:sz="0" w:space="0" w:color="auto"/>
      </w:divBdr>
      <w:divsChild>
        <w:div w:id="2095585078">
          <w:marLeft w:val="0"/>
          <w:marRight w:val="0"/>
          <w:marTop w:val="0"/>
          <w:marBottom w:val="0"/>
          <w:divBdr>
            <w:top w:val="none" w:sz="0" w:space="0" w:color="auto"/>
            <w:left w:val="none" w:sz="0" w:space="0" w:color="auto"/>
            <w:bottom w:val="none" w:sz="0" w:space="0" w:color="auto"/>
            <w:right w:val="none" w:sz="0" w:space="0" w:color="auto"/>
          </w:divBdr>
          <w:divsChild>
            <w:div w:id="1226716794">
              <w:marLeft w:val="0"/>
              <w:marRight w:val="0"/>
              <w:marTop w:val="0"/>
              <w:marBottom w:val="0"/>
              <w:divBdr>
                <w:top w:val="none" w:sz="0" w:space="0" w:color="auto"/>
                <w:left w:val="none" w:sz="0" w:space="0" w:color="auto"/>
                <w:bottom w:val="none" w:sz="0" w:space="0" w:color="auto"/>
                <w:right w:val="none" w:sz="0" w:space="0" w:color="auto"/>
              </w:divBdr>
              <w:divsChild>
                <w:div w:id="820345573">
                  <w:marLeft w:val="0"/>
                  <w:marRight w:val="0"/>
                  <w:marTop w:val="0"/>
                  <w:marBottom w:val="0"/>
                  <w:divBdr>
                    <w:top w:val="none" w:sz="0" w:space="0" w:color="auto"/>
                    <w:left w:val="none" w:sz="0" w:space="0" w:color="auto"/>
                    <w:bottom w:val="none" w:sz="0" w:space="0" w:color="auto"/>
                    <w:right w:val="none" w:sz="0" w:space="0" w:color="auto"/>
                  </w:divBdr>
                  <w:divsChild>
                    <w:div w:id="566184516">
                      <w:marLeft w:val="1"/>
                      <w:marRight w:val="1"/>
                      <w:marTop w:val="0"/>
                      <w:marBottom w:val="0"/>
                      <w:divBdr>
                        <w:top w:val="none" w:sz="0" w:space="0" w:color="auto"/>
                        <w:left w:val="none" w:sz="0" w:space="0" w:color="auto"/>
                        <w:bottom w:val="none" w:sz="0" w:space="0" w:color="auto"/>
                        <w:right w:val="none" w:sz="0" w:space="0" w:color="auto"/>
                      </w:divBdr>
                      <w:divsChild>
                        <w:div w:id="417675572">
                          <w:marLeft w:val="0"/>
                          <w:marRight w:val="0"/>
                          <w:marTop w:val="0"/>
                          <w:marBottom w:val="0"/>
                          <w:divBdr>
                            <w:top w:val="none" w:sz="0" w:space="0" w:color="auto"/>
                            <w:left w:val="none" w:sz="0" w:space="0" w:color="auto"/>
                            <w:bottom w:val="none" w:sz="0" w:space="0" w:color="auto"/>
                            <w:right w:val="none" w:sz="0" w:space="0" w:color="auto"/>
                          </w:divBdr>
                          <w:divsChild>
                            <w:div w:id="2100565454">
                              <w:marLeft w:val="0"/>
                              <w:marRight w:val="0"/>
                              <w:marTop w:val="0"/>
                              <w:marBottom w:val="360"/>
                              <w:divBdr>
                                <w:top w:val="none" w:sz="0" w:space="0" w:color="auto"/>
                                <w:left w:val="none" w:sz="0" w:space="0" w:color="auto"/>
                                <w:bottom w:val="none" w:sz="0" w:space="0" w:color="auto"/>
                                <w:right w:val="none" w:sz="0" w:space="0" w:color="auto"/>
                              </w:divBdr>
                              <w:divsChild>
                                <w:div w:id="64114453">
                                  <w:marLeft w:val="0"/>
                                  <w:marRight w:val="0"/>
                                  <w:marTop w:val="0"/>
                                  <w:marBottom w:val="0"/>
                                  <w:divBdr>
                                    <w:top w:val="none" w:sz="0" w:space="0" w:color="auto"/>
                                    <w:left w:val="none" w:sz="0" w:space="0" w:color="auto"/>
                                    <w:bottom w:val="none" w:sz="0" w:space="0" w:color="auto"/>
                                    <w:right w:val="none" w:sz="0" w:space="0" w:color="auto"/>
                                  </w:divBdr>
                                  <w:divsChild>
                                    <w:div w:id="338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248042">
      <w:bodyDiv w:val="1"/>
      <w:marLeft w:val="0"/>
      <w:marRight w:val="0"/>
      <w:marTop w:val="0"/>
      <w:marBottom w:val="0"/>
      <w:divBdr>
        <w:top w:val="none" w:sz="0" w:space="0" w:color="auto"/>
        <w:left w:val="none" w:sz="0" w:space="0" w:color="auto"/>
        <w:bottom w:val="none" w:sz="0" w:space="0" w:color="auto"/>
        <w:right w:val="none" w:sz="0" w:space="0" w:color="auto"/>
      </w:divBdr>
      <w:divsChild>
        <w:div w:id="1171604886">
          <w:marLeft w:val="0"/>
          <w:marRight w:val="0"/>
          <w:marTop w:val="0"/>
          <w:marBottom w:val="0"/>
          <w:divBdr>
            <w:top w:val="none" w:sz="0" w:space="0" w:color="auto"/>
            <w:left w:val="none" w:sz="0" w:space="0" w:color="auto"/>
            <w:bottom w:val="none" w:sz="0" w:space="0" w:color="auto"/>
            <w:right w:val="none" w:sz="0" w:space="0" w:color="auto"/>
          </w:divBdr>
          <w:divsChild>
            <w:div w:id="2111854446">
              <w:marLeft w:val="0"/>
              <w:marRight w:val="0"/>
              <w:marTop w:val="0"/>
              <w:marBottom w:val="0"/>
              <w:divBdr>
                <w:top w:val="none" w:sz="0" w:space="0" w:color="auto"/>
                <w:left w:val="none" w:sz="0" w:space="0" w:color="auto"/>
                <w:bottom w:val="none" w:sz="0" w:space="0" w:color="auto"/>
                <w:right w:val="none" w:sz="0" w:space="0" w:color="auto"/>
              </w:divBdr>
              <w:divsChild>
                <w:div w:id="513886293">
                  <w:marLeft w:val="0"/>
                  <w:marRight w:val="0"/>
                  <w:marTop w:val="0"/>
                  <w:marBottom w:val="0"/>
                  <w:divBdr>
                    <w:top w:val="none" w:sz="0" w:space="0" w:color="auto"/>
                    <w:left w:val="none" w:sz="0" w:space="0" w:color="auto"/>
                    <w:bottom w:val="none" w:sz="0" w:space="0" w:color="auto"/>
                    <w:right w:val="none" w:sz="0" w:space="0" w:color="auto"/>
                  </w:divBdr>
                  <w:divsChild>
                    <w:div w:id="1646158515">
                      <w:marLeft w:val="1"/>
                      <w:marRight w:val="1"/>
                      <w:marTop w:val="0"/>
                      <w:marBottom w:val="0"/>
                      <w:divBdr>
                        <w:top w:val="none" w:sz="0" w:space="0" w:color="auto"/>
                        <w:left w:val="none" w:sz="0" w:space="0" w:color="auto"/>
                        <w:bottom w:val="none" w:sz="0" w:space="0" w:color="auto"/>
                        <w:right w:val="none" w:sz="0" w:space="0" w:color="auto"/>
                      </w:divBdr>
                      <w:divsChild>
                        <w:div w:id="745416482">
                          <w:marLeft w:val="0"/>
                          <w:marRight w:val="0"/>
                          <w:marTop w:val="0"/>
                          <w:marBottom w:val="0"/>
                          <w:divBdr>
                            <w:top w:val="none" w:sz="0" w:space="0" w:color="auto"/>
                            <w:left w:val="none" w:sz="0" w:space="0" w:color="auto"/>
                            <w:bottom w:val="none" w:sz="0" w:space="0" w:color="auto"/>
                            <w:right w:val="none" w:sz="0" w:space="0" w:color="auto"/>
                          </w:divBdr>
                          <w:divsChild>
                            <w:div w:id="550654339">
                              <w:marLeft w:val="0"/>
                              <w:marRight w:val="0"/>
                              <w:marTop w:val="0"/>
                              <w:marBottom w:val="360"/>
                              <w:divBdr>
                                <w:top w:val="none" w:sz="0" w:space="0" w:color="auto"/>
                                <w:left w:val="none" w:sz="0" w:space="0" w:color="auto"/>
                                <w:bottom w:val="none" w:sz="0" w:space="0" w:color="auto"/>
                                <w:right w:val="none" w:sz="0" w:space="0" w:color="auto"/>
                              </w:divBdr>
                              <w:divsChild>
                                <w:div w:id="1580479432">
                                  <w:marLeft w:val="0"/>
                                  <w:marRight w:val="0"/>
                                  <w:marTop w:val="0"/>
                                  <w:marBottom w:val="0"/>
                                  <w:divBdr>
                                    <w:top w:val="none" w:sz="0" w:space="0" w:color="auto"/>
                                    <w:left w:val="none" w:sz="0" w:space="0" w:color="auto"/>
                                    <w:bottom w:val="none" w:sz="0" w:space="0" w:color="auto"/>
                                    <w:right w:val="none" w:sz="0" w:space="0" w:color="auto"/>
                                  </w:divBdr>
                                  <w:divsChild>
                                    <w:div w:id="946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73464">
      <w:bodyDiv w:val="1"/>
      <w:marLeft w:val="0"/>
      <w:marRight w:val="0"/>
      <w:marTop w:val="0"/>
      <w:marBottom w:val="0"/>
      <w:divBdr>
        <w:top w:val="none" w:sz="0" w:space="0" w:color="auto"/>
        <w:left w:val="none" w:sz="0" w:space="0" w:color="auto"/>
        <w:bottom w:val="none" w:sz="0" w:space="0" w:color="auto"/>
        <w:right w:val="none" w:sz="0" w:space="0" w:color="auto"/>
      </w:divBdr>
      <w:divsChild>
        <w:div w:id="174154713">
          <w:marLeft w:val="0"/>
          <w:marRight w:val="0"/>
          <w:marTop w:val="0"/>
          <w:marBottom w:val="0"/>
          <w:divBdr>
            <w:top w:val="none" w:sz="0" w:space="0" w:color="auto"/>
            <w:left w:val="none" w:sz="0" w:space="0" w:color="auto"/>
            <w:bottom w:val="none" w:sz="0" w:space="0" w:color="auto"/>
            <w:right w:val="none" w:sz="0" w:space="0" w:color="auto"/>
          </w:divBdr>
          <w:divsChild>
            <w:div w:id="1536384293">
              <w:marLeft w:val="0"/>
              <w:marRight w:val="0"/>
              <w:marTop w:val="0"/>
              <w:marBottom w:val="0"/>
              <w:divBdr>
                <w:top w:val="none" w:sz="0" w:space="0" w:color="auto"/>
                <w:left w:val="none" w:sz="0" w:space="0" w:color="auto"/>
                <w:bottom w:val="none" w:sz="0" w:space="0" w:color="auto"/>
                <w:right w:val="none" w:sz="0" w:space="0" w:color="auto"/>
              </w:divBdr>
              <w:divsChild>
                <w:div w:id="2146313137">
                  <w:marLeft w:val="0"/>
                  <w:marRight w:val="0"/>
                  <w:marTop w:val="0"/>
                  <w:marBottom w:val="0"/>
                  <w:divBdr>
                    <w:top w:val="none" w:sz="0" w:space="0" w:color="auto"/>
                    <w:left w:val="none" w:sz="0" w:space="0" w:color="auto"/>
                    <w:bottom w:val="none" w:sz="0" w:space="0" w:color="auto"/>
                    <w:right w:val="none" w:sz="0" w:space="0" w:color="auto"/>
                  </w:divBdr>
                  <w:divsChild>
                    <w:div w:id="760836704">
                      <w:marLeft w:val="1"/>
                      <w:marRight w:val="1"/>
                      <w:marTop w:val="0"/>
                      <w:marBottom w:val="0"/>
                      <w:divBdr>
                        <w:top w:val="none" w:sz="0" w:space="0" w:color="auto"/>
                        <w:left w:val="none" w:sz="0" w:space="0" w:color="auto"/>
                        <w:bottom w:val="none" w:sz="0" w:space="0" w:color="auto"/>
                        <w:right w:val="none" w:sz="0" w:space="0" w:color="auto"/>
                      </w:divBdr>
                      <w:divsChild>
                        <w:div w:id="1770005354">
                          <w:marLeft w:val="0"/>
                          <w:marRight w:val="0"/>
                          <w:marTop w:val="0"/>
                          <w:marBottom w:val="0"/>
                          <w:divBdr>
                            <w:top w:val="none" w:sz="0" w:space="0" w:color="auto"/>
                            <w:left w:val="none" w:sz="0" w:space="0" w:color="auto"/>
                            <w:bottom w:val="none" w:sz="0" w:space="0" w:color="auto"/>
                            <w:right w:val="none" w:sz="0" w:space="0" w:color="auto"/>
                          </w:divBdr>
                          <w:divsChild>
                            <w:div w:id="703136834">
                              <w:marLeft w:val="0"/>
                              <w:marRight w:val="0"/>
                              <w:marTop w:val="0"/>
                              <w:marBottom w:val="360"/>
                              <w:divBdr>
                                <w:top w:val="none" w:sz="0" w:space="0" w:color="auto"/>
                                <w:left w:val="none" w:sz="0" w:space="0" w:color="auto"/>
                                <w:bottom w:val="none" w:sz="0" w:space="0" w:color="auto"/>
                                <w:right w:val="none" w:sz="0" w:space="0" w:color="auto"/>
                              </w:divBdr>
                              <w:divsChild>
                                <w:div w:id="1249463683">
                                  <w:marLeft w:val="0"/>
                                  <w:marRight w:val="0"/>
                                  <w:marTop w:val="0"/>
                                  <w:marBottom w:val="0"/>
                                  <w:divBdr>
                                    <w:top w:val="none" w:sz="0" w:space="0" w:color="auto"/>
                                    <w:left w:val="none" w:sz="0" w:space="0" w:color="auto"/>
                                    <w:bottom w:val="none" w:sz="0" w:space="0" w:color="auto"/>
                                    <w:right w:val="none" w:sz="0" w:space="0" w:color="auto"/>
                                  </w:divBdr>
                                  <w:divsChild>
                                    <w:div w:id="1072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45170">
      <w:bodyDiv w:val="1"/>
      <w:marLeft w:val="0"/>
      <w:marRight w:val="0"/>
      <w:marTop w:val="0"/>
      <w:marBottom w:val="0"/>
      <w:divBdr>
        <w:top w:val="none" w:sz="0" w:space="0" w:color="auto"/>
        <w:left w:val="none" w:sz="0" w:space="0" w:color="auto"/>
        <w:bottom w:val="none" w:sz="0" w:space="0" w:color="auto"/>
        <w:right w:val="none" w:sz="0" w:space="0" w:color="auto"/>
      </w:divBdr>
      <w:divsChild>
        <w:div w:id="1336111019">
          <w:marLeft w:val="0"/>
          <w:marRight w:val="0"/>
          <w:marTop w:val="0"/>
          <w:marBottom w:val="0"/>
          <w:divBdr>
            <w:top w:val="none" w:sz="0" w:space="0" w:color="auto"/>
            <w:left w:val="none" w:sz="0" w:space="0" w:color="auto"/>
            <w:bottom w:val="none" w:sz="0" w:space="0" w:color="auto"/>
            <w:right w:val="none" w:sz="0" w:space="0" w:color="auto"/>
          </w:divBdr>
          <w:divsChild>
            <w:div w:id="376398396">
              <w:marLeft w:val="0"/>
              <w:marRight w:val="0"/>
              <w:marTop w:val="0"/>
              <w:marBottom w:val="0"/>
              <w:divBdr>
                <w:top w:val="none" w:sz="0" w:space="0" w:color="auto"/>
                <w:left w:val="none" w:sz="0" w:space="0" w:color="auto"/>
                <w:bottom w:val="none" w:sz="0" w:space="0" w:color="auto"/>
                <w:right w:val="none" w:sz="0" w:space="0" w:color="auto"/>
              </w:divBdr>
              <w:divsChild>
                <w:div w:id="159466912">
                  <w:marLeft w:val="0"/>
                  <w:marRight w:val="0"/>
                  <w:marTop w:val="0"/>
                  <w:marBottom w:val="0"/>
                  <w:divBdr>
                    <w:top w:val="none" w:sz="0" w:space="0" w:color="auto"/>
                    <w:left w:val="none" w:sz="0" w:space="0" w:color="auto"/>
                    <w:bottom w:val="none" w:sz="0" w:space="0" w:color="auto"/>
                    <w:right w:val="none" w:sz="0" w:space="0" w:color="auto"/>
                  </w:divBdr>
                  <w:divsChild>
                    <w:div w:id="1270120083">
                      <w:marLeft w:val="1"/>
                      <w:marRight w:val="1"/>
                      <w:marTop w:val="0"/>
                      <w:marBottom w:val="0"/>
                      <w:divBdr>
                        <w:top w:val="none" w:sz="0" w:space="0" w:color="auto"/>
                        <w:left w:val="none" w:sz="0" w:space="0" w:color="auto"/>
                        <w:bottom w:val="none" w:sz="0" w:space="0" w:color="auto"/>
                        <w:right w:val="none" w:sz="0" w:space="0" w:color="auto"/>
                      </w:divBdr>
                      <w:divsChild>
                        <w:div w:id="1624994526">
                          <w:marLeft w:val="0"/>
                          <w:marRight w:val="0"/>
                          <w:marTop w:val="0"/>
                          <w:marBottom w:val="0"/>
                          <w:divBdr>
                            <w:top w:val="none" w:sz="0" w:space="0" w:color="auto"/>
                            <w:left w:val="none" w:sz="0" w:space="0" w:color="auto"/>
                            <w:bottom w:val="none" w:sz="0" w:space="0" w:color="auto"/>
                            <w:right w:val="none" w:sz="0" w:space="0" w:color="auto"/>
                          </w:divBdr>
                          <w:divsChild>
                            <w:div w:id="18046081">
                              <w:marLeft w:val="0"/>
                              <w:marRight w:val="0"/>
                              <w:marTop w:val="0"/>
                              <w:marBottom w:val="360"/>
                              <w:divBdr>
                                <w:top w:val="none" w:sz="0" w:space="0" w:color="auto"/>
                                <w:left w:val="none" w:sz="0" w:space="0" w:color="auto"/>
                                <w:bottom w:val="none" w:sz="0" w:space="0" w:color="auto"/>
                                <w:right w:val="none" w:sz="0" w:space="0" w:color="auto"/>
                              </w:divBdr>
                              <w:divsChild>
                                <w:div w:id="1357078948">
                                  <w:marLeft w:val="0"/>
                                  <w:marRight w:val="0"/>
                                  <w:marTop w:val="0"/>
                                  <w:marBottom w:val="0"/>
                                  <w:divBdr>
                                    <w:top w:val="none" w:sz="0" w:space="0" w:color="auto"/>
                                    <w:left w:val="none" w:sz="0" w:space="0" w:color="auto"/>
                                    <w:bottom w:val="none" w:sz="0" w:space="0" w:color="auto"/>
                                    <w:right w:val="none" w:sz="0" w:space="0" w:color="auto"/>
                                  </w:divBdr>
                                  <w:divsChild>
                                    <w:div w:id="776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555">
      <w:bodyDiv w:val="1"/>
      <w:marLeft w:val="0"/>
      <w:marRight w:val="0"/>
      <w:marTop w:val="0"/>
      <w:marBottom w:val="0"/>
      <w:divBdr>
        <w:top w:val="none" w:sz="0" w:space="0" w:color="auto"/>
        <w:left w:val="none" w:sz="0" w:space="0" w:color="auto"/>
        <w:bottom w:val="none" w:sz="0" w:space="0" w:color="auto"/>
        <w:right w:val="none" w:sz="0" w:space="0" w:color="auto"/>
      </w:divBdr>
    </w:div>
    <w:div w:id="1012338114">
      <w:bodyDiv w:val="1"/>
      <w:marLeft w:val="0"/>
      <w:marRight w:val="0"/>
      <w:marTop w:val="0"/>
      <w:marBottom w:val="0"/>
      <w:divBdr>
        <w:top w:val="none" w:sz="0" w:space="0" w:color="auto"/>
        <w:left w:val="none" w:sz="0" w:space="0" w:color="auto"/>
        <w:bottom w:val="none" w:sz="0" w:space="0" w:color="auto"/>
        <w:right w:val="none" w:sz="0" w:space="0" w:color="auto"/>
      </w:divBdr>
      <w:divsChild>
        <w:div w:id="1596471835">
          <w:marLeft w:val="0"/>
          <w:marRight w:val="0"/>
          <w:marTop w:val="0"/>
          <w:marBottom w:val="0"/>
          <w:divBdr>
            <w:top w:val="none" w:sz="0" w:space="0" w:color="auto"/>
            <w:left w:val="none" w:sz="0" w:space="0" w:color="auto"/>
            <w:bottom w:val="none" w:sz="0" w:space="0" w:color="auto"/>
            <w:right w:val="none" w:sz="0" w:space="0" w:color="auto"/>
          </w:divBdr>
          <w:divsChild>
            <w:div w:id="450907034">
              <w:marLeft w:val="0"/>
              <w:marRight w:val="0"/>
              <w:marTop w:val="0"/>
              <w:marBottom w:val="0"/>
              <w:divBdr>
                <w:top w:val="none" w:sz="0" w:space="0" w:color="auto"/>
                <w:left w:val="none" w:sz="0" w:space="0" w:color="auto"/>
                <w:bottom w:val="none" w:sz="0" w:space="0" w:color="auto"/>
                <w:right w:val="none" w:sz="0" w:space="0" w:color="auto"/>
              </w:divBdr>
              <w:divsChild>
                <w:div w:id="1958752707">
                  <w:marLeft w:val="0"/>
                  <w:marRight w:val="0"/>
                  <w:marTop w:val="0"/>
                  <w:marBottom w:val="0"/>
                  <w:divBdr>
                    <w:top w:val="none" w:sz="0" w:space="0" w:color="auto"/>
                    <w:left w:val="none" w:sz="0" w:space="0" w:color="auto"/>
                    <w:bottom w:val="none" w:sz="0" w:space="0" w:color="auto"/>
                    <w:right w:val="none" w:sz="0" w:space="0" w:color="auto"/>
                  </w:divBdr>
                  <w:divsChild>
                    <w:div w:id="1842113400">
                      <w:marLeft w:val="1"/>
                      <w:marRight w:val="1"/>
                      <w:marTop w:val="0"/>
                      <w:marBottom w:val="0"/>
                      <w:divBdr>
                        <w:top w:val="none" w:sz="0" w:space="0" w:color="auto"/>
                        <w:left w:val="none" w:sz="0" w:space="0" w:color="auto"/>
                        <w:bottom w:val="none" w:sz="0" w:space="0" w:color="auto"/>
                        <w:right w:val="none" w:sz="0" w:space="0" w:color="auto"/>
                      </w:divBdr>
                      <w:divsChild>
                        <w:div w:id="788627084">
                          <w:marLeft w:val="0"/>
                          <w:marRight w:val="0"/>
                          <w:marTop w:val="0"/>
                          <w:marBottom w:val="0"/>
                          <w:divBdr>
                            <w:top w:val="none" w:sz="0" w:space="0" w:color="auto"/>
                            <w:left w:val="none" w:sz="0" w:space="0" w:color="auto"/>
                            <w:bottom w:val="none" w:sz="0" w:space="0" w:color="auto"/>
                            <w:right w:val="none" w:sz="0" w:space="0" w:color="auto"/>
                          </w:divBdr>
                          <w:divsChild>
                            <w:div w:id="465516339">
                              <w:marLeft w:val="0"/>
                              <w:marRight w:val="0"/>
                              <w:marTop w:val="0"/>
                              <w:marBottom w:val="360"/>
                              <w:divBdr>
                                <w:top w:val="none" w:sz="0" w:space="0" w:color="auto"/>
                                <w:left w:val="none" w:sz="0" w:space="0" w:color="auto"/>
                                <w:bottom w:val="none" w:sz="0" w:space="0" w:color="auto"/>
                                <w:right w:val="none" w:sz="0" w:space="0" w:color="auto"/>
                              </w:divBdr>
                              <w:divsChild>
                                <w:div w:id="1043561324">
                                  <w:marLeft w:val="0"/>
                                  <w:marRight w:val="0"/>
                                  <w:marTop w:val="0"/>
                                  <w:marBottom w:val="0"/>
                                  <w:divBdr>
                                    <w:top w:val="none" w:sz="0" w:space="0" w:color="auto"/>
                                    <w:left w:val="none" w:sz="0" w:space="0" w:color="auto"/>
                                    <w:bottom w:val="none" w:sz="0" w:space="0" w:color="auto"/>
                                    <w:right w:val="none" w:sz="0" w:space="0" w:color="auto"/>
                                  </w:divBdr>
                                  <w:divsChild>
                                    <w:div w:id="15093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854567">
      <w:bodyDiv w:val="1"/>
      <w:marLeft w:val="0"/>
      <w:marRight w:val="0"/>
      <w:marTop w:val="0"/>
      <w:marBottom w:val="0"/>
      <w:divBdr>
        <w:top w:val="none" w:sz="0" w:space="0" w:color="auto"/>
        <w:left w:val="none" w:sz="0" w:space="0" w:color="auto"/>
        <w:bottom w:val="none" w:sz="0" w:space="0" w:color="auto"/>
        <w:right w:val="none" w:sz="0" w:space="0" w:color="auto"/>
      </w:divBdr>
      <w:divsChild>
        <w:div w:id="1247497213">
          <w:marLeft w:val="0"/>
          <w:marRight w:val="0"/>
          <w:marTop w:val="0"/>
          <w:marBottom w:val="0"/>
          <w:divBdr>
            <w:top w:val="none" w:sz="0" w:space="0" w:color="auto"/>
            <w:left w:val="none" w:sz="0" w:space="0" w:color="auto"/>
            <w:bottom w:val="none" w:sz="0" w:space="0" w:color="auto"/>
            <w:right w:val="none" w:sz="0" w:space="0" w:color="auto"/>
          </w:divBdr>
          <w:divsChild>
            <w:div w:id="915938675">
              <w:marLeft w:val="0"/>
              <w:marRight w:val="0"/>
              <w:marTop w:val="0"/>
              <w:marBottom w:val="0"/>
              <w:divBdr>
                <w:top w:val="none" w:sz="0" w:space="0" w:color="auto"/>
                <w:left w:val="none" w:sz="0" w:space="0" w:color="auto"/>
                <w:bottom w:val="none" w:sz="0" w:space="0" w:color="auto"/>
                <w:right w:val="none" w:sz="0" w:space="0" w:color="auto"/>
              </w:divBdr>
              <w:divsChild>
                <w:div w:id="1316883118">
                  <w:marLeft w:val="0"/>
                  <w:marRight w:val="0"/>
                  <w:marTop w:val="0"/>
                  <w:marBottom w:val="0"/>
                  <w:divBdr>
                    <w:top w:val="none" w:sz="0" w:space="0" w:color="auto"/>
                    <w:left w:val="none" w:sz="0" w:space="0" w:color="auto"/>
                    <w:bottom w:val="none" w:sz="0" w:space="0" w:color="auto"/>
                    <w:right w:val="none" w:sz="0" w:space="0" w:color="auto"/>
                  </w:divBdr>
                  <w:divsChild>
                    <w:div w:id="396317934">
                      <w:marLeft w:val="1"/>
                      <w:marRight w:val="1"/>
                      <w:marTop w:val="0"/>
                      <w:marBottom w:val="0"/>
                      <w:divBdr>
                        <w:top w:val="none" w:sz="0" w:space="0" w:color="auto"/>
                        <w:left w:val="none" w:sz="0" w:space="0" w:color="auto"/>
                        <w:bottom w:val="none" w:sz="0" w:space="0" w:color="auto"/>
                        <w:right w:val="none" w:sz="0" w:space="0" w:color="auto"/>
                      </w:divBdr>
                      <w:divsChild>
                        <w:div w:id="1268779243">
                          <w:marLeft w:val="0"/>
                          <w:marRight w:val="0"/>
                          <w:marTop w:val="0"/>
                          <w:marBottom w:val="0"/>
                          <w:divBdr>
                            <w:top w:val="none" w:sz="0" w:space="0" w:color="auto"/>
                            <w:left w:val="none" w:sz="0" w:space="0" w:color="auto"/>
                            <w:bottom w:val="none" w:sz="0" w:space="0" w:color="auto"/>
                            <w:right w:val="none" w:sz="0" w:space="0" w:color="auto"/>
                          </w:divBdr>
                          <w:divsChild>
                            <w:div w:id="195048964">
                              <w:marLeft w:val="0"/>
                              <w:marRight w:val="0"/>
                              <w:marTop w:val="0"/>
                              <w:marBottom w:val="360"/>
                              <w:divBdr>
                                <w:top w:val="none" w:sz="0" w:space="0" w:color="auto"/>
                                <w:left w:val="none" w:sz="0" w:space="0" w:color="auto"/>
                                <w:bottom w:val="none" w:sz="0" w:space="0" w:color="auto"/>
                                <w:right w:val="none" w:sz="0" w:space="0" w:color="auto"/>
                              </w:divBdr>
                              <w:divsChild>
                                <w:div w:id="701395839">
                                  <w:marLeft w:val="0"/>
                                  <w:marRight w:val="0"/>
                                  <w:marTop w:val="0"/>
                                  <w:marBottom w:val="0"/>
                                  <w:divBdr>
                                    <w:top w:val="none" w:sz="0" w:space="0" w:color="auto"/>
                                    <w:left w:val="none" w:sz="0" w:space="0" w:color="auto"/>
                                    <w:bottom w:val="none" w:sz="0" w:space="0" w:color="auto"/>
                                    <w:right w:val="none" w:sz="0" w:space="0" w:color="auto"/>
                                  </w:divBdr>
                                  <w:divsChild>
                                    <w:div w:id="19655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525438">
      <w:bodyDiv w:val="1"/>
      <w:marLeft w:val="0"/>
      <w:marRight w:val="0"/>
      <w:marTop w:val="0"/>
      <w:marBottom w:val="0"/>
      <w:divBdr>
        <w:top w:val="none" w:sz="0" w:space="0" w:color="auto"/>
        <w:left w:val="none" w:sz="0" w:space="0" w:color="auto"/>
        <w:bottom w:val="none" w:sz="0" w:space="0" w:color="auto"/>
        <w:right w:val="none" w:sz="0" w:space="0" w:color="auto"/>
      </w:divBdr>
      <w:divsChild>
        <w:div w:id="1623489190">
          <w:marLeft w:val="0"/>
          <w:marRight w:val="0"/>
          <w:marTop w:val="0"/>
          <w:marBottom w:val="0"/>
          <w:divBdr>
            <w:top w:val="none" w:sz="0" w:space="0" w:color="auto"/>
            <w:left w:val="none" w:sz="0" w:space="0" w:color="auto"/>
            <w:bottom w:val="none" w:sz="0" w:space="0" w:color="auto"/>
            <w:right w:val="none" w:sz="0" w:space="0" w:color="auto"/>
          </w:divBdr>
          <w:divsChild>
            <w:div w:id="1196313357">
              <w:marLeft w:val="0"/>
              <w:marRight w:val="0"/>
              <w:marTop w:val="0"/>
              <w:marBottom w:val="0"/>
              <w:divBdr>
                <w:top w:val="none" w:sz="0" w:space="0" w:color="auto"/>
                <w:left w:val="none" w:sz="0" w:space="0" w:color="auto"/>
                <w:bottom w:val="none" w:sz="0" w:space="0" w:color="auto"/>
                <w:right w:val="none" w:sz="0" w:space="0" w:color="auto"/>
              </w:divBdr>
              <w:divsChild>
                <w:div w:id="1299216094">
                  <w:marLeft w:val="0"/>
                  <w:marRight w:val="0"/>
                  <w:marTop w:val="0"/>
                  <w:marBottom w:val="0"/>
                  <w:divBdr>
                    <w:top w:val="none" w:sz="0" w:space="0" w:color="auto"/>
                    <w:left w:val="none" w:sz="0" w:space="0" w:color="auto"/>
                    <w:bottom w:val="none" w:sz="0" w:space="0" w:color="auto"/>
                    <w:right w:val="none" w:sz="0" w:space="0" w:color="auto"/>
                  </w:divBdr>
                  <w:divsChild>
                    <w:div w:id="1416978611">
                      <w:marLeft w:val="1"/>
                      <w:marRight w:val="1"/>
                      <w:marTop w:val="0"/>
                      <w:marBottom w:val="0"/>
                      <w:divBdr>
                        <w:top w:val="none" w:sz="0" w:space="0" w:color="auto"/>
                        <w:left w:val="none" w:sz="0" w:space="0" w:color="auto"/>
                        <w:bottom w:val="none" w:sz="0" w:space="0" w:color="auto"/>
                        <w:right w:val="none" w:sz="0" w:space="0" w:color="auto"/>
                      </w:divBdr>
                      <w:divsChild>
                        <w:div w:id="985817384">
                          <w:marLeft w:val="0"/>
                          <w:marRight w:val="0"/>
                          <w:marTop w:val="0"/>
                          <w:marBottom w:val="0"/>
                          <w:divBdr>
                            <w:top w:val="none" w:sz="0" w:space="0" w:color="auto"/>
                            <w:left w:val="none" w:sz="0" w:space="0" w:color="auto"/>
                            <w:bottom w:val="none" w:sz="0" w:space="0" w:color="auto"/>
                            <w:right w:val="none" w:sz="0" w:space="0" w:color="auto"/>
                          </w:divBdr>
                          <w:divsChild>
                            <w:div w:id="1802765324">
                              <w:marLeft w:val="0"/>
                              <w:marRight w:val="0"/>
                              <w:marTop w:val="0"/>
                              <w:marBottom w:val="360"/>
                              <w:divBdr>
                                <w:top w:val="none" w:sz="0" w:space="0" w:color="auto"/>
                                <w:left w:val="none" w:sz="0" w:space="0" w:color="auto"/>
                                <w:bottom w:val="none" w:sz="0" w:space="0" w:color="auto"/>
                                <w:right w:val="none" w:sz="0" w:space="0" w:color="auto"/>
                              </w:divBdr>
                              <w:divsChild>
                                <w:div w:id="1820149577">
                                  <w:marLeft w:val="0"/>
                                  <w:marRight w:val="0"/>
                                  <w:marTop w:val="0"/>
                                  <w:marBottom w:val="0"/>
                                  <w:divBdr>
                                    <w:top w:val="none" w:sz="0" w:space="0" w:color="auto"/>
                                    <w:left w:val="none" w:sz="0" w:space="0" w:color="auto"/>
                                    <w:bottom w:val="none" w:sz="0" w:space="0" w:color="auto"/>
                                    <w:right w:val="none" w:sz="0" w:space="0" w:color="auto"/>
                                  </w:divBdr>
                                  <w:divsChild>
                                    <w:div w:id="9073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40940">
      <w:bodyDiv w:val="1"/>
      <w:marLeft w:val="0"/>
      <w:marRight w:val="0"/>
      <w:marTop w:val="0"/>
      <w:marBottom w:val="0"/>
      <w:divBdr>
        <w:top w:val="none" w:sz="0" w:space="0" w:color="auto"/>
        <w:left w:val="none" w:sz="0" w:space="0" w:color="auto"/>
        <w:bottom w:val="none" w:sz="0" w:space="0" w:color="auto"/>
        <w:right w:val="none" w:sz="0" w:space="0" w:color="auto"/>
      </w:divBdr>
      <w:divsChild>
        <w:div w:id="260839084">
          <w:marLeft w:val="0"/>
          <w:marRight w:val="0"/>
          <w:marTop w:val="0"/>
          <w:marBottom w:val="0"/>
          <w:divBdr>
            <w:top w:val="none" w:sz="0" w:space="0" w:color="auto"/>
            <w:left w:val="none" w:sz="0" w:space="0" w:color="auto"/>
            <w:bottom w:val="none" w:sz="0" w:space="0" w:color="auto"/>
            <w:right w:val="none" w:sz="0" w:space="0" w:color="auto"/>
          </w:divBdr>
          <w:divsChild>
            <w:div w:id="385837164">
              <w:marLeft w:val="0"/>
              <w:marRight w:val="0"/>
              <w:marTop w:val="0"/>
              <w:marBottom w:val="0"/>
              <w:divBdr>
                <w:top w:val="none" w:sz="0" w:space="0" w:color="auto"/>
                <w:left w:val="none" w:sz="0" w:space="0" w:color="auto"/>
                <w:bottom w:val="none" w:sz="0" w:space="0" w:color="auto"/>
                <w:right w:val="none" w:sz="0" w:space="0" w:color="auto"/>
              </w:divBdr>
              <w:divsChild>
                <w:div w:id="2106269812">
                  <w:marLeft w:val="0"/>
                  <w:marRight w:val="0"/>
                  <w:marTop w:val="0"/>
                  <w:marBottom w:val="0"/>
                  <w:divBdr>
                    <w:top w:val="none" w:sz="0" w:space="0" w:color="auto"/>
                    <w:left w:val="none" w:sz="0" w:space="0" w:color="auto"/>
                    <w:bottom w:val="none" w:sz="0" w:space="0" w:color="auto"/>
                    <w:right w:val="none" w:sz="0" w:space="0" w:color="auto"/>
                  </w:divBdr>
                  <w:divsChild>
                    <w:div w:id="969827178">
                      <w:marLeft w:val="1"/>
                      <w:marRight w:val="1"/>
                      <w:marTop w:val="0"/>
                      <w:marBottom w:val="0"/>
                      <w:divBdr>
                        <w:top w:val="none" w:sz="0" w:space="0" w:color="auto"/>
                        <w:left w:val="none" w:sz="0" w:space="0" w:color="auto"/>
                        <w:bottom w:val="none" w:sz="0" w:space="0" w:color="auto"/>
                        <w:right w:val="none" w:sz="0" w:space="0" w:color="auto"/>
                      </w:divBdr>
                      <w:divsChild>
                        <w:div w:id="1222906806">
                          <w:marLeft w:val="0"/>
                          <w:marRight w:val="0"/>
                          <w:marTop w:val="0"/>
                          <w:marBottom w:val="0"/>
                          <w:divBdr>
                            <w:top w:val="none" w:sz="0" w:space="0" w:color="auto"/>
                            <w:left w:val="none" w:sz="0" w:space="0" w:color="auto"/>
                            <w:bottom w:val="none" w:sz="0" w:space="0" w:color="auto"/>
                            <w:right w:val="none" w:sz="0" w:space="0" w:color="auto"/>
                          </w:divBdr>
                          <w:divsChild>
                            <w:div w:id="1967542676">
                              <w:marLeft w:val="0"/>
                              <w:marRight w:val="0"/>
                              <w:marTop w:val="0"/>
                              <w:marBottom w:val="360"/>
                              <w:divBdr>
                                <w:top w:val="none" w:sz="0" w:space="0" w:color="auto"/>
                                <w:left w:val="none" w:sz="0" w:space="0" w:color="auto"/>
                                <w:bottom w:val="none" w:sz="0" w:space="0" w:color="auto"/>
                                <w:right w:val="none" w:sz="0" w:space="0" w:color="auto"/>
                              </w:divBdr>
                              <w:divsChild>
                                <w:div w:id="827328949">
                                  <w:marLeft w:val="0"/>
                                  <w:marRight w:val="0"/>
                                  <w:marTop w:val="0"/>
                                  <w:marBottom w:val="0"/>
                                  <w:divBdr>
                                    <w:top w:val="none" w:sz="0" w:space="0" w:color="auto"/>
                                    <w:left w:val="none" w:sz="0" w:space="0" w:color="auto"/>
                                    <w:bottom w:val="none" w:sz="0" w:space="0" w:color="auto"/>
                                    <w:right w:val="none" w:sz="0" w:space="0" w:color="auto"/>
                                  </w:divBdr>
                                  <w:divsChild>
                                    <w:div w:id="904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0758">
      <w:bodyDiv w:val="1"/>
      <w:marLeft w:val="0"/>
      <w:marRight w:val="0"/>
      <w:marTop w:val="0"/>
      <w:marBottom w:val="0"/>
      <w:divBdr>
        <w:top w:val="none" w:sz="0" w:space="0" w:color="auto"/>
        <w:left w:val="none" w:sz="0" w:space="0" w:color="auto"/>
        <w:bottom w:val="none" w:sz="0" w:space="0" w:color="auto"/>
        <w:right w:val="none" w:sz="0" w:space="0" w:color="auto"/>
      </w:divBdr>
      <w:divsChild>
        <w:div w:id="36128482">
          <w:marLeft w:val="0"/>
          <w:marRight w:val="0"/>
          <w:marTop w:val="0"/>
          <w:marBottom w:val="0"/>
          <w:divBdr>
            <w:top w:val="none" w:sz="0" w:space="0" w:color="auto"/>
            <w:left w:val="none" w:sz="0" w:space="0" w:color="auto"/>
            <w:bottom w:val="none" w:sz="0" w:space="0" w:color="auto"/>
            <w:right w:val="none" w:sz="0" w:space="0" w:color="auto"/>
          </w:divBdr>
          <w:divsChild>
            <w:div w:id="1770200223">
              <w:marLeft w:val="0"/>
              <w:marRight w:val="0"/>
              <w:marTop w:val="0"/>
              <w:marBottom w:val="0"/>
              <w:divBdr>
                <w:top w:val="none" w:sz="0" w:space="0" w:color="auto"/>
                <w:left w:val="none" w:sz="0" w:space="0" w:color="auto"/>
                <w:bottom w:val="none" w:sz="0" w:space="0" w:color="auto"/>
                <w:right w:val="none" w:sz="0" w:space="0" w:color="auto"/>
              </w:divBdr>
              <w:divsChild>
                <w:div w:id="176043735">
                  <w:marLeft w:val="0"/>
                  <w:marRight w:val="0"/>
                  <w:marTop w:val="0"/>
                  <w:marBottom w:val="0"/>
                  <w:divBdr>
                    <w:top w:val="none" w:sz="0" w:space="0" w:color="auto"/>
                    <w:left w:val="none" w:sz="0" w:space="0" w:color="auto"/>
                    <w:bottom w:val="none" w:sz="0" w:space="0" w:color="auto"/>
                    <w:right w:val="none" w:sz="0" w:space="0" w:color="auto"/>
                  </w:divBdr>
                  <w:divsChild>
                    <w:div w:id="1096755553">
                      <w:marLeft w:val="1"/>
                      <w:marRight w:val="1"/>
                      <w:marTop w:val="0"/>
                      <w:marBottom w:val="0"/>
                      <w:divBdr>
                        <w:top w:val="none" w:sz="0" w:space="0" w:color="auto"/>
                        <w:left w:val="none" w:sz="0" w:space="0" w:color="auto"/>
                        <w:bottom w:val="none" w:sz="0" w:space="0" w:color="auto"/>
                        <w:right w:val="none" w:sz="0" w:space="0" w:color="auto"/>
                      </w:divBdr>
                      <w:divsChild>
                        <w:div w:id="838889321">
                          <w:marLeft w:val="0"/>
                          <w:marRight w:val="0"/>
                          <w:marTop w:val="0"/>
                          <w:marBottom w:val="0"/>
                          <w:divBdr>
                            <w:top w:val="none" w:sz="0" w:space="0" w:color="auto"/>
                            <w:left w:val="none" w:sz="0" w:space="0" w:color="auto"/>
                            <w:bottom w:val="none" w:sz="0" w:space="0" w:color="auto"/>
                            <w:right w:val="none" w:sz="0" w:space="0" w:color="auto"/>
                          </w:divBdr>
                          <w:divsChild>
                            <w:div w:id="1183208695">
                              <w:marLeft w:val="0"/>
                              <w:marRight w:val="0"/>
                              <w:marTop w:val="0"/>
                              <w:marBottom w:val="360"/>
                              <w:divBdr>
                                <w:top w:val="none" w:sz="0" w:space="0" w:color="auto"/>
                                <w:left w:val="none" w:sz="0" w:space="0" w:color="auto"/>
                                <w:bottom w:val="none" w:sz="0" w:space="0" w:color="auto"/>
                                <w:right w:val="none" w:sz="0" w:space="0" w:color="auto"/>
                              </w:divBdr>
                              <w:divsChild>
                                <w:div w:id="905846488">
                                  <w:marLeft w:val="0"/>
                                  <w:marRight w:val="0"/>
                                  <w:marTop w:val="0"/>
                                  <w:marBottom w:val="0"/>
                                  <w:divBdr>
                                    <w:top w:val="none" w:sz="0" w:space="0" w:color="auto"/>
                                    <w:left w:val="none" w:sz="0" w:space="0" w:color="auto"/>
                                    <w:bottom w:val="none" w:sz="0" w:space="0" w:color="auto"/>
                                    <w:right w:val="none" w:sz="0" w:space="0" w:color="auto"/>
                                  </w:divBdr>
                                  <w:divsChild>
                                    <w:div w:id="13857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725845">
      <w:bodyDiv w:val="1"/>
      <w:marLeft w:val="0"/>
      <w:marRight w:val="0"/>
      <w:marTop w:val="0"/>
      <w:marBottom w:val="0"/>
      <w:divBdr>
        <w:top w:val="none" w:sz="0" w:space="0" w:color="auto"/>
        <w:left w:val="none" w:sz="0" w:space="0" w:color="auto"/>
        <w:bottom w:val="none" w:sz="0" w:space="0" w:color="auto"/>
        <w:right w:val="none" w:sz="0" w:space="0" w:color="auto"/>
      </w:divBdr>
      <w:divsChild>
        <w:div w:id="1629580689">
          <w:marLeft w:val="0"/>
          <w:marRight w:val="0"/>
          <w:marTop w:val="0"/>
          <w:marBottom w:val="0"/>
          <w:divBdr>
            <w:top w:val="none" w:sz="0" w:space="0" w:color="auto"/>
            <w:left w:val="none" w:sz="0" w:space="0" w:color="auto"/>
            <w:bottom w:val="none" w:sz="0" w:space="0" w:color="auto"/>
            <w:right w:val="none" w:sz="0" w:space="0" w:color="auto"/>
          </w:divBdr>
          <w:divsChild>
            <w:div w:id="1448157335">
              <w:marLeft w:val="0"/>
              <w:marRight w:val="0"/>
              <w:marTop w:val="0"/>
              <w:marBottom w:val="0"/>
              <w:divBdr>
                <w:top w:val="none" w:sz="0" w:space="0" w:color="auto"/>
                <w:left w:val="none" w:sz="0" w:space="0" w:color="auto"/>
                <w:bottom w:val="none" w:sz="0" w:space="0" w:color="auto"/>
                <w:right w:val="none" w:sz="0" w:space="0" w:color="auto"/>
              </w:divBdr>
              <w:divsChild>
                <w:div w:id="979461993">
                  <w:marLeft w:val="0"/>
                  <w:marRight w:val="0"/>
                  <w:marTop w:val="0"/>
                  <w:marBottom w:val="0"/>
                  <w:divBdr>
                    <w:top w:val="none" w:sz="0" w:space="0" w:color="auto"/>
                    <w:left w:val="none" w:sz="0" w:space="0" w:color="auto"/>
                    <w:bottom w:val="none" w:sz="0" w:space="0" w:color="auto"/>
                    <w:right w:val="none" w:sz="0" w:space="0" w:color="auto"/>
                  </w:divBdr>
                  <w:divsChild>
                    <w:div w:id="1197424479">
                      <w:marLeft w:val="1"/>
                      <w:marRight w:val="1"/>
                      <w:marTop w:val="0"/>
                      <w:marBottom w:val="0"/>
                      <w:divBdr>
                        <w:top w:val="none" w:sz="0" w:space="0" w:color="auto"/>
                        <w:left w:val="none" w:sz="0" w:space="0" w:color="auto"/>
                        <w:bottom w:val="none" w:sz="0" w:space="0" w:color="auto"/>
                        <w:right w:val="none" w:sz="0" w:space="0" w:color="auto"/>
                      </w:divBdr>
                      <w:divsChild>
                        <w:div w:id="759060341">
                          <w:marLeft w:val="0"/>
                          <w:marRight w:val="0"/>
                          <w:marTop w:val="0"/>
                          <w:marBottom w:val="0"/>
                          <w:divBdr>
                            <w:top w:val="none" w:sz="0" w:space="0" w:color="auto"/>
                            <w:left w:val="none" w:sz="0" w:space="0" w:color="auto"/>
                            <w:bottom w:val="none" w:sz="0" w:space="0" w:color="auto"/>
                            <w:right w:val="none" w:sz="0" w:space="0" w:color="auto"/>
                          </w:divBdr>
                          <w:divsChild>
                            <w:div w:id="2110656738">
                              <w:marLeft w:val="0"/>
                              <w:marRight w:val="0"/>
                              <w:marTop w:val="0"/>
                              <w:marBottom w:val="360"/>
                              <w:divBdr>
                                <w:top w:val="none" w:sz="0" w:space="0" w:color="auto"/>
                                <w:left w:val="none" w:sz="0" w:space="0" w:color="auto"/>
                                <w:bottom w:val="none" w:sz="0" w:space="0" w:color="auto"/>
                                <w:right w:val="none" w:sz="0" w:space="0" w:color="auto"/>
                              </w:divBdr>
                              <w:divsChild>
                                <w:div w:id="1889101934">
                                  <w:marLeft w:val="0"/>
                                  <w:marRight w:val="0"/>
                                  <w:marTop w:val="0"/>
                                  <w:marBottom w:val="0"/>
                                  <w:divBdr>
                                    <w:top w:val="none" w:sz="0" w:space="0" w:color="auto"/>
                                    <w:left w:val="none" w:sz="0" w:space="0" w:color="auto"/>
                                    <w:bottom w:val="none" w:sz="0" w:space="0" w:color="auto"/>
                                    <w:right w:val="none" w:sz="0" w:space="0" w:color="auto"/>
                                  </w:divBdr>
                                  <w:divsChild>
                                    <w:div w:id="1494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4952">
      <w:bodyDiv w:val="1"/>
      <w:marLeft w:val="0"/>
      <w:marRight w:val="0"/>
      <w:marTop w:val="0"/>
      <w:marBottom w:val="0"/>
      <w:divBdr>
        <w:top w:val="none" w:sz="0" w:space="0" w:color="auto"/>
        <w:left w:val="none" w:sz="0" w:space="0" w:color="auto"/>
        <w:bottom w:val="none" w:sz="0" w:space="0" w:color="auto"/>
        <w:right w:val="none" w:sz="0" w:space="0" w:color="auto"/>
      </w:divBdr>
    </w:div>
    <w:div w:id="2010519221">
      <w:bodyDiv w:val="1"/>
      <w:marLeft w:val="0"/>
      <w:marRight w:val="0"/>
      <w:marTop w:val="0"/>
      <w:marBottom w:val="0"/>
      <w:divBdr>
        <w:top w:val="none" w:sz="0" w:space="0" w:color="auto"/>
        <w:left w:val="none" w:sz="0" w:space="0" w:color="auto"/>
        <w:bottom w:val="none" w:sz="0" w:space="0" w:color="auto"/>
        <w:right w:val="none" w:sz="0" w:space="0" w:color="auto"/>
      </w:divBdr>
      <w:divsChild>
        <w:div w:id="258298338">
          <w:marLeft w:val="0"/>
          <w:marRight w:val="0"/>
          <w:marTop w:val="0"/>
          <w:marBottom w:val="0"/>
          <w:divBdr>
            <w:top w:val="none" w:sz="0" w:space="0" w:color="auto"/>
            <w:left w:val="none" w:sz="0" w:space="0" w:color="auto"/>
            <w:bottom w:val="none" w:sz="0" w:space="0" w:color="auto"/>
            <w:right w:val="none" w:sz="0" w:space="0" w:color="auto"/>
          </w:divBdr>
          <w:divsChild>
            <w:div w:id="917835324">
              <w:marLeft w:val="0"/>
              <w:marRight w:val="0"/>
              <w:marTop w:val="0"/>
              <w:marBottom w:val="0"/>
              <w:divBdr>
                <w:top w:val="none" w:sz="0" w:space="0" w:color="auto"/>
                <w:left w:val="none" w:sz="0" w:space="0" w:color="auto"/>
                <w:bottom w:val="none" w:sz="0" w:space="0" w:color="auto"/>
                <w:right w:val="none" w:sz="0" w:space="0" w:color="auto"/>
              </w:divBdr>
              <w:divsChild>
                <w:div w:id="1223103254">
                  <w:marLeft w:val="0"/>
                  <w:marRight w:val="0"/>
                  <w:marTop w:val="0"/>
                  <w:marBottom w:val="0"/>
                  <w:divBdr>
                    <w:top w:val="none" w:sz="0" w:space="0" w:color="auto"/>
                    <w:left w:val="none" w:sz="0" w:space="0" w:color="auto"/>
                    <w:bottom w:val="none" w:sz="0" w:space="0" w:color="auto"/>
                    <w:right w:val="none" w:sz="0" w:space="0" w:color="auto"/>
                  </w:divBdr>
                  <w:divsChild>
                    <w:div w:id="108671732">
                      <w:marLeft w:val="1"/>
                      <w:marRight w:val="1"/>
                      <w:marTop w:val="0"/>
                      <w:marBottom w:val="0"/>
                      <w:divBdr>
                        <w:top w:val="none" w:sz="0" w:space="0" w:color="auto"/>
                        <w:left w:val="none" w:sz="0" w:space="0" w:color="auto"/>
                        <w:bottom w:val="none" w:sz="0" w:space="0" w:color="auto"/>
                        <w:right w:val="none" w:sz="0" w:space="0" w:color="auto"/>
                      </w:divBdr>
                      <w:divsChild>
                        <w:div w:id="1684554630">
                          <w:marLeft w:val="0"/>
                          <w:marRight w:val="0"/>
                          <w:marTop w:val="0"/>
                          <w:marBottom w:val="0"/>
                          <w:divBdr>
                            <w:top w:val="none" w:sz="0" w:space="0" w:color="auto"/>
                            <w:left w:val="none" w:sz="0" w:space="0" w:color="auto"/>
                            <w:bottom w:val="none" w:sz="0" w:space="0" w:color="auto"/>
                            <w:right w:val="none" w:sz="0" w:space="0" w:color="auto"/>
                          </w:divBdr>
                          <w:divsChild>
                            <w:div w:id="1214346271">
                              <w:marLeft w:val="0"/>
                              <w:marRight w:val="0"/>
                              <w:marTop w:val="0"/>
                              <w:marBottom w:val="360"/>
                              <w:divBdr>
                                <w:top w:val="none" w:sz="0" w:space="0" w:color="auto"/>
                                <w:left w:val="none" w:sz="0" w:space="0" w:color="auto"/>
                                <w:bottom w:val="none" w:sz="0" w:space="0" w:color="auto"/>
                                <w:right w:val="none" w:sz="0" w:space="0" w:color="auto"/>
                              </w:divBdr>
                              <w:divsChild>
                                <w:div w:id="1101561413">
                                  <w:marLeft w:val="0"/>
                                  <w:marRight w:val="0"/>
                                  <w:marTop w:val="0"/>
                                  <w:marBottom w:val="0"/>
                                  <w:divBdr>
                                    <w:top w:val="none" w:sz="0" w:space="0" w:color="auto"/>
                                    <w:left w:val="none" w:sz="0" w:space="0" w:color="auto"/>
                                    <w:bottom w:val="none" w:sz="0" w:space="0" w:color="auto"/>
                                    <w:right w:val="none" w:sz="0" w:space="0" w:color="auto"/>
                                  </w:divBdr>
                                  <w:divsChild>
                                    <w:div w:id="10668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35BC-D6A2-46EE-9559-61227639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4819</Words>
  <Characters>28482</Characters>
  <Application>Microsoft Office Word</Application>
  <DocSecurity>0</DocSecurity>
  <Lines>558</Lines>
  <Paragraphs>275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2016-11-29T16:21:00Z</cp:lastPrinted>
  <dcterms:created xsi:type="dcterms:W3CDTF">2017-03-03T08:58:00Z</dcterms:created>
  <dcterms:modified xsi:type="dcterms:W3CDTF">2017-03-06T16:36:00Z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