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ABBE8B37D64A3E9E3852E4E37287CC" style="width:450.75pt;height:40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INDOKOLÁS</w:t>
      </w:r>
    </w:p>
    <w:p>
      <w:pPr>
        <w:pStyle w:val="ManualHeading1"/>
        <w:rPr>
          <w:noProof/>
        </w:rPr>
      </w:pPr>
      <w:r>
        <w:rPr>
          <w:noProof/>
        </w:rPr>
        <w:t>1.</w:t>
      </w:r>
      <w:r>
        <w:rPr>
          <w:noProof/>
        </w:rPr>
        <w:tab/>
      </w:r>
      <w:r>
        <w:rPr>
          <w:caps/>
          <w:smallCaps w:val="0"/>
          <w:noProof/>
        </w:rPr>
        <w:t>A JAVASLAT HÁTTERE</w:t>
      </w:r>
    </w:p>
    <w:p>
      <w:pPr>
        <w:pBdr>
          <w:top w:val="nil"/>
          <w:left w:val="nil"/>
          <w:bottom w:val="nil"/>
          <w:right w:val="nil"/>
          <w:between w:val="nil"/>
          <w:bar w:val="nil"/>
        </w:pBdr>
        <w:spacing w:before="0" w:after="240"/>
        <w:rPr>
          <w:rFonts w:eastAsia="Arial Unicode MS"/>
          <w:noProof/>
        </w:rPr>
      </w:pPr>
      <w:r>
        <w:rPr>
          <w:noProof/>
        </w:rPr>
        <w:t>A Lisszaboni Szerződés alapjaiban változtatta meg a jogalkotó által a Bizottságra ruházható hatáskörök struktúráját. Az új szabályozás egyértelműen elkülöníti egymástól a kvázi jogalkotási jellegű aktusokat, illetőleg azokat az aktusokat, amelyek egy alap-jogiaktus rendelkezéseinek végrehajtását szolgálják. Emellett a jogi aktusok e két típusához teljesen különböző jogi keretet határoz meg.</w:t>
      </w:r>
    </w:p>
    <w:p>
      <w:pPr>
        <w:pBdr>
          <w:top w:val="nil"/>
          <w:left w:val="nil"/>
          <w:bottom w:val="nil"/>
          <w:right w:val="nil"/>
          <w:between w:val="nil"/>
          <w:bar w:val="nil"/>
        </w:pBdr>
        <w:spacing w:before="0" w:after="240"/>
        <w:rPr>
          <w:rFonts w:eastAsia="Arial Unicode MS"/>
          <w:noProof/>
        </w:rPr>
      </w:pPr>
      <w:r>
        <w:rPr>
          <w:noProof/>
        </w:rPr>
        <w:t>A két szóban forgó rendelkezés az Európai Unió működéséről szóló szerződés (a továbbiakban: EUMSZ) 290. és 291. cikke, amelyeket a 2009. december 1. óta hatályos Lisszaboni Szerződés</w:t>
      </w:r>
      <w:r>
        <w:rPr>
          <w:rStyle w:val="FootnoteReference"/>
          <w:noProof/>
        </w:rPr>
        <w:footnoteReference w:id="1"/>
      </w:r>
      <w:r>
        <w:rPr>
          <w:noProof/>
        </w:rPr>
        <w:t xml:space="preserve"> vezetett be. Ezek az új rendelkezések jelentősen módosították az addig „komitológiai eljárásokként” ismert eljárásokat. </w:t>
      </w:r>
    </w:p>
    <w:p>
      <w:pPr>
        <w:pBdr>
          <w:top w:val="nil"/>
          <w:left w:val="nil"/>
          <w:bottom w:val="nil"/>
          <w:right w:val="nil"/>
          <w:between w:val="nil"/>
          <w:bar w:val="nil"/>
        </w:pBdr>
        <w:spacing w:before="0" w:after="240"/>
        <w:rPr>
          <w:rFonts w:eastAsia="Arial Unicode MS"/>
          <w:noProof/>
        </w:rPr>
      </w:pPr>
      <w:r>
        <w:rPr>
          <w:noProof/>
        </w:rPr>
        <w:t>Megfogalmazását tekintve a felhatalmazáson alapuló jogi aktusnak a 290. cikk (1) bekezdése szerinti meghatározása rendkívül hasonlít azon jogi aktusok meghatározásához, amelyek a 2006/512/EK tanácsi határozattal módosított 1999/468/EK határozat</w:t>
      </w:r>
      <w:r>
        <w:rPr>
          <w:rStyle w:val="FootnoteReference"/>
          <w:noProof/>
        </w:rPr>
        <w:footnoteReference w:id="2"/>
      </w:r>
      <w:r>
        <w:rPr>
          <w:noProof/>
        </w:rPr>
        <w:t xml:space="preserve"> (a továbbiakban: komitológiai határozat) alapján a határozat 5a. cikkében meghatározott ellenőrzéssel történő szabályozási bizottsági eljárás hatálya alá tartoznak. Az érintett jogi aktusok mindkét esetben általános hatályúak, és a jogalkotási aktusok egyes nem alapvető rendelkezéseinek módosítására, illetve kiegészítésére irányulnak.</w:t>
      </w:r>
    </w:p>
    <w:p>
      <w:pPr>
        <w:pBdr>
          <w:top w:val="nil"/>
          <w:left w:val="nil"/>
          <w:bottom w:val="nil"/>
          <w:right w:val="nil"/>
          <w:between w:val="nil"/>
          <w:bar w:val="nil"/>
        </w:pBdr>
        <w:spacing w:before="0" w:after="240"/>
        <w:rPr>
          <w:rFonts w:eastAsia="Arial Unicode MS"/>
          <w:noProof/>
        </w:rPr>
      </w:pPr>
      <w:r>
        <w:rPr>
          <w:noProof/>
        </w:rPr>
        <w:t>Emiatt az EUMSZ végrehajtási hatásköröket szabályozó 291. cikkének (3) bekezdésén alapuló 182/2011/EU rendelettel</w:t>
      </w:r>
      <w:r>
        <w:rPr>
          <w:rStyle w:val="FootnoteReference"/>
          <w:noProof/>
        </w:rPr>
        <w:footnoteReference w:id="3"/>
      </w:r>
      <w:r>
        <w:rPr>
          <w:noProof/>
        </w:rPr>
        <w:t xml:space="preserve"> („komitológiai rendelet”) a komitológiai határozatba bevezetett módosítások a komitológiai határozat 5a. cikkére nem terjedtek ki. Az ellenőrzéssel történő szabályozási bizottsági eljárást bevezető 5a. cikket ily módon a cikkre utaló meglévő alap-jogiaktusok miatt átmenetileg hatályban kellett tartani. </w:t>
      </w:r>
    </w:p>
    <w:p>
      <w:pPr>
        <w:pBdr>
          <w:top w:val="nil"/>
          <w:left w:val="nil"/>
          <w:bottom w:val="nil"/>
          <w:right w:val="nil"/>
          <w:between w:val="nil"/>
          <w:bar w:val="nil"/>
        </w:pBdr>
        <w:spacing w:before="0" w:after="240"/>
        <w:rPr>
          <w:rFonts w:eastAsia="Arial Unicode MS"/>
          <w:noProof/>
        </w:rPr>
      </w:pPr>
      <w:r>
        <w:rPr>
          <w:noProof/>
        </w:rPr>
        <w:t xml:space="preserve">Ennek következtében az e jogalkotási javaslat hatálya alá tartozó 168 alap-jogiaktusban az ellenőrzéssel történő szabályozási bizottsági eljárás továbbra is jelen van, így az eljárást e jogi aktusok kapcsán – a komitológiai határozat 5a. cikkének megfelelően – továbbra is alkalmazni kell mindaddig, amíg meg nem történik formális módosításuk és hozzáigazításuk a Lisszaboni Szerződéshez. </w:t>
      </w:r>
    </w:p>
    <w:p>
      <w:pPr>
        <w:pBdr>
          <w:top w:val="nil"/>
          <w:left w:val="nil"/>
          <w:bottom w:val="nil"/>
          <w:right w:val="nil"/>
          <w:between w:val="nil"/>
          <w:bar w:val="nil"/>
        </w:pBdr>
        <w:spacing w:before="0" w:after="240"/>
        <w:rPr>
          <w:rFonts w:eastAsia="Arial Unicode MS"/>
          <w:noProof/>
        </w:rPr>
      </w:pPr>
      <w:r>
        <w:rPr>
          <w:noProof/>
        </w:rPr>
        <w:t>A 182/2011/EU rendelet elfogadásakor a Bizottság vállalta, hogy az Európai Unió működéséről szóló szerződésben található kritériumok alapján felülvizsgálja az eljárással érintett rendelkezéseket, és idővel kezdeményezi módosításukat.</w:t>
      </w:r>
      <w:r>
        <w:rPr>
          <w:rStyle w:val="FootnoteReference"/>
          <w:noProof/>
        </w:rPr>
        <w:footnoteReference w:id="4"/>
      </w:r>
      <w:r>
        <w:rPr>
          <w:noProof/>
        </w:rPr>
        <w:t xml:space="preserve"> E vállalásának megfelelően a Bizottság 2013-ban három módosító horizontális jogalkotási javaslatot terjesztett elő (Omnibus I., II. és III.).</w:t>
      </w:r>
      <w:r>
        <w:rPr>
          <w:rStyle w:val="FootnoteReference"/>
          <w:noProof/>
        </w:rPr>
        <w:footnoteReference w:id="5"/>
      </w:r>
      <w:r>
        <w:rPr>
          <w:rStyle w:val="CommentReference"/>
          <w:noProof/>
        </w:rPr>
        <w:t xml:space="preserve"> </w:t>
      </w:r>
      <w:r>
        <w:rPr>
          <w:noProof/>
        </w:rPr>
        <w:t xml:space="preserve"> </w:t>
      </w:r>
    </w:p>
    <w:p>
      <w:pPr>
        <w:pBdr>
          <w:top w:val="nil"/>
          <w:left w:val="nil"/>
          <w:bottom w:val="nil"/>
          <w:right w:val="nil"/>
          <w:between w:val="nil"/>
          <w:bar w:val="nil"/>
        </w:pBdr>
        <w:spacing w:before="0" w:after="240"/>
        <w:rPr>
          <w:rFonts w:eastAsia="Arial Unicode MS"/>
          <w:noProof/>
        </w:rPr>
      </w:pPr>
      <w:r>
        <w:rPr>
          <w:noProof/>
        </w:rPr>
        <w:t>Az Európai Parlament ezekkel a jogalkotási javaslatokkal kapcsolatban 2014. február 25-én fogadott el jogalkotási állásfoglalásokat,</w:t>
      </w:r>
      <w:r>
        <w:rPr>
          <w:rStyle w:val="FootnoteReference"/>
          <w:noProof/>
        </w:rPr>
        <w:footnoteReference w:id="6"/>
      </w:r>
      <w:r>
        <w:rPr>
          <w:noProof/>
        </w:rPr>
        <w:t xml:space="preserve"> amelyekben az Omnibus I. és III. esetében több módosítást kezdeményezett, összességében azonban egyetértett a Bizottság javaslataival. A Tanács ezzel szemben nem támogatta a Bizottság javaslatait, különösen azért, mert az ellenőrzéssel történő szabályozási bizottsági eljárásról a felhatalmazáson alapuló jogi aktusokra való automatikus áttérést nem tartotta elfogadhatónak, mivel a tagállamok nem kaptak erősebb garanciákat arra, hogy a felhatalmazáson alapuló jogi aktusok előkészítése során a Bizottság a szakértőikkel rendszeres jelleggel konzultálni fog.</w:t>
      </w:r>
    </w:p>
    <w:p>
      <w:pPr>
        <w:pBdr>
          <w:top w:val="nil"/>
          <w:left w:val="nil"/>
          <w:bottom w:val="nil"/>
          <w:right w:val="nil"/>
          <w:between w:val="nil"/>
          <w:bar w:val="nil"/>
        </w:pBdr>
        <w:spacing w:before="0" w:after="240"/>
        <w:rPr>
          <w:rFonts w:eastAsia="Arial Unicode MS"/>
          <w:noProof/>
        </w:rPr>
      </w:pPr>
      <w:r>
        <w:rPr>
          <w:noProof/>
        </w:rPr>
        <w:t>A beterjesztett jogalkotási javaslatokkal kapcsolatos intézményközi tárgyalások stagnálása miatt a Bizottság a 2015-ös munkaprogramjában</w:t>
      </w:r>
      <w:r>
        <w:rPr>
          <w:rStyle w:val="FootnoteReference"/>
          <w:noProof/>
        </w:rPr>
        <w:footnoteReference w:id="7"/>
      </w:r>
      <w:r>
        <w:rPr>
          <w:noProof/>
        </w:rPr>
        <w:t xml:space="preserve"> bejelentetteknek megfelelően visszavonta a javaslatokat.</w:t>
      </w:r>
      <w:r>
        <w:rPr>
          <w:rStyle w:val="FootnoteReference"/>
          <w:noProof/>
        </w:rPr>
        <w:footnoteReference w:id="8"/>
      </w:r>
      <w:r>
        <w:rPr>
          <w:noProof/>
        </w:rPr>
        <w:t xml:space="preserve"> </w:t>
      </w:r>
    </w:p>
    <w:p>
      <w:pPr>
        <w:pBdr>
          <w:top w:val="nil"/>
          <w:left w:val="nil"/>
          <w:bottom w:val="nil"/>
          <w:right w:val="nil"/>
          <w:between w:val="nil"/>
          <w:bar w:val="nil"/>
        </w:pBdr>
        <w:spacing w:before="0" w:after="240"/>
        <w:rPr>
          <w:rFonts w:eastAsia="Arial Unicode MS"/>
          <w:noProof/>
        </w:rPr>
      </w:pPr>
      <w:r>
        <w:rPr>
          <w:noProof/>
        </w:rPr>
        <w:t>A kiigazítás kérdésköre a jogalkotás minőségének javításáról szóló intézményközi megállapodás felülvizsgálatával</w:t>
      </w:r>
      <w:r>
        <w:rPr>
          <w:rStyle w:val="FootnoteReference"/>
          <w:noProof/>
        </w:rPr>
        <w:footnoteReference w:id="9"/>
      </w:r>
      <w:r>
        <w:rPr>
          <w:noProof/>
        </w:rPr>
        <w:t xml:space="preserve"> kapcsolatos egyeztetéseken ismét napirendre került. Mindegyik intézmény elismerte a kiigazítás szükségességét, és a Bizottság vállalta, hogy 2016 végéig új javaslatot terjeszt elő azon jogalkotási aktusok kiigazításáról, amelyek még mindig utalnak az ellenőrzéssel történő szabályozási bizottsági eljárásra. Ez a jogalkotási javaslat e vállalás nyomán született. </w:t>
      </w:r>
    </w:p>
    <w:p>
      <w:pPr>
        <w:pBdr>
          <w:top w:val="nil"/>
          <w:left w:val="nil"/>
          <w:bottom w:val="nil"/>
          <w:right w:val="nil"/>
          <w:between w:val="nil"/>
          <w:bar w:val="nil"/>
        </w:pBdr>
        <w:spacing w:before="0" w:after="240"/>
        <w:rPr>
          <w:rFonts w:eastAsia="Arial Unicode MS"/>
          <w:noProof/>
        </w:rPr>
      </w:pPr>
      <w:r>
        <w:rPr>
          <w:noProof/>
        </w:rPr>
        <w:t xml:space="preserve">Időközben az intézményközi megállapodás és az annak mellékletét képező, a felhatalmazáson alapuló jogi aktusokról szóló egyetértési megállapodás javította a felhatalmazáson alapuló jogi aktusokra vonatkozó keretszabályokat, és megválaszolta azt a legfontosabb aggályt, amely korábban gyakran akadályozta a felhatalmazáson alapuló jogi aktusokkal kapcsolatos rendelkezések elfogadását a Tanács részéről, nevezetesen a tagállami szakértőkkel való konzultáció kérdéskörét. A megállapodás most egyértelműen kimondja, hogy a jogalkotási aktusok előkészítése során – és ezen belül magáról a szövegtervezetről is – rendszeresen konzultálni kell a tagállami szakértőkkel, ami alapfeltétele annak, hogy az ellenőrzéssel történő szabályozási bizottsági eljárásról a Lisszaboni Szerződésben foglalt szabályokra való áttérést célzó második kísérlet sikeres legyen. Ez a szabály most explicit formában megjelenik azokban a szövegmintákban, amelyeket a Bizottságra hatáskört ruházó rendelkezések szövegezésekor fel kell használni. A megállapodás ugyancsak egyértelműen elismeri annak fontosságát, hogy a felhatalmazáson alapuló jogi aktusokkal kapcsolatban az Európai Parlamenttel már az előkészítés korai szakaszában együttműködés és eszmecsere kezdődjék. Megerősíti, hogy az Európai Parlamentnek minden dokumentumot – és ezen belül magát a szövegtervezetet is – meg kell kapnia a tagállamok szakértőivel egyidejűleg, valamint hogy az Európai Parlament szakértőinek rendszeres jelleggel és könnyített módon részt kell tudniuk venni a felhatalmazáson alapuló jogi aktusok előkészítésével a Bizottság keretei között foglalkozó szakértői csoportok ülésein. Végezetül a megállapodás azt is előirányozza, hogy a Bizottság meghívást kaphat az Európai Parlament (vagy a Tanács) üléseire annak érdekében, hogy további eszmecserére legyen mód a felhatalmazáson alapuló jogi aktusok előkészítéséről.  </w:t>
      </w:r>
    </w:p>
    <w:p>
      <w:pPr>
        <w:pStyle w:val="ManualHeading2"/>
        <w:rPr>
          <w:rFonts w:eastAsia="Arial Unicode MS"/>
          <w:noProof/>
          <w:color w:val="000000"/>
          <w:u w:color="000000"/>
          <w:bdr w:val="nil"/>
        </w:rPr>
      </w:pPr>
      <w:r>
        <w:rPr>
          <w:noProof/>
          <w:color w:val="000000"/>
          <w:u w:color="000000"/>
          <w:bdr w:val="nil"/>
        </w:rPr>
        <w:t xml:space="preserve">2. </w:t>
      </w:r>
      <w:r>
        <w:rPr>
          <w:noProof/>
        </w:rPr>
        <w:tab/>
      </w:r>
      <w:r>
        <w:rPr>
          <w:caps/>
          <w:noProof/>
          <w:color w:val="000000"/>
          <w:u w:color="000000"/>
          <w:bdr w:val="nil"/>
        </w:rPr>
        <w:t>A kiigazítás módja és a javaslat fő elemei</w:t>
      </w:r>
      <w:r>
        <w:rPr>
          <w:smallCaps/>
          <w:noProof/>
          <w:color w:val="000000"/>
          <w:u w:color="000000"/>
          <w:bdr w:val="nil"/>
        </w:rPr>
        <w:t xml:space="preserve"> </w:t>
      </w:r>
    </w:p>
    <w:p>
      <w:pPr>
        <w:pBdr>
          <w:top w:val="nil"/>
          <w:left w:val="nil"/>
          <w:bottom w:val="nil"/>
          <w:right w:val="nil"/>
          <w:between w:val="nil"/>
          <w:bar w:val="nil"/>
        </w:pBdr>
        <w:spacing w:before="0" w:after="240"/>
        <w:rPr>
          <w:rFonts w:eastAsia="Arial Unicode MS"/>
          <w:noProof/>
        </w:rPr>
      </w:pPr>
      <w:r>
        <w:rPr>
          <w:noProof/>
        </w:rPr>
        <w:t xml:space="preserve">A javaslat </w:t>
      </w:r>
      <w:r>
        <w:rPr>
          <w:b/>
          <w:noProof/>
        </w:rPr>
        <w:t>tárgykörének</w:t>
      </w:r>
      <w:r>
        <w:rPr>
          <w:noProof/>
        </w:rPr>
        <w:t xml:space="preserve"> meghatározása során azokból a jogi aktusokból indultunk ki, amelyekre a Bizottság által 2013-ban előterjesztett három kiigazító jogalkotási javaslat kiterjedt. E javaslatban nem szerepelnek azok a jogi aktusok, amelyekre vonatkozóan időközben külön jogalkotási javaslat került előterjesztésre.</w:t>
      </w:r>
      <w:r>
        <w:rPr>
          <w:rStyle w:val="FootnoteReference"/>
          <w:noProof/>
        </w:rPr>
        <w:footnoteReference w:id="10"/>
      </w:r>
      <w:r>
        <w:rPr>
          <w:noProof/>
        </w:rPr>
        <w:t xml:space="preserve"> Egyetlen esetben egy olyan jogi aktus, amely a 2013-as javaslatokban nem szerepelt, a mostani javaslatba bekerült, mert kiigazítást igényel. </w:t>
      </w:r>
    </w:p>
    <w:p>
      <w:pPr>
        <w:pBdr>
          <w:top w:val="nil"/>
          <w:left w:val="nil"/>
          <w:bottom w:val="nil"/>
          <w:right w:val="nil"/>
          <w:between w:val="nil"/>
          <w:bar w:val="nil"/>
        </w:pBdr>
        <w:spacing w:before="0" w:after="240"/>
        <w:rPr>
          <w:rFonts w:eastAsia="Arial Unicode MS"/>
          <w:noProof/>
        </w:rPr>
      </w:pPr>
      <w:r>
        <w:rPr>
          <w:noProof/>
        </w:rPr>
        <w:t>Ez a javaslat nem terjed ki nyolc, a peszticidek és az élelmiszerek területét szabályozó jogi aktusra.</w:t>
      </w:r>
      <w:r>
        <w:rPr>
          <w:rStyle w:val="FootnoteReference"/>
          <w:noProof/>
        </w:rPr>
        <w:footnoteReference w:id="11"/>
      </w:r>
      <w:r>
        <w:rPr>
          <w:noProof/>
        </w:rPr>
        <w:t xml:space="preserve"> Ezen alap-jogiaktusok jelenlegi struktúrája mellett a felhatalmazáson alapuló jogi aktusokra való áttérés helyes módja az lenne, amit a Bizottság 2013-ban javasolt. A Bizottság azonban ezeket a jogi aktusokat a mostani javaslatba nem építette be, mert még tisztázni kívánja, hogy nincs-e megfelelőbb módja a szóban forgó jogi aktusok strukturálásának abból a szempontból, hogy a jogi aktusban foglalt egyedi kritériumok alapján hogyan történik az egyedi engedélyezés, az értékmeghatározás és a konkrét anyagok jegyzékbe történő felvétele, figyelemmel a társjogalkotók által az új élelmiszerekről szóló rendelet</w:t>
      </w:r>
      <w:r>
        <w:rPr>
          <w:rStyle w:val="FootnoteReference"/>
          <w:noProof/>
        </w:rPr>
        <w:footnoteReference w:id="12"/>
      </w:r>
      <w:r>
        <w:rPr>
          <w:noProof/>
        </w:rPr>
        <w:t xml:space="preserve"> kapcsán nemrégiben elfogadott új megközelítésre, a peszticideket szabályozó alap-jogiaktusok folyamatban lévő REFIT-felülvizsgálatára, valamint az egyes másodlagos aktusok elfogadására jelenleg irányadó eljárások demokratikus legitimációjának értékelése kapcsán szintén jelenleg folyamatban lévő, a Bizottság 2017. évi munkaprogramjában előirányzott munkára. </w:t>
      </w:r>
    </w:p>
    <w:p>
      <w:pPr>
        <w:pBdr>
          <w:top w:val="nil"/>
          <w:left w:val="nil"/>
          <w:bottom w:val="nil"/>
          <w:right w:val="nil"/>
          <w:between w:val="nil"/>
          <w:bar w:val="nil"/>
        </w:pBdr>
        <w:spacing w:before="0" w:after="240"/>
        <w:rPr>
          <w:rFonts w:eastAsia="Arial Unicode MS"/>
          <w:noProof/>
        </w:rPr>
      </w:pPr>
      <w:r>
        <w:rPr>
          <w:noProof/>
        </w:rPr>
        <w:t xml:space="preserve">A 2013-as kiigazító jogalkotási javaslatokban alkalmazott </w:t>
      </w:r>
      <w:r>
        <w:rPr>
          <w:b/>
          <w:noProof/>
        </w:rPr>
        <w:t>jogtechnikai megoldás</w:t>
      </w:r>
      <w:r>
        <w:rPr>
          <w:noProof/>
        </w:rPr>
        <w:t xml:space="preserve"> az volt, hogy az egyes érintett jogi aktusok egyenkénti módosítása helyett a szöveg általában rendelkezett arról, hogy az alap-jogiaktusoknak az ellenőrzéssel történő szabályozási bizottsági eljárásra való utalásait a 290. cikkre, illetőleg a 290. vagy a 291. cikkre való utalásként kell érteni. Ebből következően ha a jogalkotó elfogadta volna a javaslatokat, minden egyes alap-jogiaktust mindig a rá vonatkozó kiigazító rendelettel együtt kellett volna értelmezni. </w:t>
      </w:r>
    </w:p>
    <w:p>
      <w:pPr>
        <w:pBdr>
          <w:top w:val="nil"/>
          <w:left w:val="nil"/>
          <w:bottom w:val="nil"/>
          <w:right w:val="nil"/>
          <w:between w:val="nil"/>
          <w:bar w:val="nil"/>
        </w:pBdr>
        <w:spacing w:before="0" w:after="240"/>
        <w:rPr>
          <w:rFonts w:eastAsia="Arial Unicode MS"/>
          <w:noProof/>
        </w:rPr>
      </w:pPr>
      <w:r>
        <w:rPr>
          <w:noProof/>
        </w:rPr>
        <w:t>Tekintettel különösen azokra a nehézségekre, amelyeket ez a technika a Tanács számára okozott, a mostani jogalkotási javaslat más megközelítésen alapul: a Bizottság most minden érintett alap-jogiaktus tételes módosítását javasolja.</w:t>
      </w:r>
      <w:r>
        <w:rPr>
          <w:noProof/>
          <w:color w:val="000000"/>
        </w:rPr>
        <w:t xml:space="preserve"> </w:t>
      </w:r>
      <w:r>
        <w:rPr>
          <w:noProof/>
        </w:rPr>
        <w:t>Ez hasonló ahhoz, ahogyan egy hasonló helyzetben, az ellenőrzéssel történő szabályozási bizottsági eljárásra utaló rendelkezések bevezetésekor 2007-ben eljártunk.</w:t>
      </w:r>
      <w:r>
        <w:rPr>
          <w:rStyle w:val="FootnoteReference"/>
          <w:noProof/>
        </w:rPr>
        <w:footnoteReference w:id="13"/>
      </w:r>
      <w:r>
        <w:rPr>
          <w:noProof/>
        </w:rPr>
        <w:t xml:space="preserve"> Eszerint minden alap-jogiaktuson végre kell hajtani különböző típusú módosításokat. A hatáskört átruházó rendelkezések, azaz azok a szövegrészek, amelyek magát az ellenőrzéssel történő szabályozási bizottsági eljárás igénybevételére való felhatalmazást tartalmazzák, átfogalmazásra kerülnek a felhatalmazáson alapuló jogi aktusok elfogadásával kapcsolatos hatáskörre vonatkozóan az intézményközi megállapodásban megállapított egységes rendelkezéseknek megfelelően. Emellett mindegyik alap-jogiaktusba beillesztésre kerül a felhatalmazás gyakorlását – tehát az eljárási kérdéseket – szabályozó egységes cikk, az ellenőrzéssel történő szabályozási bizottsági eljárásra való utalások pedig kikerülnek a szövegből. Minden alap-jogiaktusnak kifejezetten rendelkeznie kell arról, ha a felhatalmazás keretében magának az alap-jogiaktusnak a módosítását is lehetővé kívánja tenni. A javasolt módosítással minden alap-jogiaktusba bekerülnek azok az egységes rendelkezések, amelyek a felhatalmazáson alapuló jogi aktusok előkészítésével összefüggésben előírják a tagállami szakértőkkel való konzultációt. Egyetlen felhatalmazó rendelkezés sem fogja lehetővé tenni más jogi aktusok módosítását.</w:t>
      </w:r>
    </w:p>
    <w:p>
      <w:pPr>
        <w:pBdr>
          <w:top w:val="nil"/>
          <w:left w:val="nil"/>
          <w:bottom w:val="nil"/>
          <w:right w:val="nil"/>
          <w:between w:val="nil"/>
          <w:bar w:val="nil"/>
        </w:pBdr>
        <w:spacing w:before="0" w:after="240"/>
        <w:rPr>
          <w:rFonts w:eastAsia="Arial Unicode MS"/>
          <w:noProof/>
        </w:rPr>
      </w:pPr>
      <w:r>
        <w:rPr>
          <w:b/>
          <w:noProof/>
        </w:rPr>
        <w:t>A felhatalmazáson alapuló és a végrehajtási jogi aktusok elfogadására vonatkozó hatáskör-átruházás közötti választás</w:t>
      </w:r>
      <w:r>
        <w:rPr>
          <w:noProof/>
        </w:rPr>
        <w:t xml:space="preserve"> tekintetében a 2013. évi kiigazító jogalkotási javaslatok abból a feltételezésből indultak ki, hogy az ellenőrzéssel történő szabályozási bizottsági eljárás hatálya alá tartozó intézkedések elvi szinten megegyeznek azokkal, amelyekre az EUMSZ 290. cikke szerinti felhatalmazás hatálya kiterjeszthető. Csak az Omnibus III. jogalkotási javaslatban fordult elő néhány olyan eset, hogy a Bizottság javaslata az akkor elvégzett egyenkénti értékelés eredményeképpen a 290. cikk helyett a 291. cikk alkalmazását javasolta. </w:t>
      </w:r>
    </w:p>
    <w:p>
      <w:pPr>
        <w:pBdr>
          <w:top w:val="nil"/>
          <w:left w:val="nil"/>
          <w:bottom w:val="nil"/>
          <w:right w:val="nil"/>
          <w:between w:val="nil"/>
          <w:bar w:val="nil"/>
        </w:pBdr>
        <w:spacing w:before="0" w:after="240"/>
        <w:rPr>
          <w:rFonts w:eastAsia="Arial Unicode MS"/>
          <w:noProof/>
        </w:rPr>
      </w:pPr>
      <w:r>
        <w:rPr>
          <w:noProof/>
        </w:rPr>
        <w:t>A mostani új javaslat alapját az az általános feltételezés képezi, hogy a 2013. évi kiigazító jogalkotási javaslatok alapfeltételezése továbbra is érvényes. Sem a 2013. évi jogalkotási javaslatokkal kapcsolatos tárgyalások, sem a témához kapcsolódó ítélkezési gyakorlat,</w:t>
      </w:r>
      <w:r>
        <w:rPr>
          <w:rStyle w:val="FootnoteReference"/>
          <w:noProof/>
        </w:rPr>
        <w:footnoteReference w:id="14"/>
      </w:r>
      <w:r>
        <w:rPr>
          <w:noProof/>
        </w:rPr>
        <w:t xml:space="preserve"> sem pedig a jogalkotás minőségének javításáról szóló intézményközi megállapodással kapcsolatos egyeztetések során nem merült fel olyan új kritérium, amely szükségessé tette volna e kérdés újraértékelését. </w:t>
      </w:r>
    </w:p>
    <w:p>
      <w:pPr>
        <w:pBdr>
          <w:top w:val="nil"/>
          <w:left w:val="nil"/>
          <w:bottom w:val="nil"/>
          <w:right w:val="nil"/>
          <w:between w:val="nil"/>
          <w:bar w:val="nil"/>
        </w:pBdr>
        <w:spacing w:before="0" w:after="240"/>
        <w:rPr>
          <w:rFonts w:eastAsia="Arial Unicode MS"/>
          <w:bCs/>
          <w:noProof/>
        </w:rPr>
      </w:pPr>
      <w:r>
        <w:rPr>
          <w:noProof/>
        </w:rPr>
        <w:t xml:space="preserve">Azokban az esetekben, amikor a kiigazító rendelkezések végrehajtási jogi aktusok elfogadását irányozzák elő, egy bevezető magyarázat is beillesztésre kerül az alap-jogiaktusba. Azon esetek mellett, amelyekben már a 2013-ban javasolt kiigazítások is végrehajtási jogi aktusok elfogadását irányozták elő, ez a javaslat csak néhány további ilyen esetet tartalmaz. Ezek mindegyike a statisztika területét érinti, és az adatformátumok meghatározására vonatkozik. </w:t>
      </w:r>
    </w:p>
    <w:p>
      <w:pPr>
        <w:pBdr>
          <w:top w:val="nil"/>
          <w:left w:val="nil"/>
          <w:bottom w:val="nil"/>
          <w:right w:val="nil"/>
          <w:between w:val="nil"/>
          <w:bar w:val="nil"/>
        </w:pBdr>
        <w:spacing w:before="0" w:after="240"/>
        <w:rPr>
          <w:rFonts w:eastAsia="Arial Unicode MS"/>
          <w:b/>
          <w:bCs/>
          <w:noProof/>
        </w:rPr>
      </w:pPr>
      <w:r>
        <w:rPr>
          <w:b/>
          <w:noProof/>
        </w:rPr>
        <w:t xml:space="preserve">1. táblázat: Azon jogi aktusok áttekintése, amelyek esetében a javaslat egyes hatáskör-átruházások esetében végrehajtási jogi aktus elfogadását irányozza elő </w:t>
      </w:r>
    </w:p>
    <w:tbl>
      <w:tblPr>
        <w:tblStyle w:val="TableGrid"/>
        <w:tblW w:w="0" w:type="auto"/>
        <w:tblLayout w:type="fixed"/>
        <w:tblLook w:val="04A0" w:firstRow="1" w:lastRow="0" w:firstColumn="1" w:lastColumn="0" w:noHBand="0" w:noVBand="1"/>
      </w:tblPr>
      <w:tblGrid>
        <w:gridCol w:w="1526"/>
        <w:gridCol w:w="7702"/>
      </w:tblGrid>
      <w:tr>
        <w:tc>
          <w:tcPr>
            <w:tcW w:w="1526" w:type="dxa"/>
          </w:tcPr>
          <w:p>
            <w:pPr>
              <w:pBdr>
                <w:top w:val="nil"/>
                <w:left w:val="nil"/>
                <w:bottom w:val="nil"/>
                <w:right w:val="nil"/>
                <w:between w:val="nil"/>
                <w:bar w:val="nil"/>
              </w:pBdr>
              <w:spacing w:before="0" w:after="240"/>
              <w:jc w:val="left"/>
              <w:rPr>
                <w:rFonts w:eastAsia="Arial Unicode MS"/>
                <w:b/>
                <w:bCs/>
                <w:noProof/>
              </w:rPr>
            </w:pPr>
            <w:r>
              <w:rPr>
                <w:b/>
                <w:noProof/>
              </w:rPr>
              <w:t>Sorszám a melléklet</w:t>
            </w:r>
            <w:r>
              <w:rPr>
                <w:b/>
                <w:noProof/>
              </w:rPr>
              <w:softHyphen/>
              <w:t>ben</w:t>
            </w:r>
          </w:p>
        </w:tc>
        <w:tc>
          <w:tcPr>
            <w:tcW w:w="7702" w:type="dxa"/>
          </w:tcPr>
          <w:p>
            <w:pPr>
              <w:pBdr>
                <w:top w:val="nil"/>
                <w:left w:val="nil"/>
                <w:bottom w:val="nil"/>
                <w:right w:val="nil"/>
                <w:between w:val="nil"/>
                <w:bar w:val="nil"/>
              </w:pBdr>
              <w:spacing w:before="0" w:after="240"/>
              <w:rPr>
                <w:rFonts w:eastAsia="Arial Unicode MS"/>
                <w:b/>
                <w:bCs/>
                <w:noProof/>
              </w:rPr>
            </w:pPr>
            <w:r>
              <w:rPr>
                <w:b/>
                <w:noProof/>
              </w:rPr>
              <w:t>A jogi aktus címe</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2.</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2009/406/EK határozata (2009. április 23.) az üvegházhatású gázok kibocsátásának a 2020-ig terjedő időszakra szóló közösségi kötelezettségvállalásoknak megfelelő szintre történő csökkentésére irányuló tagállami törekvésekről*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6.</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626/2008/EK határozata (2008. június 30.) a mobil műholdas szolgáltatásokat nyújtó rendszerek (MSS) kiválasztásáról és engedélyezéséről*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53.</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1221/2009/EK rendelete (2009. november 25.) a szervezeteknek a közösségi környezetvédelmi vezetési és hitelesítési rendszerben (EMAS) való önkéntes részvételéről és a 761/2001/EK rendelet, a 2001/681/EK és a 2006/193/EK bizottsági határozat hatályon kívül helyezéséről*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58.</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 Tanács 530/1999/EK rendelete (1999. március 9.) a strukturális keresetfelvételi statisztikákról és a munkaerőköltség-felvételi statisztikákról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59.</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2150/2002/EK rendelete (2002. november 25.) a hulladékra vonatkozó statisztikákról*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60.</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437/2003/EK rendelete (2003. február 27.) a légi személy-, áru- és postaiküldemény-szállításra vonatkozó statisztikai adatgyűjtésről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61.</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450/2003/EK rendelete (2003. február 27.) a munkaerőköltség-indexről*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64.</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1552/2005/EK rendelete (2005. szeptember 7.) a vállalati szakképzésre vonatkozó statisztikákról*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67.</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716/2007/EK rendelete (2007. június 20.) a külföldi leányvállalatok szerkezetére és tevékenységére vonatkozó közösségi statisztikákról*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69.</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1445/2007/EK rendelete (2007. december 11.) a vásárlóerő-paritással kapcsolatos alapinformációk szolgáltatására, valamint a vásárlóerő-paritás kiszámítására és közzétételére vonatkozó közös szabályok megállapításáról*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70.</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177/2008/EK rendelete (2008. február 20.) a vállalkozások statisztikai célú nyilvántartása közös keretének létrehozásáról és a 2186/93/EGK tanácsi rendelet hatályon kívül helyezéséről*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73.</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452/2008/EK rendelete (2008. április 23.) az oktatással és az egész életen át tartó tanulással kapcsolatos statisztikák előállításáról és kidolgozásáról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74.</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453/2008/EK rendelete (2008. április 23.) a közösségi üres álláshelyekre vonatkozó negyedéves statisztikai adatokról*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89.</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2006/42/EK irányelve a gépekről és a 95/16/EK irányelv módosításáról*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99.</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1223/2009/EK rendelete (2009. november 30.) a kozmetikai termékekről*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104.</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 Tanács 97/70/EK irányelve (1997. december 11.) a 24 méteres és annál hosszabb halászhajók összehangolt biztonsági rendszeréről*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114.</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2004/725/EK rendelete (2004. március 31.) a hajók és kikötőlétesítmények védelmének fokozásáról*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143.</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2002/46/EK irányelve (2002. június 10.) az étrend-kiegészítőkre vonatkozó tagállami jogszabályok közelítéséről*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144.</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2002/98/EK irányelve (2003. január 27.) az emberi vér és vérkomponensek gyűjtésére, vizsgálatára, feldolgozására, tárolására és elosztására vonatkozó minőségi és biztonsági előírások megállapításáról, valamint a 2001/83/EK irányelv módosításáról*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147.</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1829/2003/EK rendelete (2003. szeptember 22.) a géntechnológiával módosított élelmiszerekről és takarmányokról*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151.</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2160/2003/EK rendelete (2003. november 17.) a szalmonella és egyéb meghatározott, élelmiszerből származó zoonózis-kórokozók ellenőrzéséről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154.</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2004/23/EK irányelve (2004. március 31.) az emberi szövetek és sejtek adományozására, gyűjtésére, vizsgálatára, feldolgozására, megőrzésére, tárolására és elosztására vonatkozó minőségi és biztonsági előírások megállapításáról*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158.</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1924/2006/EK rendelete (2006. december 20.) az élelmiszerekkel kapcsolatos, tápanyag-összetételre és egészségre vonatkozó állításokról*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159.</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1925/2006/EK rendelet (2006. december 20.) a vitaminok, ásványi anyagok és bizonyos egyéb anyagok élelmiszerekhez történő hozzáadásáról*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165.</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470/2009/EK rendelete (2009. május 6.) az állati eredetű élelmiszerekben előforduló farmakológiai hatóanyagok maradékanyag-határértékeinek meghatározására irányuló közösségi eljárásokról, a 2377/90/EGK tanácsi rendelet hatályon kívül helyezéséről, és a 2001/82/EK európai parlamenti és tanácsi irányelv, valamint a 726/2004/EK európai parlamenti és tanácsi rendelet módosításáról*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166.</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767/2009/EK rendelete (2009. július 13.) a takarmányok forgalomba hozataláról és felhasználásáról, az 1831/2003/EK rendelet módosításáról, valamint a 79/373/EGK tanácsi irányelv, a 80/511/EGK bizottsági irányelv, a 82/471/EGK, 83/228/EGK, 93/74/EGK, 93/113/EK és 96/25/EK tanácsi irányelv és a 2004/217/EK bizottsági határozat hatályon kívül helyezéséről*</w:t>
            </w:r>
          </w:p>
        </w:tc>
      </w:tr>
      <w:tr>
        <w:tc>
          <w:tcPr>
            <w:tcW w:w="1526" w:type="dxa"/>
          </w:tcPr>
          <w:p>
            <w:pPr>
              <w:pBdr>
                <w:top w:val="nil"/>
                <w:left w:val="nil"/>
                <w:bottom w:val="nil"/>
                <w:right w:val="nil"/>
                <w:between w:val="nil"/>
                <w:bar w:val="nil"/>
              </w:pBdr>
              <w:spacing w:before="0" w:after="240"/>
              <w:rPr>
                <w:rFonts w:eastAsia="Arial Unicode MS"/>
                <w:bCs/>
                <w:noProof/>
                <w:sz w:val="20"/>
                <w:szCs w:val="20"/>
              </w:rPr>
            </w:pPr>
            <w:r>
              <w:rPr>
                <w:noProof/>
                <w:sz w:val="20"/>
              </w:rPr>
              <w:t>167.</w:t>
            </w:r>
          </w:p>
        </w:tc>
        <w:tc>
          <w:tcPr>
            <w:tcW w:w="7702" w:type="dxa"/>
          </w:tcPr>
          <w:p>
            <w:pPr>
              <w:pBdr>
                <w:top w:val="nil"/>
                <w:left w:val="nil"/>
                <w:bottom w:val="nil"/>
                <w:right w:val="nil"/>
                <w:between w:val="nil"/>
                <w:bar w:val="nil"/>
              </w:pBdr>
              <w:spacing w:before="0" w:after="240"/>
              <w:rPr>
                <w:rFonts w:eastAsia="Arial Unicode MS"/>
                <w:bCs/>
                <w:noProof/>
                <w:sz w:val="20"/>
                <w:szCs w:val="20"/>
              </w:rPr>
            </w:pPr>
            <w:r>
              <w:rPr>
                <w:noProof/>
                <w:sz w:val="20"/>
              </w:rPr>
              <w:t>Az Európai Parlament és a Tanács 1069/2009/EK rendelete (2009. október 21.) a nem emberi fogyasztásra szánt állati melléktermékekre és a belőlük származó termékekre vonatkozó egészségügyi szabályok megállapításáról és az 1774/2002/EK rendelet hatályon kívül helyezéséről (állati melléktermékekre vonatkozó rendelet)*</w:t>
            </w:r>
          </w:p>
        </w:tc>
      </w:tr>
    </w:tbl>
    <w:p>
      <w:pPr>
        <w:pBdr>
          <w:top w:val="nil"/>
          <w:left w:val="nil"/>
          <w:bottom w:val="nil"/>
          <w:right w:val="nil"/>
          <w:between w:val="nil"/>
          <w:bar w:val="nil"/>
        </w:pBdr>
        <w:spacing w:before="0" w:after="240"/>
        <w:rPr>
          <w:rFonts w:eastAsia="Arial Unicode MS"/>
          <w:bCs/>
          <w:noProof/>
          <w:sz w:val="20"/>
          <w:szCs w:val="20"/>
        </w:rPr>
      </w:pPr>
      <w:r>
        <w:rPr>
          <w:noProof/>
          <w:sz w:val="20"/>
        </w:rPr>
        <w:t xml:space="preserve">* </w:t>
      </w:r>
      <w:r>
        <w:rPr>
          <w:noProof/>
        </w:rPr>
        <w:tab/>
      </w:r>
      <w:r>
        <w:rPr>
          <w:noProof/>
          <w:sz w:val="20"/>
        </w:rPr>
        <w:t xml:space="preserve">E jogi aktusok esetében a Bizottság már 2013-ban javasolta egyes rendelkezések kapcsán a végrehajtási jogi aktusokra való áttérést. </w:t>
      </w:r>
    </w:p>
    <w:p>
      <w:pPr>
        <w:pBdr>
          <w:top w:val="nil"/>
          <w:left w:val="nil"/>
          <w:bottom w:val="nil"/>
          <w:right w:val="nil"/>
          <w:between w:val="nil"/>
          <w:bar w:val="nil"/>
        </w:pBdr>
        <w:spacing w:before="0" w:after="240"/>
        <w:rPr>
          <w:rFonts w:eastAsia="Arial Unicode MS"/>
          <w:bCs/>
          <w:noProof/>
        </w:rPr>
      </w:pPr>
      <w:r>
        <w:rPr>
          <w:noProof/>
        </w:rPr>
        <w:t xml:space="preserve">A jogalkotási javaslat a hatáskör-átruházó rendelkezések </w:t>
      </w:r>
      <w:r>
        <w:rPr>
          <w:noProof/>
          <w:u w:val="single"/>
        </w:rPr>
        <w:t>elhagyását</w:t>
      </w:r>
      <w:r>
        <w:rPr>
          <w:noProof/>
        </w:rPr>
        <w:t xml:space="preserve"> irányozza elő azokban az esetekben, amikor azok elavultak akár azért, mert az idő elteltével már nem relevánsak (például átmeneti intézkedést szabályoztak, de az alap-jogiaktus már évek óta teljes egészében alkalmazandó), akár pedig azért, mert a tapasztalatok szerint nincs rájuk szükség. </w:t>
      </w:r>
    </w:p>
    <w:p>
      <w:pPr>
        <w:pBdr>
          <w:top w:val="nil"/>
          <w:left w:val="nil"/>
          <w:bottom w:val="nil"/>
          <w:right w:val="nil"/>
          <w:between w:val="nil"/>
          <w:bar w:val="nil"/>
        </w:pBdr>
        <w:spacing w:before="0" w:after="240"/>
        <w:rPr>
          <w:rFonts w:eastAsia="Arial Unicode MS"/>
          <w:bCs/>
          <w:noProof/>
        </w:rPr>
      </w:pPr>
      <w:r>
        <w:rPr>
          <w:noProof/>
        </w:rPr>
        <w:t>2. táblázat: Azon jogi aktusok áttekintése, amelyek esetében a javaslat egyes hatáskör-átruházások elhagyását irányozza elő</w:t>
      </w:r>
    </w:p>
    <w:tbl>
      <w:tblPr>
        <w:tblStyle w:val="TableGrid"/>
        <w:tblW w:w="0" w:type="auto"/>
        <w:tblLayout w:type="fixed"/>
        <w:tblLook w:val="04A0" w:firstRow="1" w:lastRow="0" w:firstColumn="1" w:lastColumn="0" w:noHBand="0" w:noVBand="1"/>
      </w:tblPr>
      <w:tblGrid>
        <w:gridCol w:w="1526"/>
        <w:gridCol w:w="7702"/>
      </w:tblGrid>
      <w:tr>
        <w:tc>
          <w:tcPr>
            <w:tcW w:w="1526" w:type="dxa"/>
            <w:shd w:val="clear" w:color="auto" w:fill="FFFFFF" w:themeFill="background1"/>
          </w:tcPr>
          <w:p>
            <w:pPr>
              <w:spacing w:before="0" w:after="240"/>
              <w:rPr>
                <w:rFonts w:eastAsia="Arial Unicode MS"/>
                <w:b/>
                <w:noProof/>
                <w:sz w:val="20"/>
                <w:szCs w:val="20"/>
              </w:rPr>
            </w:pPr>
            <w:r>
              <w:rPr>
                <w:b/>
                <w:noProof/>
                <w:sz w:val="20"/>
              </w:rPr>
              <w:t>Sorszám</w:t>
            </w:r>
          </w:p>
          <w:p>
            <w:pPr>
              <w:spacing w:before="0" w:after="240"/>
              <w:rPr>
                <w:rFonts w:eastAsia="Arial Unicode MS"/>
                <w:b/>
                <w:noProof/>
                <w:sz w:val="20"/>
                <w:szCs w:val="20"/>
              </w:rPr>
            </w:pPr>
            <w:r>
              <w:rPr>
                <w:b/>
                <w:noProof/>
                <w:sz w:val="20"/>
              </w:rPr>
              <w:t xml:space="preserve">a mellékletben </w:t>
            </w:r>
          </w:p>
        </w:tc>
        <w:tc>
          <w:tcPr>
            <w:tcW w:w="7702" w:type="dxa"/>
            <w:shd w:val="clear" w:color="auto" w:fill="FFFFFF" w:themeFill="background1"/>
          </w:tcPr>
          <w:p>
            <w:pPr>
              <w:spacing w:before="0" w:after="240"/>
              <w:rPr>
                <w:rFonts w:eastAsia="Arial Unicode MS"/>
                <w:b/>
                <w:noProof/>
                <w:sz w:val="20"/>
                <w:szCs w:val="20"/>
              </w:rPr>
            </w:pPr>
            <w:r>
              <w:rPr>
                <w:b/>
                <w:noProof/>
                <w:sz w:val="20"/>
              </w:rPr>
              <w:t xml:space="preserve">A jogi aktus címe </w:t>
            </w:r>
          </w:p>
        </w:tc>
      </w:tr>
      <w:tr>
        <w:tc>
          <w:tcPr>
            <w:tcW w:w="1526" w:type="dxa"/>
          </w:tcPr>
          <w:p>
            <w:pPr>
              <w:spacing w:before="0" w:after="240"/>
              <w:rPr>
                <w:rFonts w:eastAsia="Arial Unicode MS"/>
                <w:noProof/>
                <w:sz w:val="20"/>
                <w:szCs w:val="20"/>
              </w:rPr>
            </w:pPr>
            <w:r>
              <w:rPr>
                <w:noProof/>
                <w:sz w:val="20"/>
              </w:rPr>
              <w:t>2.</w:t>
            </w:r>
          </w:p>
        </w:tc>
        <w:tc>
          <w:tcPr>
            <w:tcW w:w="7702" w:type="dxa"/>
          </w:tcPr>
          <w:p>
            <w:pPr>
              <w:spacing w:before="0" w:after="240"/>
              <w:rPr>
                <w:rFonts w:eastAsia="Arial Unicode MS"/>
                <w:noProof/>
                <w:sz w:val="20"/>
                <w:szCs w:val="20"/>
              </w:rPr>
            </w:pPr>
            <w:r>
              <w:rPr>
                <w:noProof/>
                <w:sz w:val="20"/>
              </w:rPr>
              <w:t>Az Európai Parlament és a Tanács 2009/406/EK határozata (2009. április 23.) az üvegházhatású gázok kibocsátásának a 2020-ig terjedő időszakra szóló közösségi kötelezettségvállalásoknak megfelelő szintre történő csökkentésére irányuló tagállami törekvésekről</w:t>
            </w:r>
          </w:p>
        </w:tc>
      </w:tr>
      <w:tr>
        <w:tc>
          <w:tcPr>
            <w:tcW w:w="1526" w:type="dxa"/>
          </w:tcPr>
          <w:p>
            <w:pPr>
              <w:spacing w:before="0" w:after="240"/>
              <w:rPr>
                <w:rFonts w:eastAsia="Arial Unicode MS"/>
                <w:noProof/>
                <w:sz w:val="20"/>
                <w:szCs w:val="20"/>
              </w:rPr>
            </w:pPr>
            <w:r>
              <w:rPr>
                <w:noProof/>
                <w:sz w:val="20"/>
              </w:rPr>
              <w:t>7.</w:t>
            </w:r>
          </w:p>
        </w:tc>
        <w:tc>
          <w:tcPr>
            <w:tcW w:w="7702" w:type="dxa"/>
          </w:tcPr>
          <w:p>
            <w:pPr>
              <w:spacing w:before="0" w:after="240"/>
              <w:rPr>
                <w:rFonts w:eastAsia="Arial Unicode MS"/>
                <w:noProof/>
                <w:sz w:val="20"/>
                <w:szCs w:val="20"/>
              </w:rPr>
            </w:pPr>
            <w:r>
              <w:rPr>
                <w:noProof/>
                <w:sz w:val="20"/>
              </w:rPr>
              <w:t xml:space="preserve">A Tanács 1257/96/EK rendelete (1996. június 20.) a humanitárius segítségnyújtásról* </w:t>
            </w:r>
          </w:p>
        </w:tc>
      </w:tr>
      <w:tr>
        <w:tc>
          <w:tcPr>
            <w:tcW w:w="1526" w:type="dxa"/>
          </w:tcPr>
          <w:p>
            <w:pPr>
              <w:spacing w:before="0" w:after="240"/>
              <w:rPr>
                <w:rFonts w:eastAsia="Arial Unicode MS"/>
                <w:noProof/>
                <w:sz w:val="20"/>
                <w:szCs w:val="20"/>
              </w:rPr>
            </w:pPr>
            <w:r>
              <w:rPr>
                <w:noProof/>
                <w:sz w:val="20"/>
              </w:rPr>
              <w:t>36.</w:t>
            </w:r>
          </w:p>
        </w:tc>
        <w:tc>
          <w:tcPr>
            <w:tcW w:w="7702" w:type="dxa"/>
          </w:tcPr>
          <w:p>
            <w:pPr>
              <w:spacing w:before="0" w:after="240"/>
              <w:rPr>
                <w:rFonts w:eastAsia="Arial Unicode MS"/>
                <w:noProof/>
                <w:sz w:val="20"/>
                <w:szCs w:val="20"/>
              </w:rPr>
            </w:pPr>
            <w:r>
              <w:rPr>
                <w:noProof/>
                <w:sz w:val="20"/>
              </w:rPr>
              <w:t>A Tanács 98/83/EK irányelve (1998. november 3.) az emberi fogyasztásra szánt víz minőségéről</w:t>
            </w:r>
          </w:p>
        </w:tc>
      </w:tr>
      <w:tr>
        <w:tc>
          <w:tcPr>
            <w:tcW w:w="1526" w:type="dxa"/>
          </w:tcPr>
          <w:p>
            <w:pPr>
              <w:spacing w:before="0" w:after="240"/>
              <w:rPr>
                <w:rFonts w:eastAsia="Arial Unicode MS"/>
                <w:noProof/>
                <w:sz w:val="20"/>
                <w:szCs w:val="20"/>
              </w:rPr>
            </w:pPr>
            <w:r>
              <w:rPr>
                <w:noProof/>
                <w:sz w:val="20"/>
              </w:rPr>
              <w:t>54.</w:t>
            </w:r>
          </w:p>
        </w:tc>
        <w:tc>
          <w:tcPr>
            <w:tcW w:w="7702" w:type="dxa"/>
          </w:tcPr>
          <w:p>
            <w:pPr>
              <w:spacing w:before="0" w:after="240"/>
              <w:rPr>
                <w:rFonts w:eastAsia="Arial Unicode MS"/>
                <w:noProof/>
                <w:sz w:val="20"/>
                <w:szCs w:val="20"/>
              </w:rPr>
            </w:pPr>
            <w:r>
              <w:rPr>
                <w:noProof/>
                <w:sz w:val="20"/>
              </w:rPr>
              <w:t>Az Európai Parlament és a Tanács 66/2010/EK rendelete (2009. november 25.) az uniós ökocímkéről*</w:t>
            </w:r>
          </w:p>
        </w:tc>
      </w:tr>
      <w:tr>
        <w:tc>
          <w:tcPr>
            <w:tcW w:w="1526" w:type="dxa"/>
          </w:tcPr>
          <w:p>
            <w:pPr>
              <w:spacing w:before="0" w:after="240"/>
              <w:rPr>
                <w:rFonts w:eastAsia="Arial Unicode MS"/>
                <w:noProof/>
                <w:sz w:val="20"/>
                <w:szCs w:val="20"/>
              </w:rPr>
            </w:pPr>
            <w:r>
              <w:rPr>
                <w:noProof/>
                <w:sz w:val="20"/>
              </w:rPr>
              <w:t>57.</w:t>
            </w:r>
          </w:p>
        </w:tc>
        <w:tc>
          <w:tcPr>
            <w:tcW w:w="7702" w:type="dxa"/>
          </w:tcPr>
          <w:p>
            <w:pPr>
              <w:spacing w:before="0" w:after="240"/>
              <w:rPr>
                <w:rFonts w:eastAsia="Arial Unicode MS"/>
                <w:noProof/>
                <w:sz w:val="20"/>
                <w:szCs w:val="20"/>
              </w:rPr>
            </w:pPr>
            <w:r>
              <w:rPr>
                <w:noProof/>
                <w:sz w:val="20"/>
              </w:rPr>
              <w:t>A Tanács 1165/98/EK rendelete (1998. május 19.) a rövid távú statisztikákról</w:t>
            </w:r>
          </w:p>
        </w:tc>
      </w:tr>
      <w:tr>
        <w:tc>
          <w:tcPr>
            <w:tcW w:w="1526" w:type="dxa"/>
          </w:tcPr>
          <w:p>
            <w:pPr>
              <w:spacing w:before="0" w:after="240"/>
              <w:rPr>
                <w:rFonts w:eastAsia="Arial Unicode MS"/>
                <w:noProof/>
                <w:sz w:val="20"/>
                <w:szCs w:val="20"/>
              </w:rPr>
            </w:pPr>
            <w:r>
              <w:rPr>
                <w:noProof/>
                <w:sz w:val="20"/>
              </w:rPr>
              <w:t>66.</w:t>
            </w:r>
          </w:p>
        </w:tc>
        <w:tc>
          <w:tcPr>
            <w:tcW w:w="7702" w:type="dxa"/>
          </w:tcPr>
          <w:p>
            <w:pPr>
              <w:spacing w:before="0" w:after="240"/>
              <w:rPr>
                <w:rFonts w:eastAsia="Arial Unicode MS"/>
                <w:noProof/>
                <w:sz w:val="20"/>
                <w:szCs w:val="20"/>
              </w:rPr>
            </w:pPr>
            <w:r>
              <w:rPr>
                <w:noProof/>
                <w:sz w:val="20"/>
              </w:rPr>
              <w:t>Az Európai Parlament és a Tanács 458/2007/EK rendelete (2007. április 25.) az integrált szociális védelmi statisztikák európai rendszeréről (ESSPROS)</w:t>
            </w:r>
          </w:p>
        </w:tc>
      </w:tr>
      <w:tr>
        <w:tc>
          <w:tcPr>
            <w:tcW w:w="1526" w:type="dxa"/>
          </w:tcPr>
          <w:p>
            <w:pPr>
              <w:spacing w:before="0" w:after="240"/>
              <w:rPr>
                <w:rFonts w:eastAsia="Arial Unicode MS"/>
                <w:noProof/>
                <w:sz w:val="20"/>
                <w:szCs w:val="20"/>
              </w:rPr>
            </w:pPr>
            <w:r>
              <w:rPr>
                <w:noProof/>
                <w:sz w:val="20"/>
              </w:rPr>
              <w:t>92.</w:t>
            </w:r>
          </w:p>
        </w:tc>
        <w:tc>
          <w:tcPr>
            <w:tcW w:w="7702" w:type="dxa"/>
          </w:tcPr>
          <w:p>
            <w:pPr>
              <w:spacing w:before="0" w:after="240"/>
              <w:rPr>
                <w:rFonts w:eastAsia="Arial Unicode MS"/>
                <w:noProof/>
                <w:sz w:val="20"/>
                <w:szCs w:val="20"/>
              </w:rPr>
            </w:pPr>
            <w:r>
              <w:rPr>
                <w:noProof/>
                <w:sz w:val="20"/>
              </w:rPr>
              <w:t>Az Európai Parlament és a Tanács 2009/34/EK irányelve (2009. április 23.) a mérőműszerekre és a metrológiai ellenőrzés módszereire vonatkozó közös rendelkezésekről (Átdolgozás)</w:t>
            </w:r>
          </w:p>
        </w:tc>
      </w:tr>
      <w:tr>
        <w:tc>
          <w:tcPr>
            <w:tcW w:w="1526" w:type="dxa"/>
          </w:tcPr>
          <w:p>
            <w:pPr>
              <w:spacing w:before="0" w:after="240"/>
              <w:rPr>
                <w:rFonts w:eastAsia="Arial Unicode MS"/>
                <w:noProof/>
                <w:sz w:val="20"/>
                <w:szCs w:val="20"/>
              </w:rPr>
            </w:pPr>
            <w:r>
              <w:rPr>
                <w:noProof/>
                <w:sz w:val="20"/>
              </w:rPr>
              <w:t>133.</w:t>
            </w:r>
          </w:p>
        </w:tc>
        <w:tc>
          <w:tcPr>
            <w:tcW w:w="7702" w:type="dxa"/>
          </w:tcPr>
          <w:p>
            <w:pPr>
              <w:spacing w:before="0" w:after="240"/>
              <w:rPr>
                <w:rFonts w:eastAsia="Arial Unicode MS"/>
                <w:bCs/>
                <w:noProof/>
                <w:sz w:val="20"/>
                <w:szCs w:val="20"/>
              </w:rPr>
            </w:pPr>
            <w:r>
              <w:rPr>
                <w:noProof/>
                <w:sz w:val="20"/>
              </w:rPr>
              <w:t>Az Európai Parlament és a Tanács 1071/2009/EK rendelete (2009. október 21.) a közúti fuvarozói szakma gyakorlására vonatkozó feltételek közös szabályainak megállapításáról és a 96/26/EK tanácsi irányelv hatályon kívül helyezéséről</w:t>
            </w:r>
          </w:p>
        </w:tc>
      </w:tr>
      <w:tr>
        <w:tc>
          <w:tcPr>
            <w:tcW w:w="1526" w:type="dxa"/>
          </w:tcPr>
          <w:p>
            <w:pPr>
              <w:spacing w:before="0" w:after="240"/>
              <w:rPr>
                <w:rFonts w:eastAsia="Arial Unicode MS"/>
                <w:noProof/>
                <w:sz w:val="20"/>
                <w:szCs w:val="20"/>
              </w:rPr>
            </w:pPr>
            <w:r>
              <w:rPr>
                <w:noProof/>
                <w:sz w:val="20"/>
              </w:rPr>
              <w:t>168.</w:t>
            </w:r>
          </w:p>
        </w:tc>
        <w:tc>
          <w:tcPr>
            <w:tcW w:w="7702" w:type="dxa"/>
          </w:tcPr>
          <w:p>
            <w:pPr>
              <w:spacing w:before="0" w:after="240"/>
              <w:rPr>
                <w:rFonts w:eastAsia="Arial Unicode MS"/>
                <w:bCs/>
                <w:noProof/>
                <w:sz w:val="20"/>
                <w:szCs w:val="20"/>
              </w:rPr>
            </w:pPr>
            <w:r>
              <w:rPr>
                <w:noProof/>
                <w:sz w:val="20"/>
              </w:rPr>
              <w:t>Az Európai Parlament és a Tanács 70/2008/EK határozata (2008. január 15.) a papírmentes vám- és kereskedelmi környezetről</w:t>
            </w:r>
          </w:p>
        </w:tc>
      </w:tr>
    </w:tbl>
    <w:p>
      <w:pPr>
        <w:pBdr>
          <w:top w:val="nil"/>
          <w:left w:val="nil"/>
          <w:bottom w:val="nil"/>
          <w:right w:val="nil"/>
          <w:between w:val="nil"/>
          <w:bar w:val="nil"/>
        </w:pBdr>
        <w:spacing w:before="0" w:after="240"/>
        <w:rPr>
          <w:rFonts w:eastAsia="Arial Unicode MS"/>
          <w:bCs/>
          <w:noProof/>
          <w:sz w:val="20"/>
          <w:szCs w:val="20"/>
        </w:rPr>
      </w:pPr>
      <w:r>
        <w:rPr>
          <w:noProof/>
          <w:sz w:val="20"/>
        </w:rPr>
        <w:t xml:space="preserve">* </w:t>
      </w:r>
      <w:r>
        <w:rPr>
          <w:noProof/>
        </w:rPr>
        <w:tab/>
      </w:r>
      <w:r>
        <w:rPr>
          <w:noProof/>
          <w:sz w:val="20"/>
        </w:rPr>
        <w:t xml:space="preserve">E jogi aktusok esetében a Bizottság már 2013-ban javasolta egyes rendelkezések elhagyását. </w:t>
      </w:r>
    </w:p>
    <w:p>
      <w:pPr>
        <w:pBdr>
          <w:top w:val="nil"/>
          <w:left w:val="nil"/>
          <w:bottom w:val="nil"/>
          <w:right w:val="nil"/>
          <w:between w:val="nil"/>
          <w:bar w:val="nil"/>
        </w:pBdr>
        <w:spacing w:before="0" w:after="240"/>
        <w:rPr>
          <w:rFonts w:eastAsia="Arial Unicode MS"/>
          <w:noProof/>
        </w:rPr>
      </w:pPr>
      <w:r>
        <w:rPr>
          <w:noProof/>
        </w:rPr>
        <w:t xml:space="preserve">A </w:t>
      </w:r>
      <w:r>
        <w:rPr>
          <w:b/>
          <w:noProof/>
        </w:rPr>
        <w:t>felhatalmazás időtartama</w:t>
      </w:r>
      <w:r>
        <w:rPr>
          <w:noProof/>
        </w:rPr>
        <w:t xml:space="preserve"> tekintetében a Bizottság minden esetben határozatlan időtartamra szóló felhatalmazást javasol. A 2013. évi jogalkotási javaslatokkal kapcsolatos tárgyalásokon mind a Tanács, mind az Európai Parlament öt évre szóló határozott idejű felhatalmazást szorgalmazott, amely automatikusan megújul azt követően, hogy a Bizottság a felhatalmazás lejárta előtt jelentést nyújtott be. Az új javaslatban a Bizottság fenntartja azt az álláspontját, hogy a határozatlan időre szóló felhatalmazás indokolt, mert a jogalkotónak minden esetben bármikor joga van visszavonni a felhatalmazást. Emellett az automatikus megújulás előtti jelentéstételi kötelezettség azt jelentené, hogy a Bizottságnak e javaslat elfogadása után öt évvel 174 különböző jogi aktussal kapcsolatban kellene jelentést készítenie, ami jelentős adminisztrációs teher volna. Végezetül az intézményközi megállapodással nő a felhatalmazáson alapuló jogi aktusokkal kapcsolatos eljárások átláthatósága, különösen azáltal, hogy az intézmények megállapodásának megfelelően 2017 végéig közös nyilvántartás születik a felhatalmazáson alapuló jogi aktusokról. Ebben a nyilvántartásban könnyen áttekinthető az összes alap-jogi aktus alapján elfogadott felhatalmazáson alapuló jogi aktus.  </w:t>
      </w:r>
    </w:p>
    <w:p>
      <w:pPr>
        <w:pBdr>
          <w:top w:val="nil"/>
          <w:left w:val="nil"/>
          <w:bottom w:val="nil"/>
          <w:right w:val="nil"/>
          <w:between w:val="nil"/>
          <w:bar w:val="nil"/>
        </w:pBdr>
        <w:spacing w:before="0" w:after="240"/>
        <w:rPr>
          <w:rFonts w:eastAsia="Arial Unicode MS"/>
          <w:noProof/>
        </w:rPr>
      </w:pPr>
      <w:r>
        <w:rPr>
          <w:noProof/>
        </w:rPr>
        <w:t xml:space="preserve">A javaslat néhány esetben előirányozza a </w:t>
      </w:r>
      <w:r>
        <w:rPr>
          <w:b/>
          <w:noProof/>
        </w:rPr>
        <w:t>sürgősségi eljárás</w:t>
      </w:r>
      <w:r>
        <w:rPr>
          <w:noProof/>
        </w:rPr>
        <w:t xml:space="preserve"> bevezetését. Azokban az esetekben van ez így, amikor az alap-jogiaktus jelenleg lehetővé teszi az 1999/468/EK határozat 5a. cikkének (6) bekezdése szerinti meglévő sürgősségi eljárás igénybevételét, és ezt a lehetőséget a Bizottság továbbra is indokoltnak tartja. Ezekben az esetekben a jogalkotási javaslat előirányozza a sürgősségi eljárásra vonatkozó egységes rendelkezések beillesztését az alap-jogiaktusokba, amelyek kimondják azt is, hogy az eljárás igénybevételét minden esetben tételesen meg kell indokolni. </w:t>
      </w:r>
    </w:p>
    <w:p>
      <w:pPr>
        <w:pStyle w:val="ManualHeading1"/>
        <w:rPr>
          <w:caps/>
          <w:noProof/>
        </w:rPr>
      </w:pPr>
      <w:r>
        <w:rPr>
          <w:noProof/>
        </w:rPr>
        <w:t xml:space="preserve">3. </w:t>
      </w:r>
      <w:r>
        <w:rPr>
          <w:noProof/>
        </w:rPr>
        <w:tab/>
        <w:t>AZON, AZ ELLENŐRZÉSSEL TÖRTÉNŐ SZABÁLYOZÁSI BIZOTTSÁGI ELJÁRÁSRA UTALÓ ALAP-JOGIAKTUSOK JEGYZÉKE, AMELYEK JELENLEG KÜLÖN FELÜLVIZSGÁLAT ALATT ÁLLNAK VAGY AMELYEKKEL KAPCSOLATBAN A BIZOTTSÁG KÜLÖN FELÜLVIZSGÁLATOT TERVEZ</w:t>
      </w:r>
      <w:r>
        <w:rPr>
          <w:caps/>
          <w:noProof/>
        </w:rPr>
        <w:t xml:space="preserve">  </w:t>
      </w:r>
    </w:p>
    <w:p>
      <w:pPr>
        <w:keepNext/>
        <w:pBdr>
          <w:top w:val="nil"/>
          <w:left w:val="nil"/>
          <w:bottom w:val="nil"/>
          <w:right w:val="nil"/>
          <w:between w:val="nil"/>
          <w:bar w:val="nil"/>
        </w:pBdr>
        <w:spacing w:before="0" w:after="240"/>
        <w:rPr>
          <w:rFonts w:eastAsia="Arial Unicode MS"/>
          <w:b/>
          <w:noProof/>
        </w:rPr>
      </w:pPr>
      <w:r>
        <w:rPr>
          <w:rFonts w:hint="eastAsia"/>
          <w:b/>
          <w:noProof/>
        </w:rPr>
        <w:t xml:space="preserve">3. táblázat: </w:t>
      </w:r>
      <w:r>
        <w:rPr>
          <w:b/>
          <w:noProof/>
        </w:rPr>
        <w:t xml:space="preserve">A Bizottság által elfogadott javaslatok </w:t>
      </w:r>
    </w:p>
    <w:tbl>
      <w:tblPr>
        <w:tblStyle w:val="TableGrid"/>
        <w:tblW w:w="0" w:type="auto"/>
        <w:tblLook w:val="04A0" w:firstRow="1" w:lastRow="0" w:firstColumn="1" w:lastColumn="0" w:noHBand="0" w:noVBand="1"/>
      </w:tblPr>
      <w:tblGrid>
        <w:gridCol w:w="1308"/>
        <w:gridCol w:w="5640"/>
        <w:gridCol w:w="2340"/>
      </w:tblGrid>
      <w:tr>
        <w:trPr>
          <w:cantSplit/>
        </w:trPr>
        <w:tc>
          <w:tcPr>
            <w:tcW w:w="1308" w:type="dxa"/>
            <w:shd w:val="clear" w:color="auto" w:fill="FFFFFF" w:themeFill="background1"/>
          </w:tcPr>
          <w:p>
            <w:pPr>
              <w:spacing w:before="0" w:after="0"/>
              <w:jc w:val="left"/>
              <w:rPr>
                <w:b/>
                <w:noProof/>
                <w:sz w:val="22"/>
              </w:rPr>
            </w:pPr>
            <w:r>
              <w:rPr>
                <w:b/>
                <w:noProof/>
                <w:sz w:val="22"/>
              </w:rPr>
              <w:t xml:space="preserve">Szakterület </w:t>
            </w:r>
          </w:p>
        </w:tc>
        <w:tc>
          <w:tcPr>
            <w:tcW w:w="5640" w:type="dxa"/>
            <w:shd w:val="clear" w:color="auto" w:fill="FFFFFF" w:themeFill="background1"/>
          </w:tcPr>
          <w:p>
            <w:pPr>
              <w:spacing w:before="0" w:after="0"/>
              <w:jc w:val="left"/>
              <w:rPr>
                <w:b/>
                <w:noProof/>
                <w:sz w:val="22"/>
              </w:rPr>
            </w:pPr>
            <w:r>
              <w:rPr>
                <w:b/>
                <w:noProof/>
                <w:sz w:val="22"/>
              </w:rPr>
              <w:t xml:space="preserve">Jogi aktus </w:t>
            </w:r>
          </w:p>
        </w:tc>
        <w:tc>
          <w:tcPr>
            <w:tcW w:w="2340" w:type="dxa"/>
            <w:shd w:val="clear" w:color="auto" w:fill="FFFFFF" w:themeFill="background1"/>
          </w:tcPr>
          <w:p>
            <w:pPr>
              <w:spacing w:before="0" w:after="0"/>
              <w:jc w:val="left"/>
              <w:rPr>
                <w:b/>
                <w:noProof/>
                <w:sz w:val="22"/>
              </w:rPr>
            </w:pPr>
            <w:r>
              <w:rPr>
                <w:b/>
                <w:noProof/>
                <w:sz w:val="22"/>
              </w:rPr>
              <w:t xml:space="preserve">A javaslat hivatkozási száma </w:t>
            </w:r>
          </w:p>
          <w:p>
            <w:pPr>
              <w:spacing w:before="0" w:after="0"/>
              <w:jc w:val="left"/>
              <w:rPr>
                <w:b/>
                <w:noProof/>
                <w:sz w:val="22"/>
              </w:rPr>
            </w:pPr>
          </w:p>
        </w:tc>
      </w:tr>
      <w:tr>
        <w:tc>
          <w:tcPr>
            <w:tcW w:w="1308" w:type="dxa"/>
          </w:tcPr>
          <w:p>
            <w:pPr>
              <w:spacing w:before="0" w:after="0"/>
              <w:jc w:val="left"/>
              <w:rPr>
                <w:noProof/>
                <w:sz w:val="22"/>
                <w:highlight w:val="yellow"/>
              </w:rPr>
            </w:pPr>
            <w:r>
              <w:rPr>
                <w:noProof/>
                <w:sz w:val="22"/>
              </w:rPr>
              <w:t>CLIMA</w:t>
            </w:r>
          </w:p>
        </w:tc>
        <w:tc>
          <w:tcPr>
            <w:tcW w:w="5640" w:type="dxa"/>
          </w:tcPr>
          <w:p>
            <w:pPr>
              <w:spacing w:before="0" w:after="0"/>
              <w:jc w:val="left"/>
              <w:rPr>
                <w:noProof/>
                <w:sz w:val="22"/>
              </w:rPr>
            </w:pPr>
            <w:r>
              <w:rPr>
                <w:noProof/>
                <w:sz w:val="22"/>
              </w:rPr>
              <w:t>Az Európai Parlament és a Tanács 2003/87/EK irányelve (2003. október 13.) az üvegházhatást okozó gázok kibocsátási egységei Közösségen belüli kereskedelmi rendszerének létrehozásáról és a 96/61/EK tanácsi irányelv módosításáról</w:t>
            </w:r>
          </w:p>
        </w:tc>
        <w:tc>
          <w:tcPr>
            <w:tcW w:w="2340" w:type="dxa"/>
          </w:tcPr>
          <w:p>
            <w:pPr>
              <w:spacing w:before="0" w:after="0"/>
              <w:jc w:val="left"/>
              <w:rPr>
                <w:bCs/>
                <w:noProof/>
                <w:sz w:val="22"/>
              </w:rPr>
            </w:pPr>
            <w:r>
              <w:rPr>
                <w:noProof/>
                <w:sz w:val="22"/>
              </w:rPr>
              <w:t>COM(2015) 337</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Az Európai Parlament és a Tanács 2002/19/EK irányelve (2002. március 7.) az elektronikus hírközlő hálózatokhoz és kapcsolódó eszközökhöz való hozzáférésről, valamint azok összekapcsolásáról („Hozzáférési irányelv”)</w:t>
            </w:r>
            <w:r>
              <w:rPr>
                <w:rStyle w:val="CommentReference"/>
                <w:noProof/>
              </w:rPr>
              <w:t xml:space="preserve"> </w:t>
            </w:r>
          </w:p>
        </w:tc>
        <w:tc>
          <w:tcPr>
            <w:tcW w:w="2340" w:type="dxa"/>
          </w:tcPr>
          <w:p>
            <w:pPr>
              <w:spacing w:before="0" w:after="0"/>
              <w:jc w:val="left"/>
              <w:rPr>
                <w:bCs/>
                <w:noProof/>
                <w:sz w:val="22"/>
              </w:rPr>
            </w:pPr>
            <w:r>
              <w:rPr>
                <w:noProof/>
                <w:sz w:val="22"/>
              </w:rPr>
              <w:t>COM(2016) 590</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Az Európai Parlament és a Tanács 2002/21/EK irányelve (2002. március 7.) az elektronikus hírközlő hálózatok és elektronikus hírközlési szolgáltatások közös keretszabályozásáról („Keretirányelv”)</w:t>
            </w:r>
            <w:r>
              <w:rPr>
                <w:rStyle w:val="CommentReference"/>
                <w:noProof/>
              </w:rPr>
              <w:t xml:space="preserve"> </w:t>
            </w:r>
          </w:p>
        </w:tc>
        <w:tc>
          <w:tcPr>
            <w:tcW w:w="2340" w:type="dxa"/>
          </w:tcPr>
          <w:p>
            <w:pPr>
              <w:spacing w:before="0" w:after="0"/>
              <w:jc w:val="left"/>
              <w:rPr>
                <w:bCs/>
                <w:noProof/>
                <w:sz w:val="22"/>
              </w:rPr>
            </w:pPr>
            <w:r>
              <w:rPr>
                <w:noProof/>
                <w:sz w:val="22"/>
              </w:rPr>
              <w:t>COM(2016) 590</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 xml:space="preserve">Az Európai Parlament és a Tanács 2002/22/EK irányelve (2002. március 7.) az egyetemes szolgáltatásról, valamint az elektronikus hírközlő hálózatokhoz és elektronikus hírközlési szolgáltatásokhoz kapcsolódó felhasználói jogokról („Egyetemes szolgáltatási irányelv”) </w:t>
            </w:r>
          </w:p>
        </w:tc>
        <w:tc>
          <w:tcPr>
            <w:tcW w:w="2340" w:type="dxa"/>
          </w:tcPr>
          <w:p>
            <w:pPr>
              <w:spacing w:before="0" w:after="0"/>
              <w:jc w:val="left"/>
              <w:rPr>
                <w:bCs/>
                <w:noProof/>
                <w:sz w:val="22"/>
              </w:rPr>
            </w:pPr>
            <w:r>
              <w:rPr>
                <w:noProof/>
                <w:sz w:val="22"/>
              </w:rPr>
              <w:t>COM(2016) 590</w:t>
            </w:r>
          </w:p>
        </w:tc>
      </w:tr>
      <w:tr>
        <w:tc>
          <w:tcPr>
            <w:tcW w:w="1308" w:type="dxa"/>
          </w:tcPr>
          <w:p>
            <w:pPr>
              <w:spacing w:before="0" w:after="0"/>
              <w:jc w:val="left"/>
              <w:rPr>
                <w:noProof/>
                <w:sz w:val="22"/>
              </w:rPr>
            </w:pPr>
            <w:r>
              <w:rPr>
                <w:noProof/>
                <w:sz w:val="22"/>
              </w:rPr>
              <w:t xml:space="preserve">ENER </w:t>
            </w:r>
          </w:p>
        </w:tc>
        <w:tc>
          <w:tcPr>
            <w:tcW w:w="5640" w:type="dxa"/>
          </w:tcPr>
          <w:p>
            <w:pPr>
              <w:spacing w:before="0" w:after="0"/>
              <w:jc w:val="left"/>
              <w:rPr>
                <w:noProof/>
                <w:sz w:val="22"/>
              </w:rPr>
            </w:pPr>
            <w:r>
              <w:rPr>
                <w:noProof/>
                <w:sz w:val="22"/>
              </w:rPr>
              <w:t>Az Európai Parlament és a Tanács 2008/92/EK irányelve (2008. október 22.) az ipari végfelhasználók által fizetendő gáz- és villamosenergia-árak átláthatóságának javítását célzó közösségi eljárásról (átdolgozott szöveg)</w:t>
            </w:r>
          </w:p>
        </w:tc>
        <w:tc>
          <w:tcPr>
            <w:tcW w:w="2340" w:type="dxa"/>
          </w:tcPr>
          <w:p>
            <w:pPr>
              <w:spacing w:before="0" w:after="0"/>
              <w:jc w:val="left"/>
              <w:rPr>
                <w:noProof/>
                <w:sz w:val="22"/>
              </w:rPr>
            </w:pPr>
            <w:r>
              <w:rPr>
                <w:noProof/>
                <w:sz w:val="22"/>
              </w:rPr>
              <w:t>COM(2015) 496</w:t>
            </w:r>
          </w:p>
        </w:tc>
      </w:tr>
      <w:tr>
        <w:tc>
          <w:tcPr>
            <w:tcW w:w="1308" w:type="dxa"/>
          </w:tcPr>
          <w:p>
            <w:pPr>
              <w:spacing w:before="0" w:after="0"/>
              <w:jc w:val="left"/>
              <w:rPr>
                <w:noProof/>
                <w:sz w:val="22"/>
              </w:rPr>
            </w:pPr>
            <w:r>
              <w:rPr>
                <w:noProof/>
                <w:sz w:val="22"/>
              </w:rPr>
              <w:t xml:space="preserve">GROW </w:t>
            </w:r>
          </w:p>
        </w:tc>
        <w:tc>
          <w:tcPr>
            <w:tcW w:w="5640" w:type="dxa"/>
          </w:tcPr>
          <w:p>
            <w:pPr>
              <w:spacing w:before="0" w:after="0"/>
              <w:rPr>
                <w:bCs/>
                <w:noProof/>
                <w:sz w:val="22"/>
              </w:rPr>
            </w:pPr>
            <w:r>
              <w:rPr>
                <w:noProof/>
                <w:sz w:val="22"/>
              </w:rPr>
              <w:t>Az Európai Parlament és a Tanács 595/2009/EK rendelete (2009. június 18.) a nehéz tehergépjárművek kibocsátásai (Euro VI) tekintetében a gépjárművek és motorok típusjóváhagyásáról, a járművek javítására és karbantartására vonatkozó információkhoz való hozzáférésről, a 715/2007/EK rendelet és a 2007/46/EK irányelv módosításáról, valamint a 80/1269/EGK, a 2005/55/EK és a 2005/78/EK irányelv hatályon kívül helyezéséről</w:t>
            </w:r>
          </w:p>
        </w:tc>
        <w:tc>
          <w:tcPr>
            <w:tcW w:w="2340" w:type="dxa"/>
          </w:tcPr>
          <w:p>
            <w:pPr>
              <w:spacing w:before="0" w:after="0"/>
              <w:jc w:val="left"/>
              <w:rPr>
                <w:bCs/>
                <w:noProof/>
                <w:sz w:val="22"/>
              </w:rPr>
            </w:pPr>
            <w:r>
              <w:rPr>
                <w:noProof/>
                <w:sz w:val="22"/>
              </w:rPr>
              <w:t>COM(2014) 28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Az Európai Parlament és a Tanács 2007/46/EK irányelve (2007. szeptember 5.) a gépjárművek és pótkocsijaik, valamint az ilyen járművek rendszereinek, alkatrészeinek és önálló műszaki egységeinek jóváhagyásáról („keretirányelv”)</w:t>
            </w:r>
          </w:p>
        </w:tc>
        <w:tc>
          <w:tcPr>
            <w:tcW w:w="2340" w:type="dxa"/>
          </w:tcPr>
          <w:p>
            <w:pPr>
              <w:spacing w:before="0" w:after="0"/>
              <w:jc w:val="left"/>
              <w:rPr>
                <w:bCs/>
                <w:noProof/>
                <w:sz w:val="22"/>
              </w:rPr>
            </w:pPr>
            <w:r>
              <w:rPr>
                <w:noProof/>
                <w:sz w:val="22"/>
              </w:rPr>
              <w:t>COM(2016) 31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Az Európai Parlament és a Tanács 97/68/EK irányelve (1997. december 16.) a nem közúti mozgó gépekbe és berendezésekbe szánt belső égésű motorok gáz- és szilárd halmazállapotú szennyezőanyag-kibocsátása elleni intézkedésekre vonatkozó tagállami jogszabályok közelítéséről</w:t>
            </w:r>
          </w:p>
        </w:tc>
        <w:tc>
          <w:tcPr>
            <w:tcW w:w="2340" w:type="dxa"/>
          </w:tcPr>
          <w:p>
            <w:pPr>
              <w:spacing w:before="0" w:after="0"/>
              <w:jc w:val="left"/>
              <w:rPr>
                <w:bCs/>
                <w:noProof/>
                <w:sz w:val="22"/>
              </w:rPr>
            </w:pPr>
            <w:r>
              <w:rPr>
                <w:noProof/>
                <w:sz w:val="22"/>
              </w:rPr>
              <w:t>COM(2014) 581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Az Európai Parlament és a Tanács 715/2007/EK rendelete (2007. június 20.) a könnyű személygépjárművek és haszongépjárművek (Euro 5 és Euro 6) kibocsátás tekintetében történő típusjóváhagyásáról és a járműjavítási és -karbantartási információk elérhetőségéről</w:t>
            </w:r>
          </w:p>
        </w:tc>
        <w:tc>
          <w:tcPr>
            <w:tcW w:w="2340" w:type="dxa"/>
          </w:tcPr>
          <w:p>
            <w:pPr>
              <w:spacing w:before="0" w:after="0"/>
              <w:jc w:val="left"/>
              <w:rPr>
                <w:bCs/>
                <w:noProof/>
                <w:sz w:val="22"/>
              </w:rPr>
            </w:pPr>
            <w:r>
              <w:rPr>
                <w:noProof/>
                <w:sz w:val="22"/>
              </w:rPr>
              <w:t>COM(2014) 28 final</w:t>
            </w: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Az Európai Parlament és a Tanács 2008/98/EK irányelve (2008. november 19.) a hulladékokról és egyes irányelvek hatályon kívül helyezéséről („hulladékügyi keretirányelv”)</w:t>
            </w:r>
          </w:p>
        </w:tc>
        <w:tc>
          <w:tcPr>
            <w:tcW w:w="2340" w:type="dxa"/>
          </w:tcPr>
          <w:p>
            <w:pPr>
              <w:spacing w:before="0" w:after="0"/>
              <w:jc w:val="left"/>
              <w:rPr>
                <w:bCs/>
                <w:noProof/>
                <w:sz w:val="22"/>
              </w:rPr>
            </w:pPr>
            <w:r>
              <w:rPr>
                <w:noProof/>
                <w:sz w:val="22"/>
              </w:rPr>
              <w:t>COM(2015) 595</w:t>
            </w:r>
          </w:p>
          <w:p>
            <w:pPr>
              <w:spacing w:before="0" w:after="0"/>
              <w:jc w:val="left"/>
              <w:rPr>
                <w:bCs/>
                <w:noProof/>
                <w:sz w:val="22"/>
              </w:rPr>
            </w:pP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A Tanács 1999/31/EK irányelve (1999. április 26.) a hulladéklerakókról</w:t>
            </w:r>
          </w:p>
        </w:tc>
        <w:tc>
          <w:tcPr>
            <w:tcW w:w="2340" w:type="dxa"/>
          </w:tcPr>
          <w:p>
            <w:pPr>
              <w:spacing w:before="0" w:after="0"/>
              <w:jc w:val="left"/>
              <w:rPr>
                <w:bCs/>
                <w:noProof/>
                <w:sz w:val="22"/>
              </w:rPr>
            </w:pPr>
            <w:r>
              <w:rPr>
                <w:noProof/>
                <w:sz w:val="22"/>
              </w:rPr>
              <w:t>COM(2015) 594</w:t>
            </w:r>
          </w:p>
          <w:p>
            <w:pPr>
              <w:spacing w:before="0" w:after="0"/>
              <w:jc w:val="left"/>
              <w:rPr>
                <w:bCs/>
                <w:noProof/>
                <w:sz w:val="22"/>
              </w:rPr>
            </w:pP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Az Európai Parlament és a Tanács 94/62/EK irányelve (1994. december 20.) a csomagolásról és a csomagolási hulladékról</w:t>
            </w:r>
          </w:p>
        </w:tc>
        <w:tc>
          <w:tcPr>
            <w:tcW w:w="2340" w:type="dxa"/>
          </w:tcPr>
          <w:p>
            <w:pPr>
              <w:spacing w:before="0" w:after="0"/>
              <w:jc w:val="left"/>
              <w:rPr>
                <w:bCs/>
                <w:noProof/>
                <w:sz w:val="22"/>
              </w:rPr>
            </w:pPr>
            <w:r>
              <w:rPr>
                <w:noProof/>
                <w:sz w:val="22"/>
              </w:rPr>
              <w:t>COM(2015) 593</w:t>
            </w:r>
          </w:p>
          <w:p>
            <w:pPr>
              <w:spacing w:before="0" w:after="0"/>
              <w:jc w:val="left"/>
              <w:rPr>
                <w:bCs/>
                <w:i/>
                <w:noProof/>
                <w:sz w:val="22"/>
              </w:rPr>
            </w:pPr>
          </w:p>
        </w:tc>
      </w:tr>
      <w:tr>
        <w:tc>
          <w:tcPr>
            <w:tcW w:w="1308" w:type="dxa"/>
          </w:tcPr>
          <w:p>
            <w:pPr>
              <w:spacing w:before="0" w:after="0"/>
              <w:jc w:val="left"/>
              <w:rPr>
                <w:noProof/>
                <w:sz w:val="22"/>
              </w:rPr>
            </w:pPr>
            <w:r>
              <w:rPr>
                <w:noProof/>
                <w:sz w:val="22"/>
              </w:rPr>
              <w:t xml:space="preserve">ENV </w:t>
            </w:r>
          </w:p>
        </w:tc>
        <w:tc>
          <w:tcPr>
            <w:tcW w:w="5640" w:type="dxa"/>
          </w:tcPr>
          <w:p>
            <w:pPr>
              <w:spacing w:before="0" w:after="0"/>
              <w:jc w:val="left"/>
              <w:rPr>
                <w:bCs/>
                <w:noProof/>
                <w:sz w:val="22"/>
              </w:rPr>
            </w:pPr>
            <w:r>
              <w:rPr>
                <w:noProof/>
                <w:sz w:val="22"/>
              </w:rPr>
              <w:t>A Tanács 338/97/EK rendelete (1996. december 9.) a vadon élő állat- és növényfajok számára kereskedelmük szabályozása által biztosított védelemről</w:t>
            </w:r>
          </w:p>
        </w:tc>
        <w:tc>
          <w:tcPr>
            <w:tcW w:w="2340" w:type="dxa"/>
          </w:tcPr>
          <w:p>
            <w:pPr>
              <w:spacing w:before="0" w:after="0"/>
              <w:jc w:val="left"/>
              <w:rPr>
                <w:bCs/>
                <w:noProof/>
                <w:sz w:val="22"/>
              </w:rPr>
            </w:pPr>
            <w:r>
              <w:rPr>
                <w:noProof/>
                <w:sz w:val="22"/>
              </w:rPr>
              <w:t>COM(2012) 403</w:t>
            </w:r>
          </w:p>
        </w:tc>
      </w:tr>
      <w:tr>
        <w:tc>
          <w:tcPr>
            <w:tcW w:w="1308" w:type="dxa"/>
          </w:tcPr>
          <w:p>
            <w:pPr>
              <w:spacing w:before="0" w:after="0"/>
              <w:jc w:val="left"/>
              <w:rPr>
                <w:noProof/>
                <w:sz w:val="22"/>
              </w:rPr>
            </w:pPr>
            <w:r>
              <w:rPr>
                <w:noProof/>
                <w:sz w:val="22"/>
              </w:rPr>
              <w:t>ESTAT</w:t>
            </w:r>
          </w:p>
        </w:tc>
        <w:tc>
          <w:tcPr>
            <w:tcW w:w="5640" w:type="dxa"/>
          </w:tcPr>
          <w:p>
            <w:pPr>
              <w:spacing w:before="0" w:after="0"/>
              <w:jc w:val="left"/>
              <w:rPr>
                <w:bCs/>
                <w:noProof/>
                <w:sz w:val="22"/>
              </w:rPr>
            </w:pPr>
            <w:r>
              <w:rPr>
                <w:noProof/>
                <w:sz w:val="22"/>
              </w:rPr>
              <w:t>Az Európai Parlament és a Tanács 1177/2003/EK rendelete (2003. június 16.) a jövedelmekre és életkörülményekre vonatkozó közösségi statisztikáról (EU-SILC)</w:t>
            </w:r>
          </w:p>
        </w:tc>
        <w:tc>
          <w:tcPr>
            <w:tcW w:w="2340" w:type="dxa"/>
          </w:tcPr>
          <w:p>
            <w:pPr>
              <w:spacing w:before="0" w:after="0"/>
              <w:jc w:val="left"/>
              <w:rPr>
                <w:bCs/>
                <w:noProof/>
                <w:sz w:val="22"/>
              </w:rPr>
            </w:pPr>
            <w:r>
              <w:rPr>
                <w:noProof/>
                <w:sz w:val="22"/>
              </w:rPr>
              <w:t xml:space="preserve">COM(2016) 551 – hatályon kívül helyezésre irányuló javaslat </w:t>
            </w:r>
          </w:p>
        </w:tc>
      </w:tr>
      <w:tr>
        <w:tc>
          <w:tcPr>
            <w:tcW w:w="1308" w:type="dxa"/>
            <w:shd w:val="clear" w:color="auto" w:fill="FFFFFF" w:themeFill="background1"/>
          </w:tcPr>
          <w:p>
            <w:pPr>
              <w:spacing w:before="0" w:after="0"/>
              <w:jc w:val="left"/>
              <w:rPr>
                <w:noProof/>
                <w:sz w:val="22"/>
              </w:rPr>
            </w:pPr>
            <w:r>
              <w:rPr>
                <w:noProof/>
                <w:sz w:val="22"/>
              </w:rPr>
              <w:t>MOVE</w:t>
            </w:r>
          </w:p>
        </w:tc>
        <w:tc>
          <w:tcPr>
            <w:tcW w:w="5640" w:type="dxa"/>
            <w:shd w:val="clear" w:color="auto" w:fill="FFFFFF" w:themeFill="background1"/>
          </w:tcPr>
          <w:p>
            <w:pPr>
              <w:spacing w:before="0" w:after="0"/>
              <w:jc w:val="left"/>
              <w:rPr>
                <w:noProof/>
                <w:sz w:val="22"/>
              </w:rPr>
            </w:pPr>
            <w:r>
              <w:rPr>
                <w:noProof/>
                <w:sz w:val="22"/>
              </w:rPr>
              <w:t xml:space="preserve">Az Európai Parlament és a Tanács 2006/87/EK irányelve (2016. december 12.) a belvízi hajókra vonatkozó műszaki követelmények megállapításáról </w:t>
            </w:r>
          </w:p>
        </w:tc>
        <w:tc>
          <w:tcPr>
            <w:tcW w:w="2340" w:type="dxa"/>
            <w:shd w:val="clear" w:color="auto" w:fill="FFFFFF" w:themeFill="background1"/>
          </w:tcPr>
          <w:p>
            <w:pPr>
              <w:spacing w:before="0" w:after="0"/>
              <w:jc w:val="left"/>
              <w:rPr>
                <w:noProof/>
                <w:sz w:val="22"/>
              </w:rPr>
            </w:pPr>
            <w:r>
              <w:rPr>
                <w:noProof/>
                <w:sz w:val="22"/>
              </w:rPr>
              <w:t>COM(2013) 622</w:t>
            </w:r>
          </w:p>
        </w:tc>
      </w:tr>
      <w:tr>
        <w:tc>
          <w:tcPr>
            <w:tcW w:w="1308" w:type="dxa"/>
            <w:shd w:val="clear" w:color="auto" w:fill="FFFFFF" w:themeFill="background1"/>
          </w:tcPr>
          <w:p>
            <w:pPr>
              <w:spacing w:before="0" w:after="0"/>
              <w:jc w:val="left"/>
              <w:rPr>
                <w:noProof/>
                <w:sz w:val="22"/>
              </w:rPr>
            </w:pPr>
            <w:r>
              <w:rPr>
                <w:noProof/>
                <w:sz w:val="22"/>
              </w:rPr>
              <w:t>MOVE</w:t>
            </w:r>
          </w:p>
        </w:tc>
        <w:tc>
          <w:tcPr>
            <w:tcW w:w="5640" w:type="dxa"/>
            <w:shd w:val="clear" w:color="auto" w:fill="FFFFFF" w:themeFill="background1"/>
          </w:tcPr>
          <w:p>
            <w:pPr>
              <w:spacing w:before="0" w:after="0"/>
              <w:jc w:val="left"/>
              <w:rPr>
                <w:noProof/>
                <w:sz w:val="22"/>
              </w:rPr>
            </w:pPr>
            <w:r>
              <w:rPr>
                <w:noProof/>
                <w:sz w:val="22"/>
              </w:rPr>
              <w:t xml:space="preserve">Az Európai Parlament és a Tanács 2002/30/EK irányelve (2002. március 26.) a Közösség repülőterein a zajvédelemmel összefüggő üzemeltetési korlátozások bevezetésére vonatkozó szabályok és eljárások megállapításáról </w:t>
            </w:r>
          </w:p>
        </w:tc>
        <w:tc>
          <w:tcPr>
            <w:tcW w:w="2340" w:type="dxa"/>
            <w:shd w:val="clear" w:color="auto" w:fill="FFFFFF" w:themeFill="background1"/>
          </w:tcPr>
          <w:p>
            <w:pPr>
              <w:spacing w:before="0" w:after="0"/>
              <w:jc w:val="left"/>
              <w:rPr>
                <w:noProof/>
                <w:sz w:val="22"/>
              </w:rPr>
            </w:pPr>
            <w:r>
              <w:rPr>
                <w:noProof/>
                <w:sz w:val="22"/>
              </w:rPr>
              <w:t>COM(2011) 828</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A Tanács 96/50/EK irányelve (1996. július 23.) a Közösségen belüli belvízi árufuvarozásra és személyszállításra vonatkozó nemzeti hajóvezetői bizonyítvány megszerzési feltételeinek összehangolásáról</w:t>
            </w:r>
          </w:p>
        </w:tc>
        <w:tc>
          <w:tcPr>
            <w:tcW w:w="2340" w:type="dxa"/>
          </w:tcPr>
          <w:p>
            <w:pPr>
              <w:spacing w:before="0" w:after="0"/>
              <w:jc w:val="left"/>
              <w:rPr>
                <w:noProof/>
                <w:sz w:val="22"/>
              </w:rPr>
            </w:pPr>
            <w:r>
              <w:rPr>
                <w:noProof/>
                <w:sz w:val="22"/>
              </w:rPr>
              <w:t>COM(2016) 82 final</w:t>
            </w:r>
          </w:p>
        </w:tc>
      </w:tr>
      <w:tr>
        <w:trPr>
          <w:trHeight w:val="169"/>
        </w:trP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A Tanács 91/672/EGK irányelve (1991. december 16.) a belvízi áru- és személyszállításra vonatkozó nemzeti hajóvezetői bizonyítványok kölcsönös elismeréséről</w:t>
            </w:r>
          </w:p>
        </w:tc>
        <w:tc>
          <w:tcPr>
            <w:tcW w:w="2340" w:type="dxa"/>
          </w:tcPr>
          <w:p>
            <w:pPr>
              <w:spacing w:before="0" w:after="0"/>
              <w:jc w:val="left"/>
              <w:rPr>
                <w:noProof/>
                <w:sz w:val="22"/>
              </w:rPr>
            </w:pPr>
            <w:r>
              <w:rPr>
                <w:noProof/>
                <w:sz w:val="22"/>
              </w:rPr>
              <w:t>COM(2016) 82 final</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Az Európai Parlament és a Tanács 2009/45/EK irányelve (2009. május 6.) a személyhajókra vonatkozó biztonsági szabályokról és követelményekről (Átdolgozás)</w:t>
            </w:r>
          </w:p>
        </w:tc>
        <w:tc>
          <w:tcPr>
            <w:tcW w:w="2340" w:type="dxa"/>
          </w:tcPr>
          <w:p>
            <w:pPr>
              <w:spacing w:before="0" w:after="0"/>
              <w:jc w:val="left"/>
              <w:rPr>
                <w:noProof/>
                <w:sz w:val="22"/>
              </w:rPr>
            </w:pPr>
            <w:r>
              <w:rPr>
                <w:noProof/>
                <w:sz w:val="22"/>
              </w:rPr>
              <w:t>COM(2016) 369</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A Tanács 1999/35/EK irányelve (1999. április 29.) a menetrend szerint közlekedő ro-ro komphajók és gyorsjáratú személyszállító vízi járművek biztonságos üzemeltetésének érdekében végzett kötelező szemlék rendszeréről</w:t>
            </w:r>
          </w:p>
        </w:tc>
        <w:tc>
          <w:tcPr>
            <w:tcW w:w="2340" w:type="dxa"/>
          </w:tcPr>
          <w:p>
            <w:pPr>
              <w:spacing w:before="0" w:after="0"/>
              <w:jc w:val="left"/>
              <w:rPr>
                <w:noProof/>
                <w:sz w:val="22"/>
              </w:rPr>
            </w:pPr>
            <w:r>
              <w:rPr>
                <w:noProof/>
                <w:sz w:val="22"/>
              </w:rPr>
              <w:t>COM(2016) 371</w:t>
            </w:r>
          </w:p>
        </w:tc>
      </w:tr>
      <w:tr>
        <w:tc>
          <w:tcPr>
            <w:tcW w:w="1308" w:type="dxa"/>
          </w:tcPr>
          <w:p>
            <w:pPr>
              <w:spacing w:before="0" w:after="0"/>
              <w:jc w:val="left"/>
              <w:rPr>
                <w:noProof/>
                <w:sz w:val="22"/>
              </w:rPr>
            </w:pPr>
            <w:r>
              <w:rPr>
                <w:noProof/>
                <w:sz w:val="22"/>
              </w:rPr>
              <w:t xml:space="preserve">MOVE </w:t>
            </w:r>
          </w:p>
        </w:tc>
        <w:tc>
          <w:tcPr>
            <w:tcW w:w="5640" w:type="dxa"/>
          </w:tcPr>
          <w:p>
            <w:pPr>
              <w:spacing w:before="0" w:after="0"/>
              <w:jc w:val="left"/>
              <w:rPr>
                <w:noProof/>
                <w:sz w:val="22"/>
              </w:rPr>
            </w:pPr>
            <w:r>
              <w:rPr>
                <w:noProof/>
                <w:sz w:val="22"/>
              </w:rPr>
              <w:t>A Tanács 98/41/EK irányelve (1998. június 18.) a Közösség tagállamainak kikötőibe érkező vagy onnan induló személyhajókon utazó személyek nyilvántartásáról</w:t>
            </w:r>
          </w:p>
        </w:tc>
        <w:tc>
          <w:tcPr>
            <w:tcW w:w="2340" w:type="dxa"/>
          </w:tcPr>
          <w:p>
            <w:pPr>
              <w:spacing w:before="0" w:after="0"/>
              <w:jc w:val="left"/>
              <w:rPr>
                <w:noProof/>
                <w:sz w:val="22"/>
              </w:rPr>
            </w:pPr>
            <w:r>
              <w:rPr>
                <w:noProof/>
                <w:sz w:val="22"/>
              </w:rPr>
              <w:t>COM(2016) 370</w:t>
            </w:r>
          </w:p>
        </w:tc>
      </w:tr>
      <w:tr>
        <w:tc>
          <w:tcPr>
            <w:tcW w:w="1308" w:type="dxa"/>
          </w:tcPr>
          <w:p>
            <w:pPr>
              <w:spacing w:before="0" w:after="0"/>
              <w:jc w:val="left"/>
              <w:rPr>
                <w:noProof/>
                <w:sz w:val="22"/>
              </w:rPr>
            </w:pPr>
            <w:r>
              <w:rPr>
                <w:noProof/>
                <w:sz w:val="22"/>
              </w:rPr>
              <w:t xml:space="preserve">SANTE </w:t>
            </w:r>
          </w:p>
        </w:tc>
        <w:tc>
          <w:tcPr>
            <w:tcW w:w="5640" w:type="dxa"/>
          </w:tcPr>
          <w:p>
            <w:pPr>
              <w:spacing w:before="0" w:after="0"/>
              <w:rPr>
                <w:bCs/>
                <w:noProof/>
                <w:sz w:val="22"/>
              </w:rPr>
            </w:pPr>
            <w:r>
              <w:rPr>
                <w:noProof/>
                <w:sz w:val="22"/>
              </w:rPr>
              <w:t>Az Európai Parlament és a Tanács 726/2004/EK rendelete (2004. március 31.) az emberi, illetve állatgyógyászati felhasználásra szánt gyógyszerek engedélyezésére és felügyeletére vonatkozó közösségi eljárások meghatározásáról és az Európai Gyógyszerügynökség létrehozásáról</w:t>
            </w:r>
          </w:p>
        </w:tc>
        <w:tc>
          <w:tcPr>
            <w:tcW w:w="2340" w:type="dxa"/>
          </w:tcPr>
          <w:p>
            <w:pPr>
              <w:spacing w:before="0" w:after="0"/>
              <w:jc w:val="left"/>
              <w:rPr>
                <w:bCs/>
                <w:noProof/>
                <w:sz w:val="22"/>
              </w:rPr>
            </w:pPr>
            <w:r>
              <w:rPr>
                <w:noProof/>
                <w:sz w:val="22"/>
              </w:rPr>
              <w:t>COM(2014) 557</w:t>
            </w:r>
          </w:p>
        </w:tc>
      </w:tr>
    </w:tbl>
    <w:p>
      <w:pPr>
        <w:pBdr>
          <w:top w:val="nil"/>
          <w:left w:val="nil"/>
          <w:bottom w:val="nil"/>
          <w:right w:val="nil"/>
          <w:between w:val="nil"/>
          <w:bar w:val="nil"/>
        </w:pBdr>
        <w:spacing w:before="0" w:after="240"/>
        <w:rPr>
          <w:rFonts w:eastAsia="Arial Unicode MS"/>
          <w:noProof/>
          <w:sz w:val="22"/>
        </w:rPr>
      </w:pPr>
      <w:r>
        <w:rPr>
          <w:noProof/>
          <w:sz w:val="22"/>
        </w:rPr>
        <w:t xml:space="preserve">Az alábbiakban felsorolt, az ellenőrzéssel történő szabályozási bizottsági eljárásra utaló jogi aktusok kapcsán a Bizottság külön érdemi felülvizsgálatot tervez, de a kapcsolódó jogalkotási javaslatot még nem fogadta el. A kiigazításra a tervezett felülvizsgálat keretében fog sor kerülni. </w:t>
      </w:r>
    </w:p>
    <w:p>
      <w:pPr>
        <w:pBdr>
          <w:top w:val="nil"/>
          <w:left w:val="nil"/>
          <w:bottom w:val="nil"/>
          <w:right w:val="nil"/>
          <w:between w:val="nil"/>
          <w:bar w:val="nil"/>
        </w:pBdr>
        <w:spacing w:before="0" w:after="240"/>
        <w:rPr>
          <w:rFonts w:eastAsia="Arial Unicode MS"/>
          <w:b/>
          <w:noProof/>
          <w:sz w:val="22"/>
        </w:rPr>
      </w:pPr>
      <w:r>
        <w:rPr>
          <w:b/>
          <w:noProof/>
          <w:sz w:val="22"/>
        </w:rPr>
        <w:t>4. táblázat: Azon jogi aktusok jegyzéke, amelyekkel kapcsolatban a Bizottság jogalkotási javaslat előterjesztését tervezi</w:t>
      </w:r>
    </w:p>
    <w:tbl>
      <w:tblPr>
        <w:tblW w:w="5000" w:type="pct"/>
        <w:tblLook w:val="04A0" w:firstRow="1" w:lastRow="0" w:firstColumn="1" w:lastColumn="0" w:noHBand="0" w:noVBand="1"/>
      </w:tblPr>
      <w:tblGrid>
        <w:gridCol w:w="1308"/>
        <w:gridCol w:w="7981"/>
      </w:tblGrid>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b/>
                <w:noProof/>
                <w:sz w:val="22"/>
              </w:rPr>
              <w:t>Szakterület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b/>
                <w:noProof/>
                <w:sz w:val="22"/>
              </w:rPr>
              <w:t>Jogi aktus</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AGRI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noProof/>
                <w:sz w:val="22"/>
              </w:rPr>
              <w:t>Az Európai Parlament és a Tanács 110/2008/EK rendelete (2008. január 15.) a szeszes italok meghatározásáról, megnevezéséről, kiszereléséről, címkézéséről és földrajzi árujelzőinek oltalmáról, valamint az 1576/89/EGK tanácsi rendelet hatályon kívül helyezéséről</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CLIMA</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Az Európai Parlament és a Tanács 2009/31/EK irányelve (2009. április 23.) a szén-dioxid geológiai tárolásáról, valamint a 85/337/EGK tanácsi irányelv, a 2000/60/EK, a 2001/80/EK, a 2004/35/EK, a 2006/12/EK és a 2008/1/EK európai parlamenti és tanácsi irányelv, valamint az 1013/2006/EK rendelet módosításáról</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Az Európai Parlament és a Tanács 713/2009/EK rendelete (2009. július 13.) az Energiaszabályozók Együttműködési Ügynöksége létrehozásáról</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Az Európai Parlament és a Tanács 714/2009/EK rendelete (2009. július 13.) a villamos energia határokon keresztül történő kereskedelme esetén alkalmazandó hálózati hozzáférési feltételekről és az 1228/2003/EK rendelet hatályon kívül helyezéséről</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Az Európai Parlament és a Tanács 2009/72/EK irányelve (2009. július 13.) a villamos energia belső piacára vonatkozó közös szabályokról és a 2003/54/EK irányelv hatályon kívül helyezéséről</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ENV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Az Európai Parlament és a Tanács 850/2004/EK rendelete (2004. április 29.) a környezetben tartósan megmaradó szerves szennyező anyagokról és a 79/117/EGK irányelv módosításáról</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ENV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A Tanács 86/278/EGK irányelve (1986. június 12.) a szennyvíziszap mezőgazdasági felhasználása során a környezet és különösen a talaj védelméről</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ESTAT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Az Európai Parlament és a Tanács 1166/2008/EK rendelete (2008. november 19.) a gazdaságszerkezeti felmérésekről és a mezőgazdasági termelési módszereket vizsgáló felmérésről, valamint az 571/88/EGK tanácsi rendelet hatályon kívül helyezéséről</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ESTAT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Az Európai Parlament és a Tanács 1059/2003/EK rendelete (2003. május 26.) a statisztikai célú területi egységek nómenklatúrájának (NUTS) létrehozásáról</w:t>
            </w:r>
          </w:p>
        </w:tc>
      </w:tr>
    </w:tbl>
    <w:p>
      <w:pPr>
        <w:pStyle w:val="ManualHeading1"/>
        <w:rPr>
          <w:noProof/>
        </w:rPr>
      </w:pPr>
      <w:r>
        <w:rPr>
          <w:noProof/>
        </w:rPr>
        <w:t xml:space="preserve">4. </w:t>
      </w:r>
      <w:r>
        <w:rPr>
          <w:noProof/>
        </w:rPr>
        <w:tab/>
        <w:t xml:space="preserve">JOGALAP, SZUBSZIDIARITÁS </w:t>
      </w:r>
    </w:p>
    <w:p>
      <w:pPr>
        <w:pBdr>
          <w:top w:val="nil"/>
          <w:left w:val="nil"/>
          <w:bottom w:val="nil"/>
          <w:right w:val="nil"/>
          <w:between w:val="nil"/>
          <w:bar w:val="nil"/>
        </w:pBdr>
        <w:spacing w:before="0" w:after="240"/>
        <w:rPr>
          <w:rFonts w:eastAsia="Arial Unicode MS"/>
          <w:noProof/>
        </w:rPr>
      </w:pPr>
      <w:r>
        <w:rPr>
          <w:noProof/>
        </w:rPr>
        <w:t xml:space="preserve">A javaslat jogalapja megegyezik az összes módosítandó alap-jogiaktus jogalapjával. </w:t>
      </w:r>
    </w:p>
    <w:p>
      <w:pPr>
        <w:pBdr>
          <w:top w:val="nil"/>
          <w:left w:val="nil"/>
          <w:bottom w:val="nil"/>
          <w:right w:val="nil"/>
          <w:between w:val="nil"/>
          <w:bar w:val="nil"/>
        </w:pBdr>
        <w:spacing w:before="0" w:after="240"/>
        <w:rPr>
          <w:rFonts w:eastAsia="Arial Unicode MS"/>
          <w:noProof/>
        </w:rPr>
      </w:pPr>
      <w:r>
        <w:rPr>
          <w:noProof/>
        </w:rPr>
        <w:t xml:space="preserve">A kezdeményezés kizárólag a jogi aktusok hatáskör-átruházás alapján történő elfogadására irányadó uniós szintű eljárásokat érinti.   </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2016/0400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ellenőrzésről történő szabályozási bizottsági eljárás alkalmazását előíró egyes jogi aktusoknak az Európai Unió működéséről szóló szerződés 290. és 291. cikkéhez történő hozzáigazításáról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color w:val="0000FF"/>
        </w:rPr>
      </w:pPr>
      <w:r>
        <w:rPr>
          <w:noProof/>
        </w:rPr>
        <w:t>tekintettel az Európai Unió működéséről szóló szerződésre és különösen annak 33. cikkére, 43. cikke (2) bekezdésére, 53. cikke (1) bekezdésére, 62. cikkére, 64. cikke (2) bekezdésére, 91. cikkére, 100. cikke (2) bekezdésére, 114. cikkére, 153. cikke (2) bekezdésének b) pontjára, 168. cikke (4) bekezdésének a) és b) pontjára, 172. cikkére, 192. cikke (1) bekezdésére, 207. cikkére, 214. cikke (3) bekezdésére és 338. cikke (1)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15"/>
      </w:r>
      <w:r>
        <w:rPr>
          <w:noProof/>
        </w:rPr>
        <w:t xml:space="preserve"> </w:t>
      </w:r>
    </w:p>
    <w:p>
      <w:pPr>
        <w:rPr>
          <w:noProof/>
        </w:rPr>
      </w:pPr>
      <w:r>
        <w:rPr>
          <w:noProof/>
        </w:rPr>
        <w:t>tekintettel a Régiók Bizottsága véleményére,</w:t>
      </w:r>
      <w:r>
        <w:rPr>
          <w:rStyle w:val="FootnoteReference"/>
          <w:noProof/>
        </w:rPr>
        <w:footnoteReference w:id="16"/>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 Lisszaboni Szerződés különbséget vezetett be a Bizottságra ruházott hatáskörök között aszerint, hogy a jogalkotási aktusok egyes nem alapvető rendelkezéseit kiegészítő, illetve módosító általános hatályú nem jogalkotási aktusok (felhatalmazáson alapuló jogi aktusok), vagy a kötelező erejű uniós jogi aktusok végrehajtásának egységes feltételeit biztosító aktusok (végrehajtási jogi aktusok) elfogadására vonatkoznak-e.</w:t>
      </w:r>
    </w:p>
    <w:p>
      <w:pPr>
        <w:pStyle w:val="ManualConsidrant"/>
        <w:rPr>
          <w:noProof/>
        </w:rPr>
      </w:pPr>
      <w:r>
        <w:t>(2)</w:t>
      </w:r>
      <w:r>
        <w:tab/>
      </w:r>
      <w:r>
        <w:rPr>
          <w:noProof/>
        </w:rPr>
        <w:t>Az Európai Unió működéséről szóló szerződés (EUMSZ) 290. cikkének (1) bekezdése szerinti felhatalmazás alapján elfogadható intézkedések lényegében megfelelnek az 1999/468/EK tanácsi határozat</w:t>
      </w:r>
      <w:r>
        <w:rPr>
          <w:rStyle w:val="FootnoteReference"/>
          <w:noProof/>
        </w:rPr>
        <w:footnoteReference w:id="17"/>
      </w:r>
      <w:r>
        <w:rPr>
          <w:noProof/>
        </w:rPr>
        <w:t xml:space="preserve"> 5a. cikkével bevezetett ellenőrzéssel történő szabályozási bizottsági eljárás hatálya alá tartozó intézkedéseknek. </w:t>
      </w:r>
    </w:p>
    <w:p>
      <w:pPr>
        <w:pStyle w:val="ManualConsidrant"/>
        <w:rPr>
          <w:noProof/>
        </w:rPr>
      </w:pPr>
      <w:r>
        <w:t>(3)</w:t>
      </w:r>
      <w:r>
        <w:tab/>
      </w:r>
      <w:r>
        <w:rPr>
          <w:noProof/>
        </w:rPr>
        <w:t>Az ellenőrzéssel történő szabályozási bizottsági eljárásra utaló jogi aktusoknak a Lisszaboni Szerződéssel bevezetett jogi kerethez történő hozzáigazítása érdekében korábban előterjesztett jogalkotási javaslatokat</w:t>
      </w:r>
      <w:r>
        <w:rPr>
          <w:rStyle w:val="FootnoteReference"/>
          <w:noProof/>
        </w:rPr>
        <w:footnoteReference w:id="18"/>
      </w:r>
      <w:r>
        <w:rPr>
          <w:noProof/>
        </w:rPr>
        <w:t xml:space="preserve"> a Bizottság az intézményközi egyeztetések stagnálása miatt visszavonta.</w:t>
      </w:r>
      <w:r>
        <w:rPr>
          <w:rStyle w:val="FootnoteReference"/>
          <w:noProof/>
        </w:rPr>
        <w:footnoteReference w:id="19"/>
      </w:r>
      <w:r>
        <w:rPr>
          <w:noProof/>
        </w:rPr>
        <w:t xml:space="preserve"> </w:t>
      </w:r>
    </w:p>
    <w:p>
      <w:pPr>
        <w:pStyle w:val="ManualConsidrant"/>
        <w:rPr>
          <w:noProof/>
        </w:rPr>
      </w:pPr>
      <w:r>
        <w:t>(4)</w:t>
      </w:r>
      <w:r>
        <w:tab/>
      </w:r>
      <w:r>
        <w:rPr>
          <w:noProof/>
        </w:rPr>
        <w:t xml:space="preserve"> Ezt követően az Európai Parlament, a Tanács és a Bizottság a jogalkotás minőségének javításáról szóló 2016. április 13-i intézményközi megállapodásban</w:t>
      </w:r>
      <w:r>
        <w:rPr>
          <w:rStyle w:val="FootnoteReference"/>
          <w:noProof/>
        </w:rPr>
        <w:footnoteReference w:id="20"/>
      </w:r>
      <w:r>
        <w:rPr>
          <w:noProof/>
        </w:rPr>
        <w:t xml:space="preserve"> új keretet határozott meg a felhatalmazáson alapuló jogi aktusok számára, és megállapította, hogy minden meglévő jogi aktust hozzá kell igazítani a Lisszaboni Szerződéssel bevezetett jogi kerethez. Ezen belül a három intézmény megállapodott különösen arról, hogy kiemelt prioritásként mielőbb ki kell igazítani mindazokat az alap-jogiaktusokat, amelyek még mindig az ellenőrzéssel történő szabályozási bizottsági eljárásra utalnak. A Bizottság vállalta, hogy e kiigazítás céljából 2016 végéig jogalkotási javaslatot terjeszt elő.</w:t>
      </w:r>
    </w:p>
    <w:p>
      <w:pPr>
        <w:pStyle w:val="ManualConsidrant"/>
        <w:rPr>
          <w:noProof/>
        </w:rPr>
      </w:pPr>
      <w:r>
        <w:t>(5)</w:t>
      </w:r>
      <w:r>
        <w:tab/>
      </w:r>
      <w:r>
        <w:rPr>
          <w:noProof/>
        </w:rPr>
        <w:t xml:space="preserve">Az alap-jogiaktusokban foglalt, az ellenőrzéssel történő szabályozási bizottsági eljárásról rendelkező hatáskör-átruházások többsége teljesíti az EUMSZ 290. cikkének (1) bekezdésében foglalt kritériumokat, ezért ehhez a rendelkezéshez kell hozzáigazítani. </w:t>
      </w:r>
    </w:p>
    <w:p>
      <w:pPr>
        <w:pStyle w:val="ManualConsidrant"/>
        <w:rPr>
          <w:noProof/>
        </w:rPr>
      </w:pPr>
      <w:r>
        <w:t>(6)</w:t>
      </w:r>
      <w:r>
        <w:tab/>
      </w:r>
      <w:r>
        <w:rPr>
          <w:noProof/>
        </w:rPr>
        <w:t>Az alap-jogiaktusokban foglalt, az ellenőrzéssel történő szabályozási bizottsági eljárásról rendelkező további hatáskör-átruházások teljesítik az EUMSZ 291. cikkének (2) bekezdésében foglalt kritériumokat, ezért ehhez a rendelkezéshez kell őket hozzáigazítani.</w:t>
      </w:r>
    </w:p>
    <w:p>
      <w:pPr>
        <w:pStyle w:val="ManualConsidrant"/>
        <w:rPr>
          <w:noProof/>
        </w:rPr>
      </w:pPr>
      <w:r>
        <w:t>(7)</w:t>
      </w:r>
      <w:r>
        <w:tab/>
      </w:r>
      <w:r>
        <w:rPr>
          <w:noProof/>
        </w:rPr>
        <w:t>Azokban az esetekben, amikor az alap-jogiaktus végrehajtási hatásköröket ruház a Bizottságra, ezeket a hatásköröket a 182/2011/EU európai parlamenti és tanácsi rendeletnek</w:t>
      </w:r>
      <w:r>
        <w:rPr>
          <w:rStyle w:val="FootnoteReference"/>
          <w:noProof/>
        </w:rPr>
        <w:footnoteReference w:id="21"/>
      </w:r>
      <w:r>
        <w:rPr>
          <w:noProof/>
        </w:rPr>
        <w:t xml:space="preserve"> megfelelően kell gyakorolni. </w:t>
      </w:r>
    </w:p>
    <w:p>
      <w:pPr>
        <w:pStyle w:val="ManualConsidrant"/>
        <w:rPr>
          <w:noProof/>
        </w:rPr>
      </w:pPr>
      <w:r>
        <w:t>(8)</w:t>
      </w:r>
      <w:r>
        <w:tab/>
      </w:r>
      <w:r>
        <w:rPr>
          <w:noProof/>
        </w:rPr>
        <w:t>Egyes, jelenleg az ellenőrzéssel történő szabályozási bizottsági eljárásról rendelkező alap-jogiaktusok esetében egyes hatáskör-átruházások elavulttá váltak, ezért el kell őket hagyni.</w:t>
      </w:r>
    </w:p>
    <w:p>
      <w:pPr>
        <w:pStyle w:val="ManualConsidrant"/>
        <w:rPr>
          <w:noProof/>
        </w:rPr>
      </w:pPr>
      <w:r>
        <w:t>(9)</w:t>
      </w:r>
      <w:r>
        <w:tab/>
      </w:r>
      <w:r>
        <w:rPr>
          <w:noProof/>
        </w:rPr>
        <w:t>Helyénvaló, hogy ez a rendelet ne érintse azokat a folyamatban lévő eljárásokat, amelyekben az illetékes bizottság e rendelet hatálybalépése előtt az 1999/468/EK határozat 5a. cikkének megfelelően már véleményt nyilvánított.</w:t>
      </w:r>
    </w:p>
    <w:p>
      <w:pPr>
        <w:pStyle w:val="ManualConsidrant"/>
        <w:rPr>
          <w:noProof/>
        </w:rPr>
      </w:pPr>
      <w:r>
        <w:t>(10)</w:t>
      </w:r>
      <w:r>
        <w:tab/>
      </w:r>
      <w:r>
        <w:rPr>
          <w:noProof/>
        </w:rPr>
        <w:t xml:space="preserve">Mivel az e rendeletben foglalt kiigazítások és módosítások kizárólag uniós szintű eljárásokat érintenek, a tagállamoknak az irányelvek esetében sem kell őket átültetniük nemzeti jogukba. </w:t>
      </w:r>
    </w:p>
    <w:p>
      <w:pPr>
        <w:pStyle w:val="ManualConsidrant"/>
        <w:rPr>
          <w:noProof/>
        </w:rPr>
      </w:pPr>
      <w:r>
        <w:t>(11)</w:t>
      </w:r>
      <w:r>
        <w:tab/>
      </w:r>
      <w:r>
        <w:rPr>
          <w:noProof/>
        </w:rPr>
        <w:t xml:space="preserve">Ezért az érintett jogi aktusokat a fentieknek megfelelően módosítani kell, </w:t>
      </w:r>
    </w:p>
    <w:p>
      <w:pPr>
        <w:pStyle w:val="Formuledadoption"/>
        <w:rPr>
          <w:noProof/>
        </w:rPr>
      </w:pPr>
      <w:r>
        <w:rPr>
          <w:noProof/>
        </w:rPr>
        <w:t>ELFOGADTA EZT A RENDELETET:</w:t>
      </w:r>
    </w:p>
    <w:p>
      <w:pPr>
        <w:pStyle w:val="Titrearticle"/>
        <w:rPr>
          <w:noProof/>
        </w:rPr>
      </w:pPr>
      <w:r>
        <w:rPr>
          <w:noProof/>
        </w:rPr>
        <w:t>1. cikk</w:t>
      </w:r>
    </w:p>
    <w:p>
      <w:pPr>
        <w:rPr>
          <w:noProof/>
        </w:rPr>
      </w:pPr>
      <w:r>
        <w:rPr>
          <w:noProof/>
        </w:rPr>
        <w:t xml:space="preserve">A mellékletben felsorolt jogi aktusok az ott meghatározott módon módosulnak. </w:t>
      </w:r>
    </w:p>
    <w:p>
      <w:pPr>
        <w:pStyle w:val="Titrearticle"/>
        <w:rPr>
          <w:noProof/>
        </w:rPr>
      </w:pPr>
      <w:r>
        <w:rPr>
          <w:noProof/>
        </w:rPr>
        <w:t>2. cikk</w:t>
      </w:r>
    </w:p>
    <w:p>
      <w:pPr>
        <w:rPr>
          <w:noProof/>
        </w:rPr>
      </w:pPr>
      <w:r>
        <w:rPr>
          <w:noProof/>
        </w:rPr>
        <w:t>Ez a rendelet nem érinti azokat a folyamatban lévő eljárásokat, amelyekben az illetékes bizottság az 1999/468/EK határozat 5a. cikkének megfelelően már véleményt nyilvánított.</w:t>
      </w:r>
    </w:p>
    <w:p>
      <w:pPr>
        <w:pStyle w:val="Titrearticle"/>
        <w:rPr>
          <w:noProof/>
        </w:rPr>
      </w:pPr>
      <w:r>
        <w:rPr>
          <w:noProof/>
        </w:rPr>
        <w:t>3. cikk</w:t>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pStyle w:val="Applicationdirecte"/>
        <w:rPr>
          <w:noProof/>
        </w:rPr>
      </w:pPr>
      <w:r>
        <w:rPr>
          <w:noProof/>
        </w:rPr>
        <w:t>Ez a rendelet teljes egészében kötelező és közvetlenül alkalmazandó valamennyi tagállamban.</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HL C 306., 2007.12.17.</w:t>
      </w:r>
    </w:p>
  </w:footnote>
  <w:footnote w:id="2">
    <w:p>
      <w:pPr>
        <w:pStyle w:val="FootnoteText"/>
        <w:rPr>
          <w:lang w:val="pt-PT"/>
        </w:rPr>
      </w:pPr>
      <w:r>
        <w:rPr>
          <w:rStyle w:val="FootnoteReference"/>
        </w:rPr>
        <w:footnoteRef/>
      </w:r>
      <w:r>
        <w:tab/>
        <w:t>HL L 184., 1999.7.17., 23. o.</w:t>
      </w:r>
    </w:p>
  </w:footnote>
  <w:footnote w:id="3">
    <w:p>
      <w:pPr>
        <w:pStyle w:val="FootnoteText"/>
        <w:rPr>
          <w:lang w:val="pt-PT"/>
        </w:rPr>
      </w:pPr>
      <w:r>
        <w:rPr>
          <w:rStyle w:val="FootnoteReference"/>
        </w:rPr>
        <w:footnoteRef/>
      </w:r>
      <w:r>
        <w:tab/>
        <w:t>HL L 55., 2011.2.28., 13. o.</w:t>
      </w:r>
    </w:p>
  </w:footnote>
  <w:footnote w:id="4">
    <w:p>
      <w:pPr>
        <w:pStyle w:val="FootnoteText"/>
        <w:rPr>
          <w:lang w:val="pt-PT"/>
        </w:rPr>
      </w:pPr>
      <w:r>
        <w:rPr>
          <w:rStyle w:val="FootnoteReference"/>
        </w:rPr>
        <w:footnoteRef/>
      </w:r>
      <w:r>
        <w:tab/>
        <w:t xml:space="preserve">HL L 55., 2011.2.28., 19. o.  </w:t>
      </w:r>
    </w:p>
  </w:footnote>
  <w:footnote w:id="5">
    <w:p>
      <w:pPr>
        <w:pStyle w:val="FootnoteText"/>
        <w:rPr>
          <w:lang w:val="pt-PT"/>
        </w:rPr>
      </w:pPr>
      <w:r>
        <w:rPr>
          <w:rStyle w:val="FootnoteReference"/>
        </w:rPr>
        <w:footnoteRef/>
      </w:r>
      <w:r>
        <w:tab/>
        <w:t>COM(2013) 451 final, COM(2013) 452 final és COM(2013) 751 final.</w:t>
      </w:r>
    </w:p>
  </w:footnote>
  <w:footnote w:id="6">
    <w:p>
      <w:pPr>
        <w:pStyle w:val="FootnoteText"/>
        <w:rPr>
          <w:lang w:val="pt-PT"/>
        </w:rPr>
      </w:pPr>
      <w:r>
        <w:rPr>
          <w:rStyle w:val="FootnoteReference"/>
        </w:rPr>
        <w:footnoteRef/>
      </w:r>
      <w:r>
        <w:tab/>
        <w:t>A7-0010/2014, P7_TA-PROV(2014) 0114, A7-0011/2014, P7_TA-PROV(2014) 0112.</w:t>
      </w:r>
    </w:p>
  </w:footnote>
  <w:footnote w:id="7">
    <w:p>
      <w:pPr>
        <w:pStyle w:val="FootnoteText"/>
        <w:rPr>
          <w:lang w:val="pt-PT"/>
        </w:rPr>
      </w:pPr>
      <w:r>
        <w:rPr>
          <w:rStyle w:val="FootnoteReference"/>
        </w:rPr>
        <w:footnoteRef/>
      </w:r>
      <w:r>
        <w:tab/>
        <w:t>COM(2014) 910 final.</w:t>
      </w:r>
    </w:p>
  </w:footnote>
  <w:footnote w:id="8">
    <w:p>
      <w:pPr>
        <w:pStyle w:val="FootnoteText"/>
      </w:pPr>
      <w:r>
        <w:rPr>
          <w:rStyle w:val="FootnoteReference"/>
        </w:rPr>
        <w:footnoteRef/>
      </w:r>
      <w:r>
        <w:tab/>
        <w:t>2015/C 80/08, HL C 80., 2015.2.7., 17. o.</w:t>
      </w:r>
    </w:p>
  </w:footnote>
  <w:footnote w:id="9">
    <w:p>
      <w:pPr>
        <w:pStyle w:val="FootnoteText"/>
      </w:pPr>
      <w:r>
        <w:rPr>
          <w:rStyle w:val="FootnoteReference"/>
        </w:rPr>
        <w:footnoteRef/>
      </w:r>
      <w:r>
        <w:tab/>
        <w:t>HL L 123., 2016.5.12., 1. o.</w:t>
      </w:r>
    </w:p>
  </w:footnote>
  <w:footnote w:id="10">
    <w:p>
      <w:pPr>
        <w:pStyle w:val="FootnoteText"/>
      </w:pPr>
      <w:r>
        <w:rPr>
          <w:rStyle w:val="FootnoteReference"/>
        </w:rPr>
        <w:footnoteRef/>
      </w:r>
      <w:r>
        <w:tab/>
        <w:t>E jogi aktusok felsorolását tájékoztatásul a 3. pont tartalmazza.</w:t>
      </w:r>
    </w:p>
  </w:footnote>
  <w:footnote w:id="11">
    <w:p>
      <w:pPr>
        <w:pStyle w:val="FootnoteText"/>
        <w:jc w:val="left"/>
      </w:pPr>
      <w:r>
        <w:rPr>
          <w:rStyle w:val="FootnoteReference"/>
        </w:rPr>
        <w:footnoteRef/>
      </w:r>
      <w:r>
        <w:tab/>
        <w:t>Az Európai Parlament és a Tanács 1331/2008/EK rendelete (2008. december 16.) az élelmiszer-adalékanyagok, az élelmiszerenzimek és az élelmiszer-aromák egységes engedélyezési eljárásának létrehozásáról (HL L 354., 2008.12.31., 1. o.); az Európai Parlament és a Tanács 1332/2008/EK rendelete (2008. december 16.) az élelmiszerenzimekről, valamint a 83/417/EGK tanácsi irányelv, az 1493/1999/EK tanácsi rendelet, a 2000/13/EK irányelv, a 2001/112/EK tanácsi irányelv és a 258/97/EK rendelet módosításáról (HL L 354., 2008.12.31., 7. o.);</w:t>
      </w:r>
      <w:r>
        <w:rPr>
          <w:i/>
        </w:rPr>
        <w:t xml:space="preserve"> </w:t>
      </w:r>
      <w:r>
        <w:t>az Európai Parlament és a Tanács 1333/2008/EK rendelete (2008. december 16.) az élelmiszer-adalékanyagokról (HL L 354., 2008.12.31., 16. o.); az Európai Parlament és a Tanács 1334/2008/EK rendelete (2008. december 16.) az élelmiszerekben és azok felületén használható aromákról és egyes, aroma tulajdonságokkal rendelkező élelmiszer-összetevőkről, valamint az 1601/91/EGK tanácsi rendelet, a 2232/96/EK és a 110/2008/EK rendelet, valamint a 2000/13/EK irányelv módosításáról (HL L 354., 2008.12.31., 34. o.); az Európai Parlament és a Tanács 1935/04/EK rendelete (2004. október 27.) az élelmiszerekkel rendeltetésszerűen érintkezésbe kerülő anyagokról és tárgyakról, valamint a 80/590/EGK és a 89/109/EGK irányelv hatályon kívül helyezéséről (HL L 338., 2004.11.13., 4. o.); a Tanács 315/93/EGK rendelete (1993. február 8.) az élelmiszerekben előforduló szennyező anyagok ellenőrzésére vonatkozó közösségi eljárások megállapításáról (HL L 37., 1993.2.13., 1. o.); az Európai Parlament és a Tanács 396/2005/EK rendelete (2005. február 23.) a növényi és állati eredetű élelmiszerekben és takarmányokban, illetve azok felületén található megengedett növényvédőszer-maradékok határértékéről, valamint a 91/414/EGK tanácsi irányelv módosításáról (HL L 70., 2005.3.16., 1. o.); valamint az Európai Parlament és a Tanács 1107/2009/EK rendelete (2009. október 21.) a növényvédő szerek forgalomba hozataláról, valamint a 79/117/EGK és a 91/414/EGK tanácsi irányelvek hatályon kívül helyezéséről (HL L 309., 2009.11.24., 1. o.).</w:t>
      </w:r>
    </w:p>
  </w:footnote>
  <w:footnote w:id="12">
    <w:p>
      <w:pPr>
        <w:pStyle w:val="FootnoteText"/>
        <w:jc w:val="left"/>
      </w:pPr>
      <w:r>
        <w:rPr>
          <w:rStyle w:val="FootnoteReference"/>
        </w:rPr>
        <w:footnoteRef/>
      </w:r>
      <w:r>
        <w:tab/>
        <w:t>Az Európai Parlament és a Tanács (EU) 2015/2283 rendelete (2015. november 25.) az új élelmiszerekről, az 1169/2011/EU európai parlamenti és tanácsi rendelet módosításáról, valamint a 258/97/EK európai parlamenti és tanácsi rendelet és az 1852/2001/EK bizottsági rendelet hatályon kívül helyezéséről (HL L 327., 2015.12.11., 1. o.).</w:t>
      </w:r>
    </w:p>
  </w:footnote>
  <w:footnote w:id="13">
    <w:p>
      <w:pPr>
        <w:pStyle w:val="FootnoteText"/>
      </w:pPr>
      <w:r>
        <w:rPr>
          <w:rStyle w:val="FootnoteReference"/>
        </w:rPr>
        <w:footnoteRef/>
      </w:r>
      <w:r>
        <w:tab/>
        <w:t>1137/2008/EK rendelet, HL L 311., 2008.11.21., 1. o.</w:t>
      </w:r>
    </w:p>
  </w:footnote>
  <w:footnote w:id="14">
    <w:p>
      <w:pPr>
        <w:pStyle w:val="FootnoteText"/>
      </w:pPr>
      <w:r>
        <w:rPr>
          <w:rStyle w:val="FootnoteReference"/>
        </w:rPr>
        <w:footnoteRef/>
      </w:r>
      <w:r>
        <w:tab/>
        <w:t>C-88/14. sz. Bizottság kontra Európai Parlament és Tanács ügy, C-286/14. sz. Európai Parlament kontra Bizottság ügy és C-472/12. sz. Bizottság kontra Európai Parlament és Tanács ügy.</w:t>
      </w:r>
    </w:p>
  </w:footnote>
  <w:footnote w:id="15">
    <w:p>
      <w:pPr>
        <w:pStyle w:val="FootnoteText"/>
      </w:pPr>
      <w:r>
        <w:rPr>
          <w:rStyle w:val="FootnoteReference"/>
        </w:rPr>
        <w:footnoteRef/>
      </w:r>
      <w:r>
        <w:tab/>
        <w:t>HL C ., [...], . o.</w:t>
      </w:r>
    </w:p>
  </w:footnote>
  <w:footnote w:id="16">
    <w:p>
      <w:pPr>
        <w:pStyle w:val="FootnoteText"/>
      </w:pPr>
      <w:r>
        <w:rPr>
          <w:rStyle w:val="FootnoteReference"/>
        </w:rPr>
        <w:footnoteRef/>
      </w:r>
      <w:r>
        <w:tab/>
        <w:t>HL C ., [...], . o.</w:t>
      </w:r>
    </w:p>
  </w:footnote>
  <w:footnote w:id="17">
    <w:p>
      <w:pPr>
        <w:pStyle w:val="FootnoteText"/>
      </w:pPr>
      <w:r>
        <w:rPr>
          <w:rStyle w:val="FootnoteReference"/>
        </w:rPr>
        <w:footnoteRef/>
      </w:r>
      <w:r>
        <w:tab/>
        <w:t>A Tanács 1999/468/EK határozata (1999. június 28.) a Bizottságra ruházott végrehajtási hatáskörök gyakorlására vonatkozó eljárások megállapításáról (HL L 184., 1999.7.17., 23. o.).</w:t>
      </w:r>
    </w:p>
  </w:footnote>
  <w:footnote w:id="18">
    <w:p>
      <w:pPr>
        <w:pStyle w:val="FootnoteText"/>
        <w:rPr>
          <w:lang w:val="pt-PT"/>
        </w:rPr>
      </w:pPr>
      <w:r>
        <w:rPr>
          <w:rStyle w:val="FootnoteReference"/>
        </w:rPr>
        <w:footnoteRef/>
      </w:r>
      <w:r>
        <w:tab/>
        <w:t>COM(2013) 451 final, COM(2013) 452 final és COM(2013) 751 final.</w:t>
      </w:r>
    </w:p>
  </w:footnote>
  <w:footnote w:id="19">
    <w:p>
      <w:pPr>
        <w:pStyle w:val="FootnoteText"/>
      </w:pPr>
      <w:r>
        <w:rPr>
          <w:rStyle w:val="FootnoteReference"/>
        </w:rPr>
        <w:footnoteRef/>
      </w:r>
      <w:r>
        <w:tab/>
        <w:t xml:space="preserve">2015/C 80/08, HL C 80., 2015.2.7., 17. o.  </w:t>
      </w:r>
    </w:p>
  </w:footnote>
  <w:footnote w:id="20">
    <w:p>
      <w:pPr>
        <w:pStyle w:val="FootnoteText"/>
      </w:pPr>
      <w:r>
        <w:rPr>
          <w:rStyle w:val="FootnoteReference"/>
        </w:rPr>
        <w:footnoteRef/>
      </w:r>
      <w:r>
        <w:tab/>
        <w:t xml:space="preserve">HL L 123., 2016.5.12., 1. o. </w:t>
      </w:r>
    </w:p>
  </w:footnote>
  <w:footnote w:id="21">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B2A8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E020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D2BE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C4B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2A6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0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EEFD2C"/>
    <w:lvl w:ilvl="0">
      <w:start w:val="1"/>
      <w:numFmt w:val="decimal"/>
      <w:pStyle w:val="ListNumber"/>
      <w:lvlText w:val="%1."/>
      <w:lvlJc w:val="left"/>
      <w:pPr>
        <w:tabs>
          <w:tab w:val="num" w:pos="360"/>
        </w:tabs>
        <w:ind w:left="360" w:hanging="360"/>
      </w:pPr>
    </w:lvl>
  </w:abstractNum>
  <w:abstractNum w:abstractNumId="7">
    <w:nsid w:val="FFFFFF89"/>
    <w:multiLevelType w:val="singleLevel"/>
    <w:tmpl w:val="ED2EC2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the Christensen">
    <w15:presenceInfo w15:providerId="Windows Live" w15:userId="456c02a2a9256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6 17:35: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AABBE8B37D64A3E9E3852E4E37287CC"/>
    <w:docVar w:name="LW_CROSSREFERENCE" w:val="&lt;UNUSED&gt;"/>
    <w:docVar w:name="LW_DocType" w:val="COM"/>
    <w:docVar w:name="LW_EMISSION" w:val="2016.12.14."/>
    <w:docVar w:name="LW_EMISSION_ISODATE" w:val="2016-12-14"/>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400"/>
    <w:docVar w:name="LW_REF.II.NEW.CP_YEAR" w:val="2016"/>
    <w:docVar w:name="LW_REF.INST.NEW" w:val="COM"/>
    <w:docVar w:name="LW_REF.INST.NEW_ADOPTED" w:val="final"/>
    <w:docVar w:name="LW_REF.INST.NEW_TEXT" w:val="(2016) 799"/>
    <w:docVar w:name="LW_REF.INTERNE" w:val="&lt;UNUSED&gt;"/>
    <w:docVar w:name="LW_SOUS.TITRE.OBJ.CP" w:val="&lt;UNUSED&gt;"/>
    <w:docVar w:name="LW_STATUT.CP" w:val="Javaslat"/>
    <w:docVar w:name="LW_SUPERTITRE" w:val="&lt;UNUSED&gt;"/>
    <w:docVar w:name="LW_TITRE.OBJ.CP" w:val="az ellen\u337?rzésr\u337?l történ\u337? szabályozási bizottsági eljárás alkalmazását el\u337?író egyes jogi aktusoknak az Európai Unió m\u369?ködésér\u337?l szóló szerz\u337?dés 290. és 291. cikkéhez történ\u337? hozzáigaz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5">
      <w:bodyDiv w:val="1"/>
      <w:marLeft w:val="0"/>
      <w:marRight w:val="0"/>
      <w:marTop w:val="0"/>
      <w:marBottom w:val="0"/>
      <w:divBdr>
        <w:top w:val="none" w:sz="0" w:space="0" w:color="auto"/>
        <w:left w:val="none" w:sz="0" w:space="0" w:color="auto"/>
        <w:bottom w:val="none" w:sz="0" w:space="0" w:color="auto"/>
        <w:right w:val="none" w:sz="0" w:space="0" w:color="auto"/>
      </w:divBdr>
    </w:div>
    <w:div w:id="132795430">
      <w:bodyDiv w:val="1"/>
      <w:marLeft w:val="0"/>
      <w:marRight w:val="0"/>
      <w:marTop w:val="0"/>
      <w:marBottom w:val="0"/>
      <w:divBdr>
        <w:top w:val="none" w:sz="0" w:space="0" w:color="auto"/>
        <w:left w:val="none" w:sz="0" w:space="0" w:color="auto"/>
        <w:bottom w:val="none" w:sz="0" w:space="0" w:color="auto"/>
        <w:right w:val="none" w:sz="0" w:space="0" w:color="auto"/>
      </w:divBdr>
      <w:divsChild>
        <w:div w:id="2074741547">
          <w:marLeft w:val="0"/>
          <w:marRight w:val="0"/>
          <w:marTop w:val="0"/>
          <w:marBottom w:val="0"/>
          <w:divBdr>
            <w:top w:val="none" w:sz="0" w:space="0" w:color="auto"/>
            <w:left w:val="none" w:sz="0" w:space="0" w:color="auto"/>
            <w:bottom w:val="none" w:sz="0" w:space="0" w:color="auto"/>
            <w:right w:val="none" w:sz="0" w:space="0" w:color="auto"/>
          </w:divBdr>
          <w:divsChild>
            <w:div w:id="495071122">
              <w:marLeft w:val="0"/>
              <w:marRight w:val="0"/>
              <w:marTop w:val="0"/>
              <w:marBottom w:val="0"/>
              <w:divBdr>
                <w:top w:val="none" w:sz="0" w:space="0" w:color="auto"/>
                <w:left w:val="none" w:sz="0" w:space="0" w:color="auto"/>
                <w:bottom w:val="none" w:sz="0" w:space="0" w:color="auto"/>
                <w:right w:val="none" w:sz="0" w:space="0" w:color="auto"/>
              </w:divBdr>
              <w:divsChild>
                <w:div w:id="1483498887">
                  <w:marLeft w:val="0"/>
                  <w:marRight w:val="0"/>
                  <w:marTop w:val="0"/>
                  <w:marBottom w:val="0"/>
                  <w:divBdr>
                    <w:top w:val="none" w:sz="0" w:space="0" w:color="auto"/>
                    <w:left w:val="none" w:sz="0" w:space="0" w:color="auto"/>
                    <w:bottom w:val="none" w:sz="0" w:space="0" w:color="auto"/>
                    <w:right w:val="none" w:sz="0" w:space="0" w:color="auto"/>
                  </w:divBdr>
                  <w:divsChild>
                    <w:div w:id="1243685809">
                      <w:marLeft w:val="1"/>
                      <w:marRight w:val="1"/>
                      <w:marTop w:val="0"/>
                      <w:marBottom w:val="0"/>
                      <w:divBdr>
                        <w:top w:val="none" w:sz="0" w:space="0" w:color="auto"/>
                        <w:left w:val="none" w:sz="0" w:space="0" w:color="auto"/>
                        <w:bottom w:val="none" w:sz="0" w:space="0" w:color="auto"/>
                        <w:right w:val="none" w:sz="0" w:space="0" w:color="auto"/>
                      </w:divBdr>
                      <w:divsChild>
                        <w:div w:id="1001544459">
                          <w:marLeft w:val="0"/>
                          <w:marRight w:val="0"/>
                          <w:marTop w:val="0"/>
                          <w:marBottom w:val="0"/>
                          <w:divBdr>
                            <w:top w:val="none" w:sz="0" w:space="0" w:color="auto"/>
                            <w:left w:val="none" w:sz="0" w:space="0" w:color="auto"/>
                            <w:bottom w:val="none" w:sz="0" w:space="0" w:color="auto"/>
                            <w:right w:val="none" w:sz="0" w:space="0" w:color="auto"/>
                          </w:divBdr>
                          <w:divsChild>
                            <w:div w:id="1519346943">
                              <w:marLeft w:val="0"/>
                              <w:marRight w:val="0"/>
                              <w:marTop w:val="0"/>
                              <w:marBottom w:val="360"/>
                              <w:divBdr>
                                <w:top w:val="none" w:sz="0" w:space="0" w:color="auto"/>
                                <w:left w:val="none" w:sz="0" w:space="0" w:color="auto"/>
                                <w:bottom w:val="none" w:sz="0" w:space="0" w:color="auto"/>
                                <w:right w:val="none" w:sz="0" w:space="0" w:color="auto"/>
                              </w:divBdr>
                              <w:divsChild>
                                <w:div w:id="843015925">
                                  <w:marLeft w:val="0"/>
                                  <w:marRight w:val="0"/>
                                  <w:marTop w:val="0"/>
                                  <w:marBottom w:val="0"/>
                                  <w:divBdr>
                                    <w:top w:val="none" w:sz="0" w:space="0" w:color="auto"/>
                                    <w:left w:val="none" w:sz="0" w:space="0" w:color="auto"/>
                                    <w:bottom w:val="none" w:sz="0" w:space="0" w:color="auto"/>
                                    <w:right w:val="none" w:sz="0" w:space="0" w:color="auto"/>
                                  </w:divBdr>
                                  <w:divsChild>
                                    <w:div w:id="14684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3435">
      <w:bodyDiv w:val="1"/>
      <w:marLeft w:val="0"/>
      <w:marRight w:val="0"/>
      <w:marTop w:val="0"/>
      <w:marBottom w:val="0"/>
      <w:divBdr>
        <w:top w:val="none" w:sz="0" w:space="0" w:color="auto"/>
        <w:left w:val="none" w:sz="0" w:space="0" w:color="auto"/>
        <w:bottom w:val="none" w:sz="0" w:space="0" w:color="auto"/>
        <w:right w:val="none" w:sz="0" w:space="0" w:color="auto"/>
      </w:divBdr>
      <w:divsChild>
        <w:div w:id="164394439">
          <w:marLeft w:val="0"/>
          <w:marRight w:val="0"/>
          <w:marTop w:val="0"/>
          <w:marBottom w:val="0"/>
          <w:divBdr>
            <w:top w:val="none" w:sz="0" w:space="0" w:color="auto"/>
            <w:left w:val="none" w:sz="0" w:space="0" w:color="auto"/>
            <w:bottom w:val="none" w:sz="0" w:space="0" w:color="auto"/>
            <w:right w:val="none" w:sz="0" w:space="0" w:color="auto"/>
          </w:divBdr>
          <w:divsChild>
            <w:div w:id="520708650">
              <w:marLeft w:val="0"/>
              <w:marRight w:val="0"/>
              <w:marTop w:val="0"/>
              <w:marBottom w:val="0"/>
              <w:divBdr>
                <w:top w:val="none" w:sz="0" w:space="0" w:color="auto"/>
                <w:left w:val="none" w:sz="0" w:space="0" w:color="auto"/>
                <w:bottom w:val="none" w:sz="0" w:space="0" w:color="auto"/>
                <w:right w:val="none" w:sz="0" w:space="0" w:color="auto"/>
              </w:divBdr>
              <w:divsChild>
                <w:div w:id="2025202141">
                  <w:marLeft w:val="0"/>
                  <w:marRight w:val="0"/>
                  <w:marTop w:val="0"/>
                  <w:marBottom w:val="0"/>
                  <w:divBdr>
                    <w:top w:val="none" w:sz="0" w:space="0" w:color="auto"/>
                    <w:left w:val="none" w:sz="0" w:space="0" w:color="auto"/>
                    <w:bottom w:val="none" w:sz="0" w:space="0" w:color="auto"/>
                    <w:right w:val="none" w:sz="0" w:space="0" w:color="auto"/>
                  </w:divBdr>
                  <w:divsChild>
                    <w:div w:id="956060230">
                      <w:marLeft w:val="1"/>
                      <w:marRight w:val="1"/>
                      <w:marTop w:val="0"/>
                      <w:marBottom w:val="0"/>
                      <w:divBdr>
                        <w:top w:val="none" w:sz="0" w:space="0" w:color="auto"/>
                        <w:left w:val="none" w:sz="0" w:space="0" w:color="auto"/>
                        <w:bottom w:val="none" w:sz="0" w:space="0" w:color="auto"/>
                        <w:right w:val="none" w:sz="0" w:space="0" w:color="auto"/>
                      </w:divBdr>
                      <w:divsChild>
                        <w:div w:id="1536578837">
                          <w:marLeft w:val="0"/>
                          <w:marRight w:val="0"/>
                          <w:marTop w:val="0"/>
                          <w:marBottom w:val="0"/>
                          <w:divBdr>
                            <w:top w:val="none" w:sz="0" w:space="0" w:color="auto"/>
                            <w:left w:val="none" w:sz="0" w:space="0" w:color="auto"/>
                            <w:bottom w:val="none" w:sz="0" w:space="0" w:color="auto"/>
                            <w:right w:val="none" w:sz="0" w:space="0" w:color="auto"/>
                          </w:divBdr>
                          <w:divsChild>
                            <w:div w:id="1686899124">
                              <w:marLeft w:val="0"/>
                              <w:marRight w:val="0"/>
                              <w:marTop w:val="0"/>
                              <w:marBottom w:val="360"/>
                              <w:divBdr>
                                <w:top w:val="none" w:sz="0" w:space="0" w:color="auto"/>
                                <w:left w:val="none" w:sz="0" w:space="0" w:color="auto"/>
                                <w:bottom w:val="none" w:sz="0" w:space="0" w:color="auto"/>
                                <w:right w:val="none" w:sz="0" w:space="0" w:color="auto"/>
                              </w:divBdr>
                              <w:divsChild>
                                <w:div w:id="1539780070">
                                  <w:marLeft w:val="0"/>
                                  <w:marRight w:val="0"/>
                                  <w:marTop w:val="0"/>
                                  <w:marBottom w:val="0"/>
                                  <w:divBdr>
                                    <w:top w:val="none" w:sz="0" w:space="0" w:color="auto"/>
                                    <w:left w:val="none" w:sz="0" w:space="0" w:color="auto"/>
                                    <w:bottom w:val="none" w:sz="0" w:space="0" w:color="auto"/>
                                    <w:right w:val="none" w:sz="0" w:space="0" w:color="auto"/>
                                  </w:divBdr>
                                  <w:divsChild>
                                    <w:div w:id="186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420855">
      <w:bodyDiv w:val="1"/>
      <w:marLeft w:val="0"/>
      <w:marRight w:val="0"/>
      <w:marTop w:val="0"/>
      <w:marBottom w:val="0"/>
      <w:divBdr>
        <w:top w:val="none" w:sz="0" w:space="0" w:color="auto"/>
        <w:left w:val="none" w:sz="0" w:space="0" w:color="auto"/>
        <w:bottom w:val="none" w:sz="0" w:space="0" w:color="auto"/>
        <w:right w:val="none" w:sz="0" w:space="0" w:color="auto"/>
      </w:divBdr>
      <w:divsChild>
        <w:div w:id="2095585078">
          <w:marLeft w:val="0"/>
          <w:marRight w:val="0"/>
          <w:marTop w:val="0"/>
          <w:marBottom w:val="0"/>
          <w:divBdr>
            <w:top w:val="none" w:sz="0" w:space="0" w:color="auto"/>
            <w:left w:val="none" w:sz="0" w:space="0" w:color="auto"/>
            <w:bottom w:val="none" w:sz="0" w:space="0" w:color="auto"/>
            <w:right w:val="none" w:sz="0" w:space="0" w:color="auto"/>
          </w:divBdr>
          <w:divsChild>
            <w:div w:id="1226716794">
              <w:marLeft w:val="0"/>
              <w:marRight w:val="0"/>
              <w:marTop w:val="0"/>
              <w:marBottom w:val="0"/>
              <w:divBdr>
                <w:top w:val="none" w:sz="0" w:space="0" w:color="auto"/>
                <w:left w:val="none" w:sz="0" w:space="0" w:color="auto"/>
                <w:bottom w:val="none" w:sz="0" w:space="0" w:color="auto"/>
                <w:right w:val="none" w:sz="0" w:space="0" w:color="auto"/>
              </w:divBdr>
              <w:divsChild>
                <w:div w:id="820345573">
                  <w:marLeft w:val="0"/>
                  <w:marRight w:val="0"/>
                  <w:marTop w:val="0"/>
                  <w:marBottom w:val="0"/>
                  <w:divBdr>
                    <w:top w:val="none" w:sz="0" w:space="0" w:color="auto"/>
                    <w:left w:val="none" w:sz="0" w:space="0" w:color="auto"/>
                    <w:bottom w:val="none" w:sz="0" w:space="0" w:color="auto"/>
                    <w:right w:val="none" w:sz="0" w:space="0" w:color="auto"/>
                  </w:divBdr>
                  <w:divsChild>
                    <w:div w:id="566184516">
                      <w:marLeft w:val="1"/>
                      <w:marRight w:val="1"/>
                      <w:marTop w:val="0"/>
                      <w:marBottom w:val="0"/>
                      <w:divBdr>
                        <w:top w:val="none" w:sz="0" w:space="0" w:color="auto"/>
                        <w:left w:val="none" w:sz="0" w:space="0" w:color="auto"/>
                        <w:bottom w:val="none" w:sz="0" w:space="0" w:color="auto"/>
                        <w:right w:val="none" w:sz="0" w:space="0" w:color="auto"/>
                      </w:divBdr>
                      <w:divsChild>
                        <w:div w:id="417675572">
                          <w:marLeft w:val="0"/>
                          <w:marRight w:val="0"/>
                          <w:marTop w:val="0"/>
                          <w:marBottom w:val="0"/>
                          <w:divBdr>
                            <w:top w:val="none" w:sz="0" w:space="0" w:color="auto"/>
                            <w:left w:val="none" w:sz="0" w:space="0" w:color="auto"/>
                            <w:bottom w:val="none" w:sz="0" w:space="0" w:color="auto"/>
                            <w:right w:val="none" w:sz="0" w:space="0" w:color="auto"/>
                          </w:divBdr>
                          <w:divsChild>
                            <w:div w:id="2100565454">
                              <w:marLeft w:val="0"/>
                              <w:marRight w:val="0"/>
                              <w:marTop w:val="0"/>
                              <w:marBottom w:val="360"/>
                              <w:divBdr>
                                <w:top w:val="none" w:sz="0" w:space="0" w:color="auto"/>
                                <w:left w:val="none" w:sz="0" w:space="0" w:color="auto"/>
                                <w:bottom w:val="none" w:sz="0" w:space="0" w:color="auto"/>
                                <w:right w:val="none" w:sz="0" w:space="0" w:color="auto"/>
                              </w:divBdr>
                              <w:divsChild>
                                <w:div w:id="64114453">
                                  <w:marLeft w:val="0"/>
                                  <w:marRight w:val="0"/>
                                  <w:marTop w:val="0"/>
                                  <w:marBottom w:val="0"/>
                                  <w:divBdr>
                                    <w:top w:val="none" w:sz="0" w:space="0" w:color="auto"/>
                                    <w:left w:val="none" w:sz="0" w:space="0" w:color="auto"/>
                                    <w:bottom w:val="none" w:sz="0" w:space="0" w:color="auto"/>
                                    <w:right w:val="none" w:sz="0" w:space="0" w:color="auto"/>
                                  </w:divBdr>
                                  <w:divsChild>
                                    <w:div w:id="338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248042">
      <w:bodyDiv w:val="1"/>
      <w:marLeft w:val="0"/>
      <w:marRight w:val="0"/>
      <w:marTop w:val="0"/>
      <w:marBottom w:val="0"/>
      <w:divBdr>
        <w:top w:val="none" w:sz="0" w:space="0" w:color="auto"/>
        <w:left w:val="none" w:sz="0" w:space="0" w:color="auto"/>
        <w:bottom w:val="none" w:sz="0" w:space="0" w:color="auto"/>
        <w:right w:val="none" w:sz="0" w:space="0" w:color="auto"/>
      </w:divBdr>
      <w:divsChild>
        <w:div w:id="1171604886">
          <w:marLeft w:val="0"/>
          <w:marRight w:val="0"/>
          <w:marTop w:val="0"/>
          <w:marBottom w:val="0"/>
          <w:divBdr>
            <w:top w:val="none" w:sz="0" w:space="0" w:color="auto"/>
            <w:left w:val="none" w:sz="0" w:space="0" w:color="auto"/>
            <w:bottom w:val="none" w:sz="0" w:space="0" w:color="auto"/>
            <w:right w:val="none" w:sz="0" w:space="0" w:color="auto"/>
          </w:divBdr>
          <w:divsChild>
            <w:div w:id="2111854446">
              <w:marLeft w:val="0"/>
              <w:marRight w:val="0"/>
              <w:marTop w:val="0"/>
              <w:marBottom w:val="0"/>
              <w:divBdr>
                <w:top w:val="none" w:sz="0" w:space="0" w:color="auto"/>
                <w:left w:val="none" w:sz="0" w:space="0" w:color="auto"/>
                <w:bottom w:val="none" w:sz="0" w:space="0" w:color="auto"/>
                <w:right w:val="none" w:sz="0" w:space="0" w:color="auto"/>
              </w:divBdr>
              <w:divsChild>
                <w:div w:id="513886293">
                  <w:marLeft w:val="0"/>
                  <w:marRight w:val="0"/>
                  <w:marTop w:val="0"/>
                  <w:marBottom w:val="0"/>
                  <w:divBdr>
                    <w:top w:val="none" w:sz="0" w:space="0" w:color="auto"/>
                    <w:left w:val="none" w:sz="0" w:space="0" w:color="auto"/>
                    <w:bottom w:val="none" w:sz="0" w:space="0" w:color="auto"/>
                    <w:right w:val="none" w:sz="0" w:space="0" w:color="auto"/>
                  </w:divBdr>
                  <w:divsChild>
                    <w:div w:id="1646158515">
                      <w:marLeft w:val="1"/>
                      <w:marRight w:val="1"/>
                      <w:marTop w:val="0"/>
                      <w:marBottom w:val="0"/>
                      <w:divBdr>
                        <w:top w:val="none" w:sz="0" w:space="0" w:color="auto"/>
                        <w:left w:val="none" w:sz="0" w:space="0" w:color="auto"/>
                        <w:bottom w:val="none" w:sz="0" w:space="0" w:color="auto"/>
                        <w:right w:val="none" w:sz="0" w:space="0" w:color="auto"/>
                      </w:divBdr>
                      <w:divsChild>
                        <w:div w:id="745416482">
                          <w:marLeft w:val="0"/>
                          <w:marRight w:val="0"/>
                          <w:marTop w:val="0"/>
                          <w:marBottom w:val="0"/>
                          <w:divBdr>
                            <w:top w:val="none" w:sz="0" w:space="0" w:color="auto"/>
                            <w:left w:val="none" w:sz="0" w:space="0" w:color="auto"/>
                            <w:bottom w:val="none" w:sz="0" w:space="0" w:color="auto"/>
                            <w:right w:val="none" w:sz="0" w:space="0" w:color="auto"/>
                          </w:divBdr>
                          <w:divsChild>
                            <w:div w:id="550654339">
                              <w:marLeft w:val="0"/>
                              <w:marRight w:val="0"/>
                              <w:marTop w:val="0"/>
                              <w:marBottom w:val="360"/>
                              <w:divBdr>
                                <w:top w:val="none" w:sz="0" w:space="0" w:color="auto"/>
                                <w:left w:val="none" w:sz="0" w:space="0" w:color="auto"/>
                                <w:bottom w:val="none" w:sz="0" w:space="0" w:color="auto"/>
                                <w:right w:val="none" w:sz="0" w:space="0" w:color="auto"/>
                              </w:divBdr>
                              <w:divsChild>
                                <w:div w:id="1580479432">
                                  <w:marLeft w:val="0"/>
                                  <w:marRight w:val="0"/>
                                  <w:marTop w:val="0"/>
                                  <w:marBottom w:val="0"/>
                                  <w:divBdr>
                                    <w:top w:val="none" w:sz="0" w:space="0" w:color="auto"/>
                                    <w:left w:val="none" w:sz="0" w:space="0" w:color="auto"/>
                                    <w:bottom w:val="none" w:sz="0" w:space="0" w:color="auto"/>
                                    <w:right w:val="none" w:sz="0" w:space="0" w:color="auto"/>
                                  </w:divBdr>
                                  <w:divsChild>
                                    <w:div w:id="946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73464">
      <w:bodyDiv w:val="1"/>
      <w:marLeft w:val="0"/>
      <w:marRight w:val="0"/>
      <w:marTop w:val="0"/>
      <w:marBottom w:val="0"/>
      <w:divBdr>
        <w:top w:val="none" w:sz="0" w:space="0" w:color="auto"/>
        <w:left w:val="none" w:sz="0" w:space="0" w:color="auto"/>
        <w:bottom w:val="none" w:sz="0" w:space="0" w:color="auto"/>
        <w:right w:val="none" w:sz="0" w:space="0" w:color="auto"/>
      </w:divBdr>
      <w:divsChild>
        <w:div w:id="174154713">
          <w:marLeft w:val="0"/>
          <w:marRight w:val="0"/>
          <w:marTop w:val="0"/>
          <w:marBottom w:val="0"/>
          <w:divBdr>
            <w:top w:val="none" w:sz="0" w:space="0" w:color="auto"/>
            <w:left w:val="none" w:sz="0" w:space="0" w:color="auto"/>
            <w:bottom w:val="none" w:sz="0" w:space="0" w:color="auto"/>
            <w:right w:val="none" w:sz="0" w:space="0" w:color="auto"/>
          </w:divBdr>
          <w:divsChild>
            <w:div w:id="1536384293">
              <w:marLeft w:val="0"/>
              <w:marRight w:val="0"/>
              <w:marTop w:val="0"/>
              <w:marBottom w:val="0"/>
              <w:divBdr>
                <w:top w:val="none" w:sz="0" w:space="0" w:color="auto"/>
                <w:left w:val="none" w:sz="0" w:space="0" w:color="auto"/>
                <w:bottom w:val="none" w:sz="0" w:space="0" w:color="auto"/>
                <w:right w:val="none" w:sz="0" w:space="0" w:color="auto"/>
              </w:divBdr>
              <w:divsChild>
                <w:div w:id="2146313137">
                  <w:marLeft w:val="0"/>
                  <w:marRight w:val="0"/>
                  <w:marTop w:val="0"/>
                  <w:marBottom w:val="0"/>
                  <w:divBdr>
                    <w:top w:val="none" w:sz="0" w:space="0" w:color="auto"/>
                    <w:left w:val="none" w:sz="0" w:space="0" w:color="auto"/>
                    <w:bottom w:val="none" w:sz="0" w:space="0" w:color="auto"/>
                    <w:right w:val="none" w:sz="0" w:space="0" w:color="auto"/>
                  </w:divBdr>
                  <w:divsChild>
                    <w:div w:id="760836704">
                      <w:marLeft w:val="1"/>
                      <w:marRight w:val="1"/>
                      <w:marTop w:val="0"/>
                      <w:marBottom w:val="0"/>
                      <w:divBdr>
                        <w:top w:val="none" w:sz="0" w:space="0" w:color="auto"/>
                        <w:left w:val="none" w:sz="0" w:space="0" w:color="auto"/>
                        <w:bottom w:val="none" w:sz="0" w:space="0" w:color="auto"/>
                        <w:right w:val="none" w:sz="0" w:space="0" w:color="auto"/>
                      </w:divBdr>
                      <w:divsChild>
                        <w:div w:id="1770005354">
                          <w:marLeft w:val="0"/>
                          <w:marRight w:val="0"/>
                          <w:marTop w:val="0"/>
                          <w:marBottom w:val="0"/>
                          <w:divBdr>
                            <w:top w:val="none" w:sz="0" w:space="0" w:color="auto"/>
                            <w:left w:val="none" w:sz="0" w:space="0" w:color="auto"/>
                            <w:bottom w:val="none" w:sz="0" w:space="0" w:color="auto"/>
                            <w:right w:val="none" w:sz="0" w:space="0" w:color="auto"/>
                          </w:divBdr>
                          <w:divsChild>
                            <w:div w:id="703136834">
                              <w:marLeft w:val="0"/>
                              <w:marRight w:val="0"/>
                              <w:marTop w:val="0"/>
                              <w:marBottom w:val="360"/>
                              <w:divBdr>
                                <w:top w:val="none" w:sz="0" w:space="0" w:color="auto"/>
                                <w:left w:val="none" w:sz="0" w:space="0" w:color="auto"/>
                                <w:bottom w:val="none" w:sz="0" w:space="0" w:color="auto"/>
                                <w:right w:val="none" w:sz="0" w:space="0" w:color="auto"/>
                              </w:divBdr>
                              <w:divsChild>
                                <w:div w:id="1249463683">
                                  <w:marLeft w:val="0"/>
                                  <w:marRight w:val="0"/>
                                  <w:marTop w:val="0"/>
                                  <w:marBottom w:val="0"/>
                                  <w:divBdr>
                                    <w:top w:val="none" w:sz="0" w:space="0" w:color="auto"/>
                                    <w:left w:val="none" w:sz="0" w:space="0" w:color="auto"/>
                                    <w:bottom w:val="none" w:sz="0" w:space="0" w:color="auto"/>
                                    <w:right w:val="none" w:sz="0" w:space="0" w:color="auto"/>
                                  </w:divBdr>
                                  <w:divsChild>
                                    <w:div w:id="1072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45170">
      <w:bodyDiv w:val="1"/>
      <w:marLeft w:val="0"/>
      <w:marRight w:val="0"/>
      <w:marTop w:val="0"/>
      <w:marBottom w:val="0"/>
      <w:divBdr>
        <w:top w:val="none" w:sz="0" w:space="0" w:color="auto"/>
        <w:left w:val="none" w:sz="0" w:space="0" w:color="auto"/>
        <w:bottom w:val="none" w:sz="0" w:space="0" w:color="auto"/>
        <w:right w:val="none" w:sz="0" w:space="0" w:color="auto"/>
      </w:divBdr>
      <w:divsChild>
        <w:div w:id="1336111019">
          <w:marLeft w:val="0"/>
          <w:marRight w:val="0"/>
          <w:marTop w:val="0"/>
          <w:marBottom w:val="0"/>
          <w:divBdr>
            <w:top w:val="none" w:sz="0" w:space="0" w:color="auto"/>
            <w:left w:val="none" w:sz="0" w:space="0" w:color="auto"/>
            <w:bottom w:val="none" w:sz="0" w:space="0" w:color="auto"/>
            <w:right w:val="none" w:sz="0" w:space="0" w:color="auto"/>
          </w:divBdr>
          <w:divsChild>
            <w:div w:id="376398396">
              <w:marLeft w:val="0"/>
              <w:marRight w:val="0"/>
              <w:marTop w:val="0"/>
              <w:marBottom w:val="0"/>
              <w:divBdr>
                <w:top w:val="none" w:sz="0" w:space="0" w:color="auto"/>
                <w:left w:val="none" w:sz="0" w:space="0" w:color="auto"/>
                <w:bottom w:val="none" w:sz="0" w:space="0" w:color="auto"/>
                <w:right w:val="none" w:sz="0" w:space="0" w:color="auto"/>
              </w:divBdr>
              <w:divsChild>
                <w:div w:id="159466912">
                  <w:marLeft w:val="0"/>
                  <w:marRight w:val="0"/>
                  <w:marTop w:val="0"/>
                  <w:marBottom w:val="0"/>
                  <w:divBdr>
                    <w:top w:val="none" w:sz="0" w:space="0" w:color="auto"/>
                    <w:left w:val="none" w:sz="0" w:space="0" w:color="auto"/>
                    <w:bottom w:val="none" w:sz="0" w:space="0" w:color="auto"/>
                    <w:right w:val="none" w:sz="0" w:space="0" w:color="auto"/>
                  </w:divBdr>
                  <w:divsChild>
                    <w:div w:id="1270120083">
                      <w:marLeft w:val="1"/>
                      <w:marRight w:val="1"/>
                      <w:marTop w:val="0"/>
                      <w:marBottom w:val="0"/>
                      <w:divBdr>
                        <w:top w:val="none" w:sz="0" w:space="0" w:color="auto"/>
                        <w:left w:val="none" w:sz="0" w:space="0" w:color="auto"/>
                        <w:bottom w:val="none" w:sz="0" w:space="0" w:color="auto"/>
                        <w:right w:val="none" w:sz="0" w:space="0" w:color="auto"/>
                      </w:divBdr>
                      <w:divsChild>
                        <w:div w:id="1624994526">
                          <w:marLeft w:val="0"/>
                          <w:marRight w:val="0"/>
                          <w:marTop w:val="0"/>
                          <w:marBottom w:val="0"/>
                          <w:divBdr>
                            <w:top w:val="none" w:sz="0" w:space="0" w:color="auto"/>
                            <w:left w:val="none" w:sz="0" w:space="0" w:color="auto"/>
                            <w:bottom w:val="none" w:sz="0" w:space="0" w:color="auto"/>
                            <w:right w:val="none" w:sz="0" w:space="0" w:color="auto"/>
                          </w:divBdr>
                          <w:divsChild>
                            <w:div w:id="18046081">
                              <w:marLeft w:val="0"/>
                              <w:marRight w:val="0"/>
                              <w:marTop w:val="0"/>
                              <w:marBottom w:val="360"/>
                              <w:divBdr>
                                <w:top w:val="none" w:sz="0" w:space="0" w:color="auto"/>
                                <w:left w:val="none" w:sz="0" w:space="0" w:color="auto"/>
                                <w:bottom w:val="none" w:sz="0" w:space="0" w:color="auto"/>
                                <w:right w:val="none" w:sz="0" w:space="0" w:color="auto"/>
                              </w:divBdr>
                              <w:divsChild>
                                <w:div w:id="1357078948">
                                  <w:marLeft w:val="0"/>
                                  <w:marRight w:val="0"/>
                                  <w:marTop w:val="0"/>
                                  <w:marBottom w:val="0"/>
                                  <w:divBdr>
                                    <w:top w:val="none" w:sz="0" w:space="0" w:color="auto"/>
                                    <w:left w:val="none" w:sz="0" w:space="0" w:color="auto"/>
                                    <w:bottom w:val="none" w:sz="0" w:space="0" w:color="auto"/>
                                    <w:right w:val="none" w:sz="0" w:space="0" w:color="auto"/>
                                  </w:divBdr>
                                  <w:divsChild>
                                    <w:div w:id="77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555">
      <w:bodyDiv w:val="1"/>
      <w:marLeft w:val="0"/>
      <w:marRight w:val="0"/>
      <w:marTop w:val="0"/>
      <w:marBottom w:val="0"/>
      <w:divBdr>
        <w:top w:val="none" w:sz="0" w:space="0" w:color="auto"/>
        <w:left w:val="none" w:sz="0" w:space="0" w:color="auto"/>
        <w:bottom w:val="none" w:sz="0" w:space="0" w:color="auto"/>
        <w:right w:val="none" w:sz="0" w:space="0" w:color="auto"/>
      </w:divBdr>
    </w:div>
    <w:div w:id="1012338114">
      <w:bodyDiv w:val="1"/>
      <w:marLeft w:val="0"/>
      <w:marRight w:val="0"/>
      <w:marTop w:val="0"/>
      <w:marBottom w:val="0"/>
      <w:divBdr>
        <w:top w:val="none" w:sz="0" w:space="0" w:color="auto"/>
        <w:left w:val="none" w:sz="0" w:space="0" w:color="auto"/>
        <w:bottom w:val="none" w:sz="0" w:space="0" w:color="auto"/>
        <w:right w:val="none" w:sz="0" w:space="0" w:color="auto"/>
      </w:divBdr>
      <w:divsChild>
        <w:div w:id="1596471835">
          <w:marLeft w:val="0"/>
          <w:marRight w:val="0"/>
          <w:marTop w:val="0"/>
          <w:marBottom w:val="0"/>
          <w:divBdr>
            <w:top w:val="none" w:sz="0" w:space="0" w:color="auto"/>
            <w:left w:val="none" w:sz="0" w:space="0" w:color="auto"/>
            <w:bottom w:val="none" w:sz="0" w:space="0" w:color="auto"/>
            <w:right w:val="none" w:sz="0" w:space="0" w:color="auto"/>
          </w:divBdr>
          <w:divsChild>
            <w:div w:id="450907034">
              <w:marLeft w:val="0"/>
              <w:marRight w:val="0"/>
              <w:marTop w:val="0"/>
              <w:marBottom w:val="0"/>
              <w:divBdr>
                <w:top w:val="none" w:sz="0" w:space="0" w:color="auto"/>
                <w:left w:val="none" w:sz="0" w:space="0" w:color="auto"/>
                <w:bottom w:val="none" w:sz="0" w:space="0" w:color="auto"/>
                <w:right w:val="none" w:sz="0" w:space="0" w:color="auto"/>
              </w:divBdr>
              <w:divsChild>
                <w:div w:id="1958752707">
                  <w:marLeft w:val="0"/>
                  <w:marRight w:val="0"/>
                  <w:marTop w:val="0"/>
                  <w:marBottom w:val="0"/>
                  <w:divBdr>
                    <w:top w:val="none" w:sz="0" w:space="0" w:color="auto"/>
                    <w:left w:val="none" w:sz="0" w:space="0" w:color="auto"/>
                    <w:bottom w:val="none" w:sz="0" w:space="0" w:color="auto"/>
                    <w:right w:val="none" w:sz="0" w:space="0" w:color="auto"/>
                  </w:divBdr>
                  <w:divsChild>
                    <w:div w:id="1842113400">
                      <w:marLeft w:val="1"/>
                      <w:marRight w:val="1"/>
                      <w:marTop w:val="0"/>
                      <w:marBottom w:val="0"/>
                      <w:divBdr>
                        <w:top w:val="none" w:sz="0" w:space="0" w:color="auto"/>
                        <w:left w:val="none" w:sz="0" w:space="0" w:color="auto"/>
                        <w:bottom w:val="none" w:sz="0" w:space="0" w:color="auto"/>
                        <w:right w:val="none" w:sz="0" w:space="0" w:color="auto"/>
                      </w:divBdr>
                      <w:divsChild>
                        <w:div w:id="788627084">
                          <w:marLeft w:val="0"/>
                          <w:marRight w:val="0"/>
                          <w:marTop w:val="0"/>
                          <w:marBottom w:val="0"/>
                          <w:divBdr>
                            <w:top w:val="none" w:sz="0" w:space="0" w:color="auto"/>
                            <w:left w:val="none" w:sz="0" w:space="0" w:color="auto"/>
                            <w:bottom w:val="none" w:sz="0" w:space="0" w:color="auto"/>
                            <w:right w:val="none" w:sz="0" w:space="0" w:color="auto"/>
                          </w:divBdr>
                          <w:divsChild>
                            <w:div w:id="465516339">
                              <w:marLeft w:val="0"/>
                              <w:marRight w:val="0"/>
                              <w:marTop w:val="0"/>
                              <w:marBottom w:val="360"/>
                              <w:divBdr>
                                <w:top w:val="none" w:sz="0" w:space="0" w:color="auto"/>
                                <w:left w:val="none" w:sz="0" w:space="0" w:color="auto"/>
                                <w:bottom w:val="none" w:sz="0" w:space="0" w:color="auto"/>
                                <w:right w:val="none" w:sz="0" w:space="0" w:color="auto"/>
                              </w:divBdr>
                              <w:divsChild>
                                <w:div w:id="1043561324">
                                  <w:marLeft w:val="0"/>
                                  <w:marRight w:val="0"/>
                                  <w:marTop w:val="0"/>
                                  <w:marBottom w:val="0"/>
                                  <w:divBdr>
                                    <w:top w:val="none" w:sz="0" w:space="0" w:color="auto"/>
                                    <w:left w:val="none" w:sz="0" w:space="0" w:color="auto"/>
                                    <w:bottom w:val="none" w:sz="0" w:space="0" w:color="auto"/>
                                    <w:right w:val="none" w:sz="0" w:space="0" w:color="auto"/>
                                  </w:divBdr>
                                  <w:divsChild>
                                    <w:div w:id="15093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854567">
      <w:bodyDiv w:val="1"/>
      <w:marLeft w:val="0"/>
      <w:marRight w:val="0"/>
      <w:marTop w:val="0"/>
      <w:marBottom w:val="0"/>
      <w:divBdr>
        <w:top w:val="none" w:sz="0" w:space="0" w:color="auto"/>
        <w:left w:val="none" w:sz="0" w:space="0" w:color="auto"/>
        <w:bottom w:val="none" w:sz="0" w:space="0" w:color="auto"/>
        <w:right w:val="none" w:sz="0" w:space="0" w:color="auto"/>
      </w:divBdr>
      <w:divsChild>
        <w:div w:id="1247497213">
          <w:marLeft w:val="0"/>
          <w:marRight w:val="0"/>
          <w:marTop w:val="0"/>
          <w:marBottom w:val="0"/>
          <w:divBdr>
            <w:top w:val="none" w:sz="0" w:space="0" w:color="auto"/>
            <w:left w:val="none" w:sz="0" w:space="0" w:color="auto"/>
            <w:bottom w:val="none" w:sz="0" w:space="0" w:color="auto"/>
            <w:right w:val="none" w:sz="0" w:space="0" w:color="auto"/>
          </w:divBdr>
          <w:divsChild>
            <w:div w:id="915938675">
              <w:marLeft w:val="0"/>
              <w:marRight w:val="0"/>
              <w:marTop w:val="0"/>
              <w:marBottom w:val="0"/>
              <w:divBdr>
                <w:top w:val="none" w:sz="0" w:space="0" w:color="auto"/>
                <w:left w:val="none" w:sz="0" w:space="0" w:color="auto"/>
                <w:bottom w:val="none" w:sz="0" w:space="0" w:color="auto"/>
                <w:right w:val="none" w:sz="0" w:space="0" w:color="auto"/>
              </w:divBdr>
              <w:divsChild>
                <w:div w:id="1316883118">
                  <w:marLeft w:val="0"/>
                  <w:marRight w:val="0"/>
                  <w:marTop w:val="0"/>
                  <w:marBottom w:val="0"/>
                  <w:divBdr>
                    <w:top w:val="none" w:sz="0" w:space="0" w:color="auto"/>
                    <w:left w:val="none" w:sz="0" w:space="0" w:color="auto"/>
                    <w:bottom w:val="none" w:sz="0" w:space="0" w:color="auto"/>
                    <w:right w:val="none" w:sz="0" w:space="0" w:color="auto"/>
                  </w:divBdr>
                  <w:divsChild>
                    <w:div w:id="396317934">
                      <w:marLeft w:val="1"/>
                      <w:marRight w:val="1"/>
                      <w:marTop w:val="0"/>
                      <w:marBottom w:val="0"/>
                      <w:divBdr>
                        <w:top w:val="none" w:sz="0" w:space="0" w:color="auto"/>
                        <w:left w:val="none" w:sz="0" w:space="0" w:color="auto"/>
                        <w:bottom w:val="none" w:sz="0" w:space="0" w:color="auto"/>
                        <w:right w:val="none" w:sz="0" w:space="0" w:color="auto"/>
                      </w:divBdr>
                      <w:divsChild>
                        <w:div w:id="1268779243">
                          <w:marLeft w:val="0"/>
                          <w:marRight w:val="0"/>
                          <w:marTop w:val="0"/>
                          <w:marBottom w:val="0"/>
                          <w:divBdr>
                            <w:top w:val="none" w:sz="0" w:space="0" w:color="auto"/>
                            <w:left w:val="none" w:sz="0" w:space="0" w:color="auto"/>
                            <w:bottom w:val="none" w:sz="0" w:space="0" w:color="auto"/>
                            <w:right w:val="none" w:sz="0" w:space="0" w:color="auto"/>
                          </w:divBdr>
                          <w:divsChild>
                            <w:div w:id="195048964">
                              <w:marLeft w:val="0"/>
                              <w:marRight w:val="0"/>
                              <w:marTop w:val="0"/>
                              <w:marBottom w:val="360"/>
                              <w:divBdr>
                                <w:top w:val="none" w:sz="0" w:space="0" w:color="auto"/>
                                <w:left w:val="none" w:sz="0" w:space="0" w:color="auto"/>
                                <w:bottom w:val="none" w:sz="0" w:space="0" w:color="auto"/>
                                <w:right w:val="none" w:sz="0" w:space="0" w:color="auto"/>
                              </w:divBdr>
                              <w:divsChild>
                                <w:div w:id="701395839">
                                  <w:marLeft w:val="0"/>
                                  <w:marRight w:val="0"/>
                                  <w:marTop w:val="0"/>
                                  <w:marBottom w:val="0"/>
                                  <w:divBdr>
                                    <w:top w:val="none" w:sz="0" w:space="0" w:color="auto"/>
                                    <w:left w:val="none" w:sz="0" w:space="0" w:color="auto"/>
                                    <w:bottom w:val="none" w:sz="0" w:space="0" w:color="auto"/>
                                    <w:right w:val="none" w:sz="0" w:space="0" w:color="auto"/>
                                  </w:divBdr>
                                  <w:divsChild>
                                    <w:div w:id="19655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5438">
      <w:bodyDiv w:val="1"/>
      <w:marLeft w:val="0"/>
      <w:marRight w:val="0"/>
      <w:marTop w:val="0"/>
      <w:marBottom w:val="0"/>
      <w:divBdr>
        <w:top w:val="none" w:sz="0" w:space="0" w:color="auto"/>
        <w:left w:val="none" w:sz="0" w:space="0" w:color="auto"/>
        <w:bottom w:val="none" w:sz="0" w:space="0" w:color="auto"/>
        <w:right w:val="none" w:sz="0" w:space="0" w:color="auto"/>
      </w:divBdr>
      <w:divsChild>
        <w:div w:id="1623489190">
          <w:marLeft w:val="0"/>
          <w:marRight w:val="0"/>
          <w:marTop w:val="0"/>
          <w:marBottom w:val="0"/>
          <w:divBdr>
            <w:top w:val="none" w:sz="0" w:space="0" w:color="auto"/>
            <w:left w:val="none" w:sz="0" w:space="0" w:color="auto"/>
            <w:bottom w:val="none" w:sz="0" w:space="0" w:color="auto"/>
            <w:right w:val="none" w:sz="0" w:space="0" w:color="auto"/>
          </w:divBdr>
          <w:divsChild>
            <w:div w:id="1196313357">
              <w:marLeft w:val="0"/>
              <w:marRight w:val="0"/>
              <w:marTop w:val="0"/>
              <w:marBottom w:val="0"/>
              <w:divBdr>
                <w:top w:val="none" w:sz="0" w:space="0" w:color="auto"/>
                <w:left w:val="none" w:sz="0" w:space="0" w:color="auto"/>
                <w:bottom w:val="none" w:sz="0" w:space="0" w:color="auto"/>
                <w:right w:val="none" w:sz="0" w:space="0" w:color="auto"/>
              </w:divBdr>
              <w:divsChild>
                <w:div w:id="1299216094">
                  <w:marLeft w:val="0"/>
                  <w:marRight w:val="0"/>
                  <w:marTop w:val="0"/>
                  <w:marBottom w:val="0"/>
                  <w:divBdr>
                    <w:top w:val="none" w:sz="0" w:space="0" w:color="auto"/>
                    <w:left w:val="none" w:sz="0" w:space="0" w:color="auto"/>
                    <w:bottom w:val="none" w:sz="0" w:space="0" w:color="auto"/>
                    <w:right w:val="none" w:sz="0" w:space="0" w:color="auto"/>
                  </w:divBdr>
                  <w:divsChild>
                    <w:div w:id="1416978611">
                      <w:marLeft w:val="1"/>
                      <w:marRight w:val="1"/>
                      <w:marTop w:val="0"/>
                      <w:marBottom w:val="0"/>
                      <w:divBdr>
                        <w:top w:val="none" w:sz="0" w:space="0" w:color="auto"/>
                        <w:left w:val="none" w:sz="0" w:space="0" w:color="auto"/>
                        <w:bottom w:val="none" w:sz="0" w:space="0" w:color="auto"/>
                        <w:right w:val="none" w:sz="0" w:space="0" w:color="auto"/>
                      </w:divBdr>
                      <w:divsChild>
                        <w:div w:id="985817384">
                          <w:marLeft w:val="0"/>
                          <w:marRight w:val="0"/>
                          <w:marTop w:val="0"/>
                          <w:marBottom w:val="0"/>
                          <w:divBdr>
                            <w:top w:val="none" w:sz="0" w:space="0" w:color="auto"/>
                            <w:left w:val="none" w:sz="0" w:space="0" w:color="auto"/>
                            <w:bottom w:val="none" w:sz="0" w:space="0" w:color="auto"/>
                            <w:right w:val="none" w:sz="0" w:space="0" w:color="auto"/>
                          </w:divBdr>
                          <w:divsChild>
                            <w:div w:id="1802765324">
                              <w:marLeft w:val="0"/>
                              <w:marRight w:val="0"/>
                              <w:marTop w:val="0"/>
                              <w:marBottom w:val="360"/>
                              <w:divBdr>
                                <w:top w:val="none" w:sz="0" w:space="0" w:color="auto"/>
                                <w:left w:val="none" w:sz="0" w:space="0" w:color="auto"/>
                                <w:bottom w:val="none" w:sz="0" w:space="0" w:color="auto"/>
                                <w:right w:val="none" w:sz="0" w:space="0" w:color="auto"/>
                              </w:divBdr>
                              <w:divsChild>
                                <w:div w:id="1820149577">
                                  <w:marLeft w:val="0"/>
                                  <w:marRight w:val="0"/>
                                  <w:marTop w:val="0"/>
                                  <w:marBottom w:val="0"/>
                                  <w:divBdr>
                                    <w:top w:val="none" w:sz="0" w:space="0" w:color="auto"/>
                                    <w:left w:val="none" w:sz="0" w:space="0" w:color="auto"/>
                                    <w:bottom w:val="none" w:sz="0" w:space="0" w:color="auto"/>
                                    <w:right w:val="none" w:sz="0" w:space="0" w:color="auto"/>
                                  </w:divBdr>
                                  <w:divsChild>
                                    <w:div w:id="9073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0940">
      <w:bodyDiv w:val="1"/>
      <w:marLeft w:val="0"/>
      <w:marRight w:val="0"/>
      <w:marTop w:val="0"/>
      <w:marBottom w:val="0"/>
      <w:divBdr>
        <w:top w:val="none" w:sz="0" w:space="0" w:color="auto"/>
        <w:left w:val="none" w:sz="0" w:space="0" w:color="auto"/>
        <w:bottom w:val="none" w:sz="0" w:space="0" w:color="auto"/>
        <w:right w:val="none" w:sz="0" w:space="0" w:color="auto"/>
      </w:divBdr>
      <w:divsChild>
        <w:div w:id="260839084">
          <w:marLeft w:val="0"/>
          <w:marRight w:val="0"/>
          <w:marTop w:val="0"/>
          <w:marBottom w:val="0"/>
          <w:divBdr>
            <w:top w:val="none" w:sz="0" w:space="0" w:color="auto"/>
            <w:left w:val="none" w:sz="0" w:space="0" w:color="auto"/>
            <w:bottom w:val="none" w:sz="0" w:space="0" w:color="auto"/>
            <w:right w:val="none" w:sz="0" w:space="0" w:color="auto"/>
          </w:divBdr>
          <w:divsChild>
            <w:div w:id="385837164">
              <w:marLeft w:val="0"/>
              <w:marRight w:val="0"/>
              <w:marTop w:val="0"/>
              <w:marBottom w:val="0"/>
              <w:divBdr>
                <w:top w:val="none" w:sz="0" w:space="0" w:color="auto"/>
                <w:left w:val="none" w:sz="0" w:space="0" w:color="auto"/>
                <w:bottom w:val="none" w:sz="0" w:space="0" w:color="auto"/>
                <w:right w:val="none" w:sz="0" w:space="0" w:color="auto"/>
              </w:divBdr>
              <w:divsChild>
                <w:div w:id="2106269812">
                  <w:marLeft w:val="0"/>
                  <w:marRight w:val="0"/>
                  <w:marTop w:val="0"/>
                  <w:marBottom w:val="0"/>
                  <w:divBdr>
                    <w:top w:val="none" w:sz="0" w:space="0" w:color="auto"/>
                    <w:left w:val="none" w:sz="0" w:space="0" w:color="auto"/>
                    <w:bottom w:val="none" w:sz="0" w:space="0" w:color="auto"/>
                    <w:right w:val="none" w:sz="0" w:space="0" w:color="auto"/>
                  </w:divBdr>
                  <w:divsChild>
                    <w:div w:id="969827178">
                      <w:marLeft w:val="1"/>
                      <w:marRight w:val="1"/>
                      <w:marTop w:val="0"/>
                      <w:marBottom w:val="0"/>
                      <w:divBdr>
                        <w:top w:val="none" w:sz="0" w:space="0" w:color="auto"/>
                        <w:left w:val="none" w:sz="0" w:space="0" w:color="auto"/>
                        <w:bottom w:val="none" w:sz="0" w:space="0" w:color="auto"/>
                        <w:right w:val="none" w:sz="0" w:space="0" w:color="auto"/>
                      </w:divBdr>
                      <w:divsChild>
                        <w:div w:id="1222906806">
                          <w:marLeft w:val="0"/>
                          <w:marRight w:val="0"/>
                          <w:marTop w:val="0"/>
                          <w:marBottom w:val="0"/>
                          <w:divBdr>
                            <w:top w:val="none" w:sz="0" w:space="0" w:color="auto"/>
                            <w:left w:val="none" w:sz="0" w:space="0" w:color="auto"/>
                            <w:bottom w:val="none" w:sz="0" w:space="0" w:color="auto"/>
                            <w:right w:val="none" w:sz="0" w:space="0" w:color="auto"/>
                          </w:divBdr>
                          <w:divsChild>
                            <w:div w:id="1967542676">
                              <w:marLeft w:val="0"/>
                              <w:marRight w:val="0"/>
                              <w:marTop w:val="0"/>
                              <w:marBottom w:val="360"/>
                              <w:divBdr>
                                <w:top w:val="none" w:sz="0" w:space="0" w:color="auto"/>
                                <w:left w:val="none" w:sz="0" w:space="0" w:color="auto"/>
                                <w:bottom w:val="none" w:sz="0" w:space="0" w:color="auto"/>
                                <w:right w:val="none" w:sz="0" w:space="0" w:color="auto"/>
                              </w:divBdr>
                              <w:divsChild>
                                <w:div w:id="827328949">
                                  <w:marLeft w:val="0"/>
                                  <w:marRight w:val="0"/>
                                  <w:marTop w:val="0"/>
                                  <w:marBottom w:val="0"/>
                                  <w:divBdr>
                                    <w:top w:val="none" w:sz="0" w:space="0" w:color="auto"/>
                                    <w:left w:val="none" w:sz="0" w:space="0" w:color="auto"/>
                                    <w:bottom w:val="none" w:sz="0" w:space="0" w:color="auto"/>
                                    <w:right w:val="none" w:sz="0" w:space="0" w:color="auto"/>
                                  </w:divBdr>
                                  <w:divsChild>
                                    <w:div w:id="904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0758">
      <w:bodyDiv w:val="1"/>
      <w:marLeft w:val="0"/>
      <w:marRight w:val="0"/>
      <w:marTop w:val="0"/>
      <w:marBottom w:val="0"/>
      <w:divBdr>
        <w:top w:val="none" w:sz="0" w:space="0" w:color="auto"/>
        <w:left w:val="none" w:sz="0" w:space="0" w:color="auto"/>
        <w:bottom w:val="none" w:sz="0" w:space="0" w:color="auto"/>
        <w:right w:val="none" w:sz="0" w:space="0" w:color="auto"/>
      </w:divBdr>
      <w:divsChild>
        <w:div w:id="36128482">
          <w:marLeft w:val="0"/>
          <w:marRight w:val="0"/>
          <w:marTop w:val="0"/>
          <w:marBottom w:val="0"/>
          <w:divBdr>
            <w:top w:val="none" w:sz="0" w:space="0" w:color="auto"/>
            <w:left w:val="none" w:sz="0" w:space="0" w:color="auto"/>
            <w:bottom w:val="none" w:sz="0" w:space="0" w:color="auto"/>
            <w:right w:val="none" w:sz="0" w:space="0" w:color="auto"/>
          </w:divBdr>
          <w:divsChild>
            <w:div w:id="1770200223">
              <w:marLeft w:val="0"/>
              <w:marRight w:val="0"/>
              <w:marTop w:val="0"/>
              <w:marBottom w:val="0"/>
              <w:divBdr>
                <w:top w:val="none" w:sz="0" w:space="0" w:color="auto"/>
                <w:left w:val="none" w:sz="0" w:space="0" w:color="auto"/>
                <w:bottom w:val="none" w:sz="0" w:space="0" w:color="auto"/>
                <w:right w:val="none" w:sz="0" w:space="0" w:color="auto"/>
              </w:divBdr>
              <w:divsChild>
                <w:div w:id="176043735">
                  <w:marLeft w:val="0"/>
                  <w:marRight w:val="0"/>
                  <w:marTop w:val="0"/>
                  <w:marBottom w:val="0"/>
                  <w:divBdr>
                    <w:top w:val="none" w:sz="0" w:space="0" w:color="auto"/>
                    <w:left w:val="none" w:sz="0" w:space="0" w:color="auto"/>
                    <w:bottom w:val="none" w:sz="0" w:space="0" w:color="auto"/>
                    <w:right w:val="none" w:sz="0" w:space="0" w:color="auto"/>
                  </w:divBdr>
                  <w:divsChild>
                    <w:div w:id="1096755553">
                      <w:marLeft w:val="1"/>
                      <w:marRight w:val="1"/>
                      <w:marTop w:val="0"/>
                      <w:marBottom w:val="0"/>
                      <w:divBdr>
                        <w:top w:val="none" w:sz="0" w:space="0" w:color="auto"/>
                        <w:left w:val="none" w:sz="0" w:space="0" w:color="auto"/>
                        <w:bottom w:val="none" w:sz="0" w:space="0" w:color="auto"/>
                        <w:right w:val="none" w:sz="0" w:space="0" w:color="auto"/>
                      </w:divBdr>
                      <w:divsChild>
                        <w:div w:id="838889321">
                          <w:marLeft w:val="0"/>
                          <w:marRight w:val="0"/>
                          <w:marTop w:val="0"/>
                          <w:marBottom w:val="0"/>
                          <w:divBdr>
                            <w:top w:val="none" w:sz="0" w:space="0" w:color="auto"/>
                            <w:left w:val="none" w:sz="0" w:space="0" w:color="auto"/>
                            <w:bottom w:val="none" w:sz="0" w:space="0" w:color="auto"/>
                            <w:right w:val="none" w:sz="0" w:space="0" w:color="auto"/>
                          </w:divBdr>
                          <w:divsChild>
                            <w:div w:id="1183208695">
                              <w:marLeft w:val="0"/>
                              <w:marRight w:val="0"/>
                              <w:marTop w:val="0"/>
                              <w:marBottom w:val="360"/>
                              <w:divBdr>
                                <w:top w:val="none" w:sz="0" w:space="0" w:color="auto"/>
                                <w:left w:val="none" w:sz="0" w:space="0" w:color="auto"/>
                                <w:bottom w:val="none" w:sz="0" w:space="0" w:color="auto"/>
                                <w:right w:val="none" w:sz="0" w:space="0" w:color="auto"/>
                              </w:divBdr>
                              <w:divsChild>
                                <w:div w:id="905846488">
                                  <w:marLeft w:val="0"/>
                                  <w:marRight w:val="0"/>
                                  <w:marTop w:val="0"/>
                                  <w:marBottom w:val="0"/>
                                  <w:divBdr>
                                    <w:top w:val="none" w:sz="0" w:space="0" w:color="auto"/>
                                    <w:left w:val="none" w:sz="0" w:space="0" w:color="auto"/>
                                    <w:bottom w:val="none" w:sz="0" w:space="0" w:color="auto"/>
                                    <w:right w:val="none" w:sz="0" w:space="0" w:color="auto"/>
                                  </w:divBdr>
                                  <w:divsChild>
                                    <w:div w:id="13857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629580689">
          <w:marLeft w:val="0"/>
          <w:marRight w:val="0"/>
          <w:marTop w:val="0"/>
          <w:marBottom w:val="0"/>
          <w:divBdr>
            <w:top w:val="none" w:sz="0" w:space="0" w:color="auto"/>
            <w:left w:val="none" w:sz="0" w:space="0" w:color="auto"/>
            <w:bottom w:val="none" w:sz="0" w:space="0" w:color="auto"/>
            <w:right w:val="none" w:sz="0" w:space="0" w:color="auto"/>
          </w:divBdr>
          <w:divsChild>
            <w:div w:id="1448157335">
              <w:marLeft w:val="0"/>
              <w:marRight w:val="0"/>
              <w:marTop w:val="0"/>
              <w:marBottom w:val="0"/>
              <w:divBdr>
                <w:top w:val="none" w:sz="0" w:space="0" w:color="auto"/>
                <w:left w:val="none" w:sz="0" w:space="0" w:color="auto"/>
                <w:bottom w:val="none" w:sz="0" w:space="0" w:color="auto"/>
                <w:right w:val="none" w:sz="0" w:space="0" w:color="auto"/>
              </w:divBdr>
              <w:divsChild>
                <w:div w:id="979461993">
                  <w:marLeft w:val="0"/>
                  <w:marRight w:val="0"/>
                  <w:marTop w:val="0"/>
                  <w:marBottom w:val="0"/>
                  <w:divBdr>
                    <w:top w:val="none" w:sz="0" w:space="0" w:color="auto"/>
                    <w:left w:val="none" w:sz="0" w:space="0" w:color="auto"/>
                    <w:bottom w:val="none" w:sz="0" w:space="0" w:color="auto"/>
                    <w:right w:val="none" w:sz="0" w:space="0" w:color="auto"/>
                  </w:divBdr>
                  <w:divsChild>
                    <w:div w:id="1197424479">
                      <w:marLeft w:val="1"/>
                      <w:marRight w:val="1"/>
                      <w:marTop w:val="0"/>
                      <w:marBottom w:val="0"/>
                      <w:divBdr>
                        <w:top w:val="none" w:sz="0" w:space="0" w:color="auto"/>
                        <w:left w:val="none" w:sz="0" w:space="0" w:color="auto"/>
                        <w:bottom w:val="none" w:sz="0" w:space="0" w:color="auto"/>
                        <w:right w:val="none" w:sz="0" w:space="0" w:color="auto"/>
                      </w:divBdr>
                      <w:divsChild>
                        <w:div w:id="759060341">
                          <w:marLeft w:val="0"/>
                          <w:marRight w:val="0"/>
                          <w:marTop w:val="0"/>
                          <w:marBottom w:val="0"/>
                          <w:divBdr>
                            <w:top w:val="none" w:sz="0" w:space="0" w:color="auto"/>
                            <w:left w:val="none" w:sz="0" w:space="0" w:color="auto"/>
                            <w:bottom w:val="none" w:sz="0" w:space="0" w:color="auto"/>
                            <w:right w:val="none" w:sz="0" w:space="0" w:color="auto"/>
                          </w:divBdr>
                          <w:divsChild>
                            <w:div w:id="2110656738">
                              <w:marLeft w:val="0"/>
                              <w:marRight w:val="0"/>
                              <w:marTop w:val="0"/>
                              <w:marBottom w:val="360"/>
                              <w:divBdr>
                                <w:top w:val="none" w:sz="0" w:space="0" w:color="auto"/>
                                <w:left w:val="none" w:sz="0" w:space="0" w:color="auto"/>
                                <w:bottom w:val="none" w:sz="0" w:space="0" w:color="auto"/>
                                <w:right w:val="none" w:sz="0" w:space="0" w:color="auto"/>
                              </w:divBdr>
                              <w:divsChild>
                                <w:div w:id="1889101934">
                                  <w:marLeft w:val="0"/>
                                  <w:marRight w:val="0"/>
                                  <w:marTop w:val="0"/>
                                  <w:marBottom w:val="0"/>
                                  <w:divBdr>
                                    <w:top w:val="none" w:sz="0" w:space="0" w:color="auto"/>
                                    <w:left w:val="none" w:sz="0" w:space="0" w:color="auto"/>
                                    <w:bottom w:val="none" w:sz="0" w:space="0" w:color="auto"/>
                                    <w:right w:val="none" w:sz="0" w:space="0" w:color="auto"/>
                                  </w:divBdr>
                                  <w:divsChild>
                                    <w:div w:id="1494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4952">
      <w:bodyDiv w:val="1"/>
      <w:marLeft w:val="0"/>
      <w:marRight w:val="0"/>
      <w:marTop w:val="0"/>
      <w:marBottom w:val="0"/>
      <w:divBdr>
        <w:top w:val="none" w:sz="0" w:space="0" w:color="auto"/>
        <w:left w:val="none" w:sz="0" w:space="0" w:color="auto"/>
        <w:bottom w:val="none" w:sz="0" w:space="0" w:color="auto"/>
        <w:right w:val="none" w:sz="0" w:space="0" w:color="auto"/>
      </w:divBdr>
    </w:div>
    <w:div w:id="2010519221">
      <w:bodyDiv w:val="1"/>
      <w:marLeft w:val="0"/>
      <w:marRight w:val="0"/>
      <w:marTop w:val="0"/>
      <w:marBottom w:val="0"/>
      <w:divBdr>
        <w:top w:val="none" w:sz="0" w:space="0" w:color="auto"/>
        <w:left w:val="none" w:sz="0" w:space="0" w:color="auto"/>
        <w:bottom w:val="none" w:sz="0" w:space="0" w:color="auto"/>
        <w:right w:val="none" w:sz="0" w:space="0" w:color="auto"/>
      </w:divBdr>
      <w:divsChild>
        <w:div w:id="258298338">
          <w:marLeft w:val="0"/>
          <w:marRight w:val="0"/>
          <w:marTop w:val="0"/>
          <w:marBottom w:val="0"/>
          <w:divBdr>
            <w:top w:val="none" w:sz="0" w:space="0" w:color="auto"/>
            <w:left w:val="none" w:sz="0" w:space="0" w:color="auto"/>
            <w:bottom w:val="none" w:sz="0" w:space="0" w:color="auto"/>
            <w:right w:val="none" w:sz="0" w:space="0" w:color="auto"/>
          </w:divBdr>
          <w:divsChild>
            <w:div w:id="917835324">
              <w:marLeft w:val="0"/>
              <w:marRight w:val="0"/>
              <w:marTop w:val="0"/>
              <w:marBottom w:val="0"/>
              <w:divBdr>
                <w:top w:val="none" w:sz="0" w:space="0" w:color="auto"/>
                <w:left w:val="none" w:sz="0" w:space="0" w:color="auto"/>
                <w:bottom w:val="none" w:sz="0" w:space="0" w:color="auto"/>
                <w:right w:val="none" w:sz="0" w:space="0" w:color="auto"/>
              </w:divBdr>
              <w:divsChild>
                <w:div w:id="1223103254">
                  <w:marLeft w:val="0"/>
                  <w:marRight w:val="0"/>
                  <w:marTop w:val="0"/>
                  <w:marBottom w:val="0"/>
                  <w:divBdr>
                    <w:top w:val="none" w:sz="0" w:space="0" w:color="auto"/>
                    <w:left w:val="none" w:sz="0" w:space="0" w:color="auto"/>
                    <w:bottom w:val="none" w:sz="0" w:space="0" w:color="auto"/>
                    <w:right w:val="none" w:sz="0" w:space="0" w:color="auto"/>
                  </w:divBdr>
                  <w:divsChild>
                    <w:div w:id="108671732">
                      <w:marLeft w:val="1"/>
                      <w:marRight w:val="1"/>
                      <w:marTop w:val="0"/>
                      <w:marBottom w:val="0"/>
                      <w:divBdr>
                        <w:top w:val="none" w:sz="0" w:space="0" w:color="auto"/>
                        <w:left w:val="none" w:sz="0" w:space="0" w:color="auto"/>
                        <w:bottom w:val="none" w:sz="0" w:space="0" w:color="auto"/>
                        <w:right w:val="none" w:sz="0" w:space="0" w:color="auto"/>
                      </w:divBdr>
                      <w:divsChild>
                        <w:div w:id="1684554630">
                          <w:marLeft w:val="0"/>
                          <w:marRight w:val="0"/>
                          <w:marTop w:val="0"/>
                          <w:marBottom w:val="0"/>
                          <w:divBdr>
                            <w:top w:val="none" w:sz="0" w:space="0" w:color="auto"/>
                            <w:left w:val="none" w:sz="0" w:space="0" w:color="auto"/>
                            <w:bottom w:val="none" w:sz="0" w:space="0" w:color="auto"/>
                            <w:right w:val="none" w:sz="0" w:space="0" w:color="auto"/>
                          </w:divBdr>
                          <w:divsChild>
                            <w:div w:id="1214346271">
                              <w:marLeft w:val="0"/>
                              <w:marRight w:val="0"/>
                              <w:marTop w:val="0"/>
                              <w:marBottom w:val="360"/>
                              <w:divBdr>
                                <w:top w:val="none" w:sz="0" w:space="0" w:color="auto"/>
                                <w:left w:val="none" w:sz="0" w:space="0" w:color="auto"/>
                                <w:bottom w:val="none" w:sz="0" w:space="0" w:color="auto"/>
                                <w:right w:val="none" w:sz="0" w:space="0" w:color="auto"/>
                              </w:divBdr>
                              <w:divsChild>
                                <w:div w:id="1101561413">
                                  <w:marLeft w:val="0"/>
                                  <w:marRight w:val="0"/>
                                  <w:marTop w:val="0"/>
                                  <w:marBottom w:val="0"/>
                                  <w:divBdr>
                                    <w:top w:val="none" w:sz="0" w:space="0" w:color="auto"/>
                                    <w:left w:val="none" w:sz="0" w:space="0" w:color="auto"/>
                                    <w:bottom w:val="none" w:sz="0" w:space="0" w:color="auto"/>
                                    <w:right w:val="none" w:sz="0" w:space="0" w:color="auto"/>
                                  </w:divBdr>
                                  <w:divsChild>
                                    <w:div w:id="1066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8F04-DC59-4D16-895A-B0F1B366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Pages>
  <Words>4102</Words>
  <Characters>29214</Characters>
  <Application>Microsoft Office Word</Application>
  <DocSecurity>0</DocSecurity>
  <Lines>584</Lines>
  <Paragraphs>268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2016-11-29T16:21:00Z</cp:lastPrinted>
  <dcterms:created xsi:type="dcterms:W3CDTF">2017-03-06T08:26:00Z</dcterms:created>
  <dcterms:modified xsi:type="dcterms:W3CDTF">2017-03-06T16:35:00Z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