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67E7D5960624BA5BD8B58B3289941B1"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Bdr>
          <w:top w:val="nil"/>
          <w:left w:val="nil"/>
          <w:bottom w:val="nil"/>
          <w:right w:val="nil"/>
          <w:between w:val="nil"/>
          <w:bar w:val="nil"/>
        </w:pBdr>
        <w:spacing w:before="0" w:after="240"/>
        <w:rPr>
          <w:rFonts w:eastAsia="Arial Unicode MS"/>
          <w:noProof/>
        </w:rPr>
      </w:pPr>
      <w:r>
        <w:rPr>
          <w:noProof/>
        </w:rPr>
        <w:t>Mit dem Vertrag von Lissabon wurden grundlegende strukturelle Veränderungen in Bezug auf die Befugnisse, die der Kommission vom Gesetzgeber übertragen werden können, eingeführt. Der Vertrag unterscheidet deutlich zwischen Rechtsakten quasi-legislativer Art und Rechtsakten, mit denen die Bestimmungen eines Basisrechtsakts durchgeführt werden, und sieht für beide Arten von Rechtsakten ganz unterschiedliche Rechtsrahmen vor.</w:t>
      </w:r>
    </w:p>
    <w:p>
      <w:pPr>
        <w:pBdr>
          <w:top w:val="nil"/>
          <w:left w:val="nil"/>
          <w:bottom w:val="nil"/>
          <w:right w:val="nil"/>
          <w:between w:val="nil"/>
          <w:bar w:val="nil"/>
        </w:pBdr>
        <w:spacing w:before="0" w:after="240"/>
        <w:rPr>
          <w:rFonts w:eastAsia="Arial Unicode MS"/>
          <w:noProof/>
        </w:rPr>
      </w:pPr>
      <w:r>
        <w:rPr>
          <w:noProof/>
        </w:rPr>
        <w:t>Die betreffenden Bestimmungen finden sich in den Artikeln 290 und 291 des Vertrags über die Arbeitsweise der Europäischen Union (im Folgenden „AEUV“), die durch den am 1. Dezember 2009 in Kraft getretenen Vertrag von Lissabon eingeführt wurden.</w:t>
      </w:r>
      <w:r>
        <w:rPr>
          <w:rStyle w:val="FootnoteReference"/>
          <w:noProof/>
        </w:rPr>
        <w:footnoteReference w:id="1"/>
      </w:r>
      <w:r>
        <w:rPr>
          <w:noProof/>
        </w:rPr>
        <w:t xml:space="preserve"> Sie enthalten wesentliche Änderungen der bislang als „Komitologieverfahren“ bezeichneten Verfahren. </w:t>
      </w:r>
    </w:p>
    <w:p>
      <w:pPr>
        <w:pBdr>
          <w:top w:val="nil"/>
          <w:left w:val="nil"/>
          <w:bottom w:val="nil"/>
          <w:right w:val="nil"/>
          <w:between w:val="nil"/>
          <w:bar w:val="nil"/>
        </w:pBdr>
        <w:spacing w:before="0" w:after="240"/>
        <w:rPr>
          <w:rFonts w:eastAsia="Arial Unicode MS"/>
          <w:noProof/>
        </w:rPr>
      </w:pPr>
      <w:r>
        <w:rPr>
          <w:noProof/>
        </w:rPr>
        <w:t>Die in Artikel 290 Absatz 1 AEUV gegebene Definition der delegierten Rechtsakte ähnelt weitgehend der Definition jener Rechtsakte, die gemäß Artikel 5a des Beschlusses 1999/468/EG</w:t>
      </w:r>
      <w:r>
        <w:rPr>
          <w:rStyle w:val="FootnoteReference"/>
          <w:noProof/>
        </w:rPr>
        <w:footnoteReference w:id="2"/>
      </w:r>
      <w:r>
        <w:rPr>
          <w:noProof/>
        </w:rPr>
        <w:t xml:space="preserve"> in der Fassung des Beschlusses 2006/512/EG des Rates („Komitologiebeschluss“) unter das Regelungsverfahren mit Kontrolle fallen. In beiden Fällen handelt es sich um Rechtsakte mit allgemeiner Geltung zur Änderung oder Ergänzung bestimmter nicht wesentlicher Vorschriften des betreffenden Gesetzgebungsaktes.</w:t>
      </w:r>
    </w:p>
    <w:p>
      <w:pPr>
        <w:pBdr>
          <w:top w:val="nil"/>
          <w:left w:val="nil"/>
          <w:bottom w:val="nil"/>
          <w:right w:val="nil"/>
          <w:between w:val="nil"/>
          <w:bar w:val="nil"/>
        </w:pBdr>
        <w:spacing w:before="0" w:after="240"/>
        <w:rPr>
          <w:rFonts w:eastAsia="Arial Unicode MS"/>
          <w:noProof/>
        </w:rPr>
      </w:pPr>
      <w:r>
        <w:rPr>
          <w:noProof/>
        </w:rPr>
        <w:t>Aus diesem Grund war Artikel 5a des Komitologiebeschlusses nicht Gegenstand der Überarbeitung des Komitologiebeschlusses durch die Verordnung (EU) Nr. 182/2011 des Rates</w:t>
      </w:r>
      <w:r>
        <w:rPr>
          <w:rStyle w:val="FootnoteReference"/>
          <w:noProof/>
        </w:rPr>
        <w:footnoteReference w:id="3"/>
      </w:r>
      <w:r>
        <w:rPr>
          <w:noProof/>
        </w:rPr>
        <w:t xml:space="preserve"> („Komitologieverordnung“), die auf der Grundlage des Artikels 291 Absatz 3 AEUV über Durchführungsbefugnisse erlassen wurde. Artikel 5a, der die Bestimmungen über das Regelungsverfahren mit Kontrolle enthält, musste deshalb mit Blick auf bestehende Basisrechtsakte, in denen auf ihn Bezug genommen wird, vorläufig in Kraft gelassen werden. </w:t>
      </w:r>
    </w:p>
    <w:p>
      <w:pPr>
        <w:pBdr>
          <w:top w:val="nil"/>
          <w:left w:val="nil"/>
          <w:bottom w:val="nil"/>
          <w:right w:val="nil"/>
          <w:between w:val="nil"/>
          <w:bar w:val="nil"/>
        </w:pBdr>
        <w:spacing w:before="0" w:after="240"/>
        <w:rPr>
          <w:rFonts w:eastAsia="Arial Unicode MS"/>
          <w:noProof/>
        </w:rPr>
      </w:pPr>
      <w:r>
        <w:rPr>
          <w:noProof/>
        </w:rPr>
        <w:t xml:space="preserve">Folglich ist das Regelungsverfahren mit Kontrolle in den 168 bestehenden Basisrechtsakten, die unter diesen Vorschlag fallen, immer noch vorgesehen und ist (gemäß Artikel 5a des Komitologiebeschlusses) weiterhin anwendbar, bis diese Rechtsakte formell geändert und an den Vertrag von Lissabon angepasst werden. </w:t>
      </w:r>
    </w:p>
    <w:p>
      <w:pPr>
        <w:pBdr>
          <w:top w:val="nil"/>
          <w:left w:val="nil"/>
          <w:bottom w:val="nil"/>
          <w:right w:val="nil"/>
          <w:between w:val="nil"/>
          <w:bar w:val="nil"/>
        </w:pBdr>
        <w:spacing w:before="0" w:after="240"/>
        <w:rPr>
          <w:rFonts w:eastAsia="Arial Unicode MS"/>
          <w:noProof/>
        </w:rPr>
      </w:pPr>
      <w:r>
        <w:rPr>
          <w:noProof/>
        </w:rPr>
        <w:t>Bei der Annahme der Verordnung 182/2011 verpflichtete sich die Kommission, die Bestimmungen dieses Verfahrens zu überprüfen, um sie zu gegebener Zeit auf der Grundlage der im Vertrag über die Arbeitsweise der Europäischen Union festgelegten Kriterien anzupassen.</w:t>
      </w:r>
      <w:r>
        <w:rPr>
          <w:rStyle w:val="FootnoteReference"/>
          <w:noProof/>
        </w:rPr>
        <w:footnoteReference w:id="4"/>
      </w:r>
      <w:r>
        <w:rPr>
          <w:noProof/>
        </w:rPr>
        <w:t xml:space="preserve"> Im Einklang mit dieser Verpflichtung legte die Kommission 2013 drei Legislativvorschläge zur horizontalen Anpassung vor (Omnibus-Vorschläge I, II und III)</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Das Europäische Parlament nahm am 25. Februar 2014 legislative Entschließungen zu diesen Vorschlägen</w:t>
      </w:r>
      <w:r>
        <w:rPr>
          <w:rStyle w:val="FootnoteReference"/>
          <w:noProof/>
        </w:rPr>
        <w:footnoteReference w:id="6"/>
      </w:r>
      <w:r>
        <w:rPr>
          <w:noProof/>
        </w:rPr>
        <w:t xml:space="preserve"> an, in denen es mehrere Änderungen der Omnibus-Vorschläge I und III vorschlug, im Großen und Ganzen aber den Vorschlägen der Kommission zustimmte. Der Rat dagegen unterstützte die Vorschläge der Kommission nicht; er lehnte die automatische Anpassung beim Übergang vom Regelungsverfahren mit Kontrolle zu delegierten Rechtsakten insbesondere deshalb ab, weil es keine soliden Garantien dafür gab, dass bei der Ausarbeitung der delegierten Rechtsakte systematisch Sachverständige aus den Mitgliedstaaten zurate gezogen würden.</w:t>
      </w:r>
    </w:p>
    <w:p>
      <w:pPr>
        <w:pBdr>
          <w:top w:val="nil"/>
          <w:left w:val="nil"/>
          <w:bottom w:val="nil"/>
          <w:right w:val="nil"/>
          <w:between w:val="nil"/>
          <w:bar w:val="nil"/>
        </w:pBdr>
        <w:spacing w:before="0" w:after="240"/>
        <w:rPr>
          <w:rFonts w:eastAsia="Arial Unicode MS"/>
          <w:noProof/>
        </w:rPr>
      </w:pPr>
      <w:r>
        <w:rPr>
          <w:noProof/>
        </w:rPr>
        <w:t>Aufgrund des Stillstands bei den diesbezüglichen interinstitutionellen Verhandlungen nahm die Kommission diese Vorschläge wie in ihrem Arbeitsprogramm 2015</w:t>
      </w:r>
      <w:r>
        <w:rPr>
          <w:rStyle w:val="FootnoteReference"/>
          <w:noProof/>
        </w:rPr>
        <w:footnoteReference w:id="7"/>
      </w:r>
      <w:r>
        <w:rPr>
          <w:noProof/>
        </w:rPr>
        <w:t xml:space="preserve"> angekündigt zurück.</w:t>
      </w:r>
      <w:r>
        <w:rPr>
          <w:rStyle w:val="FootnoteReference"/>
          <w:noProof/>
        </w:rPr>
        <w:footnoteReference w:id="8"/>
      </w:r>
      <w:r>
        <w:rPr>
          <w:noProof/>
        </w:rPr>
        <w:t xml:space="preserve"> </w:t>
      </w:r>
    </w:p>
    <w:p>
      <w:pPr>
        <w:pBdr>
          <w:top w:val="nil"/>
          <w:left w:val="nil"/>
          <w:bottom w:val="nil"/>
          <w:right w:val="nil"/>
          <w:between w:val="nil"/>
          <w:bar w:val="nil"/>
        </w:pBdr>
        <w:spacing w:before="0" w:after="240"/>
        <w:rPr>
          <w:rFonts w:eastAsia="Arial Unicode MS"/>
          <w:noProof/>
        </w:rPr>
      </w:pPr>
      <w:r>
        <w:rPr>
          <w:noProof/>
        </w:rPr>
        <w:t>Die Frage der Anpassung wurde in den Diskussionen über die Überarbeitung der Interinstitutionellen Vereinbarung über bessere Rechtsetzung</w:t>
      </w:r>
      <w:r>
        <w:rPr>
          <w:rStyle w:val="FootnoteReference"/>
          <w:noProof/>
        </w:rPr>
        <w:footnoteReference w:id="9"/>
      </w:r>
      <w:r>
        <w:rPr>
          <w:noProof/>
        </w:rPr>
        <w:t xml:space="preserve"> wieder aufgegriffen. Alle Organe erkannten die Notwendigkeit der Anpassung an, und die Kommission verpflichtete sich, bis Ende 2016 einen neuen Vorschlag für die Anpassung von Rechtsakten vorzulegen, in denen noch auf das Regelungsverfahren mit Kontrolle Bezug genommen wird. Mit dem vorliegenden Vorschlag kommt sie dieser Verpflichtung nach. </w:t>
      </w:r>
    </w:p>
    <w:p>
      <w:pPr>
        <w:pBdr>
          <w:top w:val="nil"/>
          <w:left w:val="nil"/>
          <w:bottom w:val="nil"/>
          <w:right w:val="nil"/>
          <w:between w:val="nil"/>
          <w:bar w:val="nil"/>
        </w:pBdr>
        <w:spacing w:before="0" w:after="240"/>
        <w:rPr>
          <w:rFonts w:eastAsia="Arial Unicode MS"/>
          <w:noProof/>
        </w:rPr>
      </w:pPr>
      <w:r>
        <w:rPr>
          <w:noProof/>
        </w:rPr>
        <w:t>Gleichzeitig verbessern die Interinstitutionelle Vereinbarung und die ihr beigefügte Verständigung über delegierte Rechtsakte den Rahmen für delegierte Rechtsakte und tragen damit dem wichtigsten Anliegen Rechnung, das oft die Annahme delegierter Rechtsakte seitens des Rates verhinderte, nämlich der Konsultation von Sachverständigen aus den Mitgliedstaaten. Die Vereinbarung enthält nun eine klare Verpflichtung zur systematischen Konsultation von Sachverständigen aus den Mitgliedstaaten bei der Ausarbeitung delegierter Rechtsakte, einschließlich der Entwürfe, und erfüllt damit eine entscheidende Voraussetzung für einen erfolgreichen zweiten Versuch zur Anpassung der alten Bestimmungen über das Regelungsverfahren mit Kontrolle an den Vertrag von Lissabon. Diese Verpflichtung ist nun ausdrücklich in die neuen Standardklauseln aufgenommen worden, die bei der Ausarbeitung von Befugnisübertragungen an die Kommission zu verwenden sind. In der Vereinbarung wird auch klar anerkannt, dass die Zusammenarbeit und der Gedankenaustausch mit dem Europäischen Parlament in Bezug auf delegierte Rechtsakte frühzeitig erfolgen sollten. Ferner wird bekräftigt, dass das Europäische Parlament sämtliche Dokumente einschließlich der Entwürfe der delegierten Rechtsakte zur gleichen Zeit wie die Sachverständigen der Mitgliedstaaten erhalten muss und dass die Sachverständigen des Europäischen Parlaments systematisch einfacheren Zugang zu den Sitzungen der Sachverständigengruppen der Kommission, die delegierte Rechtsakte ausarbeiten, erhalten. Schließlich sieht die Vereinbarung vor, dass die Kommission zu Sitzungen im Europäischen Parlament (oder im Rat) eingeladen werden kann, damit ein weiterer Gedankenaustausch über die Ausarbeitung der delegierten Rechtsakte geführt werden kann.</w:t>
      </w:r>
    </w:p>
    <w:p>
      <w:pPr>
        <w:pStyle w:val="ManualHeading2"/>
        <w:rPr>
          <w:rFonts w:eastAsia="Arial Unicode MS"/>
          <w:noProof/>
          <w:color w:val="000000"/>
          <w:u w:color="000000"/>
          <w:bdr w:val="nil"/>
        </w:rPr>
      </w:pPr>
      <w:r>
        <w:rPr>
          <w:noProof/>
          <w:color w:val="000000"/>
          <w:u w:color="000000"/>
          <w:bdr w:val="nil"/>
        </w:rPr>
        <w:t xml:space="preserve">2. </w:t>
      </w:r>
      <w:r>
        <w:rPr>
          <w:noProof/>
        </w:rPr>
        <w:tab/>
      </w:r>
      <w:r>
        <w:rPr>
          <w:noProof/>
          <w:color w:val="000000"/>
          <w:u w:color="000000"/>
          <w:bdr w:val="nil"/>
        </w:rPr>
        <w:t xml:space="preserve">Anpassungsmethode und Kernpunkte des Vorschlags </w:t>
      </w:r>
    </w:p>
    <w:p>
      <w:pPr>
        <w:pBdr>
          <w:top w:val="nil"/>
          <w:left w:val="nil"/>
          <w:bottom w:val="nil"/>
          <w:right w:val="nil"/>
          <w:between w:val="nil"/>
          <w:bar w:val="nil"/>
        </w:pBdr>
        <w:spacing w:before="0" w:after="240"/>
        <w:rPr>
          <w:rFonts w:eastAsia="Arial Unicode MS"/>
          <w:noProof/>
        </w:rPr>
      </w:pPr>
      <w:r>
        <w:rPr>
          <w:noProof/>
        </w:rPr>
        <w:t xml:space="preserve">Ausgangspunkt für die Festlegung des </w:t>
      </w:r>
      <w:r>
        <w:rPr>
          <w:b/>
          <w:noProof/>
        </w:rPr>
        <w:t>Gegenstands</w:t>
      </w:r>
      <w:r>
        <w:rPr>
          <w:noProof/>
        </w:rPr>
        <w:t xml:space="preserve"> dieses Vorschlags sind die Rechtsakte, die unter die drei diesbezüglichen von der Kommission 2013 angenommenen Vorschläge für die Anpassung von Rechtsakten fallen. Rechtsakte, für die inzwischen spezifische Gesetzgebungsvorschläge gemacht wurden, sind nicht in den vorliegenden Vorschlag eingeschlossen.</w:t>
      </w:r>
      <w:r>
        <w:rPr>
          <w:rStyle w:val="FootnoteReference"/>
          <w:noProof/>
        </w:rPr>
        <w:footnoteReference w:id="10"/>
      </w:r>
      <w:r>
        <w:rPr>
          <w:noProof/>
        </w:rPr>
        <w:t xml:space="preserve"> Ein Rechtsakt, der nicht unter den 2013 vorgelegten Vorschlag fällt, aber angepasst werden muss, wurde noch in den Vorschlag aufgenommen </w:t>
      </w:r>
    </w:p>
    <w:p>
      <w:pPr>
        <w:pBdr>
          <w:top w:val="nil"/>
          <w:left w:val="nil"/>
          <w:bottom w:val="nil"/>
          <w:right w:val="nil"/>
          <w:between w:val="nil"/>
          <w:bar w:val="nil"/>
        </w:pBdr>
        <w:spacing w:before="0" w:after="240"/>
        <w:rPr>
          <w:rFonts w:eastAsia="Arial Unicode MS"/>
          <w:noProof/>
        </w:rPr>
      </w:pPr>
      <w:r>
        <w:rPr>
          <w:noProof/>
        </w:rPr>
        <w:t>Acht Rechtsakte aus dem Bereich Pestizide und Lebensmittel sind nicht Gegenstand des vorliegenden Vorschlags.</w:t>
      </w:r>
      <w:r>
        <w:rPr>
          <w:rStyle w:val="FootnoteReference"/>
          <w:noProof/>
        </w:rPr>
        <w:footnoteReference w:id="11"/>
      </w:r>
      <w:r>
        <w:rPr>
          <w:noProof/>
        </w:rPr>
        <w:t xml:space="preserve"> Angesichts der derzeitigen Struktur dieser Basisrechtsakte wäre die von der Kommission 2013 vorgeschlagene Anpassung an delegierte Rechtsakte die richtige Vorgehensweise. Gleichwohl hat die Kommission diese Rechtsakte noch nicht in den vorliegenden Vorschlag aufgenommen, da sie überlegt, ob diese Rechtsakte in Bezug auf Einzelzulassungen, die Festlegung bestimmter Werte und die Auflistung spezifischer Substanzen auf der Grundlage der im Rechtsakt dargelegten spezifischen Kriterien besser strukturiert werden können; bei diesen Überlegungen berücksichtigt sie (wie im Arbeitsprogramm der Kommission für 2017 angekündigt) den verbesserten Ansatz, den die gesetzgebenden Organe unlängst in den Rechtsvorschriften zu neuartigen Lebensmitteln</w:t>
      </w:r>
      <w:r>
        <w:rPr>
          <w:rStyle w:val="FootnoteReference"/>
          <w:noProof/>
        </w:rPr>
        <w:footnoteReference w:id="12"/>
      </w:r>
      <w:r>
        <w:rPr>
          <w:noProof/>
        </w:rPr>
        <w:t xml:space="preserve"> zugrunde gelegt haben, und die laufende REFIT-Überprüfung der Basisrechtsakte über Pestizide sowie die noch nicht abgeschlossenen Arbeiten zur Beurteilung der demokratischen Legitimität bestehender Verfahren für die Verabschiedung bestimmter Sekundärrechtsakte. </w:t>
      </w:r>
    </w:p>
    <w:p>
      <w:pPr>
        <w:pBdr>
          <w:top w:val="nil"/>
          <w:left w:val="nil"/>
          <w:bottom w:val="nil"/>
          <w:right w:val="nil"/>
          <w:between w:val="nil"/>
          <w:bar w:val="nil"/>
        </w:pBdr>
        <w:spacing w:before="0" w:after="240"/>
        <w:rPr>
          <w:rFonts w:eastAsia="Arial Unicode MS"/>
          <w:noProof/>
        </w:rPr>
      </w:pPr>
      <w:r>
        <w:rPr>
          <w:noProof/>
        </w:rPr>
        <w:t xml:space="preserve">In den Anpassungsvorschlägen von 2013 wurde der </w:t>
      </w:r>
      <w:r>
        <w:rPr>
          <w:b/>
          <w:noProof/>
        </w:rPr>
        <w:t>Rechtssetzungsansatz</w:t>
      </w:r>
      <w:r>
        <w:rPr>
          <w:noProof/>
        </w:rPr>
        <w:t xml:space="preserve"> gewählt, nicht die in Rede stehenden Basisrechtsakte einzeln zu ändern, sondern allgemein vorzusehen, dass die in den Basisrechtsakten enthaltenen Bezugnahmen auf das Regelungsverfahren mit Kontrolle als Bezugnahmen auf Artikel 290 bzw. Artikel 290 oder 291 zu verstehen sind. Nach diesem Ansatz hätte jeder einzelne Basisrechtsakt immer zusammen mit der einschlägigen Omnibus-Verordnung gelesen werden müssen, wenn diese verabschiedet worden wäre. </w:t>
      </w:r>
    </w:p>
    <w:p>
      <w:pPr>
        <w:pBdr>
          <w:top w:val="nil"/>
          <w:left w:val="nil"/>
          <w:bottom w:val="nil"/>
          <w:right w:val="nil"/>
          <w:between w:val="nil"/>
          <w:bar w:val="nil"/>
        </w:pBdr>
        <w:spacing w:before="0" w:after="240"/>
        <w:rPr>
          <w:rFonts w:eastAsia="Arial Unicode MS"/>
          <w:noProof/>
        </w:rPr>
      </w:pPr>
      <w:r>
        <w:rPr>
          <w:noProof/>
        </w:rPr>
        <w:t>Angesichts der Probleme, die insbesondere nach Auffassung des Rates mit dieser Verfahrensweise verbunden sind, wird im vorliegenden Vorschlag ein anderer Ansatz zugrunde gelegt. Nun wird vorgeschlagen, jeden betroffenen Basisrechtsakt zu ändern.</w:t>
      </w:r>
      <w:r>
        <w:rPr>
          <w:noProof/>
          <w:color w:val="000000"/>
        </w:rPr>
        <w:t xml:space="preserve"> </w:t>
      </w:r>
      <w:r>
        <w:rPr>
          <w:noProof/>
        </w:rPr>
        <w:t>Dies ist mit der Vorgehensweise bei der Einführung des Regelungsverfahrens mit Kontrolle im Jahr 2007 vergleichbar.</w:t>
      </w:r>
      <w:r>
        <w:rPr>
          <w:rStyle w:val="FootnoteReference"/>
          <w:noProof/>
        </w:rPr>
        <w:footnoteReference w:id="13"/>
      </w:r>
      <w:r>
        <w:rPr>
          <w:noProof/>
        </w:rPr>
        <w:t xml:space="preserve"> So wird nun bei jedem Basisrechtsakt eine Reihe von Änderungen vorgenommen. Die Bestimmung über die Befugnisübertragung, d. h. der Text, der die materielle Befugnisübertragung für das Regelungsverfahren mit Kontrolle enthält, wird entsprechend dem für die Standardklauseln für Artikel zur Befugnisübertragung vereinbarten Wortlaut neu formuliert. Der Standardartikel zur Befugnisübertragung, d. h. der Verfahrensartikel, wird in jeden Basisrechtsakt eingefügt und die Bezugnahmen auf das Regelungsverfahren mit Kontrolle werden gestrichen. Wenn im Einklang mit der Befugnisübertragung Änderungen des Basisrechtsakts möglich sind, wird bei jedem Rechtsakt ausdrücklich darauf hingewiesen. Die neuen Standardklauseln über die Konsultation von Sachverständigen aus den Mitgliedstaaten bei der Ausarbeitung delegierter Rechtsakte sind nun in jedem Basisrechtsakt enthalten. Befugnisübertragungen sehen keine Änderungen anderer Rechtsakte vor.</w:t>
      </w:r>
    </w:p>
    <w:p>
      <w:pPr>
        <w:pBdr>
          <w:top w:val="nil"/>
          <w:left w:val="nil"/>
          <w:bottom w:val="nil"/>
          <w:right w:val="nil"/>
          <w:between w:val="nil"/>
          <w:bar w:val="nil"/>
        </w:pBdr>
        <w:spacing w:before="0" w:after="240"/>
        <w:rPr>
          <w:rFonts w:eastAsia="Arial Unicode MS"/>
          <w:noProof/>
        </w:rPr>
      </w:pPr>
      <w:r>
        <w:rPr>
          <w:noProof/>
        </w:rPr>
        <w:t xml:space="preserve">Was bei Befugnisübertragungen die </w:t>
      </w:r>
      <w:r>
        <w:rPr>
          <w:b/>
          <w:noProof/>
        </w:rPr>
        <w:t>Wahl zwischen delegierten Rechtsakten und Durchführungsrechtsakten</w:t>
      </w:r>
      <w:r>
        <w:rPr>
          <w:noProof/>
        </w:rPr>
        <w:t xml:space="preserve"> anbelangt, so gingen die Anpassungsvorschläge von 2013 von der Annahme aus, dass die unter das Regelungsverfahren mit Kontrolle fallenden Maßnahmen grundsätzlich jenen entsprechen, die unter die in Artikel 290 AEUV genannten Befugnisübertragungen fallen können. Nur in wenigen Fällen im Omnibus-Vorschlag III wurde auf der Grundlage einer damals durchgeführten Einzelfallprüfung die Anpassung an Artikel 291 anstatt an Artikel 290 vorgeschlagen. </w:t>
      </w:r>
    </w:p>
    <w:p>
      <w:pPr>
        <w:pBdr>
          <w:top w:val="nil"/>
          <w:left w:val="nil"/>
          <w:bottom w:val="nil"/>
          <w:right w:val="nil"/>
          <w:between w:val="nil"/>
          <w:bar w:val="nil"/>
        </w:pBdr>
        <w:spacing w:before="0" w:after="240"/>
        <w:rPr>
          <w:rFonts w:eastAsia="Arial Unicode MS"/>
          <w:noProof/>
        </w:rPr>
      </w:pPr>
      <w:r>
        <w:rPr>
          <w:noProof/>
        </w:rPr>
        <w:t>Dem neuen Vorschlag liegt die allgemeine Annahme zugrunde, dass die in den Omnibus-Vorschlägen von 2013 vorgenommene Bewertung weiterhin gültig ist. Weder die Verhandlungen über die Omnibus-Vorschläge von 2013 noch die diesbezügliche Rechtsprechung</w:t>
      </w:r>
      <w:r>
        <w:rPr>
          <w:rStyle w:val="FootnoteReference"/>
          <w:noProof/>
        </w:rPr>
        <w:footnoteReference w:id="14"/>
      </w:r>
      <w:r>
        <w:rPr>
          <w:noProof/>
        </w:rPr>
        <w:t xml:space="preserve"> oder das Ergebnis der Interinstitutionellen Vereinbarung über bessere Rechtsetzung mündeten in neue Kriterien, nach denen eine umfassende Neubewertung erforderlich gewesen wäre. </w:t>
      </w:r>
    </w:p>
    <w:p>
      <w:pPr>
        <w:pBdr>
          <w:top w:val="nil"/>
          <w:left w:val="nil"/>
          <w:bottom w:val="nil"/>
          <w:right w:val="nil"/>
          <w:between w:val="nil"/>
          <w:bar w:val="nil"/>
        </w:pBdr>
        <w:spacing w:before="0" w:after="240"/>
        <w:rPr>
          <w:rFonts w:eastAsia="Arial Unicode MS"/>
          <w:bCs/>
          <w:noProof/>
        </w:rPr>
      </w:pPr>
      <w:r>
        <w:rPr>
          <w:noProof/>
        </w:rPr>
        <w:t xml:space="preserve">Falls eine Anpassung an Durchführungsrechtsakte erfolgt, wird eine einleitende Bemerkung hinzugefügt. Zusätzlich zu den Fällen, in denen bereits 2013 die Anpassung an Durchführungsrechtsakte vorgeschlagen wurde, wurden nur einige weitere Fälle in diesen Vorschlag aufgenommen. Dies betrifft Befugnisübertragungen für die Festlegung von Formaten im Bereich Statistik. </w:t>
      </w:r>
    </w:p>
    <w:p>
      <w:pPr>
        <w:pBdr>
          <w:top w:val="nil"/>
          <w:left w:val="nil"/>
          <w:bottom w:val="nil"/>
          <w:right w:val="nil"/>
          <w:between w:val="nil"/>
          <w:bar w:val="nil"/>
        </w:pBdr>
        <w:spacing w:before="0" w:after="240"/>
        <w:rPr>
          <w:rFonts w:eastAsia="Arial Unicode MS"/>
          <w:b/>
          <w:bCs/>
          <w:noProof/>
        </w:rPr>
      </w:pPr>
      <w:r>
        <w:rPr>
          <w:b/>
          <w:noProof/>
        </w:rPr>
        <w:t xml:space="preserve">Tabelle 1: Überblick über die Rechtsakte, deren Anpassung an Durchführungsrechtsakte für bestimmte Befugnisübertragungen vorgeschlagen wird </w:t>
      </w:r>
    </w:p>
    <w:tbl>
      <w:tblPr>
        <w:tblStyle w:val="TableGrid"/>
        <w:tblW w:w="0" w:type="auto"/>
        <w:tblLayout w:type="fixed"/>
        <w:tblLook w:val="04A0" w:firstRow="1" w:lastRow="0" w:firstColumn="1" w:lastColumn="0" w:noHBand="0" w:noVBand="1"/>
      </w:tblPr>
      <w:tblGrid>
        <w:gridCol w:w="1242"/>
        <w:gridCol w:w="7986"/>
      </w:tblGrid>
      <w:tr>
        <w:tc>
          <w:tcPr>
            <w:tcW w:w="1242" w:type="dxa"/>
          </w:tcPr>
          <w:p>
            <w:pPr>
              <w:pBdr>
                <w:top w:val="nil"/>
                <w:left w:val="nil"/>
                <w:bottom w:val="nil"/>
                <w:right w:val="nil"/>
                <w:between w:val="nil"/>
                <w:bar w:val="nil"/>
              </w:pBdr>
              <w:spacing w:before="0" w:after="240"/>
              <w:rPr>
                <w:rFonts w:eastAsia="Arial Unicode MS"/>
                <w:b/>
                <w:bCs/>
                <w:noProof/>
              </w:rPr>
            </w:pPr>
            <w:r>
              <w:rPr>
                <w:b/>
                <w:noProof/>
              </w:rPr>
              <w:t>Nummer im Anhang</w:t>
            </w:r>
          </w:p>
        </w:tc>
        <w:tc>
          <w:tcPr>
            <w:tcW w:w="7986" w:type="dxa"/>
          </w:tcPr>
          <w:p>
            <w:pPr>
              <w:pBdr>
                <w:top w:val="nil"/>
                <w:left w:val="nil"/>
                <w:bottom w:val="nil"/>
                <w:right w:val="nil"/>
                <w:between w:val="nil"/>
                <w:bar w:val="nil"/>
              </w:pBdr>
              <w:spacing w:before="0" w:after="240"/>
              <w:rPr>
                <w:rFonts w:eastAsia="Arial Unicode MS"/>
                <w:b/>
                <w:bCs/>
                <w:noProof/>
              </w:rPr>
            </w:pPr>
            <w:r>
              <w:rPr>
                <w:b/>
                <w:noProof/>
              </w:rPr>
              <w:t>Titel des Rechtsakts</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2</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Entscheidung Nr. 406/2009/EG des Europäischen Parlaments und des Rates vom 23. April 2009 über die Anstrengungen der Mitgliedstaaten zur Reduktion ihrer Treibhausgasemissionen mit Blick auf die Erfüllung der Verpflichtungen der Gemeinschaft zur Reduktion der Treibhausgasemissionen bis 2020*</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Entscheidung Nr. 626/2008/EG des Europäischen Parlaments und des Rates vom 30. Juni 2008 über die Auswahl und Genehmigung von Systemen, die Satellitenmobilfunkdienste (MSS) erbringen*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53</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58</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530/1999 des Rates vom 9. März 1999 zur Statistik über die Struktur der Verdienste und der Arbeitskosten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59</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2150/2002 des Europäischen Parlaments und des Rates vom 25. November 2002 zur Abfallstatistik*</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60</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437/2003 des Europäischen Parlaments und des Rates vom 27. Februar 2003 über die statistische Erfassung der Beförderung von Fluggästen, Fracht und Post im Luftverkehr</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61</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450/2003 des Europäischen Parlaments und des Rates vom 27. Februar 2003 über den Arbeitskostenindex*</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1552/2005 des Europäischen Parlaments und des Rates vom 7. September 2005 über die Statistik der betrieblichen Bildung*</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67</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716/2007 des Europäischen Parlaments und des Rates vom 20. Juni 2007 zu gemeinschaftlichen Statistiken über die Struktur und Tätigkeit von Auslandsunternehmenseinheiten*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69</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1445/2007 des Europäischen Parlaments und des Rates vom 11. Dezember 2007 zur Festlegung gemeinsamer Regeln für die Bereitstellung der Basisinformationen für Kaufkraftparitäten sowie für deren Berechnung und Verbreitung*</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70</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177/2008 des Europäischen Parlaments und des Rates vom 20. Februar 2008 zur Schaffung eines gemeinsamen Rahmens für Unternehmensregister für statistische Zwecke und zur Aufhebung der Verordnung (EWG) Nr. 2186/93 des Rates*</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73</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452/2008 des Europäischen Parlaments und des Rates vom 23. April 2008 über die Erstellung und die Entwicklung von Statistiken über Bildung und lebenslanges Lernen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74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453/2008 des Europäischen Parlaments und des Rates vom 23. April 2008 über die vierteljährliche Statistik der offenen Stellen in der Gemeinschaft*</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89</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Richtlinie 2006/42/EG des Europäischen Parlaments und des Rates vom 17. Mai 2006 über Maschinen und zur Änderung der Richtlinie 95/16/EG*</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99</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1223/2009 des Europäischen Parlaments und des Rates vom 30. November 2009 über kosmetische Mittel*</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104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Richtlinie 97/70/EG des Rates vom 11. Dezember 1997 über eine harmonisierte Sicherheitsregelung für Fischereifahrzeuge von 24 Meter Länge und mehr*</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114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725/2004 des Europäischen Parlaments und des Rates vom 31. März 2004 zur Erhöhung der Gefahrenabwehr auf Schiffen und in Hafenanlagen*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143</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Richtlinie 2002/46/EG des Europäischen Parlaments und des Rates vom 10. Juni 2002 zur Angleichung der Rechtsvorschriften der Mitgliedstaaten über Nahrungsergänzungsmittel*</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144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Richtlinie 2002/98/EG des Europäischen Parlaments und des Rates vom 27. Januar 2003 zur Festlegung von Qualitäts- und Sicherheitsstandards für die Gewinnung, Testung, Verarbeitung, Lagerung und Verteilung von menschlichem Blut und Blutbestandteilen und zur Änderung der Richtlinie 2001/83/EG*</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147</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1829/2003 des Europäischen Parlaments und des Rates vom 22. September 2003 über genetisch veränderte Lebensmittel und Futtermittel*</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151</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2160/2003 des Europäischen Parlaments und des Rates vom 17. November 2003 zur Bekämpfung von Salmonellen und bestimmten anderen durch Lebensmittel übertragbaren Zoonoseerregern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154</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Richtlinie 2004/23/EG des Europäischen Parlaments und des Rates vom 31. März 2004 zur Festlegung von Qualitäts- und Sicherheitsstandards für die Spende, Beschaffung, Testung, Verarbeitung, Konservierung, Lagerung und Verteilung von menschlichen Geweben und Zellen*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158</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1924/2006 des Europäischen Parlaments und des Rates vom 20. Dezember 2006 über nährwert- und gesundheitsbezogene Angaben über Lebensmittel*</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159</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1925/2006 des Europäischen Parlaments und des Rates vom 20. Dezember 2006 über den Zusatz von Vitaminen und Mineralstoffen sowie bestimmten anderen Stoffen zu Lebensmitteln*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165</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470/2009 des Europäischen Parlaments und des Rates vom 6. Mai 2009 über die Schaffung eines Gemeinschaftsverfahrens für die Festsetzung von Höchstmengen für Rückstände pharmakologisch wirksamer Stoffe in Lebensmitteln tierischen Ursprungs, zur Aufhebung der Verordnung (EWG) Nr. 2377/90 des Rates und zur Änderung der Richtlinie 2001/82/EG des Europäischen Parlaments und des Rates und der Verordnung (EG) Nr. 726/2004 des Europäischen Parlaments und des Rates*</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166</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767/2009 des Europäischen Parlaments und des Rates vom 13. Juli 2009 über das Inverkehrbringen und die Verwendung von Futtermitteln, zur Änderung der Verordnung (EG) Nr. 1831/2003 des Europäischen Parlaments und des Rates und zur Aufhebung der Richtlinien 79/373/EWG des Rates, 80/511/EWG der Kommission, 82/471/EWG des Rates, 83/228/EWG des Rates, 93/74/EWG des Rates, 93/113/EG des Rates und 96/25/EG des Rates und der Entscheidung 2004/217/EG der Kommission*</w:t>
            </w:r>
          </w:p>
        </w:tc>
      </w:tr>
      <w:tr>
        <w:tc>
          <w:tcPr>
            <w:tcW w:w="1242" w:type="dxa"/>
          </w:tcPr>
          <w:p>
            <w:pPr>
              <w:pBdr>
                <w:top w:val="nil"/>
                <w:left w:val="nil"/>
                <w:bottom w:val="nil"/>
                <w:right w:val="nil"/>
                <w:between w:val="nil"/>
                <w:bar w:val="nil"/>
              </w:pBdr>
              <w:spacing w:before="0" w:after="240"/>
              <w:rPr>
                <w:rFonts w:eastAsia="Arial Unicode MS"/>
                <w:bCs/>
                <w:noProof/>
                <w:sz w:val="20"/>
                <w:szCs w:val="20"/>
              </w:rPr>
            </w:pPr>
            <w:r>
              <w:rPr>
                <w:noProof/>
                <w:sz w:val="20"/>
              </w:rPr>
              <w:t>167</w:t>
            </w:r>
          </w:p>
        </w:tc>
        <w:tc>
          <w:tcPr>
            <w:tcW w:w="7986" w:type="dxa"/>
          </w:tcPr>
          <w:p>
            <w:pPr>
              <w:pBdr>
                <w:top w:val="nil"/>
                <w:left w:val="nil"/>
                <w:bottom w:val="nil"/>
                <w:right w:val="nil"/>
                <w:between w:val="nil"/>
                <w:bar w:val="nil"/>
              </w:pBdr>
              <w:spacing w:before="0" w:after="240"/>
              <w:rPr>
                <w:rFonts w:eastAsia="Arial Unicode MS"/>
                <w:bCs/>
                <w:noProof/>
                <w:sz w:val="20"/>
                <w:szCs w:val="20"/>
              </w:rPr>
            </w:pPr>
            <w:r>
              <w:rPr>
                <w:noProof/>
                <w:sz w:val="20"/>
              </w:rPr>
              <w:t>Verordnung (EG) Nr. 1069/2009 des Europäischen Parlaments und des Rates vom 21. Oktober 2009 mit Hygienevorschriften für nicht für den menschlichen Verzehr bestimmte tierische Nebenprodukte und zur Aufhebung der Verordnung (EG) Nr. 1774/2002 (Verordnung über tierische Nebenprodukte)*</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w:t>
      </w:r>
      <w:r>
        <w:rPr>
          <w:noProof/>
        </w:rPr>
        <w:tab/>
      </w:r>
      <w:r>
        <w:rPr>
          <w:noProof/>
          <w:sz w:val="20"/>
        </w:rPr>
        <w:t xml:space="preserve">Die Anpassung einiger Bestimmungen dieser Rechtsakte an Durchführungsrechtsakte wurde bereits 2013 vorgeschlagen. </w:t>
      </w:r>
    </w:p>
    <w:p>
      <w:pPr>
        <w:pBdr>
          <w:top w:val="nil"/>
          <w:left w:val="nil"/>
          <w:bottom w:val="nil"/>
          <w:right w:val="nil"/>
          <w:between w:val="nil"/>
          <w:bar w:val="nil"/>
        </w:pBdr>
        <w:spacing w:before="0" w:after="240"/>
        <w:rPr>
          <w:rFonts w:eastAsia="Arial Unicode MS"/>
          <w:bCs/>
          <w:noProof/>
        </w:rPr>
      </w:pPr>
      <w:r>
        <w:rPr>
          <w:noProof/>
        </w:rPr>
        <w:t xml:space="preserve">Es wird vorgeschlagen, die Befugnisübertragung zu streichen, wenn sie aus zeitlichen Gründen hinfällig geworden ist (z. B. wenn Übergangsmaßnahmen getroffen werden konnten, der Basisrechtsakt aber inzwischen bereits seit einigen Jahren umfassend Anwendung findet) oder wenn sie erfahrungsgemäß nicht mehr erforderlich ist. </w:t>
      </w:r>
    </w:p>
    <w:p>
      <w:pPr>
        <w:pBdr>
          <w:top w:val="nil"/>
          <w:left w:val="nil"/>
          <w:bottom w:val="nil"/>
          <w:right w:val="nil"/>
          <w:between w:val="nil"/>
          <w:bar w:val="nil"/>
        </w:pBdr>
        <w:spacing w:before="0" w:after="240"/>
        <w:rPr>
          <w:rFonts w:eastAsia="Arial Unicode MS"/>
          <w:bCs/>
          <w:noProof/>
        </w:rPr>
      </w:pPr>
      <w:r>
        <w:rPr>
          <w:noProof/>
        </w:rPr>
        <w:t>Tabelle 2: Übersicht über die Rechtsakte, für die bestimmte Befugnisübertragungen gestrichen werden sollen</w:t>
      </w:r>
    </w:p>
    <w:tbl>
      <w:tblPr>
        <w:tblStyle w:val="TableGrid"/>
        <w:tblW w:w="0" w:type="auto"/>
        <w:tblLayout w:type="fixed"/>
        <w:tblLook w:val="04A0" w:firstRow="1" w:lastRow="0" w:firstColumn="1" w:lastColumn="0" w:noHBand="0" w:noVBand="1"/>
      </w:tblPr>
      <w:tblGrid>
        <w:gridCol w:w="1068"/>
        <w:gridCol w:w="8160"/>
      </w:tblGrid>
      <w:tr>
        <w:tc>
          <w:tcPr>
            <w:tcW w:w="1068" w:type="dxa"/>
            <w:shd w:val="clear" w:color="auto" w:fill="FFFFFF" w:themeFill="background1"/>
          </w:tcPr>
          <w:p>
            <w:pPr>
              <w:spacing w:before="0" w:after="240"/>
              <w:rPr>
                <w:rFonts w:eastAsia="Arial Unicode MS"/>
                <w:b/>
                <w:noProof/>
                <w:sz w:val="20"/>
                <w:szCs w:val="20"/>
              </w:rPr>
            </w:pPr>
            <w:r>
              <w:rPr>
                <w:b/>
                <w:noProof/>
                <w:sz w:val="20"/>
              </w:rPr>
              <w:t xml:space="preserve">Nummer im Anhang </w:t>
            </w:r>
          </w:p>
        </w:tc>
        <w:tc>
          <w:tcPr>
            <w:tcW w:w="8160" w:type="dxa"/>
            <w:shd w:val="clear" w:color="auto" w:fill="FFFFFF" w:themeFill="background1"/>
          </w:tcPr>
          <w:p>
            <w:pPr>
              <w:spacing w:before="0" w:after="240"/>
              <w:rPr>
                <w:rFonts w:eastAsia="Arial Unicode MS"/>
                <w:b/>
                <w:noProof/>
                <w:sz w:val="20"/>
                <w:szCs w:val="20"/>
              </w:rPr>
            </w:pPr>
            <w:r>
              <w:rPr>
                <w:b/>
                <w:noProof/>
                <w:sz w:val="20"/>
              </w:rPr>
              <w:t xml:space="preserve">Titel des Rechtsakts </w:t>
            </w:r>
          </w:p>
        </w:tc>
      </w:tr>
      <w:tr>
        <w:tc>
          <w:tcPr>
            <w:tcW w:w="1068" w:type="dxa"/>
          </w:tcPr>
          <w:p>
            <w:pPr>
              <w:spacing w:before="0" w:after="240"/>
              <w:rPr>
                <w:rFonts w:eastAsia="Arial Unicode MS"/>
                <w:noProof/>
                <w:sz w:val="20"/>
                <w:szCs w:val="20"/>
              </w:rPr>
            </w:pPr>
            <w:r>
              <w:rPr>
                <w:noProof/>
                <w:sz w:val="20"/>
              </w:rPr>
              <w:t>2</w:t>
            </w:r>
          </w:p>
        </w:tc>
        <w:tc>
          <w:tcPr>
            <w:tcW w:w="8160" w:type="dxa"/>
          </w:tcPr>
          <w:p>
            <w:pPr>
              <w:spacing w:before="0" w:after="240"/>
              <w:rPr>
                <w:rFonts w:eastAsia="Arial Unicode MS"/>
                <w:noProof/>
                <w:sz w:val="20"/>
                <w:szCs w:val="20"/>
              </w:rPr>
            </w:pPr>
            <w:r>
              <w:rPr>
                <w:noProof/>
                <w:sz w:val="20"/>
              </w:rPr>
              <w:t>Entscheidung Nr. 406/2009/EG des Europäischen Parlaments und des Rates vom 23. April 2009 über die Anstrengungen der Mitgliedstaaten zur Reduktion ihrer Treibhausgasemissionen mit Blick auf die Erfüllung der Verpflichtungen der Gemeinschaft zur Reduktion der Treibhausgasemissionen bis 2020</w:t>
            </w:r>
          </w:p>
        </w:tc>
      </w:tr>
      <w:tr>
        <w:tc>
          <w:tcPr>
            <w:tcW w:w="1068" w:type="dxa"/>
          </w:tcPr>
          <w:p>
            <w:pPr>
              <w:spacing w:before="0" w:after="240"/>
              <w:rPr>
                <w:rFonts w:eastAsia="Arial Unicode MS"/>
                <w:noProof/>
                <w:sz w:val="20"/>
                <w:szCs w:val="20"/>
              </w:rPr>
            </w:pPr>
            <w:r>
              <w:rPr>
                <w:noProof/>
                <w:sz w:val="20"/>
              </w:rPr>
              <w:t>7</w:t>
            </w:r>
          </w:p>
        </w:tc>
        <w:tc>
          <w:tcPr>
            <w:tcW w:w="8160" w:type="dxa"/>
          </w:tcPr>
          <w:p>
            <w:pPr>
              <w:spacing w:before="0" w:after="240"/>
              <w:rPr>
                <w:rFonts w:eastAsia="Arial Unicode MS"/>
                <w:noProof/>
                <w:sz w:val="20"/>
                <w:szCs w:val="20"/>
              </w:rPr>
            </w:pPr>
            <w:r>
              <w:rPr>
                <w:noProof/>
                <w:sz w:val="20"/>
              </w:rPr>
              <w:t xml:space="preserve">Verordnung (EG) Nr. 1257/96 des Rates vom 20. Juni 1996 über die humanitäre Hilfe* </w:t>
            </w:r>
          </w:p>
        </w:tc>
      </w:tr>
      <w:tr>
        <w:tc>
          <w:tcPr>
            <w:tcW w:w="1068" w:type="dxa"/>
          </w:tcPr>
          <w:p>
            <w:pPr>
              <w:spacing w:before="0" w:after="240"/>
              <w:rPr>
                <w:rFonts w:eastAsia="Arial Unicode MS"/>
                <w:noProof/>
                <w:sz w:val="20"/>
                <w:szCs w:val="20"/>
              </w:rPr>
            </w:pPr>
            <w:r>
              <w:rPr>
                <w:noProof/>
                <w:sz w:val="20"/>
              </w:rPr>
              <w:t>36</w:t>
            </w:r>
          </w:p>
        </w:tc>
        <w:tc>
          <w:tcPr>
            <w:tcW w:w="8160" w:type="dxa"/>
          </w:tcPr>
          <w:p>
            <w:pPr>
              <w:spacing w:before="0" w:after="240"/>
              <w:rPr>
                <w:rFonts w:eastAsia="Arial Unicode MS"/>
                <w:noProof/>
                <w:sz w:val="20"/>
                <w:szCs w:val="20"/>
              </w:rPr>
            </w:pPr>
            <w:r>
              <w:rPr>
                <w:noProof/>
                <w:sz w:val="20"/>
              </w:rPr>
              <w:t>Richtlinie 98/83/EG des Rates vom 3. November 1998 über die Qualität von Wasser für den menschlichen Gebrauch</w:t>
            </w:r>
          </w:p>
        </w:tc>
      </w:tr>
      <w:tr>
        <w:tc>
          <w:tcPr>
            <w:tcW w:w="1068" w:type="dxa"/>
          </w:tcPr>
          <w:p>
            <w:pPr>
              <w:spacing w:before="0" w:after="240"/>
              <w:rPr>
                <w:rFonts w:eastAsia="Arial Unicode MS"/>
                <w:noProof/>
                <w:sz w:val="20"/>
                <w:szCs w:val="20"/>
              </w:rPr>
            </w:pPr>
            <w:r>
              <w:rPr>
                <w:noProof/>
                <w:sz w:val="20"/>
              </w:rPr>
              <w:t>54</w:t>
            </w:r>
          </w:p>
        </w:tc>
        <w:tc>
          <w:tcPr>
            <w:tcW w:w="8160" w:type="dxa"/>
          </w:tcPr>
          <w:p>
            <w:pPr>
              <w:spacing w:before="0" w:after="240"/>
              <w:rPr>
                <w:rFonts w:eastAsia="Arial Unicode MS"/>
                <w:noProof/>
                <w:sz w:val="20"/>
                <w:szCs w:val="20"/>
              </w:rPr>
            </w:pPr>
            <w:r>
              <w:rPr>
                <w:noProof/>
                <w:sz w:val="20"/>
              </w:rPr>
              <w:t>Verordnung (EG) Nr. 66/2010 des Europäischen Parlaments und des Rates vom 25. November 2009 über das EU-Umweltzeichen*</w:t>
            </w:r>
          </w:p>
        </w:tc>
      </w:tr>
      <w:tr>
        <w:tc>
          <w:tcPr>
            <w:tcW w:w="1068" w:type="dxa"/>
          </w:tcPr>
          <w:p>
            <w:pPr>
              <w:spacing w:before="0" w:after="240"/>
              <w:rPr>
                <w:rFonts w:eastAsia="Arial Unicode MS"/>
                <w:noProof/>
                <w:sz w:val="20"/>
                <w:szCs w:val="20"/>
              </w:rPr>
            </w:pPr>
            <w:r>
              <w:rPr>
                <w:noProof/>
                <w:sz w:val="20"/>
              </w:rPr>
              <w:t>57</w:t>
            </w:r>
          </w:p>
        </w:tc>
        <w:tc>
          <w:tcPr>
            <w:tcW w:w="8160" w:type="dxa"/>
          </w:tcPr>
          <w:p>
            <w:pPr>
              <w:spacing w:before="0" w:after="240"/>
              <w:rPr>
                <w:rFonts w:eastAsia="Arial Unicode MS"/>
                <w:noProof/>
                <w:sz w:val="20"/>
                <w:szCs w:val="20"/>
              </w:rPr>
            </w:pPr>
            <w:r>
              <w:rPr>
                <w:noProof/>
                <w:sz w:val="20"/>
              </w:rPr>
              <w:t>Verordnung (EG) Nr. 1165/98 des Rates vom 19. Mai 1998 über Konjunkturstatistiken</w:t>
            </w:r>
          </w:p>
        </w:tc>
      </w:tr>
      <w:tr>
        <w:tc>
          <w:tcPr>
            <w:tcW w:w="1068" w:type="dxa"/>
          </w:tcPr>
          <w:p>
            <w:pPr>
              <w:spacing w:before="0" w:after="240"/>
              <w:rPr>
                <w:rFonts w:eastAsia="Arial Unicode MS"/>
                <w:noProof/>
                <w:sz w:val="20"/>
                <w:szCs w:val="20"/>
              </w:rPr>
            </w:pPr>
            <w:r>
              <w:rPr>
                <w:noProof/>
                <w:sz w:val="20"/>
              </w:rPr>
              <w:t>66</w:t>
            </w:r>
          </w:p>
        </w:tc>
        <w:tc>
          <w:tcPr>
            <w:tcW w:w="8160" w:type="dxa"/>
          </w:tcPr>
          <w:p>
            <w:pPr>
              <w:spacing w:before="0" w:after="240"/>
              <w:rPr>
                <w:rFonts w:eastAsia="Arial Unicode MS"/>
                <w:noProof/>
                <w:sz w:val="20"/>
                <w:szCs w:val="20"/>
              </w:rPr>
            </w:pPr>
            <w:r>
              <w:rPr>
                <w:noProof/>
                <w:sz w:val="20"/>
              </w:rPr>
              <w:t>Verordnung (EG) Nr. 458/2007 des Europäischen Parlaments und des Rates vom 25. April 2007 über das Europäische System integrierter Sozialschutzstatistiken (ESSOSS)</w:t>
            </w:r>
          </w:p>
        </w:tc>
      </w:tr>
      <w:tr>
        <w:tc>
          <w:tcPr>
            <w:tcW w:w="1068" w:type="dxa"/>
          </w:tcPr>
          <w:p>
            <w:pPr>
              <w:spacing w:before="0" w:after="240"/>
              <w:rPr>
                <w:rFonts w:eastAsia="Arial Unicode MS"/>
                <w:noProof/>
                <w:sz w:val="20"/>
                <w:szCs w:val="20"/>
              </w:rPr>
            </w:pPr>
            <w:r>
              <w:rPr>
                <w:noProof/>
                <w:sz w:val="20"/>
              </w:rPr>
              <w:t>92</w:t>
            </w:r>
          </w:p>
        </w:tc>
        <w:tc>
          <w:tcPr>
            <w:tcW w:w="8160" w:type="dxa"/>
          </w:tcPr>
          <w:p>
            <w:pPr>
              <w:spacing w:before="0" w:after="240"/>
              <w:rPr>
                <w:rFonts w:eastAsia="Arial Unicode MS"/>
                <w:noProof/>
                <w:sz w:val="20"/>
                <w:szCs w:val="20"/>
              </w:rPr>
            </w:pPr>
            <w:r>
              <w:rPr>
                <w:noProof/>
                <w:sz w:val="20"/>
              </w:rPr>
              <w:t>Richtlinie 2009/34/EG des Europäischen Parlaments und des Rates vom 23. April 2009 betreffend gemeinsame Vorschriften über Messgeräte sowie über Mess- und Prüfverfahren</w:t>
            </w:r>
          </w:p>
        </w:tc>
      </w:tr>
      <w:tr>
        <w:tc>
          <w:tcPr>
            <w:tcW w:w="1068" w:type="dxa"/>
          </w:tcPr>
          <w:p>
            <w:pPr>
              <w:spacing w:before="0" w:after="240"/>
              <w:rPr>
                <w:rFonts w:eastAsia="Arial Unicode MS"/>
                <w:noProof/>
                <w:sz w:val="20"/>
                <w:szCs w:val="20"/>
              </w:rPr>
            </w:pPr>
            <w:r>
              <w:rPr>
                <w:noProof/>
                <w:sz w:val="20"/>
              </w:rPr>
              <w:t>133</w:t>
            </w:r>
          </w:p>
        </w:tc>
        <w:tc>
          <w:tcPr>
            <w:tcW w:w="8160" w:type="dxa"/>
          </w:tcPr>
          <w:p>
            <w:pPr>
              <w:spacing w:before="0" w:after="240"/>
              <w:rPr>
                <w:rFonts w:eastAsia="Arial Unicode MS"/>
                <w:bCs/>
                <w:noProof/>
                <w:sz w:val="20"/>
                <w:szCs w:val="20"/>
              </w:rPr>
            </w:pPr>
            <w:r>
              <w:rPr>
                <w:noProof/>
                <w:sz w:val="20"/>
              </w:rPr>
              <w:t>Verordnung (EG) Nr. 1071/2009 des Europäischen Parlaments und des Rates vom 21. Oktober 2009 zur Festlegung gemeinsamer Regeln für die Zulassung zum Beruf des Kraftverkehrsunternehmers und zur Aufhebung der Richtlinie 96/26/EG des Rates</w:t>
            </w:r>
          </w:p>
        </w:tc>
      </w:tr>
      <w:tr>
        <w:tc>
          <w:tcPr>
            <w:tcW w:w="1068" w:type="dxa"/>
          </w:tcPr>
          <w:p>
            <w:pPr>
              <w:spacing w:before="0" w:after="240"/>
              <w:rPr>
                <w:rFonts w:eastAsia="Arial Unicode MS"/>
                <w:noProof/>
                <w:sz w:val="20"/>
                <w:szCs w:val="20"/>
              </w:rPr>
            </w:pPr>
            <w:r>
              <w:rPr>
                <w:noProof/>
                <w:sz w:val="20"/>
              </w:rPr>
              <w:t>168</w:t>
            </w:r>
          </w:p>
        </w:tc>
        <w:tc>
          <w:tcPr>
            <w:tcW w:w="8160" w:type="dxa"/>
          </w:tcPr>
          <w:p>
            <w:pPr>
              <w:spacing w:before="0" w:after="240"/>
              <w:rPr>
                <w:rFonts w:eastAsia="Arial Unicode MS"/>
                <w:bCs/>
                <w:noProof/>
                <w:sz w:val="20"/>
                <w:szCs w:val="20"/>
              </w:rPr>
            </w:pPr>
            <w:r>
              <w:rPr>
                <w:noProof/>
                <w:sz w:val="20"/>
              </w:rPr>
              <w:t>Entscheidung Nr. 70/2008/EG des Europäischen Parlaments und des Rates vom 15. Januar 2008 über ein papierloses Arbeitsumfeld für Zoll und Handel</w:t>
            </w:r>
          </w:p>
        </w:tc>
      </w:tr>
    </w:tbl>
    <w:p>
      <w:pPr>
        <w:pBdr>
          <w:top w:val="nil"/>
          <w:left w:val="nil"/>
          <w:bottom w:val="nil"/>
          <w:right w:val="nil"/>
          <w:between w:val="nil"/>
          <w:bar w:val="nil"/>
        </w:pBdr>
        <w:spacing w:before="0" w:after="240"/>
        <w:rPr>
          <w:rFonts w:eastAsia="Arial Unicode MS"/>
          <w:bCs/>
          <w:noProof/>
          <w:sz w:val="20"/>
          <w:szCs w:val="20"/>
        </w:rPr>
      </w:pPr>
      <w:r>
        <w:rPr>
          <w:noProof/>
          <w:sz w:val="20"/>
        </w:rPr>
        <w:t>*</w:t>
      </w:r>
      <w:r>
        <w:rPr>
          <w:noProof/>
        </w:rPr>
        <w:tab/>
      </w:r>
      <w:r>
        <w:rPr>
          <w:noProof/>
          <w:sz w:val="20"/>
        </w:rPr>
        <w:t xml:space="preserve">Die Streichung einiger Bestimmungen dieser Rechtsakte wurde bereits 2013 vorgeschlagen. </w:t>
      </w:r>
    </w:p>
    <w:p>
      <w:pPr>
        <w:pBdr>
          <w:top w:val="nil"/>
          <w:left w:val="nil"/>
          <w:bottom w:val="nil"/>
          <w:right w:val="nil"/>
          <w:between w:val="nil"/>
          <w:bar w:val="nil"/>
        </w:pBdr>
        <w:spacing w:before="0" w:after="240"/>
        <w:rPr>
          <w:rFonts w:eastAsia="Arial Unicode MS"/>
          <w:noProof/>
        </w:rPr>
      </w:pPr>
      <w:r>
        <w:rPr>
          <w:noProof/>
        </w:rPr>
        <w:t xml:space="preserve">Hinsichtlich der </w:t>
      </w:r>
      <w:r>
        <w:rPr>
          <w:b/>
          <w:noProof/>
        </w:rPr>
        <w:t>Dauer der Befugnisübertragung</w:t>
      </w:r>
      <w:r>
        <w:rPr>
          <w:noProof/>
        </w:rPr>
        <w:t xml:space="preserve"> schlägt die Kommission unbefristete Befugnisübertragungen vor. In den Verhandlungen über die Vorschläge aus dem Jahr 2013 hatten sowohl der Rat als auch das Europäische Parlament eine auf fünf Jahre befristete Dauer mit automatischer Verlängerung nach Vorlage eines Berichts der Kommission vor Ablauf der Übertragungsdauer bevorzugt. Im neuen Vorschlag hält die Kommission an ihrer Auffassung fest, dass eine unbestimmte Dauer der Befugnisübertragung gerechtfertigt ist, weil der Gesetzgeber die Befugnisübertragung in jedem Fall und jederzeit widerrufen kann. Außerdem müsste die Kommission, wenn vor der automatischen Verlängerung Berichte vorzulegen wären, fünf Jahre nach der Annahme dieses Vorschlags Berichte über 174 Rechtsakte vorlegen, wodurch ein beträchtlicher Verwaltungsaufwand anfallen würde. Zudem führt die Interinstitutionelle Vereinbarung – insbesondere durch das Register der delegierten Rechtsakte, das die Organe bis Ende 2017 einrichten wollen – zu mehr Transparenz in Bezug auf den delegierten Rechtsakt. Dieses Register wird die Möglichkeit bieten, sich ohne Weiteres einen Überblick über die auf der Grundlage aller Instrumente angenommenen delegierten Rechtsakte zu verschaffen.</w:t>
      </w:r>
    </w:p>
    <w:p>
      <w:pPr>
        <w:pBdr>
          <w:top w:val="nil"/>
          <w:left w:val="nil"/>
          <w:bottom w:val="nil"/>
          <w:right w:val="nil"/>
          <w:between w:val="nil"/>
          <w:bar w:val="nil"/>
        </w:pBdr>
        <w:spacing w:before="0" w:after="240"/>
        <w:rPr>
          <w:rFonts w:eastAsia="Arial Unicode MS"/>
          <w:noProof/>
        </w:rPr>
      </w:pPr>
      <w:r>
        <w:rPr>
          <w:noProof/>
        </w:rPr>
        <w:t xml:space="preserve">Im Rahmen des Vorschlags wird in einigen Fällen das </w:t>
      </w:r>
      <w:r>
        <w:rPr>
          <w:b/>
          <w:noProof/>
        </w:rPr>
        <w:t>Dringlichkeitsverfahren</w:t>
      </w:r>
      <w:r>
        <w:rPr>
          <w:noProof/>
        </w:rPr>
        <w:t xml:space="preserve"> eingeführt. Dies geschieht in Fällen, in denen derzeit das bestehende Dringlichkeitsverfahren gemäß Artikel 5a Absatz 6 des Beschlusses 1999/468/EG vorgesehen ist und in denen diese Möglichkeit als notwendig erachtet wurde. In solchen Fällen wird die diesbezügliche Standardklausel, mit der die Anwendung des Dringlichkeitsverfahrens erlaubt wird, in den jeweiligen Rechtsakt aufgenommen und vorgesehen, dass die Anwendung dieses Verfahrens in jedem Fall ausdrücklich begründet werden muss. </w:t>
      </w:r>
    </w:p>
    <w:p>
      <w:pPr>
        <w:rPr>
          <w:noProof/>
        </w:rPr>
      </w:pPr>
      <w:r>
        <w:rPr>
          <w:noProof/>
        </w:rPr>
        <w:br w:type="page"/>
      </w:r>
    </w:p>
    <w:p>
      <w:pPr>
        <w:pStyle w:val="ManualHeading1"/>
        <w:rPr>
          <w:caps/>
          <w:noProof/>
        </w:rPr>
      </w:pPr>
      <w:r>
        <w:rPr>
          <w:noProof/>
        </w:rPr>
        <w:t xml:space="preserve">3. </w:t>
      </w:r>
      <w:r>
        <w:rPr>
          <w:noProof/>
        </w:rPr>
        <w:tab/>
        <w:t>LISTE DER BASISRECHTSAKTE MIT BEZUGNAHME AUF DAS REGELUNGSVERFAHREN MIT KONTROLLE, DIE DERZEIT SEPARAT ÜBERARBEITET WERDEN (SOLLEN)</w:t>
      </w:r>
    </w:p>
    <w:p>
      <w:pPr>
        <w:pBdr>
          <w:top w:val="nil"/>
          <w:left w:val="nil"/>
          <w:bottom w:val="nil"/>
          <w:right w:val="nil"/>
          <w:between w:val="nil"/>
          <w:bar w:val="nil"/>
        </w:pBdr>
        <w:spacing w:before="0" w:after="240"/>
        <w:rPr>
          <w:rFonts w:eastAsia="Arial Unicode MS"/>
          <w:b/>
          <w:noProof/>
        </w:rPr>
      </w:pPr>
      <w:r>
        <w:rPr>
          <w:rFonts w:hint="eastAsia"/>
          <w:b/>
          <w:noProof/>
        </w:rPr>
        <w:t xml:space="preserve">Tabelle 3: </w:t>
      </w:r>
      <w:r>
        <w:rPr>
          <w:b/>
          <w:noProof/>
        </w:rPr>
        <w:t xml:space="preserve">Von der Kommission angenommenen Vorschläge </w:t>
      </w:r>
    </w:p>
    <w:tbl>
      <w:tblPr>
        <w:tblStyle w:val="TableGrid"/>
        <w:tblW w:w="0" w:type="auto"/>
        <w:tblLook w:val="04A0" w:firstRow="1" w:lastRow="0" w:firstColumn="1" w:lastColumn="0" w:noHBand="0" w:noVBand="1"/>
      </w:tblPr>
      <w:tblGrid>
        <w:gridCol w:w="1308"/>
        <w:gridCol w:w="5640"/>
        <w:gridCol w:w="2340"/>
      </w:tblGrid>
      <w:tr>
        <w:tc>
          <w:tcPr>
            <w:tcW w:w="1308" w:type="dxa"/>
            <w:shd w:val="clear" w:color="auto" w:fill="FFFFFF" w:themeFill="background1"/>
          </w:tcPr>
          <w:p>
            <w:pPr>
              <w:spacing w:before="0" w:after="0"/>
              <w:jc w:val="left"/>
              <w:rPr>
                <w:b/>
                <w:noProof/>
                <w:sz w:val="22"/>
              </w:rPr>
            </w:pPr>
            <w:r>
              <w:rPr>
                <w:b/>
                <w:noProof/>
                <w:sz w:val="22"/>
              </w:rPr>
              <w:t xml:space="preserve">Bereich </w:t>
            </w:r>
          </w:p>
        </w:tc>
        <w:tc>
          <w:tcPr>
            <w:tcW w:w="5640" w:type="dxa"/>
            <w:shd w:val="clear" w:color="auto" w:fill="FFFFFF" w:themeFill="background1"/>
          </w:tcPr>
          <w:p>
            <w:pPr>
              <w:spacing w:before="0" w:after="0"/>
              <w:jc w:val="left"/>
              <w:rPr>
                <w:b/>
                <w:noProof/>
                <w:sz w:val="22"/>
              </w:rPr>
            </w:pPr>
            <w:r>
              <w:rPr>
                <w:b/>
                <w:noProof/>
                <w:sz w:val="22"/>
              </w:rPr>
              <w:t xml:space="preserve">Rechtsakt </w:t>
            </w:r>
          </w:p>
        </w:tc>
        <w:tc>
          <w:tcPr>
            <w:tcW w:w="2340" w:type="dxa"/>
            <w:shd w:val="clear" w:color="auto" w:fill="FFFFFF" w:themeFill="background1"/>
          </w:tcPr>
          <w:p>
            <w:pPr>
              <w:spacing w:before="0" w:after="0"/>
              <w:jc w:val="left"/>
              <w:rPr>
                <w:b/>
                <w:noProof/>
                <w:sz w:val="22"/>
              </w:rPr>
            </w:pPr>
            <w:r>
              <w:rPr>
                <w:b/>
                <w:noProof/>
                <w:sz w:val="22"/>
              </w:rPr>
              <w:t xml:space="preserve">Nummer des Vorschlags </w:t>
            </w:r>
          </w:p>
          <w:p>
            <w:pPr>
              <w:spacing w:before="0" w:after="0"/>
              <w:jc w:val="left"/>
              <w:rPr>
                <w:b/>
                <w:noProof/>
                <w:sz w:val="22"/>
              </w:rPr>
            </w:pPr>
          </w:p>
        </w:tc>
      </w:tr>
      <w:tr>
        <w:tc>
          <w:tcPr>
            <w:tcW w:w="1308" w:type="dxa"/>
          </w:tcPr>
          <w:p>
            <w:pPr>
              <w:spacing w:before="0" w:after="0"/>
              <w:jc w:val="left"/>
              <w:rPr>
                <w:noProof/>
                <w:sz w:val="22"/>
                <w:highlight w:val="yellow"/>
              </w:rPr>
            </w:pPr>
            <w:r>
              <w:rPr>
                <w:noProof/>
                <w:sz w:val="22"/>
              </w:rPr>
              <w:t>CLIMA</w:t>
            </w:r>
          </w:p>
        </w:tc>
        <w:tc>
          <w:tcPr>
            <w:tcW w:w="5640" w:type="dxa"/>
          </w:tcPr>
          <w:p>
            <w:pPr>
              <w:spacing w:before="0" w:after="0"/>
              <w:jc w:val="left"/>
              <w:rPr>
                <w:noProof/>
                <w:sz w:val="22"/>
              </w:rPr>
            </w:pPr>
            <w:r>
              <w:rPr>
                <w:noProof/>
                <w:sz w:val="22"/>
              </w:rPr>
              <w:t>Richtlinie 2003/87/EG des Europäischen Parlaments und des Rates vom 13. Oktober 2003 über ein System für den Handel mit Treibhausgasemissionszertifikaten in der Gemeinschaft und zur Änderung der Richtlinie 96/61/EG des Rates</w:t>
            </w:r>
          </w:p>
        </w:tc>
        <w:tc>
          <w:tcPr>
            <w:tcW w:w="2340" w:type="dxa"/>
          </w:tcPr>
          <w:p>
            <w:pPr>
              <w:spacing w:before="0" w:after="0"/>
              <w:jc w:val="left"/>
              <w:rPr>
                <w:bCs/>
                <w:noProof/>
                <w:sz w:val="22"/>
              </w:rPr>
            </w:pPr>
            <w:r>
              <w:rPr>
                <w:noProof/>
                <w:sz w:val="22"/>
              </w:rPr>
              <w:t>COM(2015) 337</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Richtlinie 2002/19/EG des Europäischen Parlaments und des Rates vom 7. März 2002 über den Zugang zu elektronischen Kommunikationsnetzen und zugehörigen Einrichtungen sowie deren Zusammenschaltung (Zugangsrichtlinie)</w:t>
            </w:r>
            <w:r>
              <w:rPr>
                <w:rStyle w:val="CommentReference"/>
                <w:noProof/>
              </w:rPr>
              <w:t xml:space="preserve">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 xml:space="preserve">Richtlinie 2002/21/EG des Europäischen Parlaments und des Rates vom 7. März 2002 über einen gemeinsamen Rechtsrahmen für elektronische Kommunikationsnetze und </w:t>
            </w:r>
            <w:r>
              <w:rPr>
                <w:noProof/>
              </w:rPr>
              <w:noBreakHyphen/>
            </w:r>
            <w:r>
              <w:rPr>
                <w:noProof/>
                <w:sz w:val="22"/>
              </w:rPr>
              <w:t>dienste (Rahmenrichtlinie)</w:t>
            </w:r>
            <w:r>
              <w:rPr>
                <w:rStyle w:val="CommentReference"/>
                <w:noProof/>
              </w:rPr>
              <w:t xml:space="preserve">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CNECT</w:t>
            </w:r>
          </w:p>
        </w:tc>
        <w:tc>
          <w:tcPr>
            <w:tcW w:w="5640" w:type="dxa"/>
          </w:tcPr>
          <w:p>
            <w:pPr>
              <w:spacing w:before="0" w:after="0"/>
              <w:jc w:val="left"/>
              <w:rPr>
                <w:bCs/>
                <w:noProof/>
                <w:sz w:val="22"/>
              </w:rPr>
            </w:pPr>
            <w:r>
              <w:rPr>
                <w:noProof/>
                <w:sz w:val="22"/>
              </w:rPr>
              <w:t xml:space="preserve">Richtlinie 2002/22/EG des Europäischen Parlaments und des Rates vom 7. März 2002 über den Universaldienst und Nutzerrechte bei elektronischen Kommunikationsnetzen und -diensten (Universaldienstrichtlinie) </w:t>
            </w:r>
          </w:p>
        </w:tc>
        <w:tc>
          <w:tcPr>
            <w:tcW w:w="2340" w:type="dxa"/>
          </w:tcPr>
          <w:p>
            <w:pPr>
              <w:spacing w:before="0" w:after="0"/>
              <w:jc w:val="left"/>
              <w:rPr>
                <w:bCs/>
                <w:noProof/>
                <w:sz w:val="22"/>
              </w:rPr>
            </w:pPr>
            <w:r>
              <w:rPr>
                <w:noProof/>
                <w:sz w:val="22"/>
              </w:rPr>
              <w:t>COM(2016) 590</w:t>
            </w:r>
          </w:p>
        </w:tc>
      </w:tr>
      <w:tr>
        <w:tc>
          <w:tcPr>
            <w:tcW w:w="1308" w:type="dxa"/>
          </w:tcPr>
          <w:p>
            <w:pPr>
              <w:spacing w:before="0" w:after="0"/>
              <w:jc w:val="left"/>
              <w:rPr>
                <w:noProof/>
                <w:sz w:val="22"/>
              </w:rPr>
            </w:pPr>
            <w:r>
              <w:rPr>
                <w:noProof/>
                <w:sz w:val="22"/>
              </w:rPr>
              <w:t xml:space="preserve">ENER </w:t>
            </w:r>
          </w:p>
        </w:tc>
        <w:tc>
          <w:tcPr>
            <w:tcW w:w="5640" w:type="dxa"/>
          </w:tcPr>
          <w:p>
            <w:pPr>
              <w:spacing w:before="0" w:after="0"/>
              <w:jc w:val="left"/>
              <w:rPr>
                <w:noProof/>
                <w:sz w:val="22"/>
              </w:rPr>
            </w:pPr>
            <w:r>
              <w:rPr>
                <w:noProof/>
                <w:sz w:val="22"/>
              </w:rPr>
              <w:t>Richtlinie 2008/92/EG des Europäischen Parlaments und des Rates vom 22. Oktober 2008 zur Einführung eines gemeinschaftlichen Verfahrens zur Gewährleistung der Transparenz der vom industriellen Endverbraucher zu zahlenden Gas- und Strompreise (Neufassung)</w:t>
            </w:r>
          </w:p>
        </w:tc>
        <w:tc>
          <w:tcPr>
            <w:tcW w:w="2340" w:type="dxa"/>
          </w:tcPr>
          <w:p>
            <w:pPr>
              <w:spacing w:before="0" w:after="0"/>
              <w:jc w:val="left"/>
              <w:rPr>
                <w:noProof/>
                <w:sz w:val="22"/>
              </w:rPr>
            </w:pPr>
            <w:r>
              <w:rPr>
                <w:noProof/>
                <w:sz w:val="22"/>
              </w:rPr>
              <w:t>COM(2015) 496</w:t>
            </w:r>
          </w:p>
        </w:tc>
      </w:tr>
      <w:tr>
        <w:tc>
          <w:tcPr>
            <w:tcW w:w="1308" w:type="dxa"/>
          </w:tcPr>
          <w:p>
            <w:pPr>
              <w:spacing w:before="0" w:after="0"/>
              <w:jc w:val="left"/>
              <w:rPr>
                <w:noProof/>
                <w:sz w:val="22"/>
              </w:rPr>
            </w:pPr>
            <w:r>
              <w:rPr>
                <w:noProof/>
                <w:sz w:val="22"/>
              </w:rPr>
              <w:t xml:space="preserve">GROW </w:t>
            </w:r>
          </w:p>
        </w:tc>
        <w:tc>
          <w:tcPr>
            <w:tcW w:w="5640" w:type="dxa"/>
          </w:tcPr>
          <w:p>
            <w:pPr>
              <w:spacing w:before="0" w:after="0"/>
              <w:rPr>
                <w:bCs/>
                <w:noProof/>
                <w:sz w:val="22"/>
              </w:rPr>
            </w:pPr>
            <w:r>
              <w:rPr>
                <w:noProof/>
                <w:sz w:val="22"/>
              </w:rPr>
              <w:t xml:space="preserve">Verordnung (EG) Nr. 595/2009 des Europäischen Parlaments und des Rates vom 18. Juni 2009 über die Typgenehmigung von Kraftfahrzeugen und Motoren hinsichtlich der Emissionen von schweren Nutzfahrzeugen (Euro VI) und über den Zugang zu Fahrzeugreparatur- und </w:t>
            </w:r>
            <w:r>
              <w:rPr>
                <w:noProof/>
              </w:rPr>
              <w:noBreakHyphen/>
            </w:r>
            <w:r>
              <w:rPr>
                <w:noProof/>
                <w:sz w:val="22"/>
              </w:rPr>
              <w:t>wartungsinformationen, zur Änderung der Verordnung (EG) Nr. 715/2007 und der Richtlinie 2007/46/EG sowie zur Aufhebung der Richtlinien 80/1269/EWG, 2005/55/EG und 2005/78/EG</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Richtlinie 2007/46/EG des Europäischen Parlaments und des Rates vom 5. September 2007 zur Schaffung eines Rahmens für die Genehmigung von Kraftfahrzeugen und Kraftfahrzeuganhängern sowie von Systemen, Bauteilen und selbstständigen technischen Einheiten für diese Fahrzeuge (Rahmenrichtlinie)</w:t>
            </w:r>
          </w:p>
        </w:tc>
        <w:tc>
          <w:tcPr>
            <w:tcW w:w="2340" w:type="dxa"/>
          </w:tcPr>
          <w:p>
            <w:pPr>
              <w:spacing w:before="0" w:after="0"/>
              <w:jc w:val="left"/>
              <w:rPr>
                <w:bCs/>
                <w:noProof/>
                <w:sz w:val="22"/>
              </w:rPr>
            </w:pPr>
            <w:r>
              <w:rPr>
                <w:noProof/>
                <w:sz w:val="22"/>
              </w:rPr>
              <w:t>COM(2016) 31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Richtlinie 97/68/EG des Europäischen Parlaments und des Rates vom 16. Dezember 1997 zur Angleichung der Rechtsvorschriften der Mitgliedstaaten über Maßnahmen zur Bekämpfung der Emission von gasförmigen Schadstoffen und luftverunreinigenden Partikeln aus Verbrennungsmotoren für mobile Maschinen und Geräte</w:t>
            </w:r>
          </w:p>
        </w:tc>
        <w:tc>
          <w:tcPr>
            <w:tcW w:w="2340" w:type="dxa"/>
          </w:tcPr>
          <w:p>
            <w:pPr>
              <w:spacing w:before="0" w:after="0"/>
              <w:jc w:val="left"/>
              <w:rPr>
                <w:bCs/>
                <w:noProof/>
                <w:sz w:val="22"/>
              </w:rPr>
            </w:pPr>
            <w:r>
              <w:rPr>
                <w:noProof/>
                <w:sz w:val="22"/>
              </w:rPr>
              <w:t>COM(2014) 581 final</w:t>
            </w:r>
          </w:p>
        </w:tc>
      </w:tr>
      <w:tr>
        <w:tc>
          <w:tcPr>
            <w:tcW w:w="1308" w:type="dxa"/>
          </w:tcPr>
          <w:p>
            <w:pPr>
              <w:spacing w:before="0" w:after="0"/>
              <w:jc w:val="left"/>
              <w:rPr>
                <w:noProof/>
                <w:sz w:val="22"/>
              </w:rPr>
            </w:pPr>
            <w:r>
              <w:rPr>
                <w:noProof/>
                <w:sz w:val="22"/>
              </w:rPr>
              <w:t>GROW</w:t>
            </w:r>
          </w:p>
        </w:tc>
        <w:tc>
          <w:tcPr>
            <w:tcW w:w="5640" w:type="dxa"/>
          </w:tcPr>
          <w:p>
            <w:pPr>
              <w:spacing w:before="0" w:after="0"/>
              <w:rPr>
                <w:bCs/>
                <w:noProof/>
                <w:sz w:val="22"/>
              </w:rPr>
            </w:pPr>
            <w:r>
              <w:rPr>
                <w:noProof/>
                <w:sz w:val="22"/>
              </w:rPr>
              <w:t>Verordnung (EG) Nr. 715/2007 des Europäischen Parlaments und des Rates vom 20. Juni 2007 über die Typgenehmigung von Kraftfahrzeugen hinsichtlich der Emissionen von leichten Personenkraftwagen und Nutzfahrzeugen (Euro 5 und Euro 6) und über den Zugang zu Reparatur- und Wartungsinformationen für Fahrzeuge</w:t>
            </w:r>
          </w:p>
        </w:tc>
        <w:tc>
          <w:tcPr>
            <w:tcW w:w="2340" w:type="dxa"/>
          </w:tcPr>
          <w:p>
            <w:pPr>
              <w:spacing w:before="0" w:after="0"/>
              <w:jc w:val="left"/>
              <w:rPr>
                <w:bCs/>
                <w:noProof/>
                <w:sz w:val="22"/>
              </w:rPr>
            </w:pPr>
            <w:r>
              <w:rPr>
                <w:noProof/>
                <w:sz w:val="22"/>
              </w:rPr>
              <w:t>COM(2014) 28 final</w:t>
            </w: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Richtlinie 2008/98/EG des Europäischen Parlaments und des Rates vom 19. November 2008 über Abfälle und zur Aufhebung bestimmter Richtlinien (Abfallrahmenrichtlinie)</w:t>
            </w:r>
          </w:p>
        </w:tc>
        <w:tc>
          <w:tcPr>
            <w:tcW w:w="2340" w:type="dxa"/>
          </w:tcPr>
          <w:p>
            <w:pPr>
              <w:spacing w:before="0" w:after="0"/>
              <w:jc w:val="left"/>
              <w:rPr>
                <w:bCs/>
                <w:noProof/>
                <w:sz w:val="22"/>
              </w:rPr>
            </w:pPr>
            <w:r>
              <w:rPr>
                <w:noProof/>
                <w:sz w:val="22"/>
              </w:rPr>
              <w:t>COM(2015) 595</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Richtlinie 1999/31/EG des Rates vom 26. April 1999 über Abfalldeponien</w:t>
            </w:r>
          </w:p>
        </w:tc>
        <w:tc>
          <w:tcPr>
            <w:tcW w:w="2340" w:type="dxa"/>
          </w:tcPr>
          <w:p>
            <w:pPr>
              <w:spacing w:before="0" w:after="0"/>
              <w:jc w:val="left"/>
              <w:rPr>
                <w:bCs/>
                <w:noProof/>
                <w:sz w:val="22"/>
              </w:rPr>
            </w:pPr>
            <w:r>
              <w:rPr>
                <w:noProof/>
                <w:sz w:val="22"/>
              </w:rPr>
              <w:t>COM(2015) 594</w:t>
            </w:r>
          </w:p>
          <w:p>
            <w:pPr>
              <w:spacing w:before="0" w:after="0"/>
              <w:jc w:val="left"/>
              <w:rPr>
                <w:bCs/>
                <w:noProof/>
                <w:sz w:val="22"/>
              </w:rPr>
            </w:pPr>
          </w:p>
        </w:tc>
      </w:tr>
      <w:tr>
        <w:tc>
          <w:tcPr>
            <w:tcW w:w="1308" w:type="dxa"/>
          </w:tcPr>
          <w:p>
            <w:pPr>
              <w:spacing w:before="0" w:after="0"/>
              <w:jc w:val="left"/>
              <w:rPr>
                <w:noProof/>
                <w:sz w:val="22"/>
              </w:rPr>
            </w:pPr>
            <w:r>
              <w:rPr>
                <w:noProof/>
                <w:sz w:val="22"/>
              </w:rPr>
              <w:t>ENV</w:t>
            </w:r>
          </w:p>
        </w:tc>
        <w:tc>
          <w:tcPr>
            <w:tcW w:w="5640" w:type="dxa"/>
          </w:tcPr>
          <w:p>
            <w:pPr>
              <w:spacing w:before="0" w:after="0"/>
              <w:jc w:val="left"/>
              <w:rPr>
                <w:noProof/>
                <w:sz w:val="22"/>
              </w:rPr>
            </w:pPr>
            <w:r>
              <w:rPr>
                <w:noProof/>
                <w:sz w:val="22"/>
              </w:rPr>
              <w:t>Richtlinie 94/62/EG des Europäischen Parlaments und des Rates vom 20. Dezember 1994 über Verpackungen und Verpackungsabfälle</w:t>
            </w:r>
          </w:p>
        </w:tc>
        <w:tc>
          <w:tcPr>
            <w:tcW w:w="2340" w:type="dxa"/>
          </w:tcPr>
          <w:p>
            <w:pPr>
              <w:spacing w:before="0" w:after="0"/>
              <w:jc w:val="left"/>
              <w:rPr>
                <w:bCs/>
                <w:noProof/>
                <w:sz w:val="22"/>
              </w:rPr>
            </w:pPr>
            <w:r>
              <w:rPr>
                <w:noProof/>
                <w:sz w:val="22"/>
              </w:rPr>
              <w:t>COM(2015) 593</w:t>
            </w:r>
          </w:p>
          <w:p>
            <w:pPr>
              <w:spacing w:before="0" w:after="0"/>
              <w:jc w:val="left"/>
              <w:rPr>
                <w:bCs/>
                <w:i/>
                <w:noProof/>
                <w:sz w:val="22"/>
              </w:rPr>
            </w:pPr>
          </w:p>
        </w:tc>
      </w:tr>
      <w:tr>
        <w:tc>
          <w:tcPr>
            <w:tcW w:w="1308" w:type="dxa"/>
          </w:tcPr>
          <w:p>
            <w:pPr>
              <w:spacing w:before="0" w:after="0"/>
              <w:jc w:val="left"/>
              <w:rPr>
                <w:noProof/>
                <w:sz w:val="22"/>
              </w:rPr>
            </w:pPr>
            <w:r>
              <w:rPr>
                <w:noProof/>
                <w:sz w:val="22"/>
              </w:rPr>
              <w:t xml:space="preserve">ENV </w:t>
            </w:r>
          </w:p>
        </w:tc>
        <w:tc>
          <w:tcPr>
            <w:tcW w:w="5640" w:type="dxa"/>
          </w:tcPr>
          <w:p>
            <w:pPr>
              <w:spacing w:before="0" w:after="0"/>
              <w:jc w:val="left"/>
              <w:rPr>
                <w:bCs/>
                <w:noProof/>
                <w:sz w:val="22"/>
              </w:rPr>
            </w:pPr>
            <w:r>
              <w:rPr>
                <w:noProof/>
                <w:sz w:val="22"/>
              </w:rPr>
              <w:t>Verordnung (EG) Nr. 338/97 des Rates vom 9. Dezember 1996 über den Schutz von Exemplaren wildlebender Tier- und Pflanzenarten durch Überwachung des Handels</w:t>
            </w:r>
          </w:p>
        </w:tc>
        <w:tc>
          <w:tcPr>
            <w:tcW w:w="2340" w:type="dxa"/>
          </w:tcPr>
          <w:p>
            <w:pPr>
              <w:spacing w:before="0" w:after="0"/>
              <w:jc w:val="left"/>
              <w:rPr>
                <w:bCs/>
                <w:noProof/>
                <w:sz w:val="22"/>
              </w:rPr>
            </w:pPr>
            <w:r>
              <w:rPr>
                <w:noProof/>
                <w:sz w:val="22"/>
              </w:rPr>
              <w:t>COM(2012) 403</w:t>
            </w:r>
          </w:p>
        </w:tc>
      </w:tr>
      <w:tr>
        <w:tc>
          <w:tcPr>
            <w:tcW w:w="1308" w:type="dxa"/>
          </w:tcPr>
          <w:p>
            <w:pPr>
              <w:spacing w:before="0" w:after="0"/>
              <w:jc w:val="left"/>
              <w:rPr>
                <w:noProof/>
                <w:sz w:val="22"/>
              </w:rPr>
            </w:pPr>
            <w:r>
              <w:rPr>
                <w:noProof/>
                <w:sz w:val="22"/>
              </w:rPr>
              <w:t>ESTAT</w:t>
            </w:r>
          </w:p>
        </w:tc>
        <w:tc>
          <w:tcPr>
            <w:tcW w:w="5640" w:type="dxa"/>
          </w:tcPr>
          <w:p>
            <w:pPr>
              <w:spacing w:before="0" w:after="0"/>
              <w:jc w:val="left"/>
              <w:rPr>
                <w:bCs/>
                <w:noProof/>
                <w:sz w:val="22"/>
              </w:rPr>
            </w:pPr>
            <w:r>
              <w:rPr>
                <w:noProof/>
                <w:sz w:val="22"/>
              </w:rPr>
              <w:t>Verordnung (EG) Nr. 1177/2003 des Europäischen Parlaments und des Rates vom 16. Juni 2003 für die Gemeinschaftsstatistik über Einkommen und Lebensbedingungen (EU-SILC)</w:t>
            </w:r>
          </w:p>
        </w:tc>
        <w:tc>
          <w:tcPr>
            <w:tcW w:w="2340" w:type="dxa"/>
          </w:tcPr>
          <w:p>
            <w:pPr>
              <w:spacing w:before="0" w:after="0"/>
              <w:jc w:val="left"/>
              <w:rPr>
                <w:bCs/>
                <w:noProof/>
                <w:sz w:val="22"/>
              </w:rPr>
            </w:pPr>
            <w:r>
              <w:rPr>
                <w:noProof/>
                <w:sz w:val="22"/>
              </w:rPr>
              <w:t xml:space="preserve">Aufhebung vorgeschlagen durch COM(2016) 551 </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Richtlinie 2006/87/EG des Europäischen Parlaments und des Rates vom 12. Dezember 2016 über die technischen Vorschriften für Binnenschiffe </w:t>
            </w:r>
          </w:p>
        </w:tc>
        <w:tc>
          <w:tcPr>
            <w:tcW w:w="2340" w:type="dxa"/>
            <w:shd w:val="clear" w:color="auto" w:fill="FFFFFF" w:themeFill="background1"/>
          </w:tcPr>
          <w:p>
            <w:pPr>
              <w:spacing w:before="0" w:after="0"/>
              <w:jc w:val="left"/>
              <w:rPr>
                <w:noProof/>
                <w:sz w:val="22"/>
              </w:rPr>
            </w:pPr>
            <w:r>
              <w:rPr>
                <w:noProof/>
                <w:sz w:val="22"/>
              </w:rPr>
              <w:t>COM(2013) 622</w:t>
            </w:r>
          </w:p>
        </w:tc>
      </w:tr>
      <w:tr>
        <w:tc>
          <w:tcPr>
            <w:tcW w:w="1308" w:type="dxa"/>
            <w:shd w:val="clear" w:color="auto" w:fill="FFFFFF" w:themeFill="background1"/>
          </w:tcPr>
          <w:p>
            <w:pPr>
              <w:spacing w:before="0" w:after="0"/>
              <w:jc w:val="left"/>
              <w:rPr>
                <w:noProof/>
                <w:sz w:val="22"/>
              </w:rPr>
            </w:pPr>
            <w:r>
              <w:rPr>
                <w:noProof/>
                <w:sz w:val="22"/>
              </w:rPr>
              <w:t>MOVE</w:t>
            </w:r>
          </w:p>
        </w:tc>
        <w:tc>
          <w:tcPr>
            <w:tcW w:w="5640" w:type="dxa"/>
            <w:shd w:val="clear" w:color="auto" w:fill="FFFFFF" w:themeFill="background1"/>
          </w:tcPr>
          <w:p>
            <w:pPr>
              <w:spacing w:before="0" w:after="0"/>
              <w:jc w:val="left"/>
              <w:rPr>
                <w:noProof/>
                <w:sz w:val="22"/>
              </w:rPr>
            </w:pPr>
            <w:r>
              <w:rPr>
                <w:noProof/>
                <w:sz w:val="22"/>
              </w:rPr>
              <w:t xml:space="preserve">Richtlinie 2002/30/EG des Europäischen Parlaments und des Rates vom 26. März 2002 über Regeln und Verfahren für lärmbedingte Betriebsbeschränkungen auf Flughäfen der Gemeinschaft </w:t>
            </w:r>
          </w:p>
        </w:tc>
        <w:tc>
          <w:tcPr>
            <w:tcW w:w="2340" w:type="dxa"/>
            <w:shd w:val="clear" w:color="auto" w:fill="FFFFFF" w:themeFill="background1"/>
          </w:tcPr>
          <w:p>
            <w:pPr>
              <w:spacing w:before="0" w:after="0"/>
              <w:jc w:val="left"/>
              <w:rPr>
                <w:noProof/>
                <w:sz w:val="22"/>
              </w:rPr>
            </w:pPr>
            <w:r>
              <w:rPr>
                <w:noProof/>
                <w:sz w:val="22"/>
              </w:rPr>
              <w:t>COM(2011) 828</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Richtlinie 96/50/EG des Rates vom 23. Juli 1996 über die Harmonisierung der Bedingungen für den Erwerb einzelstaatlicher Schifferpatente für den Binnenschiffsgüter</w:t>
            </w:r>
            <w:r>
              <w:rPr>
                <w:noProof/>
              </w:rPr>
              <w:noBreakHyphen/>
            </w:r>
            <w:r>
              <w:rPr>
                <w:noProof/>
                <w:sz w:val="22"/>
              </w:rPr>
              <w:t xml:space="preserve"> und -personenverkehr in der Gemeinschaft</w:t>
            </w:r>
          </w:p>
        </w:tc>
        <w:tc>
          <w:tcPr>
            <w:tcW w:w="2340" w:type="dxa"/>
          </w:tcPr>
          <w:p>
            <w:pPr>
              <w:spacing w:before="0" w:after="0"/>
              <w:jc w:val="left"/>
              <w:rPr>
                <w:noProof/>
                <w:sz w:val="22"/>
              </w:rPr>
            </w:pPr>
            <w:r>
              <w:rPr>
                <w:noProof/>
                <w:sz w:val="22"/>
              </w:rPr>
              <w:t>COM(2016) 82 final</w:t>
            </w:r>
          </w:p>
        </w:tc>
      </w:tr>
      <w:tr>
        <w:trPr>
          <w:trHeight w:val="169"/>
        </w:trP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Richtlinie 91/672/EWG des Rates vom 16. Dezember 1991 über die gegenseitige Anerkennung der einzelstaatlichen Schifferpatente für den Binnenschiffsgüter</w:t>
            </w:r>
            <w:r>
              <w:rPr>
                <w:noProof/>
              </w:rPr>
              <w:noBreakHyphen/>
            </w:r>
            <w:r>
              <w:rPr>
                <w:noProof/>
                <w:sz w:val="22"/>
              </w:rPr>
              <w:t xml:space="preserve"> und </w:t>
            </w:r>
            <w:r>
              <w:rPr>
                <w:noProof/>
                <w:sz w:val="22"/>
              </w:rPr>
              <w:noBreakHyphen/>
              <w:t>personenverkehr</w:t>
            </w:r>
          </w:p>
        </w:tc>
        <w:tc>
          <w:tcPr>
            <w:tcW w:w="2340" w:type="dxa"/>
          </w:tcPr>
          <w:p>
            <w:pPr>
              <w:spacing w:before="0" w:after="0"/>
              <w:jc w:val="left"/>
              <w:rPr>
                <w:noProof/>
                <w:sz w:val="22"/>
              </w:rPr>
            </w:pPr>
            <w:r>
              <w:rPr>
                <w:noProof/>
                <w:sz w:val="22"/>
              </w:rPr>
              <w:t>COM(2016) 82 final</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 xml:space="preserve">Richtlinie 2009/45/EG des Europäischen Parlaments und des Rates vom 6. Mai 2009 über Sicherheitsvorschriften und </w:t>
            </w:r>
            <w:r>
              <w:rPr>
                <w:noProof/>
                <w:sz w:val="22"/>
              </w:rPr>
              <w:noBreakHyphen/>
              <w:t>normen für Fahrgastschiffe (Neufassung)</w:t>
            </w:r>
          </w:p>
        </w:tc>
        <w:tc>
          <w:tcPr>
            <w:tcW w:w="2340" w:type="dxa"/>
          </w:tcPr>
          <w:p>
            <w:pPr>
              <w:spacing w:before="0" w:after="0"/>
              <w:jc w:val="left"/>
              <w:rPr>
                <w:noProof/>
                <w:sz w:val="22"/>
              </w:rPr>
            </w:pPr>
            <w:r>
              <w:rPr>
                <w:noProof/>
                <w:sz w:val="22"/>
              </w:rPr>
              <w:t>COM(2016) 369</w:t>
            </w:r>
          </w:p>
        </w:tc>
      </w:tr>
      <w:tr>
        <w:tc>
          <w:tcPr>
            <w:tcW w:w="1308" w:type="dxa"/>
          </w:tcPr>
          <w:p>
            <w:pPr>
              <w:spacing w:before="0" w:after="0"/>
              <w:jc w:val="left"/>
              <w:rPr>
                <w:noProof/>
                <w:sz w:val="22"/>
              </w:rPr>
            </w:pPr>
            <w:r>
              <w:rPr>
                <w:noProof/>
                <w:sz w:val="22"/>
              </w:rPr>
              <w:t>MOVE</w:t>
            </w:r>
          </w:p>
        </w:tc>
        <w:tc>
          <w:tcPr>
            <w:tcW w:w="5640" w:type="dxa"/>
          </w:tcPr>
          <w:p>
            <w:pPr>
              <w:spacing w:before="0" w:after="0"/>
              <w:jc w:val="left"/>
              <w:rPr>
                <w:noProof/>
                <w:sz w:val="22"/>
              </w:rPr>
            </w:pPr>
            <w:r>
              <w:rPr>
                <w:noProof/>
                <w:sz w:val="22"/>
              </w:rPr>
              <w:t>Richtlinie 1999/35/EG des Rates vom 29. April 1999 über ein System verbindlicher Überprüfungen im Hinblick auf den sicheren Betrieb von Ro-Ro-Fahrgastschiffen und Fahrgast-Hochgeschwindigkeitsfahrzeugen im Linienverkehr</w:t>
            </w:r>
          </w:p>
        </w:tc>
        <w:tc>
          <w:tcPr>
            <w:tcW w:w="2340" w:type="dxa"/>
          </w:tcPr>
          <w:p>
            <w:pPr>
              <w:spacing w:before="0" w:after="0"/>
              <w:jc w:val="left"/>
              <w:rPr>
                <w:noProof/>
                <w:sz w:val="22"/>
              </w:rPr>
            </w:pPr>
            <w:r>
              <w:rPr>
                <w:noProof/>
                <w:sz w:val="22"/>
              </w:rPr>
              <w:t>COM(2016) 371</w:t>
            </w:r>
          </w:p>
        </w:tc>
      </w:tr>
      <w:tr>
        <w:tc>
          <w:tcPr>
            <w:tcW w:w="1308" w:type="dxa"/>
          </w:tcPr>
          <w:p>
            <w:pPr>
              <w:spacing w:before="0" w:after="0"/>
              <w:jc w:val="left"/>
              <w:rPr>
                <w:noProof/>
                <w:sz w:val="22"/>
              </w:rPr>
            </w:pPr>
            <w:r>
              <w:rPr>
                <w:noProof/>
                <w:sz w:val="22"/>
              </w:rPr>
              <w:t xml:space="preserve">MOVE </w:t>
            </w:r>
          </w:p>
        </w:tc>
        <w:tc>
          <w:tcPr>
            <w:tcW w:w="5640" w:type="dxa"/>
          </w:tcPr>
          <w:p>
            <w:pPr>
              <w:spacing w:before="0" w:after="0"/>
              <w:jc w:val="left"/>
              <w:rPr>
                <w:noProof/>
                <w:sz w:val="22"/>
              </w:rPr>
            </w:pPr>
            <w:r>
              <w:rPr>
                <w:noProof/>
                <w:sz w:val="22"/>
              </w:rPr>
              <w:t>Richtlinie 98/41/EG des Rates vom 18. Juni 1998 über die Registrierung der an Bord von Fahrgastschiffen im Verkehr nach oder von einem Hafen eines Mitgliedstaates der Gemeinschaft befindlichen Personen</w:t>
            </w:r>
          </w:p>
        </w:tc>
        <w:tc>
          <w:tcPr>
            <w:tcW w:w="2340" w:type="dxa"/>
          </w:tcPr>
          <w:p>
            <w:pPr>
              <w:spacing w:before="0" w:after="0"/>
              <w:jc w:val="left"/>
              <w:rPr>
                <w:noProof/>
                <w:sz w:val="22"/>
              </w:rPr>
            </w:pPr>
            <w:r>
              <w:rPr>
                <w:noProof/>
                <w:sz w:val="22"/>
              </w:rPr>
              <w:t>COM(2016) 370</w:t>
            </w:r>
          </w:p>
        </w:tc>
      </w:tr>
      <w:tr>
        <w:tc>
          <w:tcPr>
            <w:tcW w:w="1308" w:type="dxa"/>
          </w:tcPr>
          <w:p>
            <w:pPr>
              <w:spacing w:before="0" w:after="0"/>
              <w:jc w:val="left"/>
              <w:rPr>
                <w:noProof/>
                <w:sz w:val="22"/>
              </w:rPr>
            </w:pPr>
            <w:r>
              <w:rPr>
                <w:noProof/>
                <w:sz w:val="22"/>
              </w:rPr>
              <w:t xml:space="preserve">SANTE </w:t>
            </w:r>
          </w:p>
        </w:tc>
        <w:tc>
          <w:tcPr>
            <w:tcW w:w="5640" w:type="dxa"/>
          </w:tcPr>
          <w:p>
            <w:pPr>
              <w:spacing w:before="0" w:after="0"/>
              <w:rPr>
                <w:bCs/>
                <w:noProof/>
                <w:sz w:val="22"/>
              </w:rPr>
            </w:pPr>
            <w:r>
              <w:rPr>
                <w:noProof/>
                <w:sz w:val="22"/>
              </w:rPr>
              <w:t>Verordnung (EG) Nr. 726/2004 des Europäischen Parlaments und des Rates vom 31. März 2004 zur Festlegung von Gemeinschaftsverfahren für die Genehmigung und Überwachung von Human- und Tierarzneimitteln und zur Errichtung einer Europäischen Arzneimittel-Agentur</w:t>
            </w:r>
          </w:p>
        </w:tc>
        <w:tc>
          <w:tcPr>
            <w:tcW w:w="2340" w:type="dxa"/>
          </w:tcPr>
          <w:p>
            <w:pPr>
              <w:spacing w:before="0" w:after="0"/>
              <w:jc w:val="left"/>
              <w:rPr>
                <w:bCs/>
                <w:noProof/>
                <w:sz w:val="22"/>
              </w:rPr>
            </w:pPr>
            <w:r>
              <w:rPr>
                <w:noProof/>
                <w:sz w:val="22"/>
              </w:rPr>
              <w:t>COM(2014) 557</w:t>
            </w:r>
          </w:p>
        </w:tc>
      </w:tr>
    </w:tbl>
    <w:p>
      <w:pPr>
        <w:pBdr>
          <w:top w:val="nil"/>
          <w:left w:val="nil"/>
          <w:bottom w:val="nil"/>
          <w:right w:val="nil"/>
          <w:between w:val="nil"/>
          <w:bar w:val="nil"/>
        </w:pBdr>
        <w:spacing w:before="0" w:after="240"/>
        <w:rPr>
          <w:rFonts w:eastAsia="Arial Unicode MS"/>
          <w:noProof/>
          <w:sz w:val="22"/>
        </w:rPr>
      </w:pPr>
      <w:r>
        <w:rPr>
          <w:noProof/>
          <w:sz w:val="22"/>
        </w:rPr>
        <w:t xml:space="preserve">Für die nachstehend aufgeführten Rechtsakte mit Bezugnahme auf das Regelungsverfahren mit Kontrolle ist eine separate grundlegende Überarbeitung geplant, aber noch nicht angenommen. Ihre Anpassung wird im Rahmen der geplanten Überarbeitungen erfolgen. </w:t>
      </w:r>
    </w:p>
    <w:p>
      <w:pPr>
        <w:pBdr>
          <w:top w:val="nil"/>
          <w:left w:val="nil"/>
          <w:bottom w:val="nil"/>
          <w:right w:val="nil"/>
          <w:between w:val="nil"/>
          <w:bar w:val="nil"/>
        </w:pBdr>
        <w:spacing w:before="0" w:after="240"/>
        <w:rPr>
          <w:rFonts w:eastAsia="Arial Unicode MS"/>
          <w:b/>
          <w:noProof/>
          <w:sz w:val="22"/>
        </w:rPr>
      </w:pPr>
      <w:r>
        <w:rPr>
          <w:b/>
          <w:noProof/>
          <w:sz w:val="22"/>
        </w:rPr>
        <w:t>Tabelle 4: Rechtsakte, für die Vorschläge geplant sind</w:t>
      </w:r>
    </w:p>
    <w:tbl>
      <w:tblPr>
        <w:tblW w:w="5000" w:type="pct"/>
        <w:tblLook w:val="04A0" w:firstRow="1" w:lastRow="0" w:firstColumn="1" w:lastColumn="0" w:noHBand="0" w:noVBand="1"/>
      </w:tblPr>
      <w:tblGrid>
        <w:gridCol w:w="1308"/>
        <w:gridCol w:w="7981"/>
      </w:tblGrid>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Bereich</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b/>
                <w:noProof/>
                <w:sz w:val="22"/>
              </w:rPr>
              <w:t>Rechtsakt</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AGRI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
                <w:bCs/>
                <w:noProof/>
                <w:sz w:val="22"/>
              </w:rPr>
            </w:pPr>
            <w:r>
              <w:rPr>
                <w:noProof/>
                <w:sz w:val="22"/>
              </w:rPr>
              <w:t>Verordnung (EG) Nr. 110/2008 des Europäischen Parlaments und des Rates vom 15. Januar 2008 zur Begriffsbestimmung, Bezeichnung, Aufmachung und Etikettierung von Spirituosen sowie zum Schutz geografischer Angaben für Spirituosen und zur Aufhebung der Verordnung (EWG) Nr. 1576/89</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CLIMA</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Richtlinie 2009/31/EG des Europäischen Parlaments und des Rates vom 23. April 2009 über die geologische Speicherung von Kohlendioxid und zur Änderung der Richtlinie 85/337/EWG des Rates sowie der Richtlinien 2000/60/EG, 2001/80/EG, 2004/35/EG, 2006/12/EG und 2008/1/EG des Europäischen Parlaments und des Rates sowie der Verordnung (EG) Nr. 1013/2006</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Verordnung (EG) Nr. 713/2009 des Europäischen Parlaments und des Rates vom 13. Juli 2009 zur Gründung einer Agentur für die Zusammenarbeit der Energieregulierungsbehörden</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Verordnung (EG) Nr. 714/2009 des Europäischen Parlaments und des Rates vom 13. Juli 2009 über die Netzzugangsbedingungen für den grenzüberschreitenden Stromhandel und zur Aufhebung der Verordnung (EG) Nr. 1228/2003</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ENER</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Richtlinie 2009/72/EG des Europäischen Parlaments und des Rates vom 13. Juli 2009 über gemeinsame Vorschriften für den Elektrizitätsbinnenmarkt und zur Aufhebung der Richtlinie 2003/54/EG</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Verordnung (EG) Nr. 850/2004 des Europäischen Parlaments und des Rates vom 29. April 2004 über persistente organische Schadstoffe und zur Änderung der Richtlinie 79/117/EWG</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 xml:space="preserve">ENV </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Richtlinie 86/278/EWG des Rates vom 12. Juni 1986 über den Schutz der Umwelt und insbesondere der Böden bei der Verwendung von Klärschlamm in der Landwirtschaft</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Verordnung (EG) Nr. 1166/2008 des Europäischen Parlaments und des Rates vom 19. November 2008 über die Betriebsstrukturerhebungen und die Erhebung über landwirtschaftliche Produktionsmethoden sowie zur Aufhebung der Verordnung (EWG) Nr. 571/88 des Rates</w:t>
            </w:r>
          </w:p>
        </w:tc>
      </w:tr>
      <w:tr>
        <w:trPr>
          <w:trHeight w:val="57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ESTAT</w:t>
            </w:r>
          </w:p>
        </w:tc>
        <w:tc>
          <w:tcPr>
            <w:tcW w:w="4296" w:type="pct"/>
            <w:tcBorders>
              <w:top w:val="single" w:sz="4" w:space="0" w:color="auto"/>
              <w:left w:val="nil"/>
              <w:bottom w:val="single" w:sz="4" w:space="0" w:color="auto"/>
              <w:right w:val="single" w:sz="4" w:space="0" w:color="auto"/>
            </w:tcBorders>
            <w:shd w:val="clear" w:color="auto" w:fill="auto"/>
            <w:vAlign w:val="center"/>
          </w:tcPr>
          <w:p>
            <w:pPr>
              <w:pBdr>
                <w:top w:val="nil"/>
                <w:left w:val="nil"/>
                <w:bottom w:val="nil"/>
                <w:right w:val="nil"/>
                <w:between w:val="nil"/>
                <w:bar w:val="nil"/>
              </w:pBdr>
              <w:spacing w:before="0" w:after="240"/>
              <w:rPr>
                <w:rFonts w:eastAsia="Arial Unicode MS"/>
                <w:bCs/>
                <w:noProof/>
                <w:sz w:val="22"/>
              </w:rPr>
            </w:pPr>
            <w:r>
              <w:rPr>
                <w:noProof/>
                <w:sz w:val="22"/>
              </w:rPr>
              <w:t>Verordnung (EG) Nr. 1059/2003 des Europäischen Parlaments und des Rates vom 26. Mai 2003 über die Schaffung einer gemeinsamen Klassifikation der Gebietseinheiten für die Statistik (NUTS)</w:t>
            </w:r>
          </w:p>
        </w:tc>
      </w:tr>
    </w:tbl>
    <w:p>
      <w:pPr>
        <w:pStyle w:val="ManualHeading1"/>
        <w:rPr>
          <w:noProof/>
        </w:rPr>
      </w:pPr>
      <w:r>
        <w:rPr>
          <w:noProof/>
        </w:rPr>
        <w:t xml:space="preserve">4. </w:t>
      </w:r>
      <w:r>
        <w:rPr>
          <w:noProof/>
        </w:rPr>
        <w:tab/>
        <w:t xml:space="preserve">RECHTSGRUNDLAGE, SUBSIDIARITÄT </w:t>
      </w:r>
    </w:p>
    <w:p>
      <w:pPr>
        <w:pBdr>
          <w:top w:val="nil"/>
          <w:left w:val="nil"/>
          <w:bottom w:val="nil"/>
          <w:right w:val="nil"/>
          <w:between w:val="nil"/>
          <w:bar w:val="nil"/>
        </w:pBdr>
        <w:spacing w:before="0" w:after="240"/>
        <w:rPr>
          <w:rFonts w:eastAsia="Arial Unicode MS"/>
          <w:noProof/>
        </w:rPr>
      </w:pPr>
      <w:r>
        <w:rPr>
          <w:noProof/>
        </w:rPr>
        <w:t xml:space="preserve">Dieser Vorschlag stützt sich auf die Rechtsgrundlagen aller geänderten Basisrechtsakte. </w:t>
      </w:r>
    </w:p>
    <w:p>
      <w:pPr>
        <w:pBdr>
          <w:top w:val="nil"/>
          <w:left w:val="nil"/>
          <w:bottom w:val="nil"/>
          <w:right w:val="nil"/>
          <w:between w:val="nil"/>
          <w:bar w:val="nil"/>
        </w:pBdr>
        <w:spacing w:before="0" w:after="240"/>
        <w:rPr>
          <w:rFonts w:eastAsia="Arial Unicode MS"/>
          <w:noProof/>
        </w:rPr>
      </w:pPr>
      <w:r>
        <w:rPr>
          <w:noProof/>
        </w:rPr>
        <w:t>Er bezieht sich ausschließlich auf die Verfahren, die auf Unionsebene für die Annahme von Rechtsakten auf der Grundlage übertragener Befugnisse gelten.</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2016/0400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Anpassung von Rechtsakten, in denen auf das Regelungsverfahren mit Kontrolle Bezug genommen wird, an Artikel 290 und 291 des Vertrags über die Arbeitsweise der Europäischen Union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color w:val="0000FF"/>
        </w:rPr>
      </w:pPr>
      <w:r>
        <w:rPr>
          <w:noProof/>
        </w:rPr>
        <w:t>gestützt auf den Vertrag über die Arbeitsweise der Europäischen Union, insbesondere auf Artikel 33, Artikel 43 Absatz 2, Artikel 53 Absatz 1, Artikel 62, Artikel 64 Absatz 2, Artikel 91, Artikel 100 Absatz 2, Artikel 114, Artikel 153 Absatz 2 Buchstabe b, Artikel 168 Absatz 4 Buchstabe a, Artikel 168 Absatz 4 Buchstabe b, Artikel 172, Artikel 192 Absatz 1, Artikel 207, Artikel 214 Absatz 3 und Artikel 338 Absatz 1,</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5"/>
      </w:r>
      <w:r>
        <w:rPr>
          <w:noProof/>
        </w:rPr>
        <w:t xml:space="preserve">, </w:t>
      </w:r>
    </w:p>
    <w:p>
      <w:pPr>
        <w:rPr>
          <w:noProof/>
        </w:rPr>
      </w:pPr>
      <w:r>
        <w:rPr>
          <w:noProof/>
        </w:rPr>
        <w:t>nach Stellungnahme des Ausschusses der Regionen</w:t>
      </w:r>
      <w:r>
        <w:rPr>
          <w:rStyle w:val="FootnoteReference"/>
          <w:noProof/>
        </w:rPr>
        <w:footnoteReference w:id="16"/>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dem Vertrag von Lissabon wurde eine Unterscheidung zwischen den Befugnissen eingeführt, die der Kommission für den Erlass von Rechtsakten ohne Gesetzescharakter mit allgemeiner Geltung zur Ergänzung oder Änderung bestimmter nicht wesentlicher Vorschriften des betreffenden Gesetzgebungsaktes übertragen werden (delegierte Rechtsakte), und den Befugnissen, die der Kommission für den Erlass von Rechtsakten zur Gewährleistung einheitlicher Bedingungen für die Durchführung der verbindlichen Rechtsakte der Union (Durchführungsrechtsakte) übertragen werden.</w:t>
      </w:r>
    </w:p>
    <w:p>
      <w:pPr>
        <w:pStyle w:val="ManualConsidrant"/>
        <w:rPr>
          <w:noProof/>
        </w:rPr>
      </w:pPr>
      <w:r>
        <w:t>(2)</w:t>
      </w:r>
      <w:r>
        <w:tab/>
      </w:r>
      <w:r>
        <w:rPr>
          <w:noProof/>
        </w:rPr>
        <w:t>Die Maßnahmen, die unter Befugnisübertragungen gemäß Artikel 290 Absatz 1 des Vertrags über die Arbeitsweise der Europäischen Union (AEUV) fallen können, entsprechen im Grundsatz denen, die unter das Regelungsverfahren mit Kontrolle gemäß Artikel 5a des Beschlusses 1999/468/EG des Rates</w:t>
      </w:r>
      <w:r>
        <w:rPr>
          <w:rStyle w:val="FootnoteReference"/>
          <w:noProof/>
        </w:rPr>
        <w:footnoteReference w:id="17"/>
      </w:r>
      <w:r>
        <w:rPr>
          <w:noProof/>
        </w:rPr>
        <w:t xml:space="preserve"> fallen. </w:t>
      </w:r>
    </w:p>
    <w:p>
      <w:pPr>
        <w:pStyle w:val="ManualConsidrant"/>
        <w:rPr>
          <w:noProof/>
        </w:rPr>
      </w:pPr>
      <w:r>
        <w:t>(3)</w:t>
      </w:r>
      <w:r>
        <w:tab/>
      </w:r>
      <w:r>
        <w:rPr>
          <w:noProof/>
        </w:rPr>
        <w:t>Frühere Vorschläge zur Anpassung von Rechtsvorschriften, in denen auf das Regelungsverfahren mit Kontrolle Bezug genommen wird, an den durch den Vertrag von Lissabon eingeführten Rechtsrahmen</w:t>
      </w:r>
      <w:r>
        <w:rPr>
          <w:rStyle w:val="FootnoteReference"/>
          <w:noProof/>
        </w:rPr>
        <w:footnoteReference w:id="18"/>
      </w:r>
      <w:r>
        <w:rPr>
          <w:noProof/>
        </w:rPr>
        <w:t xml:space="preserve"> wurden aufgrund des Stillstands bei den interinstitutionellen Verhandlungen zurückgezogen.</w:t>
      </w:r>
      <w:r>
        <w:rPr>
          <w:rStyle w:val="FootnoteReference"/>
          <w:noProof/>
        </w:rPr>
        <w:footnoteReference w:id="19"/>
      </w:r>
      <w:r>
        <w:rPr>
          <w:noProof/>
        </w:rPr>
        <w:t xml:space="preserve"> </w:t>
      </w:r>
    </w:p>
    <w:p>
      <w:pPr>
        <w:pStyle w:val="ManualConsidrant"/>
        <w:rPr>
          <w:noProof/>
        </w:rPr>
      </w:pPr>
      <w:r>
        <w:t>(4)</w:t>
      </w:r>
      <w:r>
        <w:tab/>
      </w:r>
      <w:r>
        <w:rPr>
          <w:noProof/>
        </w:rPr>
        <w:t xml:space="preserve"> Das Europäische Parlament, der Rat und die Kommission vereinbarten sodann in der Interinstitutionellen Vereinbarung über bessere Rechtsetzung vom 13. April 2016</w:t>
      </w:r>
      <w:r>
        <w:rPr>
          <w:rStyle w:val="FootnoteReference"/>
          <w:noProof/>
        </w:rPr>
        <w:footnoteReference w:id="20"/>
      </w:r>
      <w:r>
        <w:rPr>
          <w:noProof/>
        </w:rPr>
        <w:t xml:space="preserve"> einen neuen Rahmen für delegierte Rechtsakte und erkannten an, dass alle bestehenden Rechtsvorschriften an den mit dem Vertrag von Lissabon eingeführten Rechtsrahmen angepasst werden müssen. Sie kamen insbesondere überein, dass der umgehenden Anpassung aller Basisrechtsakte, in denen noch auf das Regelungsverfahren mit Kontrolle Bezug genommen wird, hohe Priorität eingeräumt werden muss. Die Kommission verpflichtete sich, einen Vorschlag für diese Anpassung bis Ende 2016 vorzulegen.</w:t>
      </w:r>
    </w:p>
    <w:p>
      <w:pPr>
        <w:pStyle w:val="ManualConsidrant"/>
        <w:rPr>
          <w:noProof/>
        </w:rPr>
      </w:pPr>
      <w:r>
        <w:t>(5)</w:t>
      </w:r>
      <w:r>
        <w:tab/>
      </w:r>
      <w:r>
        <w:rPr>
          <w:noProof/>
        </w:rPr>
        <w:t xml:space="preserve">Die meisten Befugnisübertragungen in den Basisrechtsakten, in denen die Anwendung des Regelungsverfahrens mit Kontrolle vorgesehen ist, erfüllen die Kriterien des Artikels 290 Absatz 1 AEUV und sollten an diese Bestimmung angepasst werden. </w:t>
      </w:r>
    </w:p>
    <w:p>
      <w:pPr>
        <w:pStyle w:val="ManualConsidrant"/>
        <w:rPr>
          <w:noProof/>
        </w:rPr>
      </w:pPr>
      <w:r>
        <w:t>(6)</w:t>
      </w:r>
      <w:r>
        <w:tab/>
      </w:r>
      <w:r>
        <w:rPr>
          <w:noProof/>
        </w:rPr>
        <w:t>Andere Befugnisübertragungen in Basisrechtsakten, in denen die Anwendung des Regelungsverfahrens mit Kontrolle vorgesehen ist, erfüllen die Kriterien des Artikels 291 Absatz 2 AEUV und sollten an diese Bestimmung angepasst werden.</w:t>
      </w:r>
    </w:p>
    <w:p>
      <w:pPr>
        <w:pStyle w:val="ManualConsidrant"/>
        <w:rPr>
          <w:noProof/>
        </w:rPr>
      </w:pPr>
      <w:r>
        <w:t>(7)</w:t>
      </w:r>
      <w:r>
        <w:tab/>
      </w:r>
      <w:r>
        <w:rPr>
          <w:noProof/>
        </w:rPr>
        <w:t>Werden der Kommission Durchführungsbefugnisse übertragen, so sind diese im Einklang mit der Verordnung (EU) Nr. 182/2011 des Europäischen Parlaments und des Rates</w:t>
      </w:r>
      <w:r>
        <w:rPr>
          <w:rStyle w:val="FootnoteReference"/>
          <w:noProof/>
        </w:rPr>
        <w:footnoteReference w:id="21"/>
      </w:r>
      <w:r>
        <w:rPr>
          <w:noProof/>
        </w:rPr>
        <w:t xml:space="preserve"> wahrzunehmen. </w:t>
      </w:r>
    </w:p>
    <w:p>
      <w:pPr>
        <w:pStyle w:val="ManualConsidrant"/>
        <w:rPr>
          <w:noProof/>
        </w:rPr>
      </w:pPr>
      <w:r>
        <w:t>(8)</w:t>
      </w:r>
      <w:r>
        <w:tab/>
      </w:r>
      <w:r>
        <w:rPr>
          <w:noProof/>
        </w:rPr>
        <w:t>In einigen Basisrechtsakten, in denen derzeit die Anwendung des Regelungsverfahrens mit Kontrolle vorgesehen ist, sind bestimmte Befugnisübertragungen hinfällig geworden und sollten deshalb gestrichen werden.</w:t>
      </w:r>
    </w:p>
    <w:p>
      <w:pPr>
        <w:pStyle w:val="ManualConsidrant"/>
        <w:rPr>
          <w:noProof/>
        </w:rPr>
      </w:pPr>
      <w:r>
        <w:t>(9)</w:t>
      </w:r>
      <w:r>
        <w:tab/>
      </w:r>
      <w:r>
        <w:rPr>
          <w:noProof/>
        </w:rPr>
        <w:t>Laufende Verfahren, in denen ein Ausschuss bereits vor Inkrafttreten dieser Verordnung seine Stellungnahme gemäß Artikel 5a des Beschlusses 1999/468/EG abgegeben hat, sollten von dieser Verordnung unberührt bleiben.</w:t>
      </w:r>
    </w:p>
    <w:p>
      <w:pPr>
        <w:pStyle w:val="ManualConsidrant"/>
        <w:rPr>
          <w:noProof/>
        </w:rPr>
      </w:pPr>
      <w:r>
        <w:t>(10)</w:t>
      </w:r>
      <w:r>
        <w:tab/>
      </w:r>
      <w:r>
        <w:rPr>
          <w:noProof/>
        </w:rPr>
        <w:t xml:space="preserve">Da die vorgesehenen Anpassungen und Änderungen ausschließlich Verfahren auf Ebene der Union betreffen, müssen sie, im Falle von Richtlinien, nicht von den Mitgliedstaaten umgesetzt werden. </w:t>
      </w:r>
    </w:p>
    <w:p>
      <w:pPr>
        <w:pStyle w:val="ManualConsidrant"/>
        <w:rPr>
          <w:noProof/>
        </w:rPr>
      </w:pPr>
      <w:r>
        <w:t>(11)</w:t>
      </w:r>
      <w:r>
        <w:tab/>
      </w:r>
      <w:r>
        <w:rPr>
          <w:noProof/>
        </w:rPr>
        <w:t xml:space="preserve">Die betreffenden Rechtsakte sollten daher entsprechend geändert werden —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 xml:space="preserve">Die im Anhang aufgeführten Rechtsakte werden nach Maßgabe des Anhangs geändert. </w:t>
      </w:r>
    </w:p>
    <w:p>
      <w:pPr>
        <w:pStyle w:val="Titrearticle"/>
        <w:rPr>
          <w:noProof/>
        </w:rPr>
      </w:pPr>
      <w:r>
        <w:rPr>
          <w:noProof/>
        </w:rPr>
        <w:t>Artikel 2</w:t>
      </w:r>
    </w:p>
    <w:p>
      <w:pPr>
        <w:rPr>
          <w:noProof/>
        </w:rPr>
      </w:pPr>
      <w:r>
        <w:rPr>
          <w:noProof/>
        </w:rPr>
        <w:t>Laufende Verfahren, in denen ein Ausschuss bereits seine Stellungnahme gemäß Artikel 5a des Beschlusses 1999/468/EG abgegeben hat, bleiben von dieser Verordnung unberührt.</w:t>
      </w:r>
    </w:p>
    <w:p>
      <w:pPr>
        <w:pStyle w:val="Titrearticle"/>
        <w:rPr>
          <w:noProof/>
        </w:rPr>
      </w:pPr>
      <w:r>
        <w:rPr>
          <w:noProof/>
        </w:rPr>
        <w:t>Artikel 3</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C 306 vom 17.12.2007.</w:t>
      </w:r>
    </w:p>
  </w:footnote>
  <w:footnote w:id="2">
    <w:p>
      <w:pPr>
        <w:pStyle w:val="FootnoteText"/>
      </w:pPr>
      <w:r>
        <w:rPr>
          <w:rStyle w:val="FootnoteReference"/>
        </w:rPr>
        <w:footnoteRef/>
      </w:r>
      <w:r>
        <w:tab/>
        <w:t>ABl. L 184 vom 17.7.1999, S. 23.</w:t>
      </w:r>
    </w:p>
  </w:footnote>
  <w:footnote w:id="3">
    <w:p>
      <w:pPr>
        <w:pStyle w:val="FootnoteText"/>
      </w:pPr>
      <w:r>
        <w:rPr>
          <w:rStyle w:val="FootnoteReference"/>
        </w:rPr>
        <w:footnoteRef/>
      </w:r>
      <w:r>
        <w:tab/>
        <w:t>ABl. L 55 vom 28.2.2011, S. 13.</w:t>
      </w:r>
    </w:p>
  </w:footnote>
  <w:footnote w:id="4">
    <w:p>
      <w:pPr>
        <w:pStyle w:val="FootnoteText"/>
      </w:pPr>
      <w:r>
        <w:rPr>
          <w:rStyle w:val="FootnoteReference"/>
        </w:rPr>
        <w:footnoteRef/>
      </w:r>
      <w:r>
        <w:tab/>
        <w:t>ABl. L 55 vom 28.2.2011, S. 19.</w:t>
      </w:r>
    </w:p>
  </w:footnote>
  <w:footnote w:id="5">
    <w:p>
      <w:pPr>
        <w:pStyle w:val="FootnoteText"/>
        <w:rPr>
          <w:lang w:val="pt-PT"/>
        </w:rPr>
      </w:pPr>
      <w:r>
        <w:rPr>
          <w:rStyle w:val="FootnoteReference"/>
        </w:rPr>
        <w:footnoteRef/>
      </w:r>
      <w:r>
        <w:rPr>
          <w:lang w:val="pt-PT"/>
        </w:rPr>
        <w:tab/>
        <w:t>COM(2013) 451 final, COM(2013) 452 final und COM(2013) 751 final.</w:t>
      </w:r>
    </w:p>
  </w:footnote>
  <w:footnote w:id="6">
    <w:p>
      <w:pPr>
        <w:pStyle w:val="FootnoteText"/>
        <w:rPr>
          <w:lang w:val="pt-PT"/>
        </w:rPr>
      </w:pPr>
      <w:r>
        <w:rPr>
          <w:rStyle w:val="FootnoteReference"/>
        </w:rPr>
        <w:footnoteRef/>
      </w:r>
      <w:r>
        <w:rPr>
          <w:lang w:val="pt-PT"/>
        </w:rPr>
        <w:tab/>
        <w:t>A7-0010/2014, P7_TA-PROV(2014)0114, A7-0011/2014, P7_TA-PROV(2014)0112.</w:t>
      </w:r>
    </w:p>
  </w:footnote>
  <w:footnote w:id="7">
    <w:p>
      <w:pPr>
        <w:pStyle w:val="FootnoteText"/>
        <w:rPr>
          <w:lang w:val="pt-PT"/>
        </w:rPr>
      </w:pPr>
      <w:r>
        <w:rPr>
          <w:rStyle w:val="FootnoteReference"/>
        </w:rPr>
        <w:footnoteRef/>
      </w:r>
      <w:r>
        <w:rPr>
          <w:lang w:val="pt-PT"/>
        </w:rPr>
        <w:tab/>
        <w:t>COM(2014) 910 final.</w:t>
      </w:r>
    </w:p>
  </w:footnote>
  <w:footnote w:id="8">
    <w:p>
      <w:pPr>
        <w:pStyle w:val="FootnoteText"/>
      </w:pPr>
      <w:r>
        <w:rPr>
          <w:rStyle w:val="FootnoteReference"/>
        </w:rPr>
        <w:footnoteRef/>
      </w:r>
      <w:r>
        <w:tab/>
        <w:t>(2015/C 80/08), ABl. C 80 vom 7.2.2015, S. 17.</w:t>
      </w:r>
    </w:p>
  </w:footnote>
  <w:footnote w:id="9">
    <w:p>
      <w:pPr>
        <w:pStyle w:val="FootnoteText"/>
      </w:pPr>
      <w:r>
        <w:rPr>
          <w:rStyle w:val="FootnoteReference"/>
        </w:rPr>
        <w:footnoteRef/>
      </w:r>
      <w:r>
        <w:tab/>
        <w:t>ABl. L 123 vom 12.5.2016, S. 1.</w:t>
      </w:r>
    </w:p>
  </w:footnote>
  <w:footnote w:id="10">
    <w:p>
      <w:pPr>
        <w:pStyle w:val="FootnoteText"/>
      </w:pPr>
      <w:r>
        <w:rPr>
          <w:rStyle w:val="FootnoteReference"/>
        </w:rPr>
        <w:footnoteRef/>
      </w:r>
      <w:r>
        <w:tab/>
        <w:t>Diese Rechtsakte sind unter Punkt 3 aufgeführt.</w:t>
      </w:r>
    </w:p>
  </w:footnote>
  <w:footnote w:id="11">
    <w:p>
      <w:pPr>
        <w:pStyle w:val="FootnoteText"/>
      </w:pPr>
      <w:r>
        <w:rPr>
          <w:rStyle w:val="FootnoteReference"/>
        </w:rPr>
        <w:footnoteRef/>
      </w:r>
      <w:r>
        <w:tab/>
        <w:t>Verordnung (EG) Nr. 1331/2008 des Europäischen Parlaments und des Rates vom 16. Dezember 2008 über ein einheitliches Zulassungsverfahren für Lebensmittelzusatzstoffe, -enzyme und -aromen (ABl. L 354 vom 31.12.2008, S. 1); Verordnung (EG) Nr. 1332/2008 des Europäischen Parlaments und des Rates vom 16. Dezember 2008 über Lebensmittelenzyme und zur Änderung der Richtlinie 83/417/EWG des Rates, der Verordnung (EG) Nr. 1493/1999 des Rates, der Richtlinie 2000/13/EG, der Richtlinie 2001/112/EG des Rates sowie der Verordnung (EG) Nr. 258/97 (ABl. L 354 vom 31.12.2008, S. 7);</w:t>
      </w:r>
      <w:r>
        <w:rPr>
          <w:i/>
        </w:rPr>
        <w:t xml:space="preserve"> </w:t>
      </w:r>
      <w:r>
        <w:t>Verordnung (EG) Nr. 1333/2008 des Europäischen Parlaments und des Rates vom 16. Dezember 2008 über Lebensmittelzusatzstoffe (ABl. L 354 vom 31.12.2008, S. 16); Verordnung (EG) Nr. 1334/2008 des Europäischen Parlaments und des Rates vom 16. Dezember 2008 über Aromen und bestimmte Lebensmittelzutaten mit Aromaeigenschaften zur Verwendung in und auf Lebensmitteln sowie zur Änderung der Verordnung (EWG) Nr. 1601/91 des Rates, der Verordnungen (EG) Nr. 2232/96 und (EG) Nr. 110/2008 und der Richtlinie 2000/13/EG (ABl. L 354 vom 31.12.2008, S. 34); Verordnung (EG) Nr. 1935/2004 des Europäischen Parlaments und des Rates vom 27. Oktober 2004 über Materialien und Gegenstände, die dazu bestimmt sind, mit Lebensmitteln in Berührung zu kommen und zur Aufhebung der Richtlinien 80/590/EWG und 89/109/EWG (ABl. L 338 vom 13.11.2004, S. 4); Verordnung (EWG) Nr. 315/93 des Rates vom 8. Februar 1993 zur Festlegung von gemeinschaftlichen Verfahren zur Kontrolle von Kontaminanten in Lebensmitteln (ABl. L 37 vom 13.2.1993, S. 1); Verordnung (EG) Nr. 396/2005 des Europäischen Parlaments und des Rates vom 23. Februar 2005 über Höchstgehalte an Pestizidrückständen in oder auf Lebens- und Futtermitteln pflanzlichen und tierischen Ursprungs und zur Änderung der Richtlinie 91/414/EWG des Rates (ABl. L 70 vom 16.3.2005, S. 1) und Verordnung (EG) Nr. 1107/2009 des Europäischen Parlaments und des Rates vom 21. Oktober 2009 über das Inverkehrbringen von Pflanzenschutzmitteln und zur Aufhebung der Richtlinien 79/117/EWG und 91/414/EWG des Rates (ABl. L 309 vom 24.11.2009, S. 1).</w:t>
      </w:r>
    </w:p>
  </w:footnote>
  <w:footnote w:id="12">
    <w:p>
      <w:pPr>
        <w:pStyle w:val="FootnoteText"/>
      </w:pPr>
      <w:r>
        <w:rPr>
          <w:rStyle w:val="FootnoteReference"/>
        </w:rPr>
        <w:footnoteRef/>
      </w:r>
      <w:r>
        <w:tab/>
        <w:t>Verordnung (EU) 2015/2283 des Europäischen Parlaments und des Rates vom 25. November 2015 über neuartige Lebensmittel, zur Änderung der Verordnung (EU) Nr. 1169/2011 des Europäischen Parlaments und des Rates und zur Aufhebung der Verordnung (EG) Nr. 258/97 des Europäischen Parlaments und des Rates und der Verordnung (EG) Nr. 1852/2001 der Kommission (ABl. L 327 vom 11.12.2015, S. 1).</w:t>
      </w:r>
    </w:p>
  </w:footnote>
  <w:footnote w:id="13">
    <w:p>
      <w:pPr>
        <w:pStyle w:val="FootnoteText"/>
      </w:pPr>
      <w:r>
        <w:rPr>
          <w:rStyle w:val="FootnoteReference"/>
        </w:rPr>
        <w:footnoteRef/>
      </w:r>
      <w:r>
        <w:tab/>
        <w:t>Verordnung (EG) Nr. 1137/2008 (ABl. L 311 vom 21.11.2008, S. 1).</w:t>
      </w:r>
    </w:p>
  </w:footnote>
  <w:footnote w:id="14">
    <w:p>
      <w:pPr>
        <w:pStyle w:val="FootnoteText"/>
      </w:pPr>
      <w:r>
        <w:rPr>
          <w:rStyle w:val="FootnoteReference"/>
        </w:rPr>
        <w:footnoteRef/>
      </w:r>
      <w:r>
        <w:tab/>
        <w:t>Urteil vom 16. Juli 2015, Kommission/Europäisches Parlament und Rat, C-88/14, ECLI:EU:C:2015:499, Urteil vom 17. März 2016, Europäisches Parlament/Kommission, C-286/14, ECLI:EU:C:2016:183, und Urteil vom 17. Juli 2014, Kommission/Europäisches Parlament und Rat, C</w:t>
      </w:r>
      <w:r>
        <w:noBreakHyphen/>
        <w:t>472/12, ECLI:EU:C:2014:2082.</w:t>
      </w:r>
    </w:p>
  </w:footnote>
  <w:footnote w:id="15">
    <w:p>
      <w:pPr>
        <w:pStyle w:val="FootnoteText"/>
      </w:pPr>
      <w:r>
        <w:rPr>
          <w:rStyle w:val="FootnoteReference"/>
        </w:rPr>
        <w:footnoteRef/>
      </w:r>
      <w:r>
        <w:tab/>
        <w:t>ABl. C  vom , S. .</w:t>
      </w:r>
    </w:p>
  </w:footnote>
  <w:footnote w:id="16">
    <w:p>
      <w:pPr>
        <w:pStyle w:val="FootnoteText"/>
      </w:pPr>
      <w:r>
        <w:rPr>
          <w:rStyle w:val="FootnoteReference"/>
        </w:rPr>
        <w:footnoteRef/>
      </w:r>
      <w:r>
        <w:tab/>
        <w:t>ABl. C  vom , S. .</w:t>
      </w:r>
    </w:p>
  </w:footnote>
  <w:footnote w:id="17">
    <w:p>
      <w:pPr>
        <w:pStyle w:val="FootnoteText"/>
        <w:rPr>
          <w:lang w:val="pt-PT"/>
        </w:rPr>
      </w:pPr>
      <w:r>
        <w:rPr>
          <w:rStyle w:val="FootnoteReference"/>
        </w:rPr>
        <w:footnoteRef/>
      </w:r>
      <w:r>
        <w:tab/>
        <w:t xml:space="preserve">Beschluss 1999/468/EG des Rates vom 28. Juni 1999 zur Festlegung der Modalitäten für die Ausübung der der Kommission übertragenen Durchführungsbefugnisse (ABl. </w:t>
      </w:r>
      <w:r>
        <w:rPr>
          <w:lang w:val="pt-PT"/>
        </w:rPr>
        <w:t>L 184 vom 17.7.1999, S. 23).</w:t>
      </w:r>
    </w:p>
  </w:footnote>
  <w:footnote w:id="18">
    <w:p>
      <w:pPr>
        <w:pStyle w:val="FootnoteText"/>
        <w:rPr>
          <w:lang w:val="pt-PT"/>
        </w:rPr>
      </w:pPr>
      <w:r>
        <w:rPr>
          <w:rStyle w:val="FootnoteReference"/>
        </w:rPr>
        <w:footnoteRef/>
      </w:r>
      <w:r>
        <w:rPr>
          <w:lang w:val="pt-PT"/>
        </w:rPr>
        <w:tab/>
        <w:t>COM(2013) 451 final, COM(2013) 452 final und COM(2013) 751 final.</w:t>
      </w:r>
    </w:p>
  </w:footnote>
  <w:footnote w:id="19">
    <w:p>
      <w:pPr>
        <w:pStyle w:val="FootnoteText"/>
      </w:pPr>
      <w:r>
        <w:rPr>
          <w:rStyle w:val="FootnoteReference"/>
        </w:rPr>
        <w:footnoteRef/>
      </w:r>
      <w:r>
        <w:tab/>
        <w:t>(2015/C 80/08), ABl. C 80 vom 7.2.2015, S. 17.</w:t>
      </w:r>
    </w:p>
  </w:footnote>
  <w:footnote w:id="20">
    <w:p>
      <w:pPr>
        <w:pStyle w:val="FootnoteText"/>
      </w:pPr>
      <w:r>
        <w:rPr>
          <w:rStyle w:val="FootnoteReference"/>
        </w:rPr>
        <w:footnoteRef/>
      </w:r>
      <w:r>
        <w:tab/>
        <w:t xml:space="preserve">ABl. L 123 vom 12.5.2016, S. 1. </w:t>
      </w:r>
    </w:p>
  </w:footnote>
  <w:footnote w:id="21">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B2A8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E020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D2BE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EEFD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6 17:35:3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67E7D5960624BA5BD8B58B3289941B1"/>
    <w:docVar w:name="LW_CROSSREFERENCE" w:val="&lt;UNUSED&gt;"/>
    <w:docVar w:name="LW_DocType" w:val="COM"/>
    <w:docVar w:name="LW_EMISSION" w:val="14.12.2016"/>
    <w:docVar w:name="LW_EMISSION_ISODATE" w:val="2016-12-1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400"/>
    <w:docVar w:name="LW_REF.II.NEW.CP_YEAR" w:val="2016"/>
    <w:docVar w:name="LW_REF.INST.NEW" w:val="COM"/>
    <w:docVar w:name="LW_REF.INST.NEW_ADOPTED" w:val="final"/>
    <w:docVar w:name="LW_REF.INST.NEW_TEXT" w:val="(2016) 799"/>
    <w:docVar w:name="LW_REF.INTERNE" w:val="&lt;UNUSED&gt;"/>
    <w:docVar w:name="LW_SOUS.TITRE.OBJ.CP" w:val="&lt;UNUSED&gt;"/>
    <w:docVar w:name="LW_STATUT.CP" w:val="Vorschlag für eine"/>
    <w:docVar w:name="LW_SUPERTITRE" w:val="&lt;UNUSED&gt;"/>
    <w:docVar w:name="LW_TITRE.OBJ.CP" w:val="zur Anpassung von Rechtsakten, in denen auf das Regelungsverfahren mit Kontrolle Bezug genommen wird, an Artikel 290 und 291 des Vertrags über die Arbeitsweise der Europäischen Unio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32795430">
      <w:bodyDiv w:val="1"/>
      <w:marLeft w:val="0"/>
      <w:marRight w:val="0"/>
      <w:marTop w:val="0"/>
      <w:marBottom w:val="0"/>
      <w:divBdr>
        <w:top w:val="none" w:sz="0" w:space="0" w:color="auto"/>
        <w:left w:val="none" w:sz="0" w:space="0" w:color="auto"/>
        <w:bottom w:val="none" w:sz="0" w:space="0" w:color="auto"/>
        <w:right w:val="none" w:sz="0" w:space="0" w:color="auto"/>
      </w:divBdr>
      <w:divsChild>
        <w:div w:id="2074741547">
          <w:marLeft w:val="0"/>
          <w:marRight w:val="0"/>
          <w:marTop w:val="0"/>
          <w:marBottom w:val="0"/>
          <w:divBdr>
            <w:top w:val="none" w:sz="0" w:space="0" w:color="auto"/>
            <w:left w:val="none" w:sz="0" w:space="0" w:color="auto"/>
            <w:bottom w:val="none" w:sz="0" w:space="0" w:color="auto"/>
            <w:right w:val="none" w:sz="0" w:space="0" w:color="auto"/>
          </w:divBdr>
          <w:divsChild>
            <w:div w:id="495071122">
              <w:marLeft w:val="0"/>
              <w:marRight w:val="0"/>
              <w:marTop w:val="0"/>
              <w:marBottom w:val="0"/>
              <w:divBdr>
                <w:top w:val="none" w:sz="0" w:space="0" w:color="auto"/>
                <w:left w:val="none" w:sz="0" w:space="0" w:color="auto"/>
                <w:bottom w:val="none" w:sz="0" w:space="0" w:color="auto"/>
                <w:right w:val="none" w:sz="0" w:space="0" w:color="auto"/>
              </w:divBdr>
              <w:divsChild>
                <w:div w:id="1483498887">
                  <w:marLeft w:val="0"/>
                  <w:marRight w:val="0"/>
                  <w:marTop w:val="0"/>
                  <w:marBottom w:val="0"/>
                  <w:divBdr>
                    <w:top w:val="none" w:sz="0" w:space="0" w:color="auto"/>
                    <w:left w:val="none" w:sz="0" w:space="0" w:color="auto"/>
                    <w:bottom w:val="none" w:sz="0" w:space="0" w:color="auto"/>
                    <w:right w:val="none" w:sz="0" w:space="0" w:color="auto"/>
                  </w:divBdr>
                  <w:divsChild>
                    <w:div w:id="1243685809">
                      <w:marLeft w:val="1"/>
                      <w:marRight w:val="1"/>
                      <w:marTop w:val="0"/>
                      <w:marBottom w:val="0"/>
                      <w:divBdr>
                        <w:top w:val="none" w:sz="0" w:space="0" w:color="auto"/>
                        <w:left w:val="none" w:sz="0" w:space="0" w:color="auto"/>
                        <w:bottom w:val="none" w:sz="0" w:space="0" w:color="auto"/>
                        <w:right w:val="none" w:sz="0" w:space="0" w:color="auto"/>
                      </w:divBdr>
                      <w:divsChild>
                        <w:div w:id="1001544459">
                          <w:marLeft w:val="0"/>
                          <w:marRight w:val="0"/>
                          <w:marTop w:val="0"/>
                          <w:marBottom w:val="0"/>
                          <w:divBdr>
                            <w:top w:val="none" w:sz="0" w:space="0" w:color="auto"/>
                            <w:left w:val="none" w:sz="0" w:space="0" w:color="auto"/>
                            <w:bottom w:val="none" w:sz="0" w:space="0" w:color="auto"/>
                            <w:right w:val="none" w:sz="0" w:space="0" w:color="auto"/>
                          </w:divBdr>
                          <w:divsChild>
                            <w:div w:id="1519346943">
                              <w:marLeft w:val="0"/>
                              <w:marRight w:val="0"/>
                              <w:marTop w:val="0"/>
                              <w:marBottom w:val="360"/>
                              <w:divBdr>
                                <w:top w:val="none" w:sz="0" w:space="0" w:color="auto"/>
                                <w:left w:val="none" w:sz="0" w:space="0" w:color="auto"/>
                                <w:bottom w:val="none" w:sz="0" w:space="0" w:color="auto"/>
                                <w:right w:val="none" w:sz="0" w:space="0" w:color="auto"/>
                              </w:divBdr>
                              <w:divsChild>
                                <w:div w:id="843015925">
                                  <w:marLeft w:val="0"/>
                                  <w:marRight w:val="0"/>
                                  <w:marTop w:val="0"/>
                                  <w:marBottom w:val="0"/>
                                  <w:divBdr>
                                    <w:top w:val="none" w:sz="0" w:space="0" w:color="auto"/>
                                    <w:left w:val="none" w:sz="0" w:space="0" w:color="auto"/>
                                    <w:bottom w:val="none" w:sz="0" w:space="0" w:color="auto"/>
                                    <w:right w:val="none" w:sz="0" w:space="0" w:color="auto"/>
                                  </w:divBdr>
                                  <w:divsChild>
                                    <w:div w:id="1468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20855">
      <w:bodyDiv w:val="1"/>
      <w:marLeft w:val="0"/>
      <w:marRight w:val="0"/>
      <w:marTop w:val="0"/>
      <w:marBottom w:val="0"/>
      <w:divBdr>
        <w:top w:val="none" w:sz="0" w:space="0" w:color="auto"/>
        <w:left w:val="none" w:sz="0" w:space="0" w:color="auto"/>
        <w:bottom w:val="none" w:sz="0" w:space="0" w:color="auto"/>
        <w:right w:val="none" w:sz="0" w:space="0" w:color="auto"/>
      </w:divBdr>
      <w:divsChild>
        <w:div w:id="2095585078">
          <w:marLeft w:val="0"/>
          <w:marRight w:val="0"/>
          <w:marTop w:val="0"/>
          <w:marBottom w:val="0"/>
          <w:divBdr>
            <w:top w:val="none" w:sz="0" w:space="0" w:color="auto"/>
            <w:left w:val="none" w:sz="0" w:space="0" w:color="auto"/>
            <w:bottom w:val="none" w:sz="0" w:space="0" w:color="auto"/>
            <w:right w:val="none" w:sz="0" w:space="0" w:color="auto"/>
          </w:divBdr>
          <w:divsChild>
            <w:div w:id="1226716794">
              <w:marLeft w:val="0"/>
              <w:marRight w:val="0"/>
              <w:marTop w:val="0"/>
              <w:marBottom w:val="0"/>
              <w:divBdr>
                <w:top w:val="none" w:sz="0" w:space="0" w:color="auto"/>
                <w:left w:val="none" w:sz="0" w:space="0" w:color="auto"/>
                <w:bottom w:val="none" w:sz="0" w:space="0" w:color="auto"/>
                <w:right w:val="none" w:sz="0" w:space="0" w:color="auto"/>
              </w:divBdr>
              <w:divsChild>
                <w:div w:id="820345573">
                  <w:marLeft w:val="0"/>
                  <w:marRight w:val="0"/>
                  <w:marTop w:val="0"/>
                  <w:marBottom w:val="0"/>
                  <w:divBdr>
                    <w:top w:val="none" w:sz="0" w:space="0" w:color="auto"/>
                    <w:left w:val="none" w:sz="0" w:space="0" w:color="auto"/>
                    <w:bottom w:val="none" w:sz="0" w:space="0" w:color="auto"/>
                    <w:right w:val="none" w:sz="0" w:space="0" w:color="auto"/>
                  </w:divBdr>
                  <w:divsChild>
                    <w:div w:id="566184516">
                      <w:marLeft w:val="1"/>
                      <w:marRight w:val="1"/>
                      <w:marTop w:val="0"/>
                      <w:marBottom w:val="0"/>
                      <w:divBdr>
                        <w:top w:val="none" w:sz="0" w:space="0" w:color="auto"/>
                        <w:left w:val="none" w:sz="0" w:space="0" w:color="auto"/>
                        <w:bottom w:val="none" w:sz="0" w:space="0" w:color="auto"/>
                        <w:right w:val="none" w:sz="0" w:space="0" w:color="auto"/>
                      </w:divBdr>
                      <w:divsChild>
                        <w:div w:id="417675572">
                          <w:marLeft w:val="0"/>
                          <w:marRight w:val="0"/>
                          <w:marTop w:val="0"/>
                          <w:marBottom w:val="0"/>
                          <w:divBdr>
                            <w:top w:val="none" w:sz="0" w:space="0" w:color="auto"/>
                            <w:left w:val="none" w:sz="0" w:space="0" w:color="auto"/>
                            <w:bottom w:val="none" w:sz="0" w:space="0" w:color="auto"/>
                            <w:right w:val="none" w:sz="0" w:space="0" w:color="auto"/>
                          </w:divBdr>
                          <w:divsChild>
                            <w:div w:id="2100565454">
                              <w:marLeft w:val="0"/>
                              <w:marRight w:val="0"/>
                              <w:marTop w:val="0"/>
                              <w:marBottom w:val="360"/>
                              <w:divBdr>
                                <w:top w:val="none" w:sz="0" w:space="0" w:color="auto"/>
                                <w:left w:val="none" w:sz="0" w:space="0" w:color="auto"/>
                                <w:bottom w:val="none" w:sz="0" w:space="0" w:color="auto"/>
                                <w:right w:val="none" w:sz="0" w:space="0" w:color="auto"/>
                              </w:divBdr>
                              <w:divsChild>
                                <w:div w:id="64114453">
                                  <w:marLeft w:val="0"/>
                                  <w:marRight w:val="0"/>
                                  <w:marTop w:val="0"/>
                                  <w:marBottom w:val="0"/>
                                  <w:divBdr>
                                    <w:top w:val="none" w:sz="0" w:space="0" w:color="auto"/>
                                    <w:left w:val="none" w:sz="0" w:space="0" w:color="auto"/>
                                    <w:bottom w:val="none" w:sz="0" w:space="0" w:color="auto"/>
                                    <w:right w:val="none" w:sz="0" w:space="0" w:color="auto"/>
                                  </w:divBdr>
                                  <w:divsChild>
                                    <w:div w:id="338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48042">
      <w:bodyDiv w:val="1"/>
      <w:marLeft w:val="0"/>
      <w:marRight w:val="0"/>
      <w:marTop w:val="0"/>
      <w:marBottom w:val="0"/>
      <w:divBdr>
        <w:top w:val="none" w:sz="0" w:space="0" w:color="auto"/>
        <w:left w:val="none" w:sz="0" w:space="0" w:color="auto"/>
        <w:bottom w:val="none" w:sz="0" w:space="0" w:color="auto"/>
        <w:right w:val="none" w:sz="0" w:space="0" w:color="auto"/>
      </w:divBdr>
      <w:divsChild>
        <w:div w:id="1171604886">
          <w:marLeft w:val="0"/>
          <w:marRight w:val="0"/>
          <w:marTop w:val="0"/>
          <w:marBottom w:val="0"/>
          <w:divBdr>
            <w:top w:val="none" w:sz="0" w:space="0" w:color="auto"/>
            <w:left w:val="none" w:sz="0" w:space="0" w:color="auto"/>
            <w:bottom w:val="none" w:sz="0" w:space="0" w:color="auto"/>
            <w:right w:val="none" w:sz="0" w:space="0" w:color="auto"/>
          </w:divBdr>
          <w:divsChild>
            <w:div w:id="2111854446">
              <w:marLeft w:val="0"/>
              <w:marRight w:val="0"/>
              <w:marTop w:val="0"/>
              <w:marBottom w:val="0"/>
              <w:divBdr>
                <w:top w:val="none" w:sz="0" w:space="0" w:color="auto"/>
                <w:left w:val="none" w:sz="0" w:space="0" w:color="auto"/>
                <w:bottom w:val="none" w:sz="0" w:space="0" w:color="auto"/>
                <w:right w:val="none" w:sz="0" w:space="0" w:color="auto"/>
              </w:divBdr>
              <w:divsChild>
                <w:div w:id="513886293">
                  <w:marLeft w:val="0"/>
                  <w:marRight w:val="0"/>
                  <w:marTop w:val="0"/>
                  <w:marBottom w:val="0"/>
                  <w:divBdr>
                    <w:top w:val="none" w:sz="0" w:space="0" w:color="auto"/>
                    <w:left w:val="none" w:sz="0" w:space="0" w:color="auto"/>
                    <w:bottom w:val="none" w:sz="0" w:space="0" w:color="auto"/>
                    <w:right w:val="none" w:sz="0" w:space="0" w:color="auto"/>
                  </w:divBdr>
                  <w:divsChild>
                    <w:div w:id="1646158515">
                      <w:marLeft w:val="1"/>
                      <w:marRight w:val="1"/>
                      <w:marTop w:val="0"/>
                      <w:marBottom w:val="0"/>
                      <w:divBdr>
                        <w:top w:val="none" w:sz="0" w:space="0" w:color="auto"/>
                        <w:left w:val="none" w:sz="0" w:space="0" w:color="auto"/>
                        <w:bottom w:val="none" w:sz="0" w:space="0" w:color="auto"/>
                        <w:right w:val="none" w:sz="0" w:space="0" w:color="auto"/>
                      </w:divBdr>
                      <w:divsChild>
                        <w:div w:id="745416482">
                          <w:marLeft w:val="0"/>
                          <w:marRight w:val="0"/>
                          <w:marTop w:val="0"/>
                          <w:marBottom w:val="0"/>
                          <w:divBdr>
                            <w:top w:val="none" w:sz="0" w:space="0" w:color="auto"/>
                            <w:left w:val="none" w:sz="0" w:space="0" w:color="auto"/>
                            <w:bottom w:val="none" w:sz="0" w:space="0" w:color="auto"/>
                            <w:right w:val="none" w:sz="0" w:space="0" w:color="auto"/>
                          </w:divBdr>
                          <w:divsChild>
                            <w:div w:id="550654339">
                              <w:marLeft w:val="0"/>
                              <w:marRight w:val="0"/>
                              <w:marTop w:val="0"/>
                              <w:marBottom w:val="360"/>
                              <w:divBdr>
                                <w:top w:val="none" w:sz="0" w:space="0" w:color="auto"/>
                                <w:left w:val="none" w:sz="0" w:space="0" w:color="auto"/>
                                <w:bottom w:val="none" w:sz="0" w:space="0" w:color="auto"/>
                                <w:right w:val="none" w:sz="0" w:space="0" w:color="auto"/>
                              </w:divBdr>
                              <w:divsChild>
                                <w:div w:id="1580479432">
                                  <w:marLeft w:val="0"/>
                                  <w:marRight w:val="0"/>
                                  <w:marTop w:val="0"/>
                                  <w:marBottom w:val="0"/>
                                  <w:divBdr>
                                    <w:top w:val="none" w:sz="0" w:space="0" w:color="auto"/>
                                    <w:left w:val="none" w:sz="0" w:space="0" w:color="auto"/>
                                    <w:bottom w:val="none" w:sz="0" w:space="0" w:color="auto"/>
                                    <w:right w:val="none" w:sz="0" w:space="0" w:color="auto"/>
                                  </w:divBdr>
                                  <w:divsChild>
                                    <w:div w:id="946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3464">
      <w:bodyDiv w:val="1"/>
      <w:marLeft w:val="0"/>
      <w:marRight w:val="0"/>
      <w:marTop w:val="0"/>
      <w:marBottom w:val="0"/>
      <w:divBdr>
        <w:top w:val="none" w:sz="0" w:space="0" w:color="auto"/>
        <w:left w:val="none" w:sz="0" w:space="0" w:color="auto"/>
        <w:bottom w:val="none" w:sz="0" w:space="0" w:color="auto"/>
        <w:right w:val="none" w:sz="0" w:space="0" w:color="auto"/>
      </w:divBdr>
      <w:divsChild>
        <w:div w:id="174154713">
          <w:marLeft w:val="0"/>
          <w:marRight w:val="0"/>
          <w:marTop w:val="0"/>
          <w:marBottom w:val="0"/>
          <w:divBdr>
            <w:top w:val="none" w:sz="0" w:space="0" w:color="auto"/>
            <w:left w:val="none" w:sz="0" w:space="0" w:color="auto"/>
            <w:bottom w:val="none" w:sz="0" w:space="0" w:color="auto"/>
            <w:right w:val="none" w:sz="0" w:space="0" w:color="auto"/>
          </w:divBdr>
          <w:divsChild>
            <w:div w:id="1536384293">
              <w:marLeft w:val="0"/>
              <w:marRight w:val="0"/>
              <w:marTop w:val="0"/>
              <w:marBottom w:val="0"/>
              <w:divBdr>
                <w:top w:val="none" w:sz="0" w:space="0" w:color="auto"/>
                <w:left w:val="none" w:sz="0" w:space="0" w:color="auto"/>
                <w:bottom w:val="none" w:sz="0" w:space="0" w:color="auto"/>
                <w:right w:val="none" w:sz="0" w:space="0" w:color="auto"/>
              </w:divBdr>
              <w:divsChild>
                <w:div w:id="2146313137">
                  <w:marLeft w:val="0"/>
                  <w:marRight w:val="0"/>
                  <w:marTop w:val="0"/>
                  <w:marBottom w:val="0"/>
                  <w:divBdr>
                    <w:top w:val="none" w:sz="0" w:space="0" w:color="auto"/>
                    <w:left w:val="none" w:sz="0" w:space="0" w:color="auto"/>
                    <w:bottom w:val="none" w:sz="0" w:space="0" w:color="auto"/>
                    <w:right w:val="none" w:sz="0" w:space="0" w:color="auto"/>
                  </w:divBdr>
                  <w:divsChild>
                    <w:div w:id="760836704">
                      <w:marLeft w:val="1"/>
                      <w:marRight w:val="1"/>
                      <w:marTop w:val="0"/>
                      <w:marBottom w:val="0"/>
                      <w:divBdr>
                        <w:top w:val="none" w:sz="0" w:space="0" w:color="auto"/>
                        <w:left w:val="none" w:sz="0" w:space="0" w:color="auto"/>
                        <w:bottom w:val="none" w:sz="0" w:space="0" w:color="auto"/>
                        <w:right w:val="none" w:sz="0" w:space="0" w:color="auto"/>
                      </w:divBdr>
                      <w:divsChild>
                        <w:div w:id="1770005354">
                          <w:marLeft w:val="0"/>
                          <w:marRight w:val="0"/>
                          <w:marTop w:val="0"/>
                          <w:marBottom w:val="0"/>
                          <w:divBdr>
                            <w:top w:val="none" w:sz="0" w:space="0" w:color="auto"/>
                            <w:left w:val="none" w:sz="0" w:space="0" w:color="auto"/>
                            <w:bottom w:val="none" w:sz="0" w:space="0" w:color="auto"/>
                            <w:right w:val="none" w:sz="0" w:space="0" w:color="auto"/>
                          </w:divBdr>
                          <w:divsChild>
                            <w:div w:id="703136834">
                              <w:marLeft w:val="0"/>
                              <w:marRight w:val="0"/>
                              <w:marTop w:val="0"/>
                              <w:marBottom w:val="360"/>
                              <w:divBdr>
                                <w:top w:val="none" w:sz="0" w:space="0" w:color="auto"/>
                                <w:left w:val="none" w:sz="0" w:space="0" w:color="auto"/>
                                <w:bottom w:val="none" w:sz="0" w:space="0" w:color="auto"/>
                                <w:right w:val="none" w:sz="0" w:space="0" w:color="auto"/>
                              </w:divBdr>
                              <w:divsChild>
                                <w:div w:id="1249463683">
                                  <w:marLeft w:val="0"/>
                                  <w:marRight w:val="0"/>
                                  <w:marTop w:val="0"/>
                                  <w:marBottom w:val="0"/>
                                  <w:divBdr>
                                    <w:top w:val="none" w:sz="0" w:space="0" w:color="auto"/>
                                    <w:left w:val="none" w:sz="0" w:space="0" w:color="auto"/>
                                    <w:bottom w:val="none" w:sz="0" w:space="0" w:color="auto"/>
                                    <w:right w:val="none" w:sz="0" w:space="0" w:color="auto"/>
                                  </w:divBdr>
                                  <w:divsChild>
                                    <w:div w:id="1072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5170">
      <w:bodyDiv w:val="1"/>
      <w:marLeft w:val="0"/>
      <w:marRight w:val="0"/>
      <w:marTop w:val="0"/>
      <w:marBottom w:val="0"/>
      <w:divBdr>
        <w:top w:val="none" w:sz="0" w:space="0" w:color="auto"/>
        <w:left w:val="none" w:sz="0" w:space="0" w:color="auto"/>
        <w:bottom w:val="none" w:sz="0" w:space="0" w:color="auto"/>
        <w:right w:val="none" w:sz="0" w:space="0" w:color="auto"/>
      </w:divBdr>
      <w:divsChild>
        <w:div w:id="1336111019">
          <w:marLeft w:val="0"/>
          <w:marRight w:val="0"/>
          <w:marTop w:val="0"/>
          <w:marBottom w:val="0"/>
          <w:divBdr>
            <w:top w:val="none" w:sz="0" w:space="0" w:color="auto"/>
            <w:left w:val="none" w:sz="0" w:space="0" w:color="auto"/>
            <w:bottom w:val="none" w:sz="0" w:space="0" w:color="auto"/>
            <w:right w:val="none" w:sz="0" w:space="0" w:color="auto"/>
          </w:divBdr>
          <w:divsChild>
            <w:div w:id="376398396">
              <w:marLeft w:val="0"/>
              <w:marRight w:val="0"/>
              <w:marTop w:val="0"/>
              <w:marBottom w:val="0"/>
              <w:divBdr>
                <w:top w:val="none" w:sz="0" w:space="0" w:color="auto"/>
                <w:left w:val="none" w:sz="0" w:space="0" w:color="auto"/>
                <w:bottom w:val="none" w:sz="0" w:space="0" w:color="auto"/>
                <w:right w:val="none" w:sz="0" w:space="0" w:color="auto"/>
              </w:divBdr>
              <w:divsChild>
                <w:div w:id="159466912">
                  <w:marLeft w:val="0"/>
                  <w:marRight w:val="0"/>
                  <w:marTop w:val="0"/>
                  <w:marBottom w:val="0"/>
                  <w:divBdr>
                    <w:top w:val="none" w:sz="0" w:space="0" w:color="auto"/>
                    <w:left w:val="none" w:sz="0" w:space="0" w:color="auto"/>
                    <w:bottom w:val="none" w:sz="0" w:space="0" w:color="auto"/>
                    <w:right w:val="none" w:sz="0" w:space="0" w:color="auto"/>
                  </w:divBdr>
                  <w:divsChild>
                    <w:div w:id="1270120083">
                      <w:marLeft w:val="1"/>
                      <w:marRight w:val="1"/>
                      <w:marTop w:val="0"/>
                      <w:marBottom w:val="0"/>
                      <w:divBdr>
                        <w:top w:val="none" w:sz="0" w:space="0" w:color="auto"/>
                        <w:left w:val="none" w:sz="0" w:space="0" w:color="auto"/>
                        <w:bottom w:val="none" w:sz="0" w:space="0" w:color="auto"/>
                        <w:right w:val="none" w:sz="0" w:space="0" w:color="auto"/>
                      </w:divBdr>
                      <w:divsChild>
                        <w:div w:id="1624994526">
                          <w:marLeft w:val="0"/>
                          <w:marRight w:val="0"/>
                          <w:marTop w:val="0"/>
                          <w:marBottom w:val="0"/>
                          <w:divBdr>
                            <w:top w:val="none" w:sz="0" w:space="0" w:color="auto"/>
                            <w:left w:val="none" w:sz="0" w:space="0" w:color="auto"/>
                            <w:bottom w:val="none" w:sz="0" w:space="0" w:color="auto"/>
                            <w:right w:val="none" w:sz="0" w:space="0" w:color="auto"/>
                          </w:divBdr>
                          <w:divsChild>
                            <w:div w:id="18046081">
                              <w:marLeft w:val="0"/>
                              <w:marRight w:val="0"/>
                              <w:marTop w:val="0"/>
                              <w:marBottom w:val="360"/>
                              <w:divBdr>
                                <w:top w:val="none" w:sz="0" w:space="0" w:color="auto"/>
                                <w:left w:val="none" w:sz="0" w:space="0" w:color="auto"/>
                                <w:bottom w:val="none" w:sz="0" w:space="0" w:color="auto"/>
                                <w:right w:val="none" w:sz="0" w:space="0" w:color="auto"/>
                              </w:divBdr>
                              <w:divsChild>
                                <w:div w:id="1357078948">
                                  <w:marLeft w:val="0"/>
                                  <w:marRight w:val="0"/>
                                  <w:marTop w:val="0"/>
                                  <w:marBottom w:val="0"/>
                                  <w:divBdr>
                                    <w:top w:val="none" w:sz="0" w:space="0" w:color="auto"/>
                                    <w:left w:val="none" w:sz="0" w:space="0" w:color="auto"/>
                                    <w:bottom w:val="none" w:sz="0" w:space="0" w:color="auto"/>
                                    <w:right w:val="none" w:sz="0" w:space="0" w:color="auto"/>
                                  </w:divBdr>
                                  <w:divsChild>
                                    <w:div w:id="77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012338114">
      <w:bodyDiv w:val="1"/>
      <w:marLeft w:val="0"/>
      <w:marRight w:val="0"/>
      <w:marTop w:val="0"/>
      <w:marBottom w:val="0"/>
      <w:divBdr>
        <w:top w:val="none" w:sz="0" w:space="0" w:color="auto"/>
        <w:left w:val="none" w:sz="0" w:space="0" w:color="auto"/>
        <w:bottom w:val="none" w:sz="0" w:space="0" w:color="auto"/>
        <w:right w:val="none" w:sz="0" w:space="0" w:color="auto"/>
      </w:divBdr>
      <w:divsChild>
        <w:div w:id="1596471835">
          <w:marLeft w:val="0"/>
          <w:marRight w:val="0"/>
          <w:marTop w:val="0"/>
          <w:marBottom w:val="0"/>
          <w:divBdr>
            <w:top w:val="none" w:sz="0" w:space="0" w:color="auto"/>
            <w:left w:val="none" w:sz="0" w:space="0" w:color="auto"/>
            <w:bottom w:val="none" w:sz="0" w:space="0" w:color="auto"/>
            <w:right w:val="none" w:sz="0" w:space="0" w:color="auto"/>
          </w:divBdr>
          <w:divsChild>
            <w:div w:id="450907034">
              <w:marLeft w:val="0"/>
              <w:marRight w:val="0"/>
              <w:marTop w:val="0"/>
              <w:marBottom w:val="0"/>
              <w:divBdr>
                <w:top w:val="none" w:sz="0" w:space="0" w:color="auto"/>
                <w:left w:val="none" w:sz="0" w:space="0" w:color="auto"/>
                <w:bottom w:val="none" w:sz="0" w:space="0" w:color="auto"/>
                <w:right w:val="none" w:sz="0" w:space="0" w:color="auto"/>
              </w:divBdr>
              <w:divsChild>
                <w:div w:id="1958752707">
                  <w:marLeft w:val="0"/>
                  <w:marRight w:val="0"/>
                  <w:marTop w:val="0"/>
                  <w:marBottom w:val="0"/>
                  <w:divBdr>
                    <w:top w:val="none" w:sz="0" w:space="0" w:color="auto"/>
                    <w:left w:val="none" w:sz="0" w:space="0" w:color="auto"/>
                    <w:bottom w:val="none" w:sz="0" w:space="0" w:color="auto"/>
                    <w:right w:val="none" w:sz="0" w:space="0" w:color="auto"/>
                  </w:divBdr>
                  <w:divsChild>
                    <w:div w:id="1842113400">
                      <w:marLeft w:val="1"/>
                      <w:marRight w:val="1"/>
                      <w:marTop w:val="0"/>
                      <w:marBottom w:val="0"/>
                      <w:divBdr>
                        <w:top w:val="none" w:sz="0" w:space="0" w:color="auto"/>
                        <w:left w:val="none" w:sz="0" w:space="0" w:color="auto"/>
                        <w:bottom w:val="none" w:sz="0" w:space="0" w:color="auto"/>
                        <w:right w:val="none" w:sz="0" w:space="0" w:color="auto"/>
                      </w:divBdr>
                      <w:divsChild>
                        <w:div w:id="788627084">
                          <w:marLeft w:val="0"/>
                          <w:marRight w:val="0"/>
                          <w:marTop w:val="0"/>
                          <w:marBottom w:val="0"/>
                          <w:divBdr>
                            <w:top w:val="none" w:sz="0" w:space="0" w:color="auto"/>
                            <w:left w:val="none" w:sz="0" w:space="0" w:color="auto"/>
                            <w:bottom w:val="none" w:sz="0" w:space="0" w:color="auto"/>
                            <w:right w:val="none" w:sz="0" w:space="0" w:color="auto"/>
                          </w:divBdr>
                          <w:divsChild>
                            <w:div w:id="465516339">
                              <w:marLeft w:val="0"/>
                              <w:marRight w:val="0"/>
                              <w:marTop w:val="0"/>
                              <w:marBottom w:val="360"/>
                              <w:divBdr>
                                <w:top w:val="none" w:sz="0" w:space="0" w:color="auto"/>
                                <w:left w:val="none" w:sz="0" w:space="0" w:color="auto"/>
                                <w:bottom w:val="none" w:sz="0" w:space="0" w:color="auto"/>
                                <w:right w:val="none" w:sz="0" w:space="0" w:color="auto"/>
                              </w:divBdr>
                              <w:divsChild>
                                <w:div w:id="1043561324">
                                  <w:marLeft w:val="0"/>
                                  <w:marRight w:val="0"/>
                                  <w:marTop w:val="0"/>
                                  <w:marBottom w:val="0"/>
                                  <w:divBdr>
                                    <w:top w:val="none" w:sz="0" w:space="0" w:color="auto"/>
                                    <w:left w:val="none" w:sz="0" w:space="0" w:color="auto"/>
                                    <w:bottom w:val="none" w:sz="0" w:space="0" w:color="auto"/>
                                    <w:right w:val="none" w:sz="0" w:space="0" w:color="auto"/>
                                  </w:divBdr>
                                  <w:divsChild>
                                    <w:div w:id="15093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54567">
      <w:bodyDiv w:val="1"/>
      <w:marLeft w:val="0"/>
      <w:marRight w:val="0"/>
      <w:marTop w:val="0"/>
      <w:marBottom w:val="0"/>
      <w:divBdr>
        <w:top w:val="none" w:sz="0" w:space="0" w:color="auto"/>
        <w:left w:val="none" w:sz="0" w:space="0" w:color="auto"/>
        <w:bottom w:val="none" w:sz="0" w:space="0" w:color="auto"/>
        <w:right w:val="none" w:sz="0" w:space="0" w:color="auto"/>
      </w:divBdr>
      <w:divsChild>
        <w:div w:id="1247497213">
          <w:marLeft w:val="0"/>
          <w:marRight w:val="0"/>
          <w:marTop w:val="0"/>
          <w:marBottom w:val="0"/>
          <w:divBdr>
            <w:top w:val="none" w:sz="0" w:space="0" w:color="auto"/>
            <w:left w:val="none" w:sz="0" w:space="0" w:color="auto"/>
            <w:bottom w:val="none" w:sz="0" w:space="0" w:color="auto"/>
            <w:right w:val="none" w:sz="0" w:space="0" w:color="auto"/>
          </w:divBdr>
          <w:divsChild>
            <w:div w:id="915938675">
              <w:marLeft w:val="0"/>
              <w:marRight w:val="0"/>
              <w:marTop w:val="0"/>
              <w:marBottom w:val="0"/>
              <w:divBdr>
                <w:top w:val="none" w:sz="0" w:space="0" w:color="auto"/>
                <w:left w:val="none" w:sz="0" w:space="0" w:color="auto"/>
                <w:bottom w:val="none" w:sz="0" w:space="0" w:color="auto"/>
                <w:right w:val="none" w:sz="0" w:space="0" w:color="auto"/>
              </w:divBdr>
              <w:divsChild>
                <w:div w:id="1316883118">
                  <w:marLeft w:val="0"/>
                  <w:marRight w:val="0"/>
                  <w:marTop w:val="0"/>
                  <w:marBottom w:val="0"/>
                  <w:divBdr>
                    <w:top w:val="none" w:sz="0" w:space="0" w:color="auto"/>
                    <w:left w:val="none" w:sz="0" w:space="0" w:color="auto"/>
                    <w:bottom w:val="none" w:sz="0" w:space="0" w:color="auto"/>
                    <w:right w:val="none" w:sz="0" w:space="0" w:color="auto"/>
                  </w:divBdr>
                  <w:divsChild>
                    <w:div w:id="396317934">
                      <w:marLeft w:val="1"/>
                      <w:marRight w:val="1"/>
                      <w:marTop w:val="0"/>
                      <w:marBottom w:val="0"/>
                      <w:divBdr>
                        <w:top w:val="none" w:sz="0" w:space="0" w:color="auto"/>
                        <w:left w:val="none" w:sz="0" w:space="0" w:color="auto"/>
                        <w:bottom w:val="none" w:sz="0" w:space="0" w:color="auto"/>
                        <w:right w:val="none" w:sz="0" w:space="0" w:color="auto"/>
                      </w:divBdr>
                      <w:divsChild>
                        <w:div w:id="1268779243">
                          <w:marLeft w:val="0"/>
                          <w:marRight w:val="0"/>
                          <w:marTop w:val="0"/>
                          <w:marBottom w:val="0"/>
                          <w:divBdr>
                            <w:top w:val="none" w:sz="0" w:space="0" w:color="auto"/>
                            <w:left w:val="none" w:sz="0" w:space="0" w:color="auto"/>
                            <w:bottom w:val="none" w:sz="0" w:space="0" w:color="auto"/>
                            <w:right w:val="none" w:sz="0" w:space="0" w:color="auto"/>
                          </w:divBdr>
                          <w:divsChild>
                            <w:div w:id="195048964">
                              <w:marLeft w:val="0"/>
                              <w:marRight w:val="0"/>
                              <w:marTop w:val="0"/>
                              <w:marBottom w:val="360"/>
                              <w:divBdr>
                                <w:top w:val="none" w:sz="0" w:space="0" w:color="auto"/>
                                <w:left w:val="none" w:sz="0" w:space="0" w:color="auto"/>
                                <w:bottom w:val="none" w:sz="0" w:space="0" w:color="auto"/>
                                <w:right w:val="none" w:sz="0" w:space="0" w:color="auto"/>
                              </w:divBdr>
                              <w:divsChild>
                                <w:div w:id="701395839">
                                  <w:marLeft w:val="0"/>
                                  <w:marRight w:val="0"/>
                                  <w:marTop w:val="0"/>
                                  <w:marBottom w:val="0"/>
                                  <w:divBdr>
                                    <w:top w:val="none" w:sz="0" w:space="0" w:color="auto"/>
                                    <w:left w:val="none" w:sz="0" w:space="0" w:color="auto"/>
                                    <w:bottom w:val="none" w:sz="0" w:space="0" w:color="auto"/>
                                    <w:right w:val="none" w:sz="0" w:space="0" w:color="auto"/>
                                  </w:divBdr>
                                  <w:divsChild>
                                    <w:div w:id="1965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438">
      <w:bodyDiv w:val="1"/>
      <w:marLeft w:val="0"/>
      <w:marRight w:val="0"/>
      <w:marTop w:val="0"/>
      <w:marBottom w:val="0"/>
      <w:divBdr>
        <w:top w:val="none" w:sz="0" w:space="0" w:color="auto"/>
        <w:left w:val="none" w:sz="0" w:space="0" w:color="auto"/>
        <w:bottom w:val="none" w:sz="0" w:space="0" w:color="auto"/>
        <w:right w:val="none" w:sz="0" w:space="0" w:color="auto"/>
      </w:divBdr>
      <w:divsChild>
        <w:div w:id="1623489190">
          <w:marLeft w:val="0"/>
          <w:marRight w:val="0"/>
          <w:marTop w:val="0"/>
          <w:marBottom w:val="0"/>
          <w:divBdr>
            <w:top w:val="none" w:sz="0" w:space="0" w:color="auto"/>
            <w:left w:val="none" w:sz="0" w:space="0" w:color="auto"/>
            <w:bottom w:val="none" w:sz="0" w:space="0" w:color="auto"/>
            <w:right w:val="none" w:sz="0" w:space="0" w:color="auto"/>
          </w:divBdr>
          <w:divsChild>
            <w:div w:id="1196313357">
              <w:marLeft w:val="0"/>
              <w:marRight w:val="0"/>
              <w:marTop w:val="0"/>
              <w:marBottom w:val="0"/>
              <w:divBdr>
                <w:top w:val="none" w:sz="0" w:space="0" w:color="auto"/>
                <w:left w:val="none" w:sz="0" w:space="0" w:color="auto"/>
                <w:bottom w:val="none" w:sz="0" w:space="0" w:color="auto"/>
                <w:right w:val="none" w:sz="0" w:space="0" w:color="auto"/>
              </w:divBdr>
              <w:divsChild>
                <w:div w:id="1299216094">
                  <w:marLeft w:val="0"/>
                  <w:marRight w:val="0"/>
                  <w:marTop w:val="0"/>
                  <w:marBottom w:val="0"/>
                  <w:divBdr>
                    <w:top w:val="none" w:sz="0" w:space="0" w:color="auto"/>
                    <w:left w:val="none" w:sz="0" w:space="0" w:color="auto"/>
                    <w:bottom w:val="none" w:sz="0" w:space="0" w:color="auto"/>
                    <w:right w:val="none" w:sz="0" w:space="0" w:color="auto"/>
                  </w:divBdr>
                  <w:divsChild>
                    <w:div w:id="1416978611">
                      <w:marLeft w:val="1"/>
                      <w:marRight w:val="1"/>
                      <w:marTop w:val="0"/>
                      <w:marBottom w:val="0"/>
                      <w:divBdr>
                        <w:top w:val="none" w:sz="0" w:space="0" w:color="auto"/>
                        <w:left w:val="none" w:sz="0" w:space="0" w:color="auto"/>
                        <w:bottom w:val="none" w:sz="0" w:space="0" w:color="auto"/>
                        <w:right w:val="none" w:sz="0" w:space="0" w:color="auto"/>
                      </w:divBdr>
                      <w:divsChild>
                        <w:div w:id="985817384">
                          <w:marLeft w:val="0"/>
                          <w:marRight w:val="0"/>
                          <w:marTop w:val="0"/>
                          <w:marBottom w:val="0"/>
                          <w:divBdr>
                            <w:top w:val="none" w:sz="0" w:space="0" w:color="auto"/>
                            <w:left w:val="none" w:sz="0" w:space="0" w:color="auto"/>
                            <w:bottom w:val="none" w:sz="0" w:space="0" w:color="auto"/>
                            <w:right w:val="none" w:sz="0" w:space="0" w:color="auto"/>
                          </w:divBdr>
                          <w:divsChild>
                            <w:div w:id="1802765324">
                              <w:marLeft w:val="0"/>
                              <w:marRight w:val="0"/>
                              <w:marTop w:val="0"/>
                              <w:marBottom w:val="360"/>
                              <w:divBdr>
                                <w:top w:val="none" w:sz="0" w:space="0" w:color="auto"/>
                                <w:left w:val="none" w:sz="0" w:space="0" w:color="auto"/>
                                <w:bottom w:val="none" w:sz="0" w:space="0" w:color="auto"/>
                                <w:right w:val="none" w:sz="0" w:space="0" w:color="auto"/>
                              </w:divBdr>
                              <w:divsChild>
                                <w:div w:id="1820149577">
                                  <w:marLeft w:val="0"/>
                                  <w:marRight w:val="0"/>
                                  <w:marTop w:val="0"/>
                                  <w:marBottom w:val="0"/>
                                  <w:divBdr>
                                    <w:top w:val="none" w:sz="0" w:space="0" w:color="auto"/>
                                    <w:left w:val="none" w:sz="0" w:space="0" w:color="auto"/>
                                    <w:bottom w:val="none" w:sz="0" w:space="0" w:color="auto"/>
                                    <w:right w:val="none" w:sz="0" w:space="0" w:color="auto"/>
                                  </w:divBdr>
                                  <w:divsChild>
                                    <w:div w:id="9073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0940">
      <w:bodyDiv w:val="1"/>
      <w:marLeft w:val="0"/>
      <w:marRight w:val="0"/>
      <w:marTop w:val="0"/>
      <w:marBottom w:val="0"/>
      <w:divBdr>
        <w:top w:val="none" w:sz="0" w:space="0" w:color="auto"/>
        <w:left w:val="none" w:sz="0" w:space="0" w:color="auto"/>
        <w:bottom w:val="none" w:sz="0" w:space="0" w:color="auto"/>
        <w:right w:val="none" w:sz="0" w:space="0" w:color="auto"/>
      </w:divBdr>
      <w:divsChild>
        <w:div w:id="260839084">
          <w:marLeft w:val="0"/>
          <w:marRight w:val="0"/>
          <w:marTop w:val="0"/>
          <w:marBottom w:val="0"/>
          <w:divBdr>
            <w:top w:val="none" w:sz="0" w:space="0" w:color="auto"/>
            <w:left w:val="none" w:sz="0" w:space="0" w:color="auto"/>
            <w:bottom w:val="none" w:sz="0" w:space="0" w:color="auto"/>
            <w:right w:val="none" w:sz="0" w:space="0" w:color="auto"/>
          </w:divBdr>
          <w:divsChild>
            <w:div w:id="385837164">
              <w:marLeft w:val="0"/>
              <w:marRight w:val="0"/>
              <w:marTop w:val="0"/>
              <w:marBottom w:val="0"/>
              <w:divBdr>
                <w:top w:val="none" w:sz="0" w:space="0" w:color="auto"/>
                <w:left w:val="none" w:sz="0" w:space="0" w:color="auto"/>
                <w:bottom w:val="none" w:sz="0" w:space="0" w:color="auto"/>
                <w:right w:val="none" w:sz="0" w:space="0" w:color="auto"/>
              </w:divBdr>
              <w:divsChild>
                <w:div w:id="2106269812">
                  <w:marLeft w:val="0"/>
                  <w:marRight w:val="0"/>
                  <w:marTop w:val="0"/>
                  <w:marBottom w:val="0"/>
                  <w:divBdr>
                    <w:top w:val="none" w:sz="0" w:space="0" w:color="auto"/>
                    <w:left w:val="none" w:sz="0" w:space="0" w:color="auto"/>
                    <w:bottom w:val="none" w:sz="0" w:space="0" w:color="auto"/>
                    <w:right w:val="none" w:sz="0" w:space="0" w:color="auto"/>
                  </w:divBdr>
                  <w:divsChild>
                    <w:div w:id="969827178">
                      <w:marLeft w:val="1"/>
                      <w:marRight w:val="1"/>
                      <w:marTop w:val="0"/>
                      <w:marBottom w:val="0"/>
                      <w:divBdr>
                        <w:top w:val="none" w:sz="0" w:space="0" w:color="auto"/>
                        <w:left w:val="none" w:sz="0" w:space="0" w:color="auto"/>
                        <w:bottom w:val="none" w:sz="0" w:space="0" w:color="auto"/>
                        <w:right w:val="none" w:sz="0" w:space="0" w:color="auto"/>
                      </w:divBdr>
                      <w:divsChild>
                        <w:div w:id="1222906806">
                          <w:marLeft w:val="0"/>
                          <w:marRight w:val="0"/>
                          <w:marTop w:val="0"/>
                          <w:marBottom w:val="0"/>
                          <w:divBdr>
                            <w:top w:val="none" w:sz="0" w:space="0" w:color="auto"/>
                            <w:left w:val="none" w:sz="0" w:space="0" w:color="auto"/>
                            <w:bottom w:val="none" w:sz="0" w:space="0" w:color="auto"/>
                            <w:right w:val="none" w:sz="0" w:space="0" w:color="auto"/>
                          </w:divBdr>
                          <w:divsChild>
                            <w:div w:id="1967542676">
                              <w:marLeft w:val="0"/>
                              <w:marRight w:val="0"/>
                              <w:marTop w:val="0"/>
                              <w:marBottom w:val="360"/>
                              <w:divBdr>
                                <w:top w:val="none" w:sz="0" w:space="0" w:color="auto"/>
                                <w:left w:val="none" w:sz="0" w:space="0" w:color="auto"/>
                                <w:bottom w:val="none" w:sz="0" w:space="0" w:color="auto"/>
                                <w:right w:val="none" w:sz="0" w:space="0" w:color="auto"/>
                              </w:divBdr>
                              <w:divsChild>
                                <w:div w:id="827328949">
                                  <w:marLeft w:val="0"/>
                                  <w:marRight w:val="0"/>
                                  <w:marTop w:val="0"/>
                                  <w:marBottom w:val="0"/>
                                  <w:divBdr>
                                    <w:top w:val="none" w:sz="0" w:space="0" w:color="auto"/>
                                    <w:left w:val="none" w:sz="0" w:space="0" w:color="auto"/>
                                    <w:bottom w:val="none" w:sz="0" w:space="0" w:color="auto"/>
                                    <w:right w:val="none" w:sz="0" w:space="0" w:color="auto"/>
                                  </w:divBdr>
                                  <w:divsChild>
                                    <w:div w:id="904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0758">
      <w:bodyDiv w:val="1"/>
      <w:marLeft w:val="0"/>
      <w:marRight w:val="0"/>
      <w:marTop w:val="0"/>
      <w:marBottom w:val="0"/>
      <w:divBdr>
        <w:top w:val="none" w:sz="0" w:space="0" w:color="auto"/>
        <w:left w:val="none" w:sz="0" w:space="0" w:color="auto"/>
        <w:bottom w:val="none" w:sz="0" w:space="0" w:color="auto"/>
        <w:right w:val="none" w:sz="0" w:space="0" w:color="auto"/>
      </w:divBdr>
      <w:divsChild>
        <w:div w:id="36128482">
          <w:marLeft w:val="0"/>
          <w:marRight w:val="0"/>
          <w:marTop w:val="0"/>
          <w:marBottom w:val="0"/>
          <w:divBdr>
            <w:top w:val="none" w:sz="0" w:space="0" w:color="auto"/>
            <w:left w:val="none" w:sz="0" w:space="0" w:color="auto"/>
            <w:bottom w:val="none" w:sz="0" w:space="0" w:color="auto"/>
            <w:right w:val="none" w:sz="0" w:space="0" w:color="auto"/>
          </w:divBdr>
          <w:divsChild>
            <w:div w:id="1770200223">
              <w:marLeft w:val="0"/>
              <w:marRight w:val="0"/>
              <w:marTop w:val="0"/>
              <w:marBottom w:val="0"/>
              <w:divBdr>
                <w:top w:val="none" w:sz="0" w:space="0" w:color="auto"/>
                <w:left w:val="none" w:sz="0" w:space="0" w:color="auto"/>
                <w:bottom w:val="none" w:sz="0" w:space="0" w:color="auto"/>
                <w:right w:val="none" w:sz="0" w:space="0" w:color="auto"/>
              </w:divBdr>
              <w:divsChild>
                <w:div w:id="176043735">
                  <w:marLeft w:val="0"/>
                  <w:marRight w:val="0"/>
                  <w:marTop w:val="0"/>
                  <w:marBottom w:val="0"/>
                  <w:divBdr>
                    <w:top w:val="none" w:sz="0" w:space="0" w:color="auto"/>
                    <w:left w:val="none" w:sz="0" w:space="0" w:color="auto"/>
                    <w:bottom w:val="none" w:sz="0" w:space="0" w:color="auto"/>
                    <w:right w:val="none" w:sz="0" w:space="0" w:color="auto"/>
                  </w:divBdr>
                  <w:divsChild>
                    <w:div w:id="1096755553">
                      <w:marLeft w:val="1"/>
                      <w:marRight w:val="1"/>
                      <w:marTop w:val="0"/>
                      <w:marBottom w:val="0"/>
                      <w:divBdr>
                        <w:top w:val="none" w:sz="0" w:space="0" w:color="auto"/>
                        <w:left w:val="none" w:sz="0" w:space="0" w:color="auto"/>
                        <w:bottom w:val="none" w:sz="0" w:space="0" w:color="auto"/>
                        <w:right w:val="none" w:sz="0" w:space="0" w:color="auto"/>
                      </w:divBdr>
                      <w:divsChild>
                        <w:div w:id="838889321">
                          <w:marLeft w:val="0"/>
                          <w:marRight w:val="0"/>
                          <w:marTop w:val="0"/>
                          <w:marBottom w:val="0"/>
                          <w:divBdr>
                            <w:top w:val="none" w:sz="0" w:space="0" w:color="auto"/>
                            <w:left w:val="none" w:sz="0" w:space="0" w:color="auto"/>
                            <w:bottom w:val="none" w:sz="0" w:space="0" w:color="auto"/>
                            <w:right w:val="none" w:sz="0" w:space="0" w:color="auto"/>
                          </w:divBdr>
                          <w:divsChild>
                            <w:div w:id="1183208695">
                              <w:marLeft w:val="0"/>
                              <w:marRight w:val="0"/>
                              <w:marTop w:val="0"/>
                              <w:marBottom w:val="360"/>
                              <w:divBdr>
                                <w:top w:val="none" w:sz="0" w:space="0" w:color="auto"/>
                                <w:left w:val="none" w:sz="0" w:space="0" w:color="auto"/>
                                <w:bottom w:val="none" w:sz="0" w:space="0" w:color="auto"/>
                                <w:right w:val="none" w:sz="0" w:space="0" w:color="auto"/>
                              </w:divBdr>
                              <w:divsChild>
                                <w:div w:id="905846488">
                                  <w:marLeft w:val="0"/>
                                  <w:marRight w:val="0"/>
                                  <w:marTop w:val="0"/>
                                  <w:marBottom w:val="0"/>
                                  <w:divBdr>
                                    <w:top w:val="none" w:sz="0" w:space="0" w:color="auto"/>
                                    <w:left w:val="none" w:sz="0" w:space="0" w:color="auto"/>
                                    <w:bottom w:val="none" w:sz="0" w:space="0" w:color="auto"/>
                                    <w:right w:val="none" w:sz="0" w:space="0" w:color="auto"/>
                                  </w:divBdr>
                                  <w:divsChild>
                                    <w:div w:id="1385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 w:id="2010519221">
      <w:bodyDiv w:val="1"/>
      <w:marLeft w:val="0"/>
      <w:marRight w:val="0"/>
      <w:marTop w:val="0"/>
      <w:marBottom w:val="0"/>
      <w:divBdr>
        <w:top w:val="none" w:sz="0" w:space="0" w:color="auto"/>
        <w:left w:val="none" w:sz="0" w:space="0" w:color="auto"/>
        <w:bottom w:val="none" w:sz="0" w:space="0" w:color="auto"/>
        <w:right w:val="none" w:sz="0" w:space="0" w:color="auto"/>
      </w:divBdr>
      <w:divsChild>
        <w:div w:id="258298338">
          <w:marLeft w:val="0"/>
          <w:marRight w:val="0"/>
          <w:marTop w:val="0"/>
          <w:marBottom w:val="0"/>
          <w:divBdr>
            <w:top w:val="none" w:sz="0" w:space="0" w:color="auto"/>
            <w:left w:val="none" w:sz="0" w:space="0" w:color="auto"/>
            <w:bottom w:val="none" w:sz="0" w:space="0" w:color="auto"/>
            <w:right w:val="none" w:sz="0" w:space="0" w:color="auto"/>
          </w:divBdr>
          <w:divsChild>
            <w:div w:id="917835324">
              <w:marLeft w:val="0"/>
              <w:marRight w:val="0"/>
              <w:marTop w:val="0"/>
              <w:marBottom w:val="0"/>
              <w:divBdr>
                <w:top w:val="none" w:sz="0" w:space="0" w:color="auto"/>
                <w:left w:val="none" w:sz="0" w:space="0" w:color="auto"/>
                <w:bottom w:val="none" w:sz="0" w:space="0" w:color="auto"/>
                <w:right w:val="none" w:sz="0" w:space="0" w:color="auto"/>
              </w:divBdr>
              <w:divsChild>
                <w:div w:id="1223103254">
                  <w:marLeft w:val="0"/>
                  <w:marRight w:val="0"/>
                  <w:marTop w:val="0"/>
                  <w:marBottom w:val="0"/>
                  <w:divBdr>
                    <w:top w:val="none" w:sz="0" w:space="0" w:color="auto"/>
                    <w:left w:val="none" w:sz="0" w:space="0" w:color="auto"/>
                    <w:bottom w:val="none" w:sz="0" w:space="0" w:color="auto"/>
                    <w:right w:val="none" w:sz="0" w:space="0" w:color="auto"/>
                  </w:divBdr>
                  <w:divsChild>
                    <w:div w:id="108671732">
                      <w:marLeft w:val="1"/>
                      <w:marRight w:val="1"/>
                      <w:marTop w:val="0"/>
                      <w:marBottom w:val="0"/>
                      <w:divBdr>
                        <w:top w:val="none" w:sz="0" w:space="0" w:color="auto"/>
                        <w:left w:val="none" w:sz="0" w:space="0" w:color="auto"/>
                        <w:bottom w:val="none" w:sz="0" w:space="0" w:color="auto"/>
                        <w:right w:val="none" w:sz="0" w:space="0" w:color="auto"/>
                      </w:divBdr>
                      <w:divsChild>
                        <w:div w:id="1684554630">
                          <w:marLeft w:val="0"/>
                          <w:marRight w:val="0"/>
                          <w:marTop w:val="0"/>
                          <w:marBottom w:val="0"/>
                          <w:divBdr>
                            <w:top w:val="none" w:sz="0" w:space="0" w:color="auto"/>
                            <w:left w:val="none" w:sz="0" w:space="0" w:color="auto"/>
                            <w:bottom w:val="none" w:sz="0" w:space="0" w:color="auto"/>
                            <w:right w:val="none" w:sz="0" w:space="0" w:color="auto"/>
                          </w:divBdr>
                          <w:divsChild>
                            <w:div w:id="1214346271">
                              <w:marLeft w:val="0"/>
                              <w:marRight w:val="0"/>
                              <w:marTop w:val="0"/>
                              <w:marBottom w:val="360"/>
                              <w:divBdr>
                                <w:top w:val="none" w:sz="0" w:space="0" w:color="auto"/>
                                <w:left w:val="none" w:sz="0" w:space="0" w:color="auto"/>
                                <w:bottom w:val="none" w:sz="0" w:space="0" w:color="auto"/>
                                <w:right w:val="none" w:sz="0" w:space="0" w:color="auto"/>
                              </w:divBdr>
                              <w:divsChild>
                                <w:div w:id="1101561413">
                                  <w:marLeft w:val="0"/>
                                  <w:marRight w:val="0"/>
                                  <w:marTop w:val="0"/>
                                  <w:marBottom w:val="0"/>
                                  <w:divBdr>
                                    <w:top w:val="none" w:sz="0" w:space="0" w:color="auto"/>
                                    <w:left w:val="none" w:sz="0" w:space="0" w:color="auto"/>
                                    <w:bottom w:val="none" w:sz="0" w:space="0" w:color="auto"/>
                                    <w:right w:val="none" w:sz="0" w:space="0" w:color="auto"/>
                                  </w:divBdr>
                                  <w:divsChild>
                                    <w:div w:id="1066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F93B-B771-4ED8-B4D6-1A0BF8E5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4386</Words>
  <Characters>29036</Characters>
  <Application>Microsoft Office Word</Application>
  <DocSecurity>0</DocSecurity>
  <Lines>592</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2016-11-29T16:21:00Z</cp:lastPrinted>
  <dcterms:created xsi:type="dcterms:W3CDTF">2017-03-06T10:25:00Z</dcterms:created>
  <dcterms:modified xsi:type="dcterms:W3CDTF">2017-03-06T16:35:00Z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