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01C83588AC1407EB132ECC061730105" style="width:450.75pt;height:408.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Bdr>
          <w:top w:val="nil"/>
          <w:left w:val="nil"/>
          <w:bottom w:val="nil"/>
          <w:right w:val="nil"/>
          <w:between w:val="nil"/>
          <w:bar w:val="nil"/>
        </w:pBdr>
        <w:spacing w:before="0" w:after="240"/>
        <w:rPr>
          <w:rFonts w:eastAsia="Arial Unicode MS"/>
          <w:noProof/>
        </w:rPr>
      </w:pPr>
      <w:r>
        <w:rPr>
          <w:noProof/>
        </w:rPr>
        <w:t>Η Συνθήκη της Λισαβόνας τροποποίησε ουσιωδώς τη δομή όσον αφορά τις αρμοδιότητες που μπορούν να ανατεθούν στην Επιτροπή από τον νομοθέτη. Διακρίνει σαφώς μεταξύ, αφενός, πράξεων οιονεί νομοθετικής φύσεως και, αφετέρου, πράξεων που θεσπίζονται προς εκτέλεση των διατάξεων της βασικής πράξης. Παρέχει επίσης ένα εντελώς διαφορετικό νομικό πλαίσιο για κάθε τύπο πράξης.</w:t>
      </w:r>
    </w:p>
    <w:p>
      <w:pPr>
        <w:pBdr>
          <w:top w:val="nil"/>
          <w:left w:val="nil"/>
          <w:bottom w:val="nil"/>
          <w:right w:val="nil"/>
          <w:between w:val="nil"/>
          <w:bar w:val="nil"/>
        </w:pBdr>
        <w:spacing w:before="0" w:after="240"/>
        <w:rPr>
          <w:rFonts w:eastAsia="Arial Unicode MS"/>
          <w:noProof/>
        </w:rPr>
      </w:pPr>
      <w:r>
        <w:rPr>
          <w:noProof/>
        </w:rPr>
        <w:t>Αντίστοιχες νομικές βάσεις είναι τα άρθρα 290 και 291 της Συνθήκης για τη λειτουργία της Ευρωπαϊκής Ένωσης (εφεξής «ΣΛΕΕ») που θεσπίστηκαν με τη Συνθήκη της Λισαβόνας, η οποία άρχισε να ισχύει την 1η Δεκεμβρίου 2009</w:t>
      </w:r>
      <w:r>
        <w:rPr>
          <w:rStyle w:val="FootnoteReference"/>
          <w:noProof/>
        </w:rPr>
        <w:footnoteReference w:id="1"/>
      </w:r>
      <w:r>
        <w:rPr>
          <w:noProof/>
        </w:rPr>
        <w:t xml:space="preserve">. Με τα εν λόγω άρθρα τροποποιούνται ουσιωδώς οι μέχρι τούδε γνωστές ως «διαδικασίες επιτροπολογίας». </w:t>
      </w:r>
    </w:p>
    <w:p>
      <w:pPr>
        <w:pBdr>
          <w:top w:val="nil"/>
          <w:left w:val="nil"/>
          <w:bottom w:val="nil"/>
          <w:right w:val="nil"/>
          <w:between w:val="nil"/>
          <w:bar w:val="nil"/>
        </w:pBdr>
        <w:spacing w:before="0" w:after="240"/>
        <w:rPr>
          <w:rFonts w:eastAsia="Arial Unicode MS"/>
          <w:noProof/>
        </w:rPr>
      </w:pPr>
      <w:r>
        <w:rPr>
          <w:noProof/>
        </w:rPr>
        <w:t>Ο ορισμός των κατ’ εξουσιοδότηση πράξεων, όπως απορρέει από την παράγραφο 1 του άρθρου 290, μοιάζει πολύ, από πλευράς διατύπωσης, με τον ορισμό των πράξεων οι οποίες, σύμφωνα με την απόφαση 1999/468/ΕΚ</w:t>
      </w:r>
      <w:r>
        <w:rPr>
          <w:rStyle w:val="FootnoteReference"/>
          <w:noProof/>
        </w:rPr>
        <w:footnoteReference w:id="2"/>
      </w:r>
      <w:r>
        <w:rPr>
          <w:noProof/>
        </w:rPr>
        <w:t>, όπως τροποποιήθηκε με την απόφαση 2006/512/ΕΚ του Συμβουλίου («απόφαση επιτροπολογίας»), υπάγονται στην κανονιστική διαδικασία με έλεγχο (ΚΔΕ) που προβλέπεται στο άρθρο 5α της εν λόγω απόφασης. Πράγματι, και στις δύο περιπτώσεις, οι εν λόγω πράξεις είναι γενικής ισχύος και συμπληρώνουν ή τροποποιούν ορισμένα μη ουσιώδη στοιχεία της νομοθετικής πράξης.</w:t>
      </w:r>
    </w:p>
    <w:p>
      <w:pPr>
        <w:pBdr>
          <w:top w:val="nil"/>
          <w:left w:val="nil"/>
          <w:bottom w:val="nil"/>
          <w:right w:val="nil"/>
          <w:between w:val="nil"/>
          <w:bar w:val="nil"/>
        </w:pBdr>
        <w:spacing w:before="0" w:after="240"/>
        <w:rPr>
          <w:rFonts w:eastAsia="Arial Unicode MS"/>
          <w:noProof/>
        </w:rPr>
      </w:pPr>
      <w:r>
        <w:rPr>
          <w:noProof/>
        </w:rPr>
        <w:t>Για τον λόγο αυτόν, η αναθεώρηση της απόφασης επιτροπολογίας με τον κανονισμό 182/2011</w:t>
      </w:r>
      <w:r>
        <w:rPr>
          <w:rStyle w:val="FootnoteReference"/>
          <w:noProof/>
        </w:rPr>
        <w:footnoteReference w:id="3"/>
      </w:r>
      <w:r>
        <w:rPr>
          <w:noProof/>
        </w:rPr>
        <w:t xml:space="preserve"> («κανονισμός επιτροπολογίας»), που εκδόθηκε βάσει του άρθρου 291 παράγραφος 3 ΣΛΕΕ περί εκτελεστικών αρμοδιοτήτων, δεν περιέλαβε το άρθρο 5α της απόφασης επιτροπολογίας. Ως εκ τούτου, το άρθρο 5α με το οποίο θεσπίζεται η ΚΔΕ έπρεπε να διατηρηθεί σε ισχύ προσωρινώς για τους σκοπούς των ισχυουσών βασικών πράξεων που παραπέμπουν στο εν λόγω άρθρο. </w:t>
      </w:r>
    </w:p>
    <w:p>
      <w:pPr>
        <w:pBdr>
          <w:top w:val="nil"/>
          <w:left w:val="nil"/>
          <w:bottom w:val="nil"/>
          <w:right w:val="nil"/>
          <w:between w:val="nil"/>
          <w:bar w:val="nil"/>
        </w:pBdr>
        <w:spacing w:before="0" w:after="240"/>
        <w:rPr>
          <w:rFonts w:eastAsia="Arial Unicode MS"/>
          <w:noProof/>
        </w:rPr>
      </w:pPr>
      <w:r>
        <w:rPr>
          <w:noProof/>
        </w:rPr>
        <w:t xml:space="preserve">Κατά συνέπεια, η ΚΔΕ εξακολουθεί να εμφανίζεται στις 168 υπάρχουσες βασικές πράξεις που καλύπτονται από την παρούσα πρόταση και εξακολουθεί να εφαρμόζεται στις εν λόγω πράξεις (σύμφωνα με το άρθρο 5α της απόφασης επιτροπολογίας), έως ότου οι πράξεις αυτές τροποποιηθούν και προσαρμοσθούν ρητώς στη Συνθήκη της Λισαβόνας. </w:t>
      </w:r>
    </w:p>
    <w:p>
      <w:pPr>
        <w:pBdr>
          <w:top w:val="nil"/>
          <w:left w:val="nil"/>
          <w:bottom w:val="nil"/>
          <w:right w:val="nil"/>
          <w:between w:val="nil"/>
          <w:bar w:val="nil"/>
        </w:pBdr>
        <w:spacing w:before="0" w:after="240"/>
        <w:rPr>
          <w:rFonts w:eastAsia="Arial Unicode MS"/>
          <w:noProof/>
        </w:rPr>
      </w:pPr>
      <w:r>
        <w:rPr>
          <w:noProof/>
        </w:rPr>
        <w:t>Κατά τον χρόνο εκδόσεως του κανονισμού 182/2011, η Ευρωπαϊκή Επιτροπή ανέλαβε τη δέσμευση να επανεξετάσει τις διατάξεις που αφορούν τη διαδικασία αυτή, ώστε να γίνει σε εύθετο χρόνο η προσαρμογή τους σύμφωνα με τα κριτήρια που ορίζονται στη Συνθήκη για τη λειτουργία της Ευρωπαϊκής Ένωσης</w:t>
      </w:r>
      <w:r>
        <w:rPr>
          <w:rStyle w:val="FootnoteReference"/>
          <w:noProof/>
        </w:rPr>
        <w:footnoteReference w:id="4"/>
      </w:r>
      <w:r>
        <w:rPr>
          <w:noProof/>
        </w:rPr>
        <w:t>. Σύμφωνα με την ως άνω δέσμευσή της, η Επιτροπή υπέβαλε το 2013 τρεις νομοθετικές προτάσεις οριζόντιας εναρμόνισης (Omnibus I, II και III)</w:t>
      </w:r>
      <w:r>
        <w:rPr>
          <w:rStyle w:val="FootnoteReference"/>
          <w:noProof/>
        </w:rPr>
        <w:footnoteReference w:id="5"/>
      </w:r>
      <w:r>
        <w:rPr>
          <w:noProof/>
        </w:rPr>
        <w:t xml:space="preserve">. </w:t>
      </w:r>
    </w:p>
    <w:p>
      <w:pPr>
        <w:pBdr>
          <w:top w:val="nil"/>
          <w:left w:val="nil"/>
          <w:bottom w:val="nil"/>
          <w:right w:val="nil"/>
          <w:between w:val="nil"/>
          <w:bar w:val="nil"/>
        </w:pBdr>
        <w:spacing w:before="0" w:after="240"/>
        <w:rPr>
          <w:rFonts w:eastAsia="Arial Unicode MS"/>
          <w:noProof/>
        </w:rPr>
      </w:pPr>
      <w:r>
        <w:rPr>
          <w:noProof/>
        </w:rPr>
        <w:t>Το Ευρωπαϊκό Κοινοβούλιο εξέδωσε νομοθετικά ψηφίσματα για τις προτάσεις αυτές στις 25 Φεβρουαρίου 2014</w:t>
      </w:r>
      <w:r>
        <w:rPr>
          <w:rStyle w:val="FootnoteReference"/>
          <w:noProof/>
        </w:rPr>
        <w:footnoteReference w:id="6"/>
      </w:r>
      <w:r>
        <w:rPr>
          <w:noProof/>
        </w:rPr>
        <w:t>, προτείνοντας σειρά τροπολογιών για τις δέσμες Omnibus I και III, συμφωνώντας όμως σε γενικές γραμμές με τις προτάσεις της Επιτροπής. Το Συμβούλιο, αντιθέτως, δεν υποστήριξε τις προτάσεις της Επιτροπής, ιδίως διότι η προσέγγιση να προβλεφθεί αυτόματη εναρμόνιση από την ΚΔΕ σε κατ’ εξουσιοδότηση πράξεις απορρίφθηκε ελλείψει ισχυρότερων εγγυήσεων ότι θα υπάρχει συστηματική διαβούλευση με εμπειρογνώμονες των κρατών μελών κατά την προπαρασκευή των κατ’ εξουσιοδότηση πράξεων.</w:t>
      </w:r>
    </w:p>
    <w:p>
      <w:pPr>
        <w:pBdr>
          <w:top w:val="nil"/>
          <w:left w:val="nil"/>
          <w:bottom w:val="nil"/>
          <w:right w:val="nil"/>
          <w:between w:val="nil"/>
          <w:bar w:val="nil"/>
        </w:pBdr>
        <w:spacing w:before="0" w:after="240"/>
        <w:rPr>
          <w:rFonts w:eastAsia="Arial Unicode MS"/>
          <w:noProof/>
        </w:rPr>
      </w:pPr>
      <w:r>
        <w:rPr>
          <w:noProof/>
        </w:rPr>
        <w:t>Λόγω στασιμότητας των διοργανικών διαπραγματεύσεων επί των ζητημάτων αυτών, η Επιτροπή, όπως ανακοίνωσε στο πρόγραμμα εργασίας της για το 2015</w:t>
      </w:r>
      <w:r>
        <w:rPr>
          <w:rStyle w:val="FootnoteReference"/>
          <w:noProof/>
        </w:rPr>
        <w:footnoteReference w:id="7"/>
      </w:r>
      <w:r>
        <w:rPr>
          <w:noProof/>
        </w:rPr>
        <w:t>, απέσυρε τις προτάσεις</w:t>
      </w:r>
      <w:r>
        <w:rPr>
          <w:rStyle w:val="FootnoteReference"/>
          <w:noProof/>
        </w:rPr>
        <w:footnoteReference w:id="8"/>
      </w:r>
      <w:r>
        <w:rPr>
          <w:noProof/>
        </w:rPr>
        <w:t xml:space="preserve">. </w:t>
      </w:r>
    </w:p>
    <w:p>
      <w:pPr>
        <w:pBdr>
          <w:top w:val="nil"/>
          <w:left w:val="nil"/>
          <w:bottom w:val="nil"/>
          <w:right w:val="nil"/>
          <w:between w:val="nil"/>
          <w:bar w:val="nil"/>
        </w:pBdr>
        <w:spacing w:before="0" w:after="240"/>
        <w:rPr>
          <w:rFonts w:eastAsia="Arial Unicode MS"/>
          <w:noProof/>
        </w:rPr>
      </w:pPr>
      <w:r>
        <w:rPr>
          <w:noProof/>
        </w:rPr>
        <w:t>Το ζήτημα της εναρμόνισης εξετάστηκε και πάλι κατά τις συζητήσεις σχετικά με την αναθεώρηση της διοργανικής συμφωνίας για τη βελτίωση του νομοθετικού έργου</w:t>
      </w:r>
      <w:r>
        <w:rPr>
          <w:rStyle w:val="FootnoteReference"/>
          <w:noProof/>
        </w:rPr>
        <w:footnoteReference w:id="9"/>
      </w:r>
      <w:r>
        <w:rPr>
          <w:noProof/>
        </w:rPr>
        <w:t xml:space="preserve">. Όλα τα θεσμικά όργανα αναγνώρισαν την ανάγκη εναρμόνισης και η Επιτροπή ανέλαβε τη δέσμευση να υποβάλει, έως το τέλος του 2016, νέα πρόταση για την εναρμόνιση των λοιπών νομοθετικών πράξεων που περιέχουν παραπομπές στην κανονιστική διαδικασία με έλεγχο. Η παρούσα πρόταση ανταποκρίνεται στη δέσμευση αυτή. </w:t>
      </w:r>
    </w:p>
    <w:p>
      <w:pPr>
        <w:pBdr>
          <w:top w:val="nil"/>
          <w:left w:val="nil"/>
          <w:bottom w:val="nil"/>
          <w:right w:val="nil"/>
          <w:between w:val="nil"/>
          <w:bar w:val="nil"/>
        </w:pBdr>
        <w:spacing w:before="0" w:after="240"/>
        <w:rPr>
          <w:rFonts w:eastAsia="Arial Unicode MS"/>
          <w:noProof/>
        </w:rPr>
      </w:pPr>
      <w:r>
        <w:rPr>
          <w:noProof/>
        </w:rPr>
        <w:t xml:space="preserve">Ταυτόχρονα, η διοργανική συμφωνία και η, συνημμένη σε αυτήν, κοινή αντίληψη για τις κατ' εξουσιοδότηση πράξεις βελτιώνουν επίσης το πλαίσιο για τις κατ’ εξουσιοδότηση πράξεις και με τον τρόπο αυτό ανταποκρίνονται στη βασική ανησυχία του Συμβουλίου, δηλαδή τη διαβούλευση με τους εμπειρογνώμονες των κρατών μελών, που εμπόδισε συχνά την αποδοχή των κατ’ εξουσιοδότηση πράξεων εκ μέρους του Συμβουλίου. Η συμφωνία προβλέπει πλέον σαφή δέσμευση για συστηματική διαβούλευση με εμπειρογνώμονες από τα κράτη μέλη κατά την προπαρασκευή των κατ’ εξουσιοδότηση πράξεων, συμπεριλαμβανομένων των διαβουλεύσεων σχετικά με το σχέδιο του κειμένου, ικανοποιώντας έτσι μία βασική προϋπόθεση για μια επιτυχή δεύτερη απόπειρα εναρμόνισης των παλαιών διατάξεων ΚΔΕ με τη Συνθήκη της Λισαβόνας. Η δέσμευση αυτή περιλαμβάνεται τώρα ρητώς στις νέες τυποποιημένες διατάξεις που πρέπει να χρησιμοποιούνται κατά τη σύνταξη των εξουσιοδοτήσεων προς την Επιτροπή. Η συμφωνία αναγνωρίζει επίσης σαφώς τον σημαντικό ρόλο της έγκαιρης συνεργασίας και ανταλλαγής απόψεων με το Ευρωπαϊκό Κοινοβούλιο σχετικά με τις κατ’ εξουσιοδότηση πράξεις. Επιβεβαιώνει ότι το Ευρωπαϊκό Κοινοβούλιο πρέπει να λαμβάνει όλα τα έγγραφα συγχρόνως με τους εμπειρογνώμονες των κρατών μελών, συμπεριλαμβανομένου των σχεδίων κατ’ εξουσιοδότηση πράξεων, και προβλέπει συστηματική και πιο εύκολη πρόσβαση των εμπειρογνωμόνων του Ευρωπαϊκού Κοινοβουλίου στις συνεδριάσεις των ομάδων εμπειρογνωμόνων της Επιτροπής που επεξεργάζονται τις κατ’ εξουσιοδότηση πράξεις. Τέλος, η συμφωνία προβλέπει ότι η Επιτροπή μπορεί να προσκαλείται σε συνεδριάσεις του Ευρωπαϊκού Κοινοβουλίου (ή του Συμβουλίου), προκειμένου να υπάρξει περαιτέρω ανταλλαγή απόψεων κατά την επεξεργασία των κατ’ εξουσιοδότηση πράξεων.  </w:t>
      </w:r>
    </w:p>
    <w:p>
      <w:pPr>
        <w:pStyle w:val="ManualHeading2"/>
        <w:rPr>
          <w:rFonts w:eastAsia="Arial Unicode MS"/>
          <w:noProof/>
          <w:color w:val="000000"/>
          <w:u w:color="000000"/>
          <w:bdr w:val="nil"/>
        </w:rPr>
      </w:pPr>
      <w:r>
        <w:rPr>
          <w:noProof/>
          <w:color w:val="000000"/>
          <w:u w:color="000000"/>
          <w:bdr w:val="nil"/>
        </w:rPr>
        <w:t xml:space="preserve">2. </w:t>
      </w:r>
      <w:r>
        <w:rPr>
          <w:noProof/>
        </w:rPr>
        <w:tab/>
      </w:r>
      <w:r>
        <w:rPr>
          <w:noProof/>
          <w:color w:val="000000"/>
          <w:u w:color="000000"/>
          <w:bdr w:val="nil"/>
        </w:rPr>
        <w:t xml:space="preserve">ΜΕΘΟΔΟΣ ΕΝΑΡΜΟΝΙΣΗΣ ΚΑΙ ΚΥΡΙΑ ΣΤΟΙΧΕΙΑ ΤΗΣ ΠΡΟΤΑΣΗΣ </w:t>
      </w:r>
    </w:p>
    <w:p>
      <w:pPr>
        <w:pBdr>
          <w:top w:val="nil"/>
          <w:left w:val="nil"/>
          <w:bottom w:val="nil"/>
          <w:right w:val="nil"/>
          <w:between w:val="nil"/>
          <w:bar w:val="nil"/>
        </w:pBdr>
        <w:spacing w:before="0" w:after="240"/>
        <w:rPr>
          <w:rFonts w:eastAsia="Arial Unicode MS"/>
          <w:noProof/>
        </w:rPr>
      </w:pPr>
      <w:r>
        <w:rPr>
          <w:noProof/>
        </w:rPr>
        <w:t xml:space="preserve">Το σημείο εκκίνησης για τον καθορισμό του </w:t>
      </w:r>
      <w:r>
        <w:rPr>
          <w:b/>
          <w:noProof/>
        </w:rPr>
        <w:t>πεδίου εφαρμογής</w:t>
      </w:r>
      <w:r>
        <w:rPr>
          <w:noProof/>
        </w:rPr>
        <w:t xml:space="preserve"> της παρούσας πρότασης είναι οι νομικές πράξεις που καλύπτονται από τις τρεις νομοθετικές προτάσεις εναρμόνισης που ενέκρινε η Επιτροπή το 2013. Πράξεις για τις οποίες έχουν γίνει εν τω μεταξύ μεμονωμένες νομοθετικές προτάσεις δεν περιλαμβάνονται στην παρούσα πρόταση</w:t>
      </w:r>
      <w:r>
        <w:rPr>
          <w:rStyle w:val="FootnoteReference"/>
          <w:noProof/>
        </w:rPr>
        <w:footnoteReference w:id="10"/>
      </w:r>
      <w:r>
        <w:rPr>
          <w:noProof/>
        </w:rPr>
        <w:t xml:space="preserve">. Σε μία περίπτωση, έχει προστεθεί στην παρούσα πρόταση μία πράξη η οποία δεν καλυπτόταν από την πρόταση του 2013, αλλά για την οποία απαιτείται εναρμόνιση. </w:t>
      </w:r>
    </w:p>
    <w:p>
      <w:pPr>
        <w:pBdr>
          <w:top w:val="nil"/>
          <w:left w:val="nil"/>
          <w:bottom w:val="nil"/>
          <w:right w:val="nil"/>
          <w:between w:val="nil"/>
          <w:bar w:val="nil"/>
        </w:pBdr>
        <w:spacing w:before="0" w:after="240"/>
        <w:rPr>
          <w:rFonts w:eastAsia="Arial Unicode MS"/>
          <w:noProof/>
        </w:rPr>
      </w:pPr>
      <w:r>
        <w:rPr>
          <w:noProof/>
        </w:rPr>
        <w:t>Η παρούσα πρόταση δεν αφορά οκτώ νομοθετικές πράξεις στον τομέα των φυτοφαρμάκων και των τροφίμων</w:t>
      </w:r>
      <w:r>
        <w:rPr>
          <w:rStyle w:val="FootnoteReference"/>
          <w:noProof/>
        </w:rPr>
        <w:footnoteReference w:id="11"/>
      </w:r>
      <w:r>
        <w:rPr>
          <w:noProof/>
        </w:rPr>
        <w:t>. Όπως είναι σήμερα διαρθρωμένες αυτές οι βασικές πράξεις, η εναρμόνιση με τις κατ’ εξουσιοδότηση πράξεις, όπως είχε προτείνει η Επιτροπή το 2013, θα ήταν η ορθή προσέγγιση. Η Επιτροπή, ωστόσο, στο στάδιο αυτό, δεν περιέλαβε τις εν λόγω πράξεις στην παρούσα πρόταση, διότι εξετάζει αν υπάρχει καταλληλότερος τρόπος διάρθρωσης των εν λόγω πράξεων όσον αφορά τις ατομικές άδειες/ τον καθορισμό τιμών/ την απαρίθμηση συγκεκριμένων ουσιών με βάση τα ειδικά κριτήρια που ορίζονται στην πράξη, λαμβάνοντας υπόψη τη βελτιωμένη προσέγγιση που υιοθέτησαν πρόσφατα οι συννομοθέτες στο πλαίσιο της νομοθεσίας για τα νέα τρόφιμα</w:t>
      </w:r>
      <w:r>
        <w:rPr>
          <w:rStyle w:val="FootnoteReference"/>
          <w:noProof/>
        </w:rPr>
        <w:footnoteReference w:id="12"/>
      </w:r>
      <w:r>
        <w:rPr>
          <w:noProof/>
        </w:rPr>
        <w:t xml:space="preserve"> και την εν εξελίξει αναθεώρηση REFIT των βασικών πράξεων για τα φυτοφάρμακα, καθώς και τις εκκρεμείς εργασίες αποτίμησης της δημοκρατικής νομιμοποίησης των υφιστάμενων διαδικασιών για την έκδοση ορισμένων δευτερευουσών πράξεων (όπως ανακοινώθηκε στο πρόγραμμα εργασίας της Επιτροπής για το 2017). </w:t>
      </w:r>
    </w:p>
    <w:p>
      <w:pPr>
        <w:pBdr>
          <w:top w:val="nil"/>
          <w:left w:val="nil"/>
          <w:bottom w:val="nil"/>
          <w:right w:val="nil"/>
          <w:between w:val="nil"/>
          <w:bar w:val="nil"/>
        </w:pBdr>
        <w:spacing w:before="0" w:after="240"/>
        <w:rPr>
          <w:rFonts w:eastAsia="Arial Unicode MS"/>
          <w:noProof/>
        </w:rPr>
      </w:pPr>
      <w:r>
        <w:rPr>
          <w:noProof/>
        </w:rPr>
        <w:t xml:space="preserve">Στις προτάσεις εναρμόνισης του 2013, η </w:t>
      </w:r>
      <w:r>
        <w:rPr>
          <w:b/>
          <w:noProof/>
        </w:rPr>
        <w:t>νομοθετική προσέγγιση</w:t>
      </w:r>
      <w:r>
        <w:rPr>
          <w:noProof/>
        </w:rPr>
        <w:t xml:space="preserve"> που επελέγη ήταν όχι η μεμονωμένη τροποποίηση των εν λόγω βασικών πράξεων, αλλά η γενική πρόβλεψη ότι οι παραπομπές στην ΚΔΕ που περιέχουν οι βασικές πράξεις πρέπει να νοούνται ως παραπομπές στο άρθρο 290 και αντιστοίχως στα άρθρα 290 ή 291. Στο πλαίσιο αυτής της προσέγγισης, κάθε επιμέρους βασική πράξη θα έπρεπε πάντοτε να διαβάζεται σε συνδυασμό με τον σχετικό κανονισμό «Οmnibus», αν είχε εκδοθεί. </w:t>
      </w:r>
    </w:p>
    <w:p>
      <w:pPr>
        <w:pBdr>
          <w:top w:val="nil"/>
          <w:left w:val="nil"/>
          <w:bottom w:val="nil"/>
          <w:right w:val="nil"/>
          <w:between w:val="nil"/>
          <w:bar w:val="nil"/>
        </w:pBdr>
        <w:spacing w:before="0" w:after="240"/>
        <w:rPr>
          <w:rFonts w:eastAsia="Arial Unicode MS"/>
          <w:noProof/>
        </w:rPr>
      </w:pPr>
      <w:r>
        <w:rPr>
          <w:noProof/>
        </w:rPr>
        <w:t>Δεδομένων των δυσχερειών που αντιμετώπιζε το Συμβούλιο όσον αφορά την εν λόγω τεχνική, η προσέγγιση που επιλέγεται στην παρούσα πρόταση είναι διαφορετική. Προτείνεται τώρα να τροποποιείται κάθε σχετική βασική πράξη.</w:t>
      </w:r>
      <w:r>
        <w:rPr>
          <w:noProof/>
          <w:color w:val="000000"/>
        </w:rPr>
        <w:t xml:space="preserve"> </w:t>
      </w:r>
      <w:r>
        <w:rPr>
          <w:noProof/>
        </w:rPr>
        <w:t>Πρόκειται για προσέγγιση ανάλογη με εκείνη που ακολουθήθηκε κατά την καθιέρωση των διατάξεων περί ΚΔΕ στο πλαίσιο παρόμοιων εργασιών το 2007</w:t>
      </w:r>
      <w:r>
        <w:rPr>
          <w:rStyle w:val="FootnoteReference"/>
          <w:noProof/>
        </w:rPr>
        <w:footnoteReference w:id="13"/>
      </w:r>
      <w:r>
        <w:rPr>
          <w:noProof/>
        </w:rPr>
        <w:t>. Ως εκ τούτου, σε κάθε βασική πράξη γίνονται ορισμένες τροποποιήσεις. Η εξουσιοδοτική διάταξη, ήτοι το κείμενο που περιέχει την ουσιαστική εξουσιοδότηση ΚΔΕ, αναδιατυπώνεται και ακολουθεί τη διατύπωση που συμφωνήθηκε στις τυποποιημένες ρήτρες για τα άρθρα με τα οποία ανατίθενται αρμοδιότητες. Το τυποποιημένο άρθρο σχετικά με την άσκηση της εξουσιοδότησης, ήτοι το διαδικαστικό άρθρο, προστίθεται σε κάθε βασική πράξη και διαγράφονται οι παραπομπές στην ΚΔΕ. Σε κάθε πράξη αναφέρεται ρητώς εάν η εξουσιοδότηση επιτρέπει την τροποποίηση της βασικής πράξης. Οι νέες τυποποιημένες διατάξεις που προβλέπουν διαβούλευση με εμπειρογνώμονες των κρατών μελών κατά την προπαρασκευή των κατ’ εξουσιοδότηση πράξεων περιλαμβάνονται πλέον σε κάθε βασική πράξη. Οι εξουσιοδοτήσεις δεν προβλέπουν τροποποιήσεις άλλων πράξεων.</w:t>
      </w:r>
    </w:p>
    <w:p>
      <w:pPr>
        <w:pBdr>
          <w:top w:val="nil"/>
          <w:left w:val="nil"/>
          <w:bottom w:val="nil"/>
          <w:right w:val="nil"/>
          <w:between w:val="nil"/>
          <w:bar w:val="nil"/>
        </w:pBdr>
        <w:spacing w:before="0" w:after="240"/>
        <w:rPr>
          <w:rFonts w:eastAsia="Arial Unicode MS"/>
          <w:noProof/>
        </w:rPr>
      </w:pPr>
      <w:r>
        <w:rPr>
          <w:noProof/>
        </w:rPr>
        <w:t xml:space="preserve">Όσον αφορά την </w:t>
      </w:r>
      <w:r>
        <w:rPr>
          <w:b/>
          <w:noProof/>
        </w:rPr>
        <w:t>επιλογή για εξουσιοδοτήσεις μεταξύ κατ’ εξουσιοδότηση και εκτελεστικών πράξεων</w:t>
      </w:r>
      <w:r>
        <w:rPr>
          <w:noProof/>
        </w:rPr>
        <w:t xml:space="preserve">, οι προτάσεις εναρμόνισης του 2013 λαμβάνουν ως δεδομένο ότι τα μέτρα που καλύπτονται από την κανονιστική διαδικασία με έλεγχο κατ’ αρχήν αντιστοιχούν στα μέτρα τα οποία μπορούν να καλυφθούν με εξουσιοδοτήσεις κατά το άρθρο 290 της ΣΛΕΕ. Μόνο σε λίγες περιπτώσεις στον Omnibus ΙΙΙ, με βάση την κατά περίπτωση αξιολόγηση που έγινε τότε, είχε προταθεί η εναρμόνιση με το άρθρο 291 αντί του άρθρου 290. </w:t>
      </w:r>
    </w:p>
    <w:p>
      <w:pPr>
        <w:pBdr>
          <w:top w:val="nil"/>
          <w:left w:val="nil"/>
          <w:bottom w:val="nil"/>
          <w:right w:val="nil"/>
          <w:between w:val="nil"/>
          <w:bar w:val="nil"/>
        </w:pBdr>
        <w:spacing w:before="0" w:after="240"/>
        <w:rPr>
          <w:rFonts w:eastAsia="Arial Unicode MS"/>
          <w:noProof/>
        </w:rPr>
      </w:pPr>
      <w:r>
        <w:rPr>
          <w:noProof/>
        </w:rPr>
        <w:t>Το γενικό υπόβαθρο επί του οποίου στηρίζεται η νέα πρόταση είναι ότι η εκτίμηση που έγινε στις προτάσεις του Omnibus 2013 εξακολουθεί να ισχύει. Ούτε οι διαπραγματεύσεις για τον Omnibus 2013 ούτε η σχετική νομολογία</w:t>
      </w:r>
      <w:r>
        <w:rPr>
          <w:rStyle w:val="FootnoteReference"/>
          <w:noProof/>
        </w:rPr>
        <w:footnoteReference w:id="14"/>
      </w:r>
      <w:r>
        <w:rPr>
          <w:noProof/>
        </w:rPr>
        <w:t xml:space="preserve"> ούτε το αποτέλεσμα της διοργανικής συμφωνίας για τη βελτίωση του νομοθετικού έργου οδήγησαν σε νέα κριτήρια που θα συνηγορούσαν υπέρ μιας συνολικής εκ νέου αξιολόγησης. </w:t>
      </w:r>
    </w:p>
    <w:p>
      <w:pPr>
        <w:pBdr>
          <w:top w:val="nil"/>
          <w:left w:val="nil"/>
          <w:bottom w:val="nil"/>
          <w:right w:val="nil"/>
          <w:between w:val="nil"/>
          <w:bar w:val="nil"/>
        </w:pBdr>
        <w:spacing w:before="0" w:after="240"/>
        <w:rPr>
          <w:rFonts w:eastAsia="Arial Unicode MS"/>
          <w:bCs/>
          <w:noProof/>
        </w:rPr>
      </w:pPr>
      <w:r>
        <w:rPr>
          <w:noProof/>
        </w:rPr>
        <w:t xml:space="preserve">Σε περίπτωση εναρμόνισης με εκτελεστικές πράξεις, προστίθεται εισαγωγική παρατήρηση. Πέραν των περιπτώσεων κατά τις οποίες είχε ήδη προταθεί το 2013 εναρμόνιση με εκτελεστικές πράξεις, λίγες μόνον περιπτώσεις προστίθενται περαιτέρω στην παρούσα πρόταση. Πρόκειται για εξουσιοδοτήσεις για τον καθορισμό των μορφότυπων στο πεδίο των στατιστικών. </w:t>
      </w:r>
    </w:p>
    <w:p>
      <w:pPr>
        <w:pBdr>
          <w:top w:val="nil"/>
          <w:left w:val="nil"/>
          <w:bottom w:val="nil"/>
          <w:right w:val="nil"/>
          <w:between w:val="nil"/>
          <w:bar w:val="nil"/>
        </w:pBdr>
        <w:spacing w:before="0" w:after="240"/>
        <w:rPr>
          <w:rFonts w:eastAsia="Arial Unicode MS"/>
          <w:b/>
          <w:bCs/>
          <w:noProof/>
        </w:rPr>
      </w:pPr>
      <w:r>
        <w:rPr>
          <w:b/>
          <w:noProof/>
        </w:rPr>
        <w:t xml:space="preserve">Πίνακας 1: Επισκόπηση των πράξεων για τις οποίες προτείνεται εναρμόνιση με εκτελεστικές πράξεις για ορισμένες εξουσιοδοτήσεις </w:t>
      </w:r>
    </w:p>
    <w:tbl>
      <w:tblPr>
        <w:tblStyle w:val="TableGrid"/>
        <w:tblW w:w="0" w:type="auto"/>
        <w:tblLayout w:type="fixed"/>
        <w:tblLook w:val="04A0" w:firstRow="1" w:lastRow="0" w:firstColumn="1" w:lastColumn="0" w:noHBand="0" w:noVBand="1"/>
      </w:tblPr>
      <w:tblGrid>
        <w:gridCol w:w="1068"/>
        <w:gridCol w:w="8160"/>
      </w:tblGrid>
      <w:tr>
        <w:tc>
          <w:tcPr>
            <w:tcW w:w="1068" w:type="dxa"/>
          </w:tcPr>
          <w:p>
            <w:pPr>
              <w:pBdr>
                <w:top w:val="nil"/>
                <w:left w:val="nil"/>
                <w:bottom w:val="nil"/>
                <w:right w:val="nil"/>
                <w:between w:val="nil"/>
                <w:bar w:val="nil"/>
              </w:pBdr>
              <w:spacing w:before="0" w:after="240"/>
              <w:rPr>
                <w:rFonts w:eastAsia="Arial Unicode MS"/>
                <w:b/>
                <w:bCs/>
                <w:noProof/>
              </w:rPr>
            </w:pPr>
            <w:r>
              <w:rPr>
                <w:b/>
                <w:noProof/>
              </w:rPr>
              <w:t>Αριθμός στο παράρτημα</w:t>
            </w:r>
          </w:p>
        </w:tc>
        <w:tc>
          <w:tcPr>
            <w:tcW w:w="8160" w:type="dxa"/>
          </w:tcPr>
          <w:p>
            <w:pPr>
              <w:pBdr>
                <w:top w:val="nil"/>
                <w:left w:val="nil"/>
                <w:bottom w:val="nil"/>
                <w:right w:val="nil"/>
                <w:between w:val="nil"/>
                <w:bar w:val="nil"/>
              </w:pBdr>
              <w:spacing w:before="0" w:after="240"/>
              <w:rPr>
                <w:rFonts w:eastAsia="Arial Unicode MS"/>
                <w:b/>
                <w:bCs/>
                <w:noProof/>
              </w:rPr>
            </w:pPr>
            <w:r>
              <w:rPr>
                <w:b/>
                <w:noProof/>
              </w:rPr>
              <w:t>Τίτλος πράξης</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2</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Απόφαση αριθ. 406/2009/ΕΚ του Ευρωπαϊκού Κοινοβουλίου και του Συμβουλίου, της 23ης Απριλίου 2009, περί των προσπαθειών των κρατών μελών να μειώσουν τις οικείες εκπομπές αερίων θερμοκηπίου, ώστε να τηρηθούν οι δεσμεύσεις της Κοινότητας για μείωση των εκπομπών αυτών μέχρι το 2020*</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6</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Απόφαση αριθ. 626/2008/ΕΚ του Ευρωπαϊκού Κοινοβουλίου και του Συμβουλίου, της 30ής Ιουνίου 2008, για την επιλογή και αδειοδότηση συστημάτων που παρέχουν κινητές δορυφορικές υπηρεσίες (απόφαση MSS)*</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53</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1221/2009 του Ευρωπαϊκού Κοινοβουλίου και του Συμβουλίου, της 25ης Νοεμβρίου 2009, περί της εκούσιας συμμετοχής οργανισμών σε κοινοτικό σύστημα οικολογικής διαχείρισης και οικολογικού ελέγχου (EMAS) και για την κατάργηση του κανονισμού (ΕΚ) αριθ. 761/2001 και των αποφάσεων της Επιτροπής 2001/681/ΕΚ και 2006/193/ΕΚ*</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58</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530/1999 του Συμβουλίου, της 9ης Μαρτίου 1999, για τις διαρθρωτικές στατιστικές σχετικά με τις αποδοχές και το κόστος εργασίας</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59</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2150/2002 του Ευρωπαϊκού Κοινοβουλίου και του Συμβουλίου, της 25ης Νοεμβρίου 2002, για τις στατιστικές των αποβλήτων*</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60</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437/2003 του Ευρωπαϊκού Κοινοβουλίου και του Συμβουλίου, της 27ης Φεβρουαρίου 2003, για τις στατιστικές καταγραφές των αεροπορικών μεταφορών επιβατών, φορτίου και ταχυδρομείου</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61</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450/2003 του Ευρωπαϊκού Κοινοβουλίου και του Συμβουλίου, της 27ης Φεβρουαρίου 2003, σχετικά με τον δείκτη κόστους εργασίας*</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64</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1552/2005 του Ευρωπαϊκού Κοινοβουλίου και του Συμβουλίου, της 7ης Σεπτεμβρίου 2005, σχετικά με στατιστικές για την επαγγελματική κατάρτιση στις επιχειρήσεις*</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67</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716/2007 του Ευρωπαϊκού Κοινοβουλίου και του Συμβουλίου, της 20ής Ιουνίου 2007, περί κοινοτικών στατιστικών για τη διάρθρωση και τη δραστηριότητα των αλλοδαπών συνδεόμενων επιχειρήσεων*</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69</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1445/2007 του Ευρωπαϊκού Κοινοβουλίου και του Συμβουλίου, της 11ης Δεκεμβρίου 2007, για τη θέσπιση κοινών κανόνων για την παροχή βασικών πληροφοριών σχετικά με τις ισοτιμίες αγοραστικής δύναμης και για τον υπολογισμό και τη διάχυσή τους*</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70</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177/2008 του Ευρωπαϊκού Κοινοβουλίου και του Συμβουλίου, της 20ής Φεβρουαρίου 2008, για τη θέσπιση κοινού πλαισίου όσον αφορά τα μητρώα επιχειρήσεων για στατιστικούς σκοπούς και την κατάργηση του κανονισμού (ΕΟΚ) αριθ. 2186/93 του Συμβουλίου*</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73</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452/2008 του Ευρωπαϊκού Κοινοβουλίου και του Συμβουλίου, της 23ης Απριλίου 2008, σχετικά με την παραγωγή και την ανάπτυξη στατιστικών για την εκπαίδευση και τη διά βίου μάθηση</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74</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453/2008 του Ευρωπαϊκού Κοινοβουλίου και του Συμβουλίου, της 23ης Απριλίου 2008, σχετικά με τις τριμηνιαίες στατιστικές για τις κενές θέσεις εργασίας στην Κοινότητα*</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89</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Οδηγία 2006/42/ΕΚ του Ευρωπαϊκού Κοινοβουλίου και του Συμβουλίου, της 17ης Μαΐου 2006, σχετικά με τα μηχανήματα και την τροποποίηση της οδηγίας 95/16/EK*</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99</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1223/2009 του Ευρωπαϊκού Κοινοβουλίου και του Συμβουλίου, της 30ής Νοεμβρίου 2009, για τα καλλυντικά προϊόντα*</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104</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Οδηγία 97/70/ΕΚ του Συμβουλίου, της 11ης Δεκεμβρίου 1997, για θέσπιση εναρμονισμένου καθεστώτος για τα αλιευτικά σκάφη μήκους 24 μέτρων και άνω*</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114</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725/2004 του Ευρωπαϊκού Κοινοβουλίου και του Συμβουλίου, της 31ης Μαρτίου 2004, για τη βελτίωση της ασφάλειας στα πλοία και στις λιμενικές εγκαταστάσεις*</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143</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Οδηγία 2002/46/ΕΚ, της 10ης Ιουνίου 2002, για την προσέγγιση των νομοθεσιών των κρατών μελών περί των συμπληρωμάτων διατροφής*</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144</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Οδηγία 2002/98/ΕΚ του Ευρωπαϊκού Κοινοβουλίου και του Συμβουλίου, της 27ης Ιανουαρίου 2003, για τη θέσπιση προτύπων ποιότητας και ασφάλειας για τη συλλογή, τον έλεγχο, την επεξεργασία, την αποθήκευση και τη διανομή ανθρωπίνου αίματος και συστατικών του αίματος και για την τροποποίηση της οδηγίας 2001/83/EK*</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147</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1829/2003 του Ευρωπαϊκού Κοινοβουλίου και του Συμβουλίου, της 22ας Σεπτεμβρίου 2003, για τα γενετικώς τροποποιημένα τρόφιμα και ζωοτροφές*</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151</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2160/2003 του Ευρωπαϊκού Κοινοβουλίου και του Συμβουλίου, της 17ης Νοεμβρίου 2003, για τον έλεγχο της σαλμονέλας και άλλων συγκεκριμένων τροφιμογενών ζωονοσογόνων παραγόντων</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154</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Οδηγία 2004/23/ΕΚ του Ευρωπαϊκού Κοινοβουλίου και του Συμβουλίου, της 31ης Μαρτίου 2004, για τη θέσπιση προτύπων ποιότητας και ασφάλειας για τη δωρεά, την προμήθεια, τον έλεγχο, την επεξεργασία, τη συντήρηση, την αποθήκευση και τη διανομή ανθρώπινων ιστών και κυττάρων*</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158</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1924/2006 του Ευρωπαϊκού Κοινοβουλίου και του Συμβουλίου, της 20ής Δεκεμβρίου 2006, σχετικά με τους ισχυρισμούς επί θεμάτων διατροφής και υγείας που διατυπώνονται για τα τρόφιμα*</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159</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1925/2006 του Ευρωπαϊκού Κοινοβουλίου και του Συμβουλίου, της 20ής Δεκεμβρίου 2006, σχετικά με την προσθήκη βιταμινών και ανόργανων συστατικών και ορισμένων άλλων ουσιών στα τρόφιμα*</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165</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470/2009 του Ευρωπαϊκού Κοινοβουλίου και του Συμβουλίου, της 6ης Μαΐου 2009, για θέσπιση κοινοτικών διαδικασιών για τον καθορισμό ορίων καταλοίπων των φαρμακολογικά δραστικών ουσιών στα τρόφιμα ζωικής προέλευσης, για την κατάργηση του κανονισμού (ΕΟΚ) αριθ. 2377/90 του Συμβουλίου και τροποποίηση της οδηγίας 2001/82/ΕΚ του Ευρωπαϊκού Κοινοβουλίου και του Συμβουλίου και του κανονισμού (ΕΚ) αριθ. 726/2004 του Ευρωπαϊκού Κοινοβουλίου και του Συμβουλίου*</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166</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767/2009 του Ευρωπαϊκού Κοινοβουλίου και του Συμβουλίου, της 13ης Ιουλίου 2009, για τη διάθεση στην αγορά και τη χρήση ζωοτροφών, την τροποποίηση του κανονισμού (ΕΚ) αριθ. 1831/2003 του Ευρωπαϊκού Κοινοβουλίου και του Συμβουλίου, και την κατάργηση των οδηγιών 79/373/ΕΟΚ του Συμβουλίου, 80/511/ΕΟΚ της Επιτροπής, 82/471/ΕΟΚ του Συμβουλίου, 83/228/ΕΚ του Συμβουλίου, 93/74/ΕΟΚ του Συμβουλίου, 93/113/ΕΚ του Συμβουλίου, 96/25/ΕΚ του Συμβουλίου, και της απόφασης 2004/217/ΕΚ της Επιτροπής*</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167</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Κανονισμός (ΕΚ) αριθ. 1069/2009 του Ευρωπαϊκού Κοινοβουλίου και του Συμβουλίου, της 21ης Οκτωβρίου 2009, περί υγειονομικών κανόνων για ζωικά υποπροϊόντα και παράγωγα προϊόντα που δεν προορίζονται για κατανάλωση από τον άνθρωπο και για την κατάργηση του κανονισμού (ΕΚ) αριθ. 1774/2002 (κανονισμός για τα ζωικά υποπροϊόντα)*</w:t>
            </w:r>
          </w:p>
        </w:tc>
      </w:tr>
    </w:tbl>
    <w:p>
      <w:pPr>
        <w:pBdr>
          <w:top w:val="nil"/>
          <w:left w:val="nil"/>
          <w:bottom w:val="nil"/>
          <w:right w:val="nil"/>
          <w:between w:val="nil"/>
          <w:bar w:val="nil"/>
        </w:pBdr>
        <w:spacing w:before="0" w:after="240"/>
        <w:rPr>
          <w:rFonts w:eastAsia="Arial Unicode MS"/>
          <w:bCs/>
          <w:noProof/>
          <w:sz w:val="20"/>
          <w:szCs w:val="20"/>
        </w:rPr>
      </w:pPr>
      <w:r>
        <w:rPr>
          <w:noProof/>
          <w:sz w:val="20"/>
        </w:rPr>
        <w:t xml:space="preserve">* </w:t>
      </w:r>
      <w:r>
        <w:rPr>
          <w:noProof/>
        </w:rPr>
        <w:tab/>
      </w:r>
      <w:r>
        <w:rPr>
          <w:noProof/>
          <w:sz w:val="20"/>
        </w:rPr>
        <w:t xml:space="preserve">για τις εν λόγω πράξεις είχε ήδη προταθεί το 2013 εναρμόνιση ορισμένων διατάξεων με εκτελεστικές πράξεις. </w:t>
      </w:r>
    </w:p>
    <w:p>
      <w:pPr>
        <w:pBdr>
          <w:top w:val="nil"/>
          <w:left w:val="nil"/>
          <w:bottom w:val="nil"/>
          <w:right w:val="nil"/>
          <w:between w:val="nil"/>
          <w:bar w:val="nil"/>
        </w:pBdr>
        <w:spacing w:before="0" w:after="240"/>
        <w:rPr>
          <w:rFonts w:eastAsia="Arial Unicode MS"/>
          <w:bCs/>
          <w:noProof/>
        </w:rPr>
      </w:pPr>
      <w:r>
        <w:rPr>
          <w:noProof/>
        </w:rPr>
        <w:t xml:space="preserve">Προτείνεται η </w:t>
      </w:r>
      <w:r>
        <w:rPr>
          <w:noProof/>
          <w:u w:val="single"/>
        </w:rPr>
        <w:t>διαγραφή</w:t>
      </w:r>
      <w:r>
        <w:rPr>
          <w:noProof/>
        </w:rPr>
        <w:t xml:space="preserve"> εξουσιοδοτήσεων σε περιπτώσεις στις οποίες έχουν καταστεί άνευ αντικειμένου, είτε χρονικά (π.χ. όταν αντιστοιχούν σε μεταβατικό μέτρο, αλλά η βασική πράξη είναι ήδη σε πλήρη εφαρμογή επί πολλά έτη) ή επειδή η πείρα έδειξε ότι δεν ήταν αναγκαίες. </w:t>
      </w:r>
    </w:p>
    <w:p>
      <w:pPr>
        <w:pBdr>
          <w:top w:val="nil"/>
          <w:left w:val="nil"/>
          <w:bottom w:val="nil"/>
          <w:right w:val="nil"/>
          <w:between w:val="nil"/>
          <w:bar w:val="nil"/>
        </w:pBdr>
        <w:spacing w:before="0" w:after="240"/>
        <w:rPr>
          <w:rFonts w:eastAsia="Arial Unicode MS"/>
          <w:b/>
          <w:bCs/>
          <w:noProof/>
        </w:rPr>
      </w:pPr>
      <w:r>
        <w:rPr>
          <w:b/>
          <w:noProof/>
        </w:rPr>
        <w:t>Πίνακας 2: Επισκόπηση των πράξεων για τις οποίες προβλέπεται διαγραφή ορισμένων εξουσιοδοτήσεων</w:t>
      </w:r>
    </w:p>
    <w:tbl>
      <w:tblPr>
        <w:tblStyle w:val="TableGrid"/>
        <w:tblW w:w="0" w:type="auto"/>
        <w:tblLayout w:type="fixed"/>
        <w:tblLook w:val="04A0" w:firstRow="1" w:lastRow="0" w:firstColumn="1" w:lastColumn="0" w:noHBand="0" w:noVBand="1"/>
      </w:tblPr>
      <w:tblGrid>
        <w:gridCol w:w="1068"/>
        <w:gridCol w:w="8160"/>
      </w:tblGrid>
      <w:tr>
        <w:tc>
          <w:tcPr>
            <w:tcW w:w="1068" w:type="dxa"/>
            <w:shd w:val="clear" w:color="auto" w:fill="FFFFFF" w:themeFill="background1"/>
          </w:tcPr>
          <w:p>
            <w:pPr>
              <w:spacing w:before="0" w:after="240"/>
              <w:rPr>
                <w:rFonts w:eastAsia="Arial Unicode MS"/>
                <w:b/>
                <w:noProof/>
                <w:sz w:val="20"/>
                <w:szCs w:val="20"/>
              </w:rPr>
            </w:pPr>
            <w:r>
              <w:rPr>
                <w:b/>
                <w:noProof/>
                <w:sz w:val="20"/>
              </w:rPr>
              <w:t>Αριθμός</w:t>
            </w:r>
          </w:p>
          <w:p>
            <w:pPr>
              <w:spacing w:before="0" w:after="240"/>
              <w:rPr>
                <w:rFonts w:eastAsia="Arial Unicode MS"/>
                <w:b/>
                <w:noProof/>
                <w:sz w:val="20"/>
                <w:szCs w:val="20"/>
              </w:rPr>
            </w:pPr>
            <w:r>
              <w:rPr>
                <w:b/>
                <w:noProof/>
                <w:sz w:val="20"/>
              </w:rPr>
              <w:t xml:space="preserve">στο παράρτημα </w:t>
            </w:r>
          </w:p>
        </w:tc>
        <w:tc>
          <w:tcPr>
            <w:tcW w:w="8160" w:type="dxa"/>
            <w:shd w:val="clear" w:color="auto" w:fill="FFFFFF" w:themeFill="background1"/>
          </w:tcPr>
          <w:p>
            <w:pPr>
              <w:spacing w:before="0" w:after="240"/>
              <w:rPr>
                <w:rFonts w:eastAsia="Arial Unicode MS"/>
                <w:b/>
                <w:noProof/>
                <w:sz w:val="20"/>
                <w:szCs w:val="20"/>
              </w:rPr>
            </w:pPr>
            <w:r>
              <w:rPr>
                <w:b/>
                <w:noProof/>
                <w:sz w:val="20"/>
              </w:rPr>
              <w:t xml:space="preserve">Τίτλος πράξης </w:t>
            </w:r>
          </w:p>
        </w:tc>
      </w:tr>
      <w:tr>
        <w:tc>
          <w:tcPr>
            <w:tcW w:w="1068" w:type="dxa"/>
          </w:tcPr>
          <w:p>
            <w:pPr>
              <w:spacing w:before="0" w:after="240"/>
              <w:rPr>
                <w:rFonts w:eastAsia="Arial Unicode MS"/>
                <w:noProof/>
                <w:sz w:val="20"/>
                <w:szCs w:val="20"/>
              </w:rPr>
            </w:pPr>
            <w:r>
              <w:rPr>
                <w:noProof/>
                <w:sz w:val="20"/>
              </w:rPr>
              <w:t>2</w:t>
            </w:r>
          </w:p>
        </w:tc>
        <w:tc>
          <w:tcPr>
            <w:tcW w:w="8160" w:type="dxa"/>
          </w:tcPr>
          <w:p>
            <w:pPr>
              <w:spacing w:before="0" w:after="240"/>
              <w:rPr>
                <w:rFonts w:eastAsia="Arial Unicode MS"/>
                <w:noProof/>
                <w:sz w:val="20"/>
                <w:szCs w:val="20"/>
              </w:rPr>
            </w:pPr>
            <w:r>
              <w:rPr>
                <w:noProof/>
                <w:sz w:val="20"/>
              </w:rPr>
              <w:t>Απόφαση αριθ. 406/2009/ΕΚ του Ευρωπαϊκού Κοινοβουλίου και του Συμβουλίου, της 23ης Απριλίου 2009, περί των προσπαθειών των κρατών μελών να μειώσουν τις οικείες εκπομπές αερίων θερμοκηπίου, ώστε να τηρηθούν οι δεσμεύσεις της Κοινότητας για μείωση των εκπομπών αυτών μέχρι το 2020</w:t>
            </w:r>
          </w:p>
        </w:tc>
      </w:tr>
      <w:tr>
        <w:tc>
          <w:tcPr>
            <w:tcW w:w="1068" w:type="dxa"/>
          </w:tcPr>
          <w:p>
            <w:pPr>
              <w:spacing w:before="0" w:after="240"/>
              <w:rPr>
                <w:rFonts w:eastAsia="Arial Unicode MS"/>
                <w:noProof/>
                <w:sz w:val="20"/>
                <w:szCs w:val="20"/>
              </w:rPr>
            </w:pPr>
            <w:r>
              <w:rPr>
                <w:noProof/>
                <w:sz w:val="20"/>
              </w:rPr>
              <w:t>7</w:t>
            </w:r>
          </w:p>
        </w:tc>
        <w:tc>
          <w:tcPr>
            <w:tcW w:w="8160" w:type="dxa"/>
          </w:tcPr>
          <w:p>
            <w:pPr>
              <w:spacing w:before="0" w:after="240"/>
              <w:rPr>
                <w:rFonts w:eastAsia="Arial Unicode MS"/>
                <w:noProof/>
                <w:sz w:val="20"/>
                <w:szCs w:val="20"/>
              </w:rPr>
            </w:pPr>
            <w:r>
              <w:rPr>
                <w:noProof/>
                <w:sz w:val="20"/>
              </w:rPr>
              <w:t xml:space="preserve">Κανονισμός (ΕΚ) αριθ. 1257/96 του Συμβουλίου, της 20ής Ιουνίου 1996, σχετικά με την ανθρωπιστική βοήθεια* </w:t>
            </w:r>
          </w:p>
        </w:tc>
      </w:tr>
      <w:tr>
        <w:tc>
          <w:tcPr>
            <w:tcW w:w="1068" w:type="dxa"/>
          </w:tcPr>
          <w:p>
            <w:pPr>
              <w:spacing w:before="0" w:after="240"/>
              <w:rPr>
                <w:rFonts w:eastAsia="Arial Unicode MS"/>
                <w:noProof/>
                <w:sz w:val="20"/>
                <w:szCs w:val="20"/>
              </w:rPr>
            </w:pPr>
            <w:r>
              <w:rPr>
                <w:noProof/>
                <w:sz w:val="20"/>
              </w:rPr>
              <w:t>36</w:t>
            </w:r>
          </w:p>
        </w:tc>
        <w:tc>
          <w:tcPr>
            <w:tcW w:w="8160" w:type="dxa"/>
          </w:tcPr>
          <w:p>
            <w:pPr>
              <w:spacing w:before="0" w:after="240"/>
              <w:rPr>
                <w:rFonts w:eastAsia="Arial Unicode MS"/>
                <w:noProof/>
                <w:sz w:val="20"/>
                <w:szCs w:val="20"/>
              </w:rPr>
            </w:pPr>
            <w:r>
              <w:rPr>
                <w:noProof/>
                <w:sz w:val="20"/>
              </w:rPr>
              <w:t>Οδηγία 98/83/ΕΚ του Συμβουλίου, της 3ης Νοεμβρίου 1998, σχετικά με την ποιότητα του νερού ανθρώπινης κατανάλωσης</w:t>
            </w:r>
          </w:p>
        </w:tc>
      </w:tr>
      <w:tr>
        <w:tc>
          <w:tcPr>
            <w:tcW w:w="1068" w:type="dxa"/>
          </w:tcPr>
          <w:p>
            <w:pPr>
              <w:spacing w:before="0" w:after="240"/>
              <w:rPr>
                <w:rFonts w:eastAsia="Arial Unicode MS"/>
                <w:noProof/>
                <w:sz w:val="20"/>
                <w:szCs w:val="20"/>
              </w:rPr>
            </w:pPr>
            <w:r>
              <w:rPr>
                <w:noProof/>
                <w:sz w:val="20"/>
              </w:rPr>
              <w:t>54</w:t>
            </w:r>
          </w:p>
        </w:tc>
        <w:tc>
          <w:tcPr>
            <w:tcW w:w="8160" w:type="dxa"/>
          </w:tcPr>
          <w:p>
            <w:pPr>
              <w:spacing w:before="0" w:after="240"/>
              <w:rPr>
                <w:rFonts w:eastAsia="Arial Unicode MS"/>
                <w:noProof/>
                <w:sz w:val="20"/>
                <w:szCs w:val="20"/>
              </w:rPr>
            </w:pPr>
            <w:r>
              <w:rPr>
                <w:noProof/>
                <w:sz w:val="20"/>
              </w:rPr>
              <w:t>Κανονισμός (ΕΚ) αριθ. 66/2010 του Ευρωπαϊκού Κοινοβουλίου και του Συμβουλίου, της 25ης Νοεμβρίου 2009, σχετικά με το οικολογικό σήμα της ΕΕ (EU Ecolabel)*</w:t>
            </w:r>
          </w:p>
        </w:tc>
      </w:tr>
      <w:tr>
        <w:tc>
          <w:tcPr>
            <w:tcW w:w="1068" w:type="dxa"/>
          </w:tcPr>
          <w:p>
            <w:pPr>
              <w:spacing w:before="0" w:after="240"/>
              <w:rPr>
                <w:rFonts w:eastAsia="Arial Unicode MS"/>
                <w:noProof/>
                <w:sz w:val="20"/>
                <w:szCs w:val="20"/>
              </w:rPr>
            </w:pPr>
            <w:r>
              <w:rPr>
                <w:noProof/>
                <w:sz w:val="20"/>
              </w:rPr>
              <w:t>57</w:t>
            </w:r>
          </w:p>
        </w:tc>
        <w:tc>
          <w:tcPr>
            <w:tcW w:w="8160" w:type="dxa"/>
          </w:tcPr>
          <w:p>
            <w:pPr>
              <w:spacing w:before="0" w:after="240"/>
              <w:rPr>
                <w:rFonts w:eastAsia="Arial Unicode MS"/>
                <w:noProof/>
                <w:sz w:val="20"/>
                <w:szCs w:val="20"/>
              </w:rPr>
            </w:pPr>
            <w:r>
              <w:rPr>
                <w:noProof/>
                <w:sz w:val="20"/>
              </w:rPr>
              <w:t>Κανονισμός (ΕΚ) αριθ. 1165/98 του Συμβουλίου, της 19ης Μαΐου 1998, περί βραχυπροθέσμων στατιστικών</w:t>
            </w:r>
          </w:p>
        </w:tc>
      </w:tr>
      <w:tr>
        <w:tc>
          <w:tcPr>
            <w:tcW w:w="1068" w:type="dxa"/>
          </w:tcPr>
          <w:p>
            <w:pPr>
              <w:spacing w:before="0" w:after="240"/>
              <w:rPr>
                <w:rFonts w:eastAsia="Arial Unicode MS"/>
                <w:noProof/>
                <w:sz w:val="20"/>
                <w:szCs w:val="20"/>
              </w:rPr>
            </w:pPr>
            <w:r>
              <w:rPr>
                <w:noProof/>
                <w:sz w:val="20"/>
              </w:rPr>
              <w:t>66</w:t>
            </w:r>
          </w:p>
        </w:tc>
        <w:tc>
          <w:tcPr>
            <w:tcW w:w="8160" w:type="dxa"/>
          </w:tcPr>
          <w:p>
            <w:pPr>
              <w:spacing w:before="0" w:after="240"/>
              <w:rPr>
                <w:rFonts w:eastAsia="Arial Unicode MS"/>
                <w:noProof/>
                <w:sz w:val="20"/>
                <w:szCs w:val="20"/>
              </w:rPr>
            </w:pPr>
            <w:r>
              <w:rPr>
                <w:noProof/>
                <w:sz w:val="20"/>
              </w:rPr>
              <w:t>Κανονισμός (ΕΚ) αριθ. 458/2007 του Ευρωπαϊκού Κοινοβουλίου και του Συμβουλίου, της 25ης Απριλίου 2007, σχετικά με το ευρωπαϊκό σύστημα ολοκληρωμένων στατιστικών κοινωνικής προστασίας (ESSPROS)</w:t>
            </w:r>
          </w:p>
        </w:tc>
      </w:tr>
      <w:tr>
        <w:tc>
          <w:tcPr>
            <w:tcW w:w="1068" w:type="dxa"/>
          </w:tcPr>
          <w:p>
            <w:pPr>
              <w:spacing w:before="0" w:after="240"/>
              <w:rPr>
                <w:rFonts w:eastAsia="Arial Unicode MS"/>
                <w:noProof/>
                <w:sz w:val="20"/>
                <w:szCs w:val="20"/>
              </w:rPr>
            </w:pPr>
            <w:r>
              <w:rPr>
                <w:noProof/>
                <w:sz w:val="20"/>
              </w:rPr>
              <w:t>92</w:t>
            </w:r>
          </w:p>
        </w:tc>
        <w:tc>
          <w:tcPr>
            <w:tcW w:w="8160" w:type="dxa"/>
          </w:tcPr>
          <w:p>
            <w:pPr>
              <w:spacing w:before="0" w:after="240"/>
              <w:rPr>
                <w:rFonts w:eastAsia="Arial Unicode MS"/>
                <w:noProof/>
                <w:sz w:val="20"/>
                <w:szCs w:val="20"/>
              </w:rPr>
            </w:pPr>
            <w:r>
              <w:rPr>
                <w:noProof/>
                <w:sz w:val="20"/>
              </w:rPr>
              <w:t>Οδηγία 2009/34/ΕΚ του Ευρωπαϊκού Κοινοβουλίου και του Συμβουλίου, της 23ης Απριλίου 2009, σχετικά με τις κοινές διατάξεις για τα όργανα μετρήσεως και για τις μεθόδους μετρολογικού ελέγχου</w:t>
            </w:r>
          </w:p>
        </w:tc>
      </w:tr>
      <w:tr>
        <w:tc>
          <w:tcPr>
            <w:tcW w:w="1068" w:type="dxa"/>
          </w:tcPr>
          <w:p>
            <w:pPr>
              <w:spacing w:before="0" w:after="240"/>
              <w:rPr>
                <w:rFonts w:eastAsia="Arial Unicode MS"/>
                <w:noProof/>
                <w:sz w:val="20"/>
                <w:szCs w:val="20"/>
              </w:rPr>
            </w:pPr>
            <w:r>
              <w:rPr>
                <w:noProof/>
                <w:sz w:val="20"/>
              </w:rPr>
              <w:t>133</w:t>
            </w:r>
          </w:p>
        </w:tc>
        <w:tc>
          <w:tcPr>
            <w:tcW w:w="8160" w:type="dxa"/>
          </w:tcPr>
          <w:p>
            <w:pPr>
              <w:spacing w:before="0" w:after="240"/>
              <w:rPr>
                <w:rFonts w:eastAsia="Arial Unicode MS"/>
                <w:bCs/>
                <w:noProof/>
                <w:sz w:val="20"/>
                <w:szCs w:val="20"/>
              </w:rPr>
            </w:pPr>
            <w:r>
              <w:rPr>
                <w:noProof/>
                <w:sz w:val="20"/>
              </w:rPr>
              <w:t>Κανονισμός (ΕΚ) αριθ. 1071/2009 του Ευρωπαϊκού Κοινοβουλίου και του Συμβουλίου, της 21ης Οκτωβρίου 2009, σχετικά με τη θέσπιση κοινών κανόνων όσον αφορά τους όρους που πρέπει να πληρούνται για την άσκηση του επαγγέλματος του οδικού μεταφορέα και για την κατάργηση της οδηγίας 96/26/ΕΚ του Συμβουλίου</w:t>
            </w:r>
          </w:p>
        </w:tc>
      </w:tr>
      <w:tr>
        <w:tc>
          <w:tcPr>
            <w:tcW w:w="1068" w:type="dxa"/>
          </w:tcPr>
          <w:p>
            <w:pPr>
              <w:spacing w:before="0" w:after="240"/>
              <w:rPr>
                <w:rFonts w:eastAsia="Arial Unicode MS"/>
                <w:noProof/>
                <w:sz w:val="20"/>
                <w:szCs w:val="20"/>
              </w:rPr>
            </w:pPr>
            <w:r>
              <w:rPr>
                <w:noProof/>
                <w:sz w:val="20"/>
              </w:rPr>
              <w:t>168</w:t>
            </w:r>
          </w:p>
        </w:tc>
        <w:tc>
          <w:tcPr>
            <w:tcW w:w="8160" w:type="dxa"/>
          </w:tcPr>
          <w:p>
            <w:pPr>
              <w:spacing w:before="0" w:after="240"/>
              <w:rPr>
                <w:rFonts w:eastAsia="Arial Unicode MS"/>
                <w:bCs/>
                <w:noProof/>
                <w:sz w:val="20"/>
                <w:szCs w:val="20"/>
              </w:rPr>
            </w:pPr>
            <w:r>
              <w:rPr>
                <w:noProof/>
                <w:sz w:val="20"/>
              </w:rPr>
              <w:t>Απόφαση αριθ. 70/2008/ΕΚ του Ευρωπαϊκού Κοινοβουλίου και του Συμβουλίου, της 15ης Ιανουαρίου 2008, για ένα περιβάλλον χωρίς χαρτί για τα τελωνεία και τις εμπορικές επιχειρήσεις</w:t>
            </w:r>
          </w:p>
        </w:tc>
      </w:tr>
    </w:tbl>
    <w:p>
      <w:pPr>
        <w:pBdr>
          <w:top w:val="nil"/>
          <w:left w:val="nil"/>
          <w:bottom w:val="nil"/>
          <w:right w:val="nil"/>
          <w:between w:val="nil"/>
          <w:bar w:val="nil"/>
        </w:pBdr>
        <w:spacing w:before="0" w:after="240"/>
        <w:rPr>
          <w:rFonts w:eastAsia="Arial Unicode MS"/>
          <w:bCs/>
          <w:noProof/>
          <w:sz w:val="20"/>
          <w:szCs w:val="20"/>
        </w:rPr>
      </w:pPr>
      <w:r>
        <w:rPr>
          <w:noProof/>
          <w:sz w:val="20"/>
        </w:rPr>
        <w:t xml:space="preserve">* </w:t>
      </w:r>
      <w:r>
        <w:rPr>
          <w:noProof/>
        </w:rPr>
        <w:tab/>
      </w:r>
      <w:r>
        <w:rPr>
          <w:noProof/>
          <w:sz w:val="20"/>
        </w:rPr>
        <w:t xml:space="preserve">για τις εν λόγω πράξεις είχε ήδη προταθεί το 2013 διαγραφή ορισμένων διατάξεων. </w:t>
      </w:r>
    </w:p>
    <w:p>
      <w:pPr>
        <w:pBdr>
          <w:top w:val="nil"/>
          <w:left w:val="nil"/>
          <w:bottom w:val="nil"/>
          <w:right w:val="nil"/>
          <w:between w:val="nil"/>
          <w:bar w:val="nil"/>
        </w:pBdr>
        <w:spacing w:before="0" w:after="240"/>
        <w:rPr>
          <w:rFonts w:eastAsia="Arial Unicode MS"/>
          <w:noProof/>
        </w:rPr>
      </w:pPr>
      <w:r>
        <w:rPr>
          <w:noProof/>
        </w:rPr>
        <w:t xml:space="preserve">Όσον αφορά τη </w:t>
      </w:r>
      <w:r>
        <w:rPr>
          <w:b/>
          <w:noProof/>
        </w:rPr>
        <w:t>διάρκεια της εξουσιοδότησης</w:t>
      </w:r>
      <w:r>
        <w:rPr>
          <w:noProof/>
        </w:rPr>
        <w:t xml:space="preserve">, η Επιτροπή προτείνει εξουσιοδοτήσεις με αόριστη διάρκεια. Κατά τις διαπραγματεύσεις για τις προτάσεις του 2013, τόσο το Συμβούλιο όσο και το Ευρωπαϊκό Κοινοβούλιο ήταν υπέρ καθορισμένης διάρκειας 5 ετών με αυτόματη ανανέωση μετά από έκθεση της Επιτροπής που θα υποβάλλεται πριν από τη λήξη της εξουσιοδότησης. Στη νέα πρόταση, η Επιτροπή εμμένει στη θέση της ότι η αόριστη διάρκεια της εξουσιοδότησης δικαιολογείται από το γεγονός ότι ο νομοθέτης έχει τη δυνατότητα να ανακαλέσει την εξουσιοδότηση σε όλες τις περιπτώσεις και ανά πάσα στιγμή. Επιπλέον, η επιβολή υποχρέωσης υποβολής έκθεσης πριν από την αυτόματη ανανέωση θα επέβαλλε στην Επιτροπή να εκδώσει εκθέσεις πέντε έτη μετά την έγκριση της παρούσας πρότασης σχετικά με 174 διαφορετικές πράξεις, κάτι που θα δημιουργούσε σημαντικό διοικητικό φόρτο. Τέλος, με τη διοργανική συμφωνία υπάρχει επίσης μεγαλύτερη διαφάνεια σε σχέση με την κατ’ εξουσιοδότηση πράξη, ιδίως μέσω του κοινού μητρώου για τις κατ’ εξουσιοδότηση πράξεις, το οποίο τα θεσμικά όργανα συμφώνησαν να καταρτίσουν έως το τέλος του 2017. Το μητρώο αυτό θα επιτρέπει την εύκολη επισκόπηση των κατ’ εξουσιοδότηση πράξεων που εκδίδονται βάσει όλων των πράξεων.  </w:t>
      </w:r>
    </w:p>
    <w:p>
      <w:pPr>
        <w:pBdr>
          <w:top w:val="nil"/>
          <w:left w:val="nil"/>
          <w:bottom w:val="nil"/>
          <w:right w:val="nil"/>
          <w:between w:val="nil"/>
          <w:bar w:val="nil"/>
        </w:pBdr>
        <w:spacing w:before="0" w:after="240"/>
        <w:rPr>
          <w:rFonts w:eastAsia="Arial Unicode MS"/>
          <w:noProof/>
        </w:rPr>
      </w:pPr>
      <w:r>
        <w:rPr>
          <w:noProof/>
        </w:rPr>
        <w:t xml:space="preserve">Η πρόταση προβλέπει σε ορισμένες περιπτώσεις την καθιέρωση </w:t>
      </w:r>
      <w:r>
        <w:rPr>
          <w:b/>
          <w:noProof/>
        </w:rPr>
        <w:t>επείγουσας διαδικασίας</w:t>
      </w:r>
      <w:r>
        <w:rPr>
          <w:noProof/>
        </w:rPr>
        <w:t xml:space="preserve">. Τούτο γίνεται στις περιπτώσεις όπου υπάρχει σήμερα δυνατότητα να ακολουθηθεί η υφιστάμενη διαδικασία επείγοντος κατά το άρθρο 5α παράγραφος 6 της απόφασης 1999/468/ΕΚ και η εν λόγω δυνατότητα κρίθηκε απαραίτητη. Στην περίπτωση αυτή, η αντίστοιχη τυποποιημένη ρήτρα που επιτρέπει τη χρήση της διαδικασία επείγοντος εισάγεται σε κάθε πράξη που προβλέπει ειδική αιτιολόγηση για τη χρήση της εν λόγω διαδικασίας σε κάθε περίπτωση. </w:t>
      </w:r>
    </w:p>
    <w:p>
      <w:pPr>
        <w:pStyle w:val="ManualHeading1"/>
        <w:rPr>
          <w:caps/>
          <w:noProof/>
        </w:rPr>
      </w:pPr>
      <w:r>
        <w:rPr>
          <w:noProof/>
        </w:rPr>
        <w:t xml:space="preserve">3. </w:t>
      </w:r>
      <w:r>
        <w:rPr>
          <w:noProof/>
        </w:rPr>
        <w:tab/>
        <w:t>ΚΑΤΑΛΟΓΟΣ ΒΑΣΙΚΩΝ ΠΡΑΞΕΩΝ ΠΟΥ ΠΕΡΙΕΧΟΥΝ ΠΑΡΑΠΟΜΠΕΣ ΣΤΗΝ ΚΔΕ ΚΑΙ ΟΙ ΟΠΟΙΕΣ ΤΕΛΟΥΝ ΕΠΙ ΤΟΥ ΠΑΡΟΝΤΟΣ ΥΠΟ ΧΩΡΙΣΤΗ ΑΝΑΘΕΩΡΗΣΗ Ή ΓΙΑ ΤΙΣ ΟΠΟΙΕΣ ΠΡΟΒΛΕΠΕΤΑΙ ΑΝΑΘΕΩΡΗΣΗ</w:t>
      </w:r>
      <w:r>
        <w:rPr>
          <w:caps/>
          <w:noProof/>
        </w:rPr>
        <w:t xml:space="preserve">  </w:t>
      </w:r>
    </w:p>
    <w:p>
      <w:pPr>
        <w:pBdr>
          <w:top w:val="nil"/>
          <w:left w:val="nil"/>
          <w:bottom w:val="nil"/>
          <w:right w:val="nil"/>
          <w:between w:val="nil"/>
          <w:bar w:val="nil"/>
        </w:pBdr>
        <w:spacing w:before="0" w:after="240"/>
        <w:rPr>
          <w:rFonts w:eastAsia="Arial Unicode MS"/>
          <w:b/>
          <w:noProof/>
        </w:rPr>
      </w:pPr>
      <w:r>
        <w:rPr>
          <w:b/>
          <w:noProof/>
        </w:rPr>
        <w:t xml:space="preserve">Πίνακας </w:t>
      </w:r>
      <w:r>
        <w:rPr>
          <w:rFonts w:hint="eastAsia"/>
          <w:b/>
          <w:noProof/>
        </w:rPr>
        <w:t xml:space="preserve">3: </w:t>
      </w:r>
      <w:r>
        <w:rPr>
          <w:b/>
          <w:noProof/>
        </w:rPr>
        <w:t xml:space="preserve">Προτάσεις που εγκρίθηκαν από την Επιτροπή </w:t>
      </w:r>
    </w:p>
    <w:tbl>
      <w:tblPr>
        <w:tblStyle w:val="TableGrid"/>
        <w:tblW w:w="0" w:type="auto"/>
        <w:tblLook w:val="04A0" w:firstRow="1" w:lastRow="0" w:firstColumn="1" w:lastColumn="0" w:noHBand="0" w:noVBand="1"/>
      </w:tblPr>
      <w:tblGrid>
        <w:gridCol w:w="1308"/>
        <w:gridCol w:w="5640"/>
        <w:gridCol w:w="2340"/>
      </w:tblGrid>
      <w:tr>
        <w:tc>
          <w:tcPr>
            <w:tcW w:w="1308" w:type="dxa"/>
            <w:shd w:val="clear" w:color="auto" w:fill="FFFFFF" w:themeFill="background1"/>
          </w:tcPr>
          <w:p>
            <w:pPr>
              <w:spacing w:before="0" w:after="0"/>
              <w:jc w:val="left"/>
              <w:rPr>
                <w:b/>
                <w:noProof/>
                <w:sz w:val="22"/>
              </w:rPr>
            </w:pPr>
            <w:r>
              <w:rPr>
                <w:b/>
                <w:noProof/>
                <w:sz w:val="22"/>
              </w:rPr>
              <w:t xml:space="preserve">Τομέας </w:t>
            </w:r>
          </w:p>
        </w:tc>
        <w:tc>
          <w:tcPr>
            <w:tcW w:w="5640" w:type="dxa"/>
            <w:shd w:val="clear" w:color="auto" w:fill="FFFFFF" w:themeFill="background1"/>
          </w:tcPr>
          <w:p>
            <w:pPr>
              <w:spacing w:before="0" w:after="0"/>
              <w:jc w:val="left"/>
              <w:rPr>
                <w:b/>
                <w:noProof/>
                <w:sz w:val="22"/>
              </w:rPr>
            </w:pPr>
            <w:r>
              <w:rPr>
                <w:b/>
                <w:noProof/>
                <w:sz w:val="22"/>
              </w:rPr>
              <w:t xml:space="preserve">Πράξη </w:t>
            </w:r>
          </w:p>
        </w:tc>
        <w:tc>
          <w:tcPr>
            <w:tcW w:w="2340" w:type="dxa"/>
            <w:shd w:val="clear" w:color="auto" w:fill="FFFFFF" w:themeFill="background1"/>
          </w:tcPr>
          <w:p>
            <w:pPr>
              <w:spacing w:before="0" w:after="0"/>
              <w:jc w:val="left"/>
              <w:rPr>
                <w:b/>
                <w:noProof/>
                <w:sz w:val="22"/>
              </w:rPr>
            </w:pPr>
            <w:r>
              <w:rPr>
                <w:b/>
                <w:noProof/>
                <w:sz w:val="22"/>
              </w:rPr>
              <w:t xml:space="preserve">Φυσικός αριθμός πρότασης </w:t>
            </w:r>
          </w:p>
          <w:p>
            <w:pPr>
              <w:spacing w:before="0" w:after="0"/>
              <w:jc w:val="left"/>
              <w:rPr>
                <w:b/>
                <w:noProof/>
                <w:sz w:val="22"/>
              </w:rPr>
            </w:pPr>
          </w:p>
        </w:tc>
      </w:tr>
      <w:tr>
        <w:tc>
          <w:tcPr>
            <w:tcW w:w="1308" w:type="dxa"/>
          </w:tcPr>
          <w:p>
            <w:pPr>
              <w:spacing w:before="0" w:after="0"/>
              <w:jc w:val="left"/>
              <w:rPr>
                <w:noProof/>
                <w:sz w:val="22"/>
                <w:highlight w:val="yellow"/>
              </w:rPr>
            </w:pPr>
            <w:r>
              <w:rPr>
                <w:noProof/>
                <w:sz w:val="22"/>
              </w:rPr>
              <w:t>CLIMA</w:t>
            </w:r>
          </w:p>
        </w:tc>
        <w:tc>
          <w:tcPr>
            <w:tcW w:w="5640" w:type="dxa"/>
          </w:tcPr>
          <w:p>
            <w:pPr>
              <w:spacing w:before="0" w:after="0"/>
              <w:jc w:val="left"/>
              <w:rPr>
                <w:noProof/>
                <w:sz w:val="22"/>
              </w:rPr>
            </w:pPr>
            <w:r>
              <w:rPr>
                <w:noProof/>
                <w:sz w:val="22"/>
              </w:rPr>
              <w:t>Οδηγία 2003/87/ΕΚ του Ευρωπαϊκού Κοινοβουλίου και του Συμβουλίου, της 13ης Οκτωβρίου 2003, σχετικά με τη θέσπιση συστήματος εμπορίας δικαιωμάτων εκπομπής αερίων θερμοκηπίου εντός της Κοινότητας και την τροποποίηση της οδηγίας 96/61/ΕΚ του Συμβουλίου</w:t>
            </w:r>
          </w:p>
        </w:tc>
        <w:tc>
          <w:tcPr>
            <w:tcW w:w="2340" w:type="dxa"/>
          </w:tcPr>
          <w:p>
            <w:pPr>
              <w:spacing w:before="0" w:after="0"/>
              <w:jc w:val="left"/>
              <w:rPr>
                <w:bCs/>
                <w:noProof/>
                <w:sz w:val="22"/>
              </w:rPr>
            </w:pPr>
            <w:r>
              <w:rPr>
                <w:noProof/>
                <w:sz w:val="22"/>
              </w:rPr>
              <w:t>COM(2015) 337</w:t>
            </w:r>
          </w:p>
        </w:tc>
      </w:tr>
      <w:tr>
        <w:tc>
          <w:tcPr>
            <w:tcW w:w="1308" w:type="dxa"/>
          </w:tcPr>
          <w:p>
            <w:pPr>
              <w:spacing w:before="0" w:after="0"/>
              <w:jc w:val="left"/>
              <w:rPr>
                <w:noProof/>
                <w:sz w:val="22"/>
              </w:rPr>
            </w:pPr>
            <w:r>
              <w:rPr>
                <w:noProof/>
                <w:sz w:val="22"/>
              </w:rPr>
              <w:t>CNECT</w:t>
            </w:r>
          </w:p>
        </w:tc>
        <w:tc>
          <w:tcPr>
            <w:tcW w:w="5640" w:type="dxa"/>
          </w:tcPr>
          <w:p>
            <w:pPr>
              <w:spacing w:before="0" w:after="0"/>
              <w:jc w:val="left"/>
              <w:rPr>
                <w:bCs/>
                <w:noProof/>
                <w:sz w:val="22"/>
              </w:rPr>
            </w:pPr>
            <w:r>
              <w:rPr>
                <w:noProof/>
                <w:sz w:val="22"/>
              </w:rPr>
              <w:t>Οδηγία 2002/19/ΕΚ του Ευρωπαϊκού Κοινοβουλίου και του Συμβουλίου, της 7ης Μαρτίου 2002, σχετικά με την πρόσβαση σε δίκτυα ηλεκτρονικών επικοινωνιών και συναφείς ευκολίες, καθώς και με τη διασύνδεσή τους (οδηγία για την πρόσβαση)</w:t>
            </w:r>
            <w:r>
              <w:rPr>
                <w:rStyle w:val="CommentReference"/>
                <w:noProof/>
              </w:rPr>
              <w:t xml:space="preserve"> </w:t>
            </w:r>
          </w:p>
        </w:tc>
        <w:tc>
          <w:tcPr>
            <w:tcW w:w="2340" w:type="dxa"/>
          </w:tcPr>
          <w:p>
            <w:pPr>
              <w:spacing w:before="0" w:after="0"/>
              <w:jc w:val="left"/>
              <w:rPr>
                <w:bCs/>
                <w:noProof/>
                <w:sz w:val="22"/>
              </w:rPr>
            </w:pPr>
            <w:r>
              <w:rPr>
                <w:noProof/>
                <w:sz w:val="22"/>
              </w:rPr>
              <w:t>COM(2016) 0590</w:t>
            </w:r>
          </w:p>
        </w:tc>
      </w:tr>
      <w:tr>
        <w:tc>
          <w:tcPr>
            <w:tcW w:w="1308" w:type="dxa"/>
          </w:tcPr>
          <w:p>
            <w:pPr>
              <w:spacing w:before="0" w:after="0"/>
              <w:jc w:val="left"/>
              <w:rPr>
                <w:noProof/>
                <w:sz w:val="22"/>
              </w:rPr>
            </w:pPr>
            <w:r>
              <w:rPr>
                <w:noProof/>
                <w:sz w:val="22"/>
              </w:rPr>
              <w:t>CNECT</w:t>
            </w:r>
          </w:p>
        </w:tc>
        <w:tc>
          <w:tcPr>
            <w:tcW w:w="5640" w:type="dxa"/>
          </w:tcPr>
          <w:p>
            <w:pPr>
              <w:spacing w:before="0" w:after="0"/>
              <w:jc w:val="left"/>
              <w:rPr>
                <w:bCs/>
                <w:noProof/>
                <w:sz w:val="22"/>
              </w:rPr>
            </w:pPr>
            <w:r>
              <w:rPr>
                <w:noProof/>
                <w:sz w:val="22"/>
              </w:rPr>
              <w:t>Οδηγία 2002/21/ΕΚ του Ευρωπαϊκού Κοινοβουλίου και του Συμβουλίου, της 7ης Μαρτίου 2002, σχετικά με κοινό κανονιστικό πλαίσιο για δίκτυα και υπηρεσίες ηλεκτρονικών επικοινωνιών (οδηγία πλαίσιο)</w:t>
            </w:r>
            <w:r>
              <w:rPr>
                <w:rStyle w:val="CommentReference"/>
                <w:noProof/>
              </w:rPr>
              <w:t xml:space="preserve"> </w:t>
            </w:r>
          </w:p>
        </w:tc>
        <w:tc>
          <w:tcPr>
            <w:tcW w:w="2340" w:type="dxa"/>
          </w:tcPr>
          <w:p>
            <w:pPr>
              <w:spacing w:before="0" w:after="0"/>
              <w:jc w:val="left"/>
              <w:rPr>
                <w:bCs/>
                <w:noProof/>
                <w:sz w:val="22"/>
              </w:rPr>
            </w:pPr>
            <w:r>
              <w:rPr>
                <w:noProof/>
                <w:sz w:val="22"/>
              </w:rPr>
              <w:t>COM(2016) 0590</w:t>
            </w:r>
          </w:p>
        </w:tc>
      </w:tr>
      <w:tr>
        <w:tc>
          <w:tcPr>
            <w:tcW w:w="1308" w:type="dxa"/>
          </w:tcPr>
          <w:p>
            <w:pPr>
              <w:spacing w:before="0" w:after="0"/>
              <w:jc w:val="left"/>
              <w:rPr>
                <w:noProof/>
                <w:sz w:val="22"/>
              </w:rPr>
            </w:pPr>
            <w:r>
              <w:rPr>
                <w:noProof/>
                <w:sz w:val="22"/>
              </w:rPr>
              <w:t>CNECT</w:t>
            </w:r>
          </w:p>
        </w:tc>
        <w:tc>
          <w:tcPr>
            <w:tcW w:w="5640" w:type="dxa"/>
          </w:tcPr>
          <w:p>
            <w:pPr>
              <w:spacing w:before="0" w:after="0"/>
              <w:jc w:val="left"/>
              <w:rPr>
                <w:bCs/>
                <w:noProof/>
                <w:sz w:val="22"/>
              </w:rPr>
            </w:pPr>
            <w:r>
              <w:rPr>
                <w:noProof/>
                <w:sz w:val="22"/>
              </w:rPr>
              <w:t xml:space="preserve">Οδηγία 2002/22/ΕΚ του Ευρωπαϊκού Κοινοβουλίου και του Συμβουλίου, της 7ης Μαρτίου 2002, για την καθολική υπηρεσία και τα δικαιώματα των χρηστών όσον αφορά δίκτυα και υπηρεσίες ηλεκτρονικών επικοινωνιών (οδηγία καθολικής υπηρεσίας) </w:t>
            </w:r>
          </w:p>
        </w:tc>
        <w:tc>
          <w:tcPr>
            <w:tcW w:w="2340" w:type="dxa"/>
          </w:tcPr>
          <w:p>
            <w:pPr>
              <w:spacing w:before="0" w:after="0"/>
              <w:jc w:val="left"/>
              <w:rPr>
                <w:bCs/>
                <w:noProof/>
                <w:sz w:val="22"/>
              </w:rPr>
            </w:pPr>
            <w:r>
              <w:rPr>
                <w:noProof/>
                <w:sz w:val="22"/>
              </w:rPr>
              <w:t>COM(2016) 0590</w:t>
            </w:r>
          </w:p>
        </w:tc>
      </w:tr>
      <w:tr>
        <w:tc>
          <w:tcPr>
            <w:tcW w:w="1308" w:type="dxa"/>
          </w:tcPr>
          <w:p>
            <w:pPr>
              <w:spacing w:before="0" w:after="0"/>
              <w:jc w:val="left"/>
              <w:rPr>
                <w:noProof/>
                <w:sz w:val="22"/>
              </w:rPr>
            </w:pPr>
            <w:r>
              <w:rPr>
                <w:noProof/>
                <w:sz w:val="22"/>
              </w:rPr>
              <w:t xml:space="preserve">ENER </w:t>
            </w:r>
          </w:p>
        </w:tc>
        <w:tc>
          <w:tcPr>
            <w:tcW w:w="5640" w:type="dxa"/>
          </w:tcPr>
          <w:p>
            <w:pPr>
              <w:spacing w:before="0" w:after="0"/>
              <w:jc w:val="left"/>
              <w:rPr>
                <w:noProof/>
                <w:sz w:val="22"/>
              </w:rPr>
            </w:pPr>
            <w:r>
              <w:rPr>
                <w:noProof/>
                <w:sz w:val="22"/>
              </w:rPr>
              <w:t>Οδηγία 2008/92/ΕΚ του Ευρωπαϊκού Κοινοβουλίου και του Συμβουλίου, της 22ας Οκτωβρίου 2008, σχετικά με κοινοτική διαδικασία για τη βελτίωση της διαφάνειας των τιμών αερίου και ηλεκτρικής ενέργειας για τον τελικό βιομηχανικό καταναλωτή (αναδιατύπωση)</w:t>
            </w:r>
          </w:p>
        </w:tc>
        <w:tc>
          <w:tcPr>
            <w:tcW w:w="2340" w:type="dxa"/>
          </w:tcPr>
          <w:p>
            <w:pPr>
              <w:spacing w:before="0" w:after="0"/>
              <w:jc w:val="left"/>
              <w:rPr>
                <w:noProof/>
                <w:sz w:val="22"/>
              </w:rPr>
            </w:pPr>
            <w:r>
              <w:rPr>
                <w:noProof/>
                <w:sz w:val="22"/>
              </w:rPr>
              <w:t>COM (2015) 496</w:t>
            </w:r>
          </w:p>
        </w:tc>
      </w:tr>
      <w:tr>
        <w:tc>
          <w:tcPr>
            <w:tcW w:w="1308" w:type="dxa"/>
          </w:tcPr>
          <w:p>
            <w:pPr>
              <w:spacing w:before="0" w:after="0"/>
              <w:jc w:val="left"/>
              <w:rPr>
                <w:noProof/>
                <w:sz w:val="22"/>
              </w:rPr>
            </w:pPr>
            <w:r>
              <w:rPr>
                <w:noProof/>
                <w:sz w:val="22"/>
              </w:rPr>
              <w:t xml:space="preserve">GROW </w:t>
            </w:r>
          </w:p>
        </w:tc>
        <w:tc>
          <w:tcPr>
            <w:tcW w:w="5640" w:type="dxa"/>
          </w:tcPr>
          <w:p>
            <w:pPr>
              <w:spacing w:before="0" w:after="0"/>
              <w:rPr>
                <w:bCs/>
                <w:noProof/>
                <w:sz w:val="22"/>
              </w:rPr>
            </w:pPr>
            <w:r>
              <w:rPr>
                <w:noProof/>
                <w:sz w:val="22"/>
              </w:rPr>
              <w:t>Κανονισμός (ΕΚ) αριθ. 595/2009 του Ευρωπαϊκού Κοινοβουλίου και του Συμβουλίου, της 18ης Ιουνίου 2009, σχετικά με την έγκριση τύπου των μηχανοκίνητων οχημάτων και κινητήρων όσον αφορά τις εκπομπές των βαρέων επαγγελματικών οχημάτων (ευρώ VI) και σχετικά με την πρόσβαση σε πληροφορίες επισκευής και συντήρησης οχημάτων, καθώς και για την τροποποίηση του κανονισμού (ΕΚ) αριθ. 715/2007 και της οδηγίας 2007/46/ΕΚ, και για την κατάργηση των οδηγιών 80/1269/ΕΟΚ, 2005/55/ΕΚ και 2005/78/ΕΚ</w:t>
            </w:r>
          </w:p>
        </w:tc>
        <w:tc>
          <w:tcPr>
            <w:tcW w:w="2340" w:type="dxa"/>
          </w:tcPr>
          <w:p>
            <w:pPr>
              <w:spacing w:before="0" w:after="0"/>
              <w:jc w:val="left"/>
              <w:rPr>
                <w:bCs/>
                <w:noProof/>
                <w:sz w:val="22"/>
              </w:rPr>
            </w:pPr>
            <w:r>
              <w:rPr>
                <w:noProof/>
                <w:sz w:val="22"/>
              </w:rPr>
              <w:t>COM (2014) 28 final</w:t>
            </w:r>
          </w:p>
        </w:tc>
      </w:tr>
      <w:tr>
        <w:tc>
          <w:tcPr>
            <w:tcW w:w="1308" w:type="dxa"/>
          </w:tcPr>
          <w:p>
            <w:pPr>
              <w:spacing w:before="0" w:after="0"/>
              <w:jc w:val="left"/>
              <w:rPr>
                <w:noProof/>
                <w:sz w:val="22"/>
              </w:rPr>
            </w:pPr>
            <w:r>
              <w:rPr>
                <w:noProof/>
                <w:sz w:val="22"/>
              </w:rPr>
              <w:t>GROW</w:t>
            </w:r>
          </w:p>
        </w:tc>
        <w:tc>
          <w:tcPr>
            <w:tcW w:w="5640" w:type="dxa"/>
          </w:tcPr>
          <w:p>
            <w:pPr>
              <w:spacing w:before="0" w:after="0"/>
              <w:rPr>
                <w:bCs/>
                <w:noProof/>
                <w:sz w:val="22"/>
              </w:rPr>
            </w:pPr>
            <w:r>
              <w:rPr>
                <w:noProof/>
                <w:sz w:val="22"/>
              </w:rPr>
              <w:t>Οδηγία 2007/46/ΕΚ του Ευρωπαϊκού Κοινοβουλίου και του Συμβουλίου, της 5ης Σεπτεμβρίου 2007 , για τη θέσπιση πλαισίου για την έγκριση των μηχανοκίνητων οχημάτων και των ρυμουλκουμένων τους, και των συστημάτων, κατασκευαστικών στοιχείων και χωριστών τεχνικών μονάδων που προορίζονται για τα οχήματα αυτά (οδηγία-πλαίσιο)</w:t>
            </w:r>
          </w:p>
        </w:tc>
        <w:tc>
          <w:tcPr>
            <w:tcW w:w="2340" w:type="dxa"/>
          </w:tcPr>
          <w:p>
            <w:pPr>
              <w:spacing w:before="0" w:after="0"/>
              <w:jc w:val="left"/>
              <w:rPr>
                <w:bCs/>
                <w:noProof/>
                <w:sz w:val="22"/>
              </w:rPr>
            </w:pPr>
            <w:r>
              <w:rPr>
                <w:noProof/>
                <w:sz w:val="22"/>
              </w:rPr>
              <w:t>COM (2016) 31 final</w:t>
            </w:r>
          </w:p>
        </w:tc>
      </w:tr>
      <w:tr>
        <w:tc>
          <w:tcPr>
            <w:tcW w:w="1308" w:type="dxa"/>
          </w:tcPr>
          <w:p>
            <w:pPr>
              <w:spacing w:before="0" w:after="0"/>
              <w:jc w:val="left"/>
              <w:rPr>
                <w:noProof/>
                <w:sz w:val="22"/>
              </w:rPr>
            </w:pPr>
            <w:r>
              <w:rPr>
                <w:noProof/>
                <w:sz w:val="22"/>
              </w:rPr>
              <w:t>GROW</w:t>
            </w:r>
          </w:p>
        </w:tc>
        <w:tc>
          <w:tcPr>
            <w:tcW w:w="5640" w:type="dxa"/>
          </w:tcPr>
          <w:p>
            <w:pPr>
              <w:spacing w:before="0" w:after="0"/>
              <w:rPr>
                <w:bCs/>
                <w:noProof/>
                <w:sz w:val="22"/>
              </w:rPr>
            </w:pPr>
            <w:r>
              <w:rPr>
                <w:noProof/>
                <w:sz w:val="22"/>
              </w:rPr>
              <w:t>Οδηγία 97/68/ΕΚ του Ευρωπαϊκού Κοινοβουλίου και του Συμβουλίου, της 16ης Δεκεμβρίου 1997, για την προσέγγιση των νομοθεσιών των κρατών μελών σχετικά με τα ληπτέα μέτρα κατά της εκπομπής αερίων και σωματιδιακών ρύπων προερχόμενων από κινητήρες εσωτερικής καύσης που τοποθετούνται σε μη οδικά κινητά μηχανήματα</w:t>
            </w:r>
          </w:p>
        </w:tc>
        <w:tc>
          <w:tcPr>
            <w:tcW w:w="2340" w:type="dxa"/>
          </w:tcPr>
          <w:p>
            <w:pPr>
              <w:spacing w:before="0" w:after="0"/>
              <w:jc w:val="left"/>
              <w:rPr>
                <w:bCs/>
                <w:noProof/>
                <w:sz w:val="22"/>
              </w:rPr>
            </w:pPr>
            <w:r>
              <w:rPr>
                <w:noProof/>
                <w:sz w:val="22"/>
              </w:rPr>
              <w:t>COM (2014) 581 final</w:t>
            </w:r>
          </w:p>
        </w:tc>
      </w:tr>
      <w:tr>
        <w:tc>
          <w:tcPr>
            <w:tcW w:w="1308" w:type="dxa"/>
          </w:tcPr>
          <w:p>
            <w:pPr>
              <w:spacing w:before="0" w:after="0"/>
              <w:jc w:val="left"/>
              <w:rPr>
                <w:noProof/>
                <w:sz w:val="22"/>
              </w:rPr>
            </w:pPr>
            <w:r>
              <w:rPr>
                <w:noProof/>
                <w:sz w:val="22"/>
              </w:rPr>
              <w:t>GROW</w:t>
            </w:r>
          </w:p>
        </w:tc>
        <w:tc>
          <w:tcPr>
            <w:tcW w:w="5640" w:type="dxa"/>
          </w:tcPr>
          <w:p>
            <w:pPr>
              <w:spacing w:before="0" w:after="0"/>
              <w:rPr>
                <w:bCs/>
                <w:noProof/>
                <w:sz w:val="22"/>
              </w:rPr>
            </w:pPr>
            <w:r>
              <w:rPr>
                <w:noProof/>
                <w:sz w:val="22"/>
              </w:rPr>
              <w:t>Κανονισμός (ΕΚ) αριθ. 715/2007 του Ευρωπαϊκού Κοινοβουλίου και του Συμβουλίου, της 20ής Ιουνίου 2007, που αφορά την έγκριση τύπου μηχανοκινήτων οχημάτων όσον αφορά εκπομπές από ελαφρά επιβατηγά και εμπορικά οχήματα (Euro 5 και Euro 6) και σχετικά με την πρόσβαση σε πληροφορίες επισκευής και συντήρησης οχημάτων</w:t>
            </w:r>
          </w:p>
        </w:tc>
        <w:tc>
          <w:tcPr>
            <w:tcW w:w="2340" w:type="dxa"/>
          </w:tcPr>
          <w:p>
            <w:pPr>
              <w:spacing w:before="0" w:after="0"/>
              <w:jc w:val="left"/>
              <w:rPr>
                <w:bCs/>
                <w:noProof/>
                <w:sz w:val="22"/>
              </w:rPr>
            </w:pPr>
            <w:r>
              <w:rPr>
                <w:noProof/>
                <w:sz w:val="22"/>
              </w:rPr>
              <w:t>COM (2014) 28 final</w:t>
            </w:r>
          </w:p>
        </w:tc>
      </w:tr>
      <w:tr>
        <w:tc>
          <w:tcPr>
            <w:tcW w:w="1308" w:type="dxa"/>
          </w:tcPr>
          <w:p>
            <w:pPr>
              <w:spacing w:before="0" w:after="0"/>
              <w:jc w:val="left"/>
              <w:rPr>
                <w:noProof/>
                <w:sz w:val="22"/>
              </w:rPr>
            </w:pPr>
            <w:r>
              <w:rPr>
                <w:noProof/>
                <w:sz w:val="22"/>
              </w:rPr>
              <w:t>ENV</w:t>
            </w:r>
          </w:p>
        </w:tc>
        <w:tc>
          <w:tcPr>
            <w:tcW w:w="5640" w:type="dxa"/>
          </w:tcPr>
          <w:p>
            <w:pPr>
              <w:spacing w:before="0" w:after="0"/>
              <w:jc w:val="left"/>
              <w:rPr>
                <w:noProof/>
                <w:sz w:val="22"/>
              </w:rPr>
            </w:pPr>
            <w:r>
              <w:rPr>
                <w:noProof/>
                <w:sz w:val="22"/>
              </w:rPr>
              <w:t>Οδηγία 2008/98/ΕΚ του Ευρωπαϊκού Κοινοβουλίου και του Συμβουλίου, της 19ης Νοεμβρίου 2008, για τα απόβλητα και την κατάργηση ορισμένων οδηγιών (οδηγία-πλαίσιο για τα απόβλητα)</w:t>
            </w:r>
          </w:p>
        </w:tc>
        <w:tc>
          <w:tcPr>
            <w:tcW w:w="2340" w:type="dxa"/>
          </w:tcPr>
          <w:p>
            <w:pPr>
              <w:spacing w:before="0" w:after="0"/>
              <w:jc w:val="left"/>
              <w:rPr>
                <w:bCs/>
                <w:noProof/>
                <w:sz w:val="22"/>
              </w:rPr>
            </w:pPr>
            <w:r>
              <w:rPr>
                <w:noProof/>
                <w:sz w:val="22"/>
              </w:rPr>
              <w:t>COM(2015)595</w:t>
            </w:r>
          </w:p>
          <w:p>
            <w:pPr>
              <w:spacing w:before="0" w:after="0"/>
              <w:jc w:val="left"/>
              <w:rPr>
                <w:bCs/>
                <w:noProof/>
                <w:sz w:val="22"/>
              </w:rPr>
            </w:pPr>
          </w:p>
        </w:tc>
      </w:tr>
      <w:tr>
        <w:tc>
          <w:tcPr>
            <w:tcW w:w="1308" w:type="dxa"/>
          </w:tcPr>
          <w:p>
            <w:pPr>
              <w:spacing w:before="0" w:after="0"/>
              <w:jc w:val="left"/>
              <w:rPr>
                <w:noProof/>
                <w:sz w:val="22"/>
              </w:rPr>
            </w:pPr>
            <w:r>
              <w:rPr>
                <w:noProof/>
                <w:sz w:val="22"/>
              </w:rPr>
              <w:t>ENV</w:t>
            </w:r>
          </w:p>
        </w:tc>
        <w:tc>
          <w:tcPr>
            <w:tcW w:w="5640" w:type="dxa"/>
          </w:tcPr>
          <w:p>
            <w:pPr>
              <w:spacing w:before="0" w:after="0"/>
              <w:jc w:val="left"/>
              <w:rPr>
                <w:noProof/>
                <w:sz w:val="22"/>
              </w:rPr>
            </w:pPr>
            <w:r>
              <w:rPr>
                <w:noProof/>
                <w:sz w:val="22"/>
              </w:rPr>
              <w:t>Οδηγία 1999/31/ΕΚ του Συμβουλίου, της 26ης Απριλίου 1999, περί υγειονομικής ταφής των αποβλήτων</w:t>
            </w:r>
          </w:p>
        </w:tc>
        <w:tc>
          <w:tcPr>
            <w:tcW w:w="2340" w:type="dxa"/>
          </w:tcPr>
          <w:p>
            <w:pPr>
              <w:spacing w:before="0" w:after="0"/>
              <w:jc w:val="left"/>
              <w:rPr>
                <w:bCs/>
                <w:noProof/>
                <w:sz w:val="22"/>
              </w:rPr>
            </w:pPr>
            <w:r>
              <w:rPr>
                <w:noProof/>
                <w:sz w:val="22"/>
              </w:rPr>
              <w:t>COM(2015)594</w:t>
            </w:r>
          </w:p>
          <w:p>
            <w:pPr>
              <w:spacing w:before="0" w:after="0"/>
              <w:jc w:val="left"/>
              <w:rPr>
                <w:bCs/>
                <w:noProof/>
                <w:sz w:val="22"/>
              </w:rPr>
            </w:pPr>
          </w:p>
        </w:tc>
      </w:tr>
      <w:tr>
        <w:tc>
          <w:tcPr>
            <w:tcW w:w="1308" w:type="dxa"/>
          </w:tcPr>
          <w:p>
            <w:pPr>
              <w:spacing w:before="0" w:after="0"/>
              <w:jc w:val="left"/>
              <w:rPr>
                <w:noProof/>
                <w:sz w:val="22"/>
              </w:rPr>
            </w:pPr>
            <w:r>
              <w:rPr>
                <w:noProof/>
                <w:sz w:val="22"/>
              </w:rPr>
              <w:t>ENV</w:t>
            </w:r>
          </w:p>
        </w:tc>
        <w:tc>
          <w:tcPr>
            <w:tcW w:w="5640" w:type="dxa"/>
          </w:tcPr>
          <w:p>
            <w:pPr>
              <w:spacing w:before="0" w:after="0"/>
              <w:jc w:val="left"/>
              <w:rPr>
                <w:noProof/>
                <w:sz w:val="22"/>
              </w:rPr>
            </w:pPr>
            <w:r>
              <w:rPr>
                <w:noProof/>
                <w:sz w:val="22"/>
              </w:rPr>
              <w:t>Οδηγία 94/62/ΕΚ του Ευρωπαϊκού Κοινοβουλίου και του Συμβουλίου, της 20ής Δεκεμβρίου 1994, για τις συσκευασίες και τα απορρίμματα συσκευασίας</w:t>
            </w:r>
          </w:p>
        </w:tc>
        <w:tc>
          <w:tcPr>
            <w:tcW w:w="2340" w:type="dxa"/>
          </w:tcPr>
          <w:p>
            <w:pPr>
              <w:spacing w:before="0" w:after="0"/>
              <w:jc w:val="left"/>
              <w:rPr>
                <w:bCs/>
                <w:noProof/>
                <w:sz w:val="22"/>
              </w:rPr>
            </w:pPr>
            <w:r>
              <w:rPr>
                <w:noProof/>
                <w:sz w:val="22"/>
              </w:rPr>
              <w:t>COM(2015)593</w:t>
            </w:r>
          </w:p>
          <w:p>
            <w:pPr>
              <w:spacing w:before="0" w:after="0"/>
              <w:jc w:val="left"/>
              <w:rPr>
                <w:bCs/>
                <w:i/>
                <w:noProof/>
                <w:sz w:val="22"/>
              </w:rPr>
            </w:pPr>
          </w:p>
        </w:tc>
      </w:tr>
      <w:tr>
        <w:tc>
          <w:tcPr>
            <w:tcW w:w="1308" w:type="dxa"/>
          </w:tcPr>
          <w:p>
            <w:pPr>
              <w:spacing w:before="0" w:after="0"/>
              <w:jc w:val="left"/>
              <w:rPr>
                <w:noProof/>
                <w:sz w:val="22"/>
              </w:rPr>
            </w:pPr>
            <w:r>
              <w:rPr>
                <w:noProof/>
                <w:sz w:val="22"/>
              </w:rPr>
              <w:t xml:space="preserve">ENV </w:t>
            </w:r>
          </w:p>
        </w:tc>
        <w:tc>
          <w:tcPr>
            <w:tcW w:w="5640" w:type="dxa"/>
          </w:tcPr>
          <w:p>
            <w:pPr>
              <w:spacing w:before="0" w:after="0"/>
              <w:jc w:val="left"/>
              <w:rPr>
                <w:bCs/>
                <w:noProof/>
                <w:sz w:val="22"/>
              </w:rPr>
            </w:pPr>
            <w:r>
              <w:rPr>
                <w:noProof/>
                <w:sz w:val="22"/>
              </w:rPr>
              <w:t>Κανονισμός (ΕΚ) αριθ. 338/97 του Συμβουλίου, της 9ης Δεκεμβρίου 1996, για την προστασία των ειδών άγριας πανίδας και χλωρίδας με τον έλεγχο του εμπορίου τους</w:t>
            </w:r>
          </w:p>
        </w:tc>
        <w:tc>
          <w:tcPr>
            <w:tcW w:w="2340" w:type="dxa"/>
          </w:tcPr>
          <w:p>
            <w:pPr>
              <w:spacing w:before="0" w:after="0"/>
              <w:jc w:val="left"/>
              <w:rPr>
                <w:bCs/>
                <w:noProof/>
                <w:sz w:val="22"/>
              </w:rPr>
            </w:pPr>
            <w:r>
              <w:rPr>
                <w:noProof/>
                <w:sz w:val="22"/>
              </w:rPr>
              <w:t>COM(2012)0403</w:t>
            </w:r>
          </w:p>
        </w:tc>
      </w:tr>
      <w:tr>
        <w:tc>
          <w:tcPr>
            <w:tcW w:w="1308" w:type="dxa"/>
          </w:tcPr>
          <w:p>
            <w:pPr>
              <w:spacing w:before="0" w:after="0"/>
              <w:jc w:val="left"/>
              <w:rPr>
                <w:noProof/>
                <w:sz w:val="22"/>
              </w:rPr>
            </w:pPr>
            <w:r>
              <w:rPr>
                <w:noProof/>
                <w:sz w:val="22"/>
              </w:rPr>
              <w:t>ESTAT</w:t>
            </w:r>
          </w:p>
        </w:tc>
        <w:tc>
          <w:tcPr>
            <w:tcW w:w="5640" w:type="dxa"/>
          </w:tcPr>
          <w:p>
            <w:pPr>
              <w:spacing w:before="0" w:after="0"/>
              <w:jc w:val="left"/>
              <w:rPr>
                <w:bCs/>
                <w:noProof/>
                <w:sz w:val="22"/>
              </w:rPr>
            </w:pPr>
            <w:r>
              <w:rPr>
                <w:noProof/>
                <w:sz w:val="22"/>
              </w:rPr>
              <w:t>Κανονισμός (ΕΚ) αριθ. 1177/2003 του Ευρωπαϊκού Κοινοβουλίου και του Συμβουλίου, της 16ης Ιουνίου 2003, σχετικά με τις κοινοτικές στατιστικές για το εισόδημα και τις συνθήκες διαβίωσης (EU-SILC)</w:t>
            </w:r>
          </w:p>
        </w:tc>
        <w:tc>
          <w:tcPr>
            <w:tcW w:w="2340" w:type="dxa"/>
          </w:tcPr>
          <w:p>
            <w:pPr>
              <w:spacing w:before="0" w:after="0"/>
              <w:jc w:val="left"/>
              <w:rPr>
                <w:bCs/>
                <w:noProof/>
                <w:sz w:val="22"/>
              </w:rPr>
            </w:pPr>
            <w:r>
              <w:rPr>
                <w:noProof/>
                <w:sz w:val="22"/>
              </w:rPr>
              <w:t xml:space="preserve">Προτείνεται κατάργηση με το COM(2016)551 </w:t>
            </w:r>
          </w:p>
        </w:tc>
      </w:tr>
      <w:tr>
        <w:tc>
          <w:tcPr>
            <w:tcW w:w="1308" w:type="dxa"/>
            <w:shd w:val="clear" w:color="auto" w:fill="FFFFFF" w:themeFill="background1"/>
          </w:tcPr>
          <w:p>
            <w:pPr>
              <w:spacing w:before="0" w:after="0"/>
              <w:jc w:val="left"/>
              <w:rPr>
                <w:noProof/>
                <w:sz w:val="22"/>
              </w:rPr>
            </w:pPr>
            <w:r>
              <w:rPr>
                <w:noProof/>
                <w:sz w:val="22"/>
              </w:rPr>
              <w:t>MOVE</w:t>
            </w:r>
          </w:p>
        </w:tc>
        <w:tc>
          <w:tcPr>
            <w:tcW w:w="5640" w:type="dxa"/>
            <w:shd w:val="clear" w:color="auto" w:fill="FFFFFF" w:themeFill="background1"/>
          </w:tcPr>
          <w:p>
            <w:pPr>
              <w:spacing w:before="0" w:after="0"/>
              <w:jc w:val="left"/>
              <w:rPr>
                <w:noProof/>
                <w:sz w:val="22"/>
              </w:rPr>
            </w:pPr>
            <w:r>
              <w:rPr>
                <w:noProof/>
                <w:sz w:val="22"/>
              </w:rPr>
              <w:t xml:space="preserve">Οδηγία 2006/87/ΕΚ του Ευρωπαϊκού Κοινοβουλίου και του Συμβουλίου, της 12ης Δεκεμβρίου 2006, σχετικά με τη θέσπιση τεχνικών προδιαγραφών για τα πλοία εσωτερικής ναυσιπλοΐας </w:t>
            </w:r>
          </w:p>
        </w:tc>
        <w:tc>
          <w:tcPr>
            <w:tcW w:w="2340" w:type="dxa"/>
            <w:shd w:val="clear" w:color="auto" w:fill="FFFFFF" w:themeFill="background1"/>
          </w:tcPr>
          <w:p>
            <w:pPr>
              <w:spacing w:before="0" w:after="0"/>
              <w:jc w:val="left"/>
              <w:rPr>
                <w:noProof/>
                <w:sz w:val="22"/>
              </w:rPr>
            </w:pPr>
            <w:r>
              <w:rPr>
                <w:noProof/>
                <w:sz w:val="22"/>
              </w:rPr>
              <w:t>COM (2013) 0622</w:t>
            </w:r>
          </w:p>
        </w:tc>
      </w:tr>
      <w:tr>
        <w:tc>
          <w:tcPr>
            <w:tcW w:w="1308" w:type="dxa"/>
            <w:shd w:val="clear" w:color="auto" w:fill="FFFFFF" w:themeFill="background1"/>
          </w:tcPr>
          <w:p>
            <w:pPr>
              <w:spacing w:before="0" w:after="0"/>
              <w:jc w:val="left"/>
              <w:rPr>
                <w:noProof/>
                <w:sz w:val="22"/>
              </w:rPr>
            </w:pPr>
            <w:r>
              <w:rPr>
                <w:noProof/>
                <w:sz w:val="22"/>
              </w:rPr>
              <w:t>MOVE</w:t>
            </w:r>
          </w:p>
        </w:tc>
        <w:tc>
          <w:tcPr>
            <w:tcW w:w="5640" w:type="dxa"/>
            <w:shd w:val="clear" w:color="auto" w:fill="FFFFFF" w:themeFill="background1"/>
          </w:tcPr>
          <w:p>
            <w:pPr>
              <w:spacing w:before="0" w:after="0"/>
              <w:jc w:val="left"/>
              <w:rPr>
                <w:noProof/>
                <w:sz w:val="22"/>
              </w:rPr>
            </w:pPr>
            <w:r>
              <w:rPr>
                <w:noProof/>
                <w:sz w:val="22"/>
              </w:rPr>
              <w:t xml:space="preserve">Οδηγία 2002/30/ΕΚ του Ευρωπαϊκού Κοινοβουλίου και του Συμβουλίου, της 26ης Μαρτίου 2002, περί της καθιέρωσης των κανόνων και διαδικασιών για τη θέσπιση περιορισμών λειτουργίας σε συνάρτηση με τον προκαλούμενο θόρυβο στους κοινοτικούς αερολιμένες </w:t>
            </w:r>
          </w:p>
        </w:tc>
        <w:tc>
          <w:tcPr>
            <w:tcW w:w="2340" w:type="dxa"/>
            <w:shd w:val="clear" w:color="auto" w:fill="FFFFFF" w:themeFill="background1"/>
          </w:tcPr>
          <w:p>
            <w:pPr>
              <w:spacing w:before="0" w:after="0"/>
              <w:jc w:val="left"/>
              <w:rPr>
                <w:noProof/>
                <w:sz w:val="22"/>
              </w:rPr>
            </w:pPr>
            <w:r>
              <w:rPr>
                <w:noProof/>
                <w:sz w:val="22"/>
              </w:rPr>
              <w:t>COM (2011) 0828</w:t>
            </w:r>
          </w:p>
        </w:tc>
      </w:tr>
      <w:tr>
        <w:tc>
          <w:tcPr>
            <w:tcW w:w="1308" w:type="dxa"/>
          </w:tcPr>
          <w:p>
            <w:pPr>
              <w:spacing w:before="0" w:after="0"/>
              <w:jc w:val="left"/>
              <w:rPr>
                <w:noProof/>
                <w:sz w:val="22"/>
              </w:rPr>
            </w:pPr>
            <w:r>
              <w:rPr>
                <w:noProof/>
                <w:sz w:val="22"/>
              </w:rPr>
              <w:t>MOVE</w:t>
            </w:r>
          </w:p>
        </w:tc>
        <w:tc>
          <w:tcPr>
            <w:tcW w:w="5640" w:type="dxa"/>
          </w:tcPr>
          <w:p>
            <w:pPr>
              <w:spacing w:before="0" w:after="0"/>
              <w:jc w:val="left"/>
              <w:rPr>
                <w:noProof/>
                <w:sz w:val="22"/>
              </w:rPr>
            </w:pPr>
            <w:r>
              <w:rPr>
                <w:noProof/>
                <w:sz w:val="22"/>
              </w:rPr>
              <w:t>Οδηγία 96/50/ΕΚ του Συμβουλίου, της 23ης Ιουλίου 1996, σχετικά με την εναρμόνιση των προϋποθέσεων απόκτησης εθνικού πιστοποιητικού κυβερνήτη σκάφους εσωτερικής ναυσιπλοΐας για τη μεταφορά εμπορευμάτων και προσώπων στην Κοινότητα</w:t>
            </w:r>
          </w:p>
        </w:tc>
        <w:tc>
          <w:tcPr>
            <w:tcW w:w="2340" w:type="dxa"/>
          </w:tcPr>
          <w:p>
            <w:pPr>
              <w:spacing w:before="0" w:after="0"/>
              <w:jc w:val="left"/>
              <w:rPr>
                <w:noProof/>
                <w:sz w:val="22"/>
              </w:rPr>
            </w:pPr>
            <w:r>
              <w:rPr>
                <w:noProof/>
                <w:sz w:val="22"/>
              </w:rPr>
              <w:t>COM (2016) 82 final</w:t>
            </w:r>
          </w:p>
        </w:tc>
      </w:tr>
      <w:tr>
        <w:trPr>
          <w:trHeight w:val="169"/>
        </w:trPr>
        <w:tc>
          <w:tcPr>
            <w:tcW w:w="1308" w:type="dxa"/>
          </w:tcPr>
          <w:p>
            <w:pPr>
              <w:spacing w:before="0" w:after="0"/>
              <w:jc w:val="left"/>
              <w:rPr>
                <w:noProof/>
                <w:sz w:val="22"/>
              </w:rPr>
            </w:pPr>
            <w:r>
              <w:rPr>
                <w:noProof/>
                <w:sz w:val="22"/>
              </w:rPr>
              <w:t>MOVE</w:t>
            </w:r>
          </w:p>
        </w:tc>
        <w:tc>
          <w:tcPr>
            <w:tcW w:w="5640" w:type="dxa"/>
          </w:tcPr>
          <w:p>
            <w:pPr>
              <w:spacing w:before="0" w:after="0"/>
              <w:jc w:val="left"/>
              <w:rPr>
                <w:noProof/>
                <w:sz w:val="22"/>
              </w:rPr>
            </w:pPr>
            <w:r>
              <w:rPr>
                <w:noProof/>
                <w:sz w:val="22"/>
              </w:rPr>
              <w:t>Οδηγία 91/672/ΕΟΚ του Συμβουλίου, της 16ης Δεκεμβρίου 1991, για την αμοιβαία αναγνώριση των εθνικών αποδεικτικών ναυτικής ικανότητας για τα σκάφη μεταφοράς εμπορευμάτων και προσώπων με εσωτερική ναυσιπλοΐα</w:t>
            </w:r>
          </w:p>
        </w:tc>
        <w:tc>
          <w:tcPr>
            <w:tcW w:w="2340" w:type="dxa"/>
          </w:tcPr>
          <w:p>
            <w:pPr>
              <w:spacing w:before="0" w:after="0"/>
              <w:jc w:val="left"/>
              <w:rPr>
                <w:noProof/>
                <w:sz w:val="22"/>
              </w:rPr>
            </w:pPr>
            <w:r>
              <w:rPr>
                <w:noProof/>
                <w:sz w:val="22"/>
              </w:rPr>
              <w:t>COM (2016) 82 final</w:t>
            </w:r>
          </w:p>
        </w:tc>
      </w:tr>
      <w:tr>
        <w:tc>
          <w:tcPr>
            <w:tcW w:w="1308" w:type="dxa"/>
          </w:tcPr>
          <w:p>
            <w:pPr>
              <w:spacing w:before="0" w:after="0"/>
              <w:jc w:val="left"/>
              <w:rPr>
                <w:noProof/>
                <w:sz w:val="22"/>
              </w:rPr>
            </w:pPr>
            <w:r>
              <w:rPr>
                <w:noProof/>
                <w:sz w:val="22"/>
              </w:rPr>
              <w:t>MOVE</w:t>
            </w:r>
          </w:p>
        </w:tc>
        <w:tc>
          <w:tcPr>
            <w:tcW w:w="5640" w:type="dxa"/>
          </w:tcPr>
          <w:p>
            <w:pPr>
              <w:spacing w:before="0" w:after="0"/>
              <w:jc w:val="left"/>
              <w:rPr>
                <w:noProof/>
                <w:sz w:val="22"/>
              </w:rPr>
            </w:pPr>
            <w:r>
              <w:rPr>
                <w:noProof/>
                <w:sz w:val="22"/>
              </w:rPr>
              <w:t>Οδηγία 2009/45/ΕΚ του Ευρωπαϊκού Κοινοβουλίου και του Συμβουλίου, της 6ης Μαΐου 2009, για τους κανόνες και τα πρότυπα ασφαλείας για τα επιβατηγά πλοία (Αναδιατύπωση)</w:t>
            </w:r>
          </w:p>
        </w:tc>
        <w:tc>
          <w:tcPr>
            <w:tcW w:w="2340" w:type="dxa"/>
          </w:tcPr>
          <w:p>
            <w:pPr>
              <w:spacing w:before="0" w:after="0"/>
              <w:jc w:val="left"/>
              <w:rPr>
                <w:noProof/>
                <w:sz w:val="22"/>
              </w:rPr>
            </w:pPr>
            <w:r>
              <w:rPr>
                <w:noProof/>
                <w:sz w:val="22"/>
              </w:rPr>
              <w:t>COM (2016) 0369</w:t>
            </w:r>
          </w:p>
        </w:tc>
      </w:tr>
      <w:tr>
        <w:tc>
          <w:tcPr>
            <w:tcW w:w="1308" w:type="dxa"/>
          </w:tcPr>
          <w:p>
            <w:pPr>
              <w:spacing w:before="0" w:after="0"/>
              <w:jc w:val="left"/>
              <w:rPr>
                <w:noProof/>
                <w:sz w:val="22"/>
              </w:rPr>
            </w:pPr>
            <w:r>
              <w:rPr>
                <w:noProof/>
                <w:sz w:val="22"/>
              </w:rPr>
              <w:t>MOVE</w:t>
            </w:r>
          </w:p>
        </w:tc>
        <w:tc>
          <w:tcPr>
            <w:tcW w:w="5640" w:type="dxa"/>
          </w:tcPr>
          <w:p>
            <w:pPr>
              <w:spacing w:before="0" w:after="0"/>
              <w:jc w:val="left"/>
              <w:rPr>
                <w:noProof/>
                <w:sz w:val="22"/>
              </w:rPr>
            </w:pPr>
            <w:r>
              <w:rPr>
                <w:noProof/>
                <w:sz w:val="22"/>
              </w:rPr>
              <w:t>Οδηγία 1999/35/EK του Συμβουλίου, της 29ης Απριλίου 1999, σχετικά με ένα σύστημα υποχρεωτικών επιθεωρήσεων για την ασφαλή εκτέλεση τακτικών δρομολογίων από οχηματαγωγά ro- ro και ταχύπλοα επιβατηγά σκάφη</w:t>
            </w:r>
          </w:p>
        </w:tc>
        <w:tc>
          <w:tcPr>
            <w:tcW w:w="2340" w:type="dxa"/>
          </w:tcPr>
          <w:p>
            <w:pPr>
              <w:spacing w:before="0" w:after="0"/>
              <w:jc w:val="left"/>
              <w:rPr>
                <w:noProof/>
                <w:sz w:val="22"/>
              </w:rPr>
            </w:pPr>
            <w:r>
              <w:rPr>
                <w:noProof/>
                <w:sz w:val="22"/>
              </w:rPr>
              <w:t>COM(2016)371</w:t>
            </w:r>
          </w:p>
        </w:tc>
      </w:tr>
      <w:tr>
        <w:tc>
          <w:tcPr>
            <w:tcW w:w="1308" w:type="dxa"/>
          </w:tcPr>
          <w:p>
            <w:pPr>
              <w:spacing w:before="0" w:after="0"/>
              <w:jc w:val="left"/>
              <w:rPr>
                <w:noProof/>
                <w:sz w:val="22"/>
              </w:rPr>
            </w:pPr>
            <w:r>
              <w:rPr>
                <w:noProof/>
                <w:sz w:val="22"/>
              </w:rPr>
              <w:t xml:space="preserve">MOVE </w:t>
            </w:r>
          </w:p>
        </w:tc>
        <w:tc>
          <w:tcPr>
            <w:tcW w:w="5640" w:type="dxa"/>
          </w:tcPr>
          <w:p>
            <w:pPr>
              <w:spacing w:before="0" w:after="0"/>
              <w:jc w:val="left"/>
              <w:rPr>
                <w:noProof/>
                <w:sz w:val="22"/>
              </w:rPr>
            </w:pPr>
            <w:r>
              <w:rPr>
                <w:noProof/>
                <w:sz w:val="22"/>
              </w:rPr>
              <w:t>Οδηγία 98/41/ΕΚ του Συμβουλίου, της 18ης Ιουνίου 1998, σχετικά με την καταγραφή των ατόμων που ταξιδεύουν με επιβατηγά πλοία που εκτελούν δρομολόγια προς ή από λιμένες των κρατών μελών της Κοινότητας</w:t>
            </w:r>
          </w:p>
        </w:tc>
        <w:tc>
          <w:tcPr>
            <w:tcW w:w="2340" w:type="dxa"/>
          </w:tcPr>
          <w:p>
            <w:pPr>
              <w:spacing w:before="0" w:after="0"/>
              <w:jc w:val="left"/>
              <w:rPr>
                <w:noProof/>
                <w:sz w:val="22"/>
              </w:rPr>
            </w:pPr>
            <w:r>
              <w:rPr>
                <w:noProof/>
                <w:sz w:val="22"/>
              </w:rPr>
              <w:t>COM(2016)370</w:t>
            </w:r>
          </w:p>
        </w:tc>
      </w:tr>
      <w:tr>
        <w:tc>
          <w:tcPr>
            <w:tcW w:w="1308" w:type="dxa"/>
          </w:tcPr>
          <w:p>
            <w:pPr>
              <w:spacing w:before="0" w:after="0"/>
              <w:jc w:val="left"/>
              <w:rPr>
                <w:noProof/>
                <w:sz w:val="22"/>
              </w:rPr>
            </w:pPr>
            <w:r>
              <w:rPr>
                <w:noProof/>
                <w:sz w:val="22"/>
              </w:rPr>
              <w:t xml:space="preserve">SANTE </w:t>
            </w:r>
          </w:p>
        </w:tc>
        <w:tc>
          <w:tcPr>
            <w:tcW w:w="5640" w:type="dxa"/>
          </w:tcPr>
          <w:p>
            <w:pPr>
              <w:spacing w:before="0" w:after="0"/>
              <w:rPr>
                <w:bCs/>
                <w:noProof/>
                <w:sz w:val="22"/>
              </w:rPr>
            </w:pPr>
            <w:r>
              <w:rPr>
                <w:noProof/>
                <w:sz w:val="22"/>
              </w:rPr>
              <w:t>Κανονισμός (ΕΟΚ) αριθ. 726/2004 του Ευρωπαϊκού Κοινοβουλίου και του Συμβουλίου, της 31ης Μαρτίου 2004, για τη θέσπιση κοινοτικών διαδικασιών χορήγησης άδειας και εποπτείας όσον αφορά τα φάρμακα που προορίζονται για ανθρώπινη και για κτηνιατρική χρήση και για τη σύσταση Ευρωπαϊκού Οργανισμού Φαρμάκων</w:t>
            </w:r>
          </w:p>
        </w:tc>
        <w:tc>
          <w:tcPr>
            <w:tcW w:w="2340" w:type="dxa"/>
          </w:tcPr>
          <w:p>
            <w:pPr>
              <w:spacing w:before="0" w:after="0"/>
              <w:jc w:val="left"/>
              <w:rPr>
                <w:bCs/>
                <w:noProof/>
                <w:sz w:val="22"/>
              </w:rPr>
            </w:pPr>
            <w:r>
              <w:rPr>
                <w:noProof/>
                <w:sz w:val="22"/>
              </w:rPr>
              <w:t>COM(2014)0557</w:t>
            </w:r>
          </w:p>
        </w:tc>
      </w:tr>
    </w:tbl>
    <w:p>
      <w:pPr>
        <w:pBdr>
          <w:top w:val="nil"/>
          <w:left w:val="nil"/>
          <w:bottom w:val="nil"/>
          <w:right w:val="nil"/>
          <w:between w:val="nil"/>
          <w:bar w:val="nil"/>
        </w:pBdr>
        <w:spacing w:before="0" w:after="240"/>
        <w:rPr>
          <w:rFonts w:eastAsia="Arial Unicode MS"/>
          <w:noProof/>
          <w:sz w:val="22"/>
        </w:rPr>
      </w:pPr>
      <w:r>
        <w:rPr>
          <w:noProof/>
          <w:sz w:val="22"/>
        </w:rPr>
        <w:t xml:space="preserve">Για τις νομικές πράξεις που παρατίθενται στη συνέχεια, οι οποίες περιέχουν παραπομπές στην ΚΔΕ, προβλέπεται χωριστή ουσιαστική αναθεώρηση, αλλά ακόμη δεν έχει εγκριθεί. Η εναρμόνισή τους θα ενταχθεί στις εν λόγω προβλεπόμενες αναθεωρήσεις. </w:t>
      </w:r>
    </w:p>
    <w:p>
      <w:pPr>
        <w:pBdr>
          <w:top w:val="nil"/>
          <w:left w:val="nil"/>
          <w:bottom w:val="nil"/>
          <w:right w:val="nil"/>
          <w:between w:val="nil"/>
          <w:bar w:val="nil"/>
        </w:pBdr>
        <w:spacing w:before="0" w:after="240"/>
        <w:rPr>
          <w:rFonts w:eastAsia="Arial Unicode MS"/>
          <w:b/>
          <w:noProof/>
          <w:sz w:val="22"/>
        </w:rPr>
      </w:pPr>
      <w:r>
        <w:rPr>
          <w:b/>
          <w:noProof/>
          <w:sz w:val="22"/>
        </w:rPr>
        <w:t>Πίνακας 4: Πράξεις για τις οποίες έχουν προγραμματιστεί προτάσεις</w:t>
      </w:r>
    </w:p>
    <w:tbl>
      <w:tblPr>
        <w:tblW w:w="5000" w:type="pct"/>
        <w:tblLook w:val="04A0" w:firstRow="1" w:lastRow="0" w:firstColumn="1" w:lastColumn="0" w:noHBand="0" w:noVBand="1"/>
      </w:tblPr>
      <w:tblGrid>
        <w:gridCol w:w="1308"/>
        <w:gridCol w:w="7981"/>
      </w:tblGrid>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
                <w:bCs/>
                <w:noProof/>
                <w:sz w:val="22"/>
              </w:rPr>
            </w:pPr>
            <w:r>
              <w:rPr>
                <w:b/>
                <w:noProof/>
                <w:sz w:val="22"/>
              </w:rPr>
              <w:t>Τομέας</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
                <w:bCs/>
                <w:noProof/>
                <w:sz w:val="22"/>
              </w:rPr>
            </w:pPr>
            <w:r>
              <w:rPr>
                <w:b/>
                <w:noProof/>
                <w:sz w:val="22"/>
              </w:rPr>
              <w:t>Πράξη</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 xml:space="preserve">AGRI </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
                <w:bCs/>
                <w:noProof/>
                <w:sz w:val="22"/>
              </w:rPr>
            </w:pPr>
            <w:r>
              <w:rPr>
                <w:noProof/>
                <w:sz w:val="22"/>
              </w:rPr>
              <w:t>Κανονισμός (ΕΚ) αριθ. 110/2008 του Ευρωπαϊκού Κοινοβουλίου και του Συμβουλίου, της 15ης Ιανουαρίου 2008, σχετικά με τον ορισμό, την περιγραφή, την παρουσίαση, την επισήμανση και την προστασία των γεωγραφικών ενδείξεων των αλκοολούχων ποτών και την κατάργηση του κανονισμού (ΕΟΚ) αριθ. 1576/89 του Συμβουλίου</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CLIMA</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Οδηγία 2009/31/ΕΚ του Ευρωπαϊκού Κοινοβουλίου και του Συμβουλίου, της 23ης Απριλίου 2009, σχετικά με την αποθήκευση διοξειδίου του άνθρακα σε γεωλογικούς σχηματισμούς και για την τροποποίηση της οδηγίας 85/337/ΕΟΚ του Συμβουλίου, των οδηγιών του Ευρωπαϊκού Κοινοβουλίου και του Συμβουλίου 2000/60/ΕΚ, 2001/80/ΕΚ, 2004/35/ΕΚ, 2006/12/ΕΚ και 2008/1/ΕΚ, και του κανονισμού (ΕΚ) αριθ. 1013/2006</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ENER</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Κανονισμός (ΕΚ) αριθ. 713/2009 του Ευρωπαϊκού Κοινοβουλίου και του Συμβουλίου, της 13ης Ιουλίου 2009, για την ίδρυση Οργανισμού Συνεργασίας των Ρυθμιστικών Αρχών Ενεργείας</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ENER</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Κανονισμός (ΕΚ) αριθ. 714/2009 του Ευρωπαϊκού Κοινοβουλίου και του Συμβουλίου, της 13ης Ιουλίου 2009, σχετικά με τους όρους πρόσβασης στο δίκτυο για τις διασυνοριακές ανταλλαγές ηλεκτρικής ενεργείας και την κατάργηση του κανονισμού (ΕΚ) αριθ. 1228/2003</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ENER</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Οδηγία 2009/72/ΕΚ του Ευρωπαϊκού Κοινοβουλίου και του Συμβουλίου, της 13ης Ιουλίου 2009, σχετικά με τους κοινούς κανόνες για την εσωτερική αγορά ηλεκτρικής ενεργείας και για την κατάργηση της οδηγίας 2003/54/ΕΚ</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 xml:space="preserve">ENV </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Κανονισμός (ΕΚ) αριθ. 850/2004 του Ευρωπαϊκού Κοινοβουλίου και του Συμβουλίου, της 29ης Απριλίου 2004, για τους έμμονους οργανικούς ρύπους και την τροποποίηση της οδηγίας 79/117/ΕΟΚ</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 xml:space="preserve">ENV </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Οδηγία 86/278/ΕΟΚ του Συμβουλίου, της 12ης Ιουνίου 1986, σχετικά με την προστασία του περιβάλλοντος και ιδίως του εδάφους κατά τη χρησιμοποίηση της ιλύος καθαρισμού λυμάτων στη γεωργία</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ESTAT</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Kανονισμός (ΕΚ) αριθ. 1166/2008 του Ευρωπαϊκού Κοινοβουλίου και του Συμβουλίου, της 19ης Νοεμβρίου 2008, σχετικά με τις έρευνες για τη διάρθρωση των γεωργικών εκμεταλλεύσεων και με την έρευνα για τις μεθόδους γεωργικής παραγωγής καθώς και σχετικά με την κατάργηση του κανονισμού (ΕΟΚ) αριθ. 571/88 του Συμβουλίου</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ESTAT</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Κανονισμός (ΕΚ) αριθ. 1059/2003 του Ευρωπαϊκού Κοινοβουλίου και του Συμβουλίου, της 26ης Μαΐου 2003, για τη θέσπιση μιας κοινής ονοματολογίας των εδαφικών στατιστικών μονάδων (NUTS)</w:t>
            </w:r>
          </w:p>
        </w:tc>
      </w:tr>
    </w:tbl>
    <w:p>
      <w:pPr>
        <w:pStyle w:val="ManualHeading1"/>
        <w:rPr>
          <w:noProof/>
        </w:rPr>
      </w:pPr>
      <w:r>
        <w:rPr>
          <w:noProof/>
        </w:rPr>
        <w:t xml:space="preserve">4. </w:t>
      </w:r>
      <w:r>
        <w:rPr>
          <w:noProof/>
        </w:rPr>
        <w:tab/>
        <w:t xml:space="preserve">ΝΟΜΙΚΗ ΒΑΣΗ, ΕΠΙΚΟΥΡΙΚΟΤΗΤΑ </w:t>
      </w:r>
    </w:p>
    <w:p>
      <w:pPr>
        <w:pBdr>
          <w:top w:val="nil"/>
          <w:left w:val="nil"/>
          <w:bottom w:val="nil"/>
          <w:right w:val="nil"/>
          <w:between w:val="nil"/>
          <w:bar w:val="nil"/>
        </w:pBdr>
        <w:spacing w:before="0" w:after="240"/>
        <w:rPr>
          <w:rFonts w:eastAsia="Arial Unicode MS"/>
          <w:noProof/>
        </w:rPr>
      </w:pPr>
      <w:r>
        <w:rPr>
          <w:noProof/>
        </w:rPr>
        <w:t xml:space="preserve">Η παρούσα πρόταση στηρίζεται στις νομικές βάσεις όλων των βασικών πράξεων που τροποποιούνται. </w:t>
      </w:r>
    </w:p>
    <w:p>
      <w:pPr>
        <w:pBdr>
          <w:top w:val="nil"/>
          <w:left w:val="nil"/>
          <w:bottom w:val="nil"/>
          <w:right w:val="nil"/>
          <w:between w:val="nil"/>
          <w:bar w:val="nil"/>
        </w:pBdr>
        <w:spacing w:before="0" w:after="240"/>
        <w:rPr>
          <w:rFonts w:eastAsia="Arial Unicode MS"/>
          <w:noProof/>
        </w:rPr>
      </w:pPr>
      <w:r>
        <w:rPr>
          <w:noProof/>
        </w:rPr>
        <w:t xml:space="preserve">Η παρούσα πρωτοβουλία συνδέεται αποκλειστικά και μόνο με τις διαδικασίες που εφαρμόζονται σε επίπεδο Ένωσης κατά τη θέσπιση πράξεων βασιζομένων σε νομοθετική εξουσιοδότηση.   </w:t>
      </w:r>
    </w:p>
    <w:p>
      <w:pPr>
        <w:rPr>
          <w:noProof/>
        </w:rPr>
        <w:sectPr>
          <w:footerReference w:type="default" r:id="rId11"/>
          <w:footerReference w:type="first" r:id="rId12"/>
          <w:pgSz w:w="11907" w:h="16839"/>
          <w:pgMar w:top="1134" w:right="1417" w:bottom="1134" w:left="1417" w:header="709" w:footer="709" w:gutter="0"/>
          <w:pgNumType w:start="2"/>
          <w:cols w:space="708"/>
          <w:docGrid w:linePitch="360"/>
        </w:sectPr>
      </w:pPr>
    </w:p>
    <w:p>
      <w:pPr>
        <w:pStyle w:val="Rfrenceinterinstitutionnelle"/>
        <w:rPr>
          <w:noProof/>
        </w:rPr>
      </w:pPr>
      <w:r>
        <w:rPr>
          <w:noProof/>
        </w:rPr>
        <w:t>2016/0400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την προσαρμογή διαφόρων νομικών πράξεων οι οποίες προβλέπουν τη χρήση της κανονιστικής διαδικασίας με έλεγχο στα άρθρα 290 και 291 της Συνθήκης για τη λειτουργία της Ευρωπαϊκής Ένωσης</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color w:val="0000FF"/>
        </w:rPr>
      </w:pPr>
      <w:r>
        <w:rPr>
          <w:noProof/>
        </w:rPr>
        <w:t>Έχοντας υπόψη τη Συνθήκη για τη λειτουργία της Ευρωπαϊκής Ένωσης, και ιδίως το άρθρο 33, το άρθρο 43 παράγραφος 2, το άρθρο 53 παράγραφος 1, το άρθρο 62, το άρθρο 64 παράγραφος 2, το άρθρο 91, το άρθρο 100 παράγραφος 2, το άρθρο 114, το άρθρο 153 παράγραφος 2 στοιχείο β), το άρθρο 168 παράγραφος 4 στοιχείο α), το άρθρο 168 παράγραφος 4 στοιχείο β), το άρθρο 172, το άρθρο 192 παράγραφος 1, το άρθρο 207, το άρθρο 214 παράγραφος 3 και το άρθρο 338 παράγραφος 1,</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5"/>
      </w:r>
      <w:r>
        <w:rPr>
          <w:noProof/>
        </w:rPr>
        <w:t xml:space="preserve">, </w:t>
      </w:r>
    </w:p>
    <w:p>
      <w:pPr>
        <w:rPr>
          <w:noProof/>
        </w:rPr>
      </w:pPr>
      <w:r>
        <w:rPr>
          <w:noProof/>
        </w:rPr>
        <w:t>Έχοντας υπόψη τη γνώμη της Επιτροπής των Περιφερειών</w:t>
      </w:r>
      <w:r>
        <w:rPr>
          <w:rStyle w:val="FootnoteReference"/>
          <w:noProof/>
        </w:rPr>
        <w:footnoteReference w:id="16"/>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Η Συνθήκη της Λισαβόνας εισήγαγε διάκριση μεταξύ των αρμοδιοτήτων που ανατίθενται στην Επιτροπή για την έκδοση μη νομοθετικών πράξεων γενικής ισχύος που συμπληρώνουν ή τροποποιούν ορισμένα μη ουσιώδη στοιχεία μιας νομοθετικής πράξης (κατ’ εξουσιοδότηση πράξεις) και των αρμοδιοτήτων που ανατίθενται στην Επιτροπή για την έκδοση πράξεων προς εξασφάλιση ενιαίων προϋποθέσεων για την εκτέλεση νομικά δεσμευτικών πράξεων της Ένωσης (εκτελεστικές πράξεις).</w:t>
      </w:r>
    </w:p>
    <w:p>
      <w:pPr>
        <w:pStyle w:val="ManualConsidrant"/>
        <w:rPr>
          <w:noProof/>
        </w:rPr>
      </w:pPr>
      <w:r>
        <w:t>(2)</w:t>
      </w:r>
      <w:r>
        <w:tab/>
      </w:r>
      <w:r>
        <w:rPr>
          <w:noProof/>
        </w:rPr>
        <w:t>Τα μέτρα που δύνανται να καλύπτονται από την ανάθεση αρμοδιοτήτων, σύμφωνα με το άρθρο 290 παράγραφος 1 της Συνθήκης για τη λειτουργία της Ευρωπαϊκής Ένωσης (ΣΛΕΕ), είναι καταρχήν τα μέτρα που καλύπτονται από την κανονιστική διαδικασία με έλεγχο, την οποία προβλέπει το άρθρο 5α της απόφασης 1999/468/ΕΚ του Συμβουλίου</w:t>
      </w:r>
      <w:r>
        <w:rPr>
          <w:rStyle w:val="FootnoteReference"/>
          <w:noProof/>
        </w:rPr>
        <w:footnoteReference w:id="17"/>
      </w:r>
      <w:r>
        <w:rPr>
          <w:noProof/>
        </w:rPr>
        <w:t xml:space="preserve">. </w:t>
      </w:r>
    </w:p>
    <w:p>
      <w:pPr>
        <w:pStyle w:val="ManualConsidrant"/>
        <w:rPr>
          <w:noProof/>
        </w:rPr>
      </w:pPr>
      <w:r>
        <w:t>(3)</w:t>
      </w:r>
      <w:r>
        <w:tab/>
      </w:r>
      <w:r>
        <w:rPr>
          <w:noProof/>
        </w:rPr>
        <w:t>Προηγούμενες προτάσεις σχετικά με την εναρμόνιση των διατάξεων που παραπέμπουν στην κανονιστική διαδικασία με έλεγχο με το νομικό πλαίσιο που θέσπισε η Συνθήκη της Λισαβόνας</w:t>
      </w:r>
      <w:r>
        <w:rPr>
          <w:rStyle w:val="FootnoteReference"/>
          <w:noProof/>
        </w:rPr>
        <w:footnoteReference w:id="18"/>
      </w:r>
      <w:r>
        <w:rPr>
          <w:noProof/>
        </w:rPr>
        <w:t xml:space="preserve"> αποσύρθηκαν</w:t>
      </w:r>
      <w:r>
        <w:rPr>
          <w:rStyle w:val="FootnoteReference"/>
          <w:noProof/>
        </w:rPr>
        <w:footnoteReference w:id="19"/>
      </w:r>
      <w:r>
        <w:rPr>
          <w:noProof/>
        </w:rPr>
        <w:t xml:space="preserve"> λόγω στασιμότητας των διοργανικών διαπραγματεύσεων. </w:t>
      </w:r>
    </w:p>
    <w:p>
      <w:pPr>
        <w:pStyle w:val="ManualConsidrant"/>
        <w:rPr>
          <w:noProof/>
        </w:rPr>
      </w:pPr>
      <w:r>
        <w:t>(4)</w:t>
      </w:r>
      <w:r>
        <w:tab/>
      </w:r>
      <w:r>
        <w:rPr>
          <w:noProof/>
        </w:rPr>
        <w:t xml:space="preserve"> Το Ευρωπαϊκό Κοινοβούλιο, το Συμβούλιο και η Επιτροπή συμφώνησαν, στη συνέχεια, επί ενός νέου πλαισίου για τις κατ’ εξουσιοδότηση πράξεις στο πλαίσιο της διοργανικής συμφωνίας για τη βελτίωση του νομοθετικού έργου της 13ης Απριλίου 2016</w:t>
      </w:r>
      <w:r>
        <w:rPr>
          <w:rStyle w:val="FootnoteReference"/>
          <w:noProof/>
        </w:rPr>
        <w:footnoteReference w:id="20"/>
      </w:r>
      <w:r>
        <w:rPr>
          <w:noProof/>
        </w:rPr>
        <w:t xml:space="preserve"> και αναγνώρισαν την ανάγκη να εναρμονιστεί όλη η υφιστάμενη νομοθεσία με το νομικό πλαίσιο που θέσπισε η Συνθήκη της Λισαβόνας. Ειδικότερα, συμφώνησαν ως προς την ανάγκη να δώσουν ύψιστη προτεραιότητα στην ταχεία εναρμόνιση όλων των βασικών πράξεων που εξακολουθούν να παραπέμπουν στην κανονιστική διαδικασία με έλεγχο. Η Επιτροπή δεσμεύτηκε να εκπονήσει πρόταση για την εν λόγω εναρμόνιση έως το τέλος του 2016.</w:t>
      </w:r>
    </w:p>
    <w:p>
      <w:pPr>
        <w:pStyle w:val="ManualConsidrant"/>
        <w:rPr>
          <w:noProof/>
        </w:rPr>
      </w:pPr>
      <w:r>
        <w:t>(5)</w:t>
      </w:r>
      <w:r>
        <w:tab/>
      </w:r>
      <w:r>
        <w:rPr>
          <w:noProof/>
        </w:rPr>
        <w:t xml:space="preserve">Η πλειονότητα των εξουσιοδοτήσεων στις βασικές πράξεις που προβλέπουν τη χρήση της κανονιστικής διαδικασίας με έλεγχο πληροί τα κριτήρια του άρθρου 290 παράγραφος 1 της ΣΛΕΕ και θα πρέπει να προσαρμοστεί στην εν λόγω διάταξη. </w:t>
      </w:r>
    </w:p>
    <w:p>
      <w:pPr>
        <w:pStyle w:val="ManualConsidrant"/>
        <w:rPr>
          <w:noProof/>
        </w:rPr>
      </w:pPr>
      <w:r>
        <w:t>(6)</w:t>
      </w:r>
      <w:r>
        <w:tab/>
      </w:r>
      <w:r>
        <w:rPr>
          <w:noProof/>
        </w:rPr>
        <w:t>Άλλες εξουσιοδοτήσεις στις βασικές πράξεις που προβλέπουν τη χρήση της κανονιστικής διαδικασίας με έλεγχο πληρούν τα κριτήρια του άρθρου 291 παράγραφος 2 της ΣΛΕΕ και θα πρέπει να προσαρμοστούν στην εν λόγω διάταξη.</w:t>
      </w:r>
    </w:p>
    <w:p>
      <w:pPr>
        <w:pStyle w:val="ManualConsidrant"/>
        <w:rPr>
          <w:noProof/>
        </w:rPr>
      </w:pPr>
      <w:r>
        <w:t>(7)</w:t>
      </w:r>
      <w:r>
        <w:tab/>
      </w:r>
      <w:r>
        <w:rPr>
          <w:noProof/>
        </w:rPr>
        <w:t>Κατά την ανάθεση εκτελεστικών αρμοδιοτήτων στην Επιτροπή, οι αρμοδιότητες αυτές θα πρέπει να ασκούνται σύμφωνα με τον κανονισμό (ΕΕ) αριθ. 182/2011 του Ευρωπαϊκού Κοινοβουλίου και του Συμβουλίου</w:t>
      </w:r>
      <w:r>
        <w:rPr>
          <w:rStyle w:val="FootnoteReference"/>
          <w:noProof/>
        </w:rPr>
        <w:footnoteReference w:id="21"/>
      </w:r>
      <w:r>
        <w:rPr>
          <w:noProof/>
        </w:rPr>
        <w:t xml:space="preserve">. </w:t>
      </w:r>
    </w:p>
    <w:p>
      <w:pPr>
        <w:pStyle w:val="ManualConsidrant"/>
        <w:rPr>
          <w:noProof/>
        </w:rPr>
      </w:pPr>
      <w:r>
        <w:t>(8)</w:t>
      </w:r>
      <w:r>
        <w:tab/>
      </w:r>
      <w:r>
        <w:rPr>
          <w:noProof/>
        </w:rPr>
        <w:t>Σε ορισμένες βασικές πράξεις που προβλέπουν επί του παρόντος τη χρήση της κανονιστικής διαδικασίας με έλεγχο, ορισμένες εξουσιοδοτήσεις έχουν καταστεί άνευ αντικειμένου και θα πρέπει συνεπώς να απαλειφθούν.</w:t>
      </w:r>
    </w:p>
    <w:p>
      <w:pPr>
        <w:pStyle w:val="ManualConsidrant"/>
        <w:rPr>
          <w:noProof/>
        </w:rPr>
      </w:pPr>
      <w:r>
        <w:t>(9)</w:t>
      </w:r>
      <w:r>
        <w:tab/>
      </w:r>
      <w:r>
        <w:rPr>
          <w:noProof/>
        </w:rPr>
        <w:t>Ο παρών κανονισμός δεν θα πρέπει να θίγει τις εκκρεμούσες διαδικασίες στο πλαίσιο των οποίων μια επιτροπή έχει ήδη διατυπώσει γνώμη σύμφωνα με το άρθρο 5α της απόφασης 1999/468/ΕΚ πριν από την έναρξη ισχύος του παρόντος κανονισμού.</w:t>
      </w:r>
    </w:p>
    <w:p>
      <w:pPr>
        <w:pStyle w:val="ManualConsidrant"/>
        <w:rPr>
          <w:noProof/>
        </w:rPr>
      </w:pPr>
      <w:r>
        <w:t>(10)</w:t>
      </w:r>
      <w:r>
        <w:tab/>
      </w:r>
      <w:r>
        <w:rPr>
          <w:noProof/>
        </w:rPr>
        <w:t xml:space="preserve">Δεδομένου ότι οι προσαρμογές και τροποποιήσεις που πρέπει να επέλθουν αφορούν αποκλειστικά διαδικασίες σε επίπεδο Ένωσης, δεν απαιτείται, στην περίπτωση των οδηγιών, μεταφορά τους στο εθνικό δίκαιο των κρατών μελών. </w:t>
      </w:r>
    </w:p>
    <w:p>
      <w:pPr>
        <w:pStyle w:val="ManualConsidrant"/>
        <w:rPr>
          <w:noProof/>
        </w:rPr>
      </w:pPr>
      <w:r>
        <w:t>(11)</w:t>
      </w:r>
      <w:r>
        <w:tab/>
      </w:r>
      <w:r>
        <w:rPr>
          <w:noProof/>
        </w:rPr>
        <w:t xml:space="preserve">Συνεπώς, οι σχετικές πράξεις θα πρέπει να τροποποιηθούν αναλόγως, </w:t>
      </w:r>
    </w:p>
    <w:p>
      <w:pPr>
        <w:pStyle w:val="Formuledadoption"/>
        <w:rPr>
          <w:noProof/>
        </w:rPr>
      </w:pPr>
      <w:r>
        <w:rPr>
          <w:noProof/>
        </w:rPr>
        <w:t>ΕΞΕΔΩΣΑΝ ΤΟΝ ΠΑΡΟΝΤΑ ΚΑΝΟΝΙΣΜΟ:</w:t>
      </w:r>
    </w:p>
    <w:p>
      <w:pPr>
        <w:pStyle w:val="Titrearticle"/>
        <w:rPr>
          <w:noProof/>
        </w:rPr>
      </w:pPr>
      <w:r>
        <w:rPr>
          <w:noProof/>
        </w:rPr>
        <w:t>Άρθρο 1</w:t>
      </w:r>
    </w:p>
    <w:p>
      <w:pPr>
        <w:rPr>
          <w:noProof/>
        </w:rPr>
      </w:pPr>
      <w:r>
        <w:rPr>
          <w:noProof/>
        </w:rPr>
        <w:t xml:space="preserve">Οι πράξεις που παρατίθενται στο παράρτημα τροποποιούνται σύμφωνα με το εν λόγω παράρτημα. </w:t>
      </w:r>
    </w:p>
    <w:p>
      <w:pPr>
        <w:pStyle w:val="Titrearticle"/>
        <w:rPr>
          <w:noProof/>
        </w:rPr>
      </w:pPr>
      <w:r>
        <w:rPr>
          <w:noProof/>
        </w:rPr>
        <w:t>Άρθρο 2</w:t>
      </w:r>
    </w:p>
    <w:p>
      <w:pPr>
        <w:rPr>
          <w:noProof/>
        </w:rPr>
      </w:pPr>
      <w:r>
        <w:rPr>
          <w:noProof/>
        </w:rPr>
        <w:t>Ο παρών κανονισμός δεν θίγει τις εκκρεμούσες διαδικασίες στο πλαίσιο των οποίων μια επιτροπή έχει ήδη διατυπώσει γνώμη σύμφωνα με το άρθρο 5α της απόφασης 1999/468/ΕΚ.</w:t>
      </w:r>
    </w:p>
    <w:p>
      <w:pPr>
        <w:pStyle w:val="Titrearticle"/>
        <w:rPr>
          <w:noProof/>
        </w:rPr>
      </w:pPr>
      <w:r>
        <w:rPr>
          <w:noProof/>
        </w:rPr>
        <w:t>Άρθρο 3</w:t>
      </w:r>
    </w:p>
    <w:p>
      <w:pPr>
        <w:rPr>
          <w:noProof/>
        </w:rPr>
      </w:pPr>
      <w:r>
        <w:rPr>
          <w:noProof/>
        </w:rPr>
        <w:t xml:space="preserve">Ο παρών κανονισμός αρχίζει να ισχύει την  ημέρα από τη δημοσίευσή του στην </w:t>
      </w:r>
      <w:r>
        <w:rPr>
          <w:i/>
          <w:noProof/>
        </w:rPr>
        <w:t>Επίσημη Εφημερίδα της Ευρωπαϊκής Ένωσης</w:t>
      </w:r>
      <w:r>
        <w:rPr>
          <w:noProof/>
        </w:rPr>
        <w:t>.</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C 306 της 17.12.2007</w:t>
      </w:r>
    </w:p>
  </w:footnote>
  <w:footnote w:id="2">
    <w:p>
      <w:pPr>
        <w:pStyle w:val="FootnoteText"/>
      </w:pPr>
      <w:r>
        <w:rPr>
          <w:rStyle w:val="FootnoteReference"/>
        </w:rPr>
        <w:footnoteRef/>
      </w:r>
      <w:r>
        <w:tab/>
        <w:t>ΕΕ L 184 της 17.7.1999, σ. 23.</w:t>
      </w:r>
    </w:p>
  </w:footnote>
  <w:footnote w:id="3">
    <w:p>
      <w:pPr>
        <w:pStyle w:val="FootnoteText"/>
      </w:pPr>
      <w:r>
        <w:rPr>
          <w:rStyle w:val="FootnoteReference"/>
        </w:rPr>
        <w:footnoteRef/>
      </w:r>
      <w:r>
        <w:tab/>
        <w:t>ΕΕ L 55 της 28.2.2011, σ. 13.</w:t>
      </w:r>
    </w:p>
  </w:footnote>
  <w:footnote w:id="4">
    <w:p>
      <w:pPr>
        <w:pStyle w:val="FootnoteText"/>
      </w:pPr>
      <w:r>
        <w:rPr>
          <w:rStyle w:val="FootnoteReference"/>
        </w:rPr>
        <w:footnoteRef/>
      </w:r>
      <w:r>
        <w:tab/>
        <w:t xml:space="preserve">ΕΕ L 55 της 28.2.2011, σ. 19.  </w:t>
      </w:r>
    </w:p>
  </w:footnote>
  <w:footnote w:id="5">
    <w:p>
      <w:pPr>
        <w:pStyle w:val="FootnoteText"/>
        <w:rPr>
          <w:lang w:val="pt-PT"/>
        </w:rPr>
      </w:pPr>
      <w:r>
        <w:rPr>
          <w:rStyle w:val="FootnoteReference"/>
        </w:rPr>
        <w:footnoteRef/>
      </w:r>
      <w:r>
        <w:rPr>
          <w:lang w:val="pt-PT"/>
        </w:rPr>
        <w:tab/>
        <w:t xml:space="preserve">COM(2013) 451 final, COM(2013) 452 final </w:t>
      </w:r>
      <w:r>
        <w:t>και</w:t>
      </w:r>
      <w:r>
        <w:rPr>
          <w:lang w:val="pt-PT"/>
        </w:rPr>
        <w:t xml:space="preserve"> COM(2013) 751 final</w:t>
      </w:r>
    </w:p>
  </w:footnote>
  <w:footnote w:id="6">
    <w:p>
      <w:pPr>
        <w:pStyle w:val="FootnoteText"/>
        <w:rPr>
          <w:lang w:val="pt-PT"/>
        </w:rPr>
      </w:pPr>
      <w:r>
        <w:rPr>
          <w:rStyle w:val="FootnoteReference"/>
        </w:rPr>
        <w:footnoteRef/>
      </w:r>
      <w:r>
        <w:rPr>
          <w:lang w:val="pt-PT"/>
        </w:rPr>
        <w:tab/>
        <w:t>A7-0010/2014, P7_TA-PROV(2014)0114, A7-0011/2014, P7_TA-PROV(2014)0112</w:t>
      </w:r>
    </w:p>
  </w:footnote>
  <w:footnote w:id="7">
    <w:p>
      <w:pPr>
        <w:pStyle w:val="FootnoteText"/>
        <w:rPr>
          <w:lang w:val="pt-PT"/>
        </w:rPr>
      </w:pPr>
      <w:r>
        <w:rPr>
          <w:rStyle w:val="FootnoteReference"/>
        </w:rPr>
        <w:footnoteRef/>
      </w:r>
      <w:r>
        <w:rPr>
          <w:lang w:val="pt-PT"/>
        </w:rPr>
        <w:tab/>
        <w:t>COM (2014) 910 final</w:t>
      </w:r>
    </w:p>
  </w:footnote>
  <w:footnote w:id="8">
    <w:p>
      <w:pPr>
        <w:pStyle w:val="FootnoteText"/>
      </w:pPr>
      <w:r>
        <w:rPr>
          <w:rStyle w:val="FootnoteReference"/>
        </w:rPr>
        <w:footnoteRef/>
      </w:r>
      <w:r>
        <w:tab/>
        <w:t>(2015/C 80/08), EE C 80 της 7.2.2015, σ. 17.</w:t>
      </w:r>
    </w:p>
  </w:footnote>
  <w:footnote w:id="9">
    <w:p>
      <w:pPr>
        <w:pStyle w:val="FootnoteText"/>
      </w:pPr>
      <w:r>
        <w:rPr>
          <w:rStyle w:val="FootnoteReference"/>
        </w:rPr>
        <w:footnoteRef/>
      </w:r>
      <w:r>
        <w:tab/>
        <w:t>ΕΕ L 123 της 12.5.2016, σ. 1.</w:t>
      </w:r>
    </w:p>
  </w:footnote>
  <w:footnote w:id="10">
    <w:p>
      <w:pPr>
        <w:pStyle w:val="FootnoteText"/>
      </w:pPr>
      <w:r>
        <w:rPr>
          <w:rStyle w:val="FootnoteReference"/>
        </w:rPr>
        <w:footnoteRef/>
      </w:r>
      <w:r>
        <w:tab/>
        <w:t>Κατάλογος των εν λόγω πράξεων περιλαμβάνεται προς ενημέρωση στο σημείο 3.</w:t>
      </w:r>
    </w:p>
  </w:footnote>
  <w:footnote w:id="11">
    <w:p>
      <w:pPr>
        <w:pStyle w:val="FootnoteText"/>
        <w:jc w:val="left"/>
      </w:pPr>
      <w:r>
        <w:rPr>
          <w:rStyle w:val="FootnoteReference"/>
        </w:rPr>
        <w:footnoteRef/>
      </w:r>
      <w:r>
        <w:tab/>
        <w:t>Κανονισμός (ΕΚ) αριθ. 1331/2008 του Ευρωπαϊκού Κοινοβουλίου και του Συμβουλίου, της 16ης Δεκεμβρίου 2008, για τη θέσπιση ενιαίας διαδικασίας έγκρισης για τα πρόσθετα τροφίμων, τα ένζυμα τροφίμων και τις αρωματικές ύλες τροφίμων (ΕΕ L 354 της 31.12.2008, σ. 1)· κανονισμός (ΕΚ) αριθ. 1332/2008 του Ευρωπαϊκού Κοινοβουλίου και του Συμβουλίου, της 16ης Δεκεμβρίου 2008, για τα ένζυμα τροφίμων και την τροποποίηση της οδηγίας 83/417/ΕΟΚ του Συμβουλίου, του κανονισμού (ΕΚ) αριθ. 1493/1999 του Συμβουλίου, της οδηγίας 2000/13/ΕΚ, της οδηγίας 2001/112/ΕΚ του Συμβουλίου και του κανονισμού (ΕΚ) αριθ. 258/97 (EE L 354 της 31.12.2008, σ. 7)·</w:t>
      </w:r>
      <w:r>
        <w:rPr>
          <w:i/>
        </w:rPr>
        <w:t xml:space="preserve"> </w:t>
      </w:r>
      <w:r>
        <w:t>κανονισμός (ΕΚ) αριθ. 1333/2008 του Ευρωπαϊκού Κοινοβουλίου και του Συμβουλίου, της 16ης Δεκεμβρίου 2008, που αφορά τα πρόσθετα τροφίμων (ΕΕ L 354 της 31.12.2008, σ. 16)· κανονισμός (ΕΚ) αριθ. 1334/2008 του Ευρωπαϊκού Κοινοβουλίου και του Συμβουλίου, της 16ης Δεκεμβρίου 2008, για αρωματικές ύλες και ορισμένα συστατικά τροφίμων με αρωματικές ιδιότητες που χρησιμοποιούνται εντός και επί των τροφίμων και για την τροποποίηση του κανονισμού (ΕΟΚ) αριθ. 1601/91 του Συμβουλίου, του κανονισμού (ΕΚ) αριθ. 2232/96, του κανονισμού (ΕΚ) αριθ. 110/2008 και της οδηγίας 2000/13/ΕΚ (ΕΕ L 354 της, 31.12.2008, σ. 34)· κανονισμός (ΕΚ) αριθ. 1935/2004 του Ευρωπαϊκού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 (ΕΕ L 338 της 13.11.2004, σ. 4)· κανονισμός (ΕΟΚ) αριθ. 315/93 του Συμβουλίου, της 8ης Φεβρουαρίου 1993, για τη θέσπιση κοινοτικών διαδικασιών για τις προσμείξεις των τροφίμων (ΕΕ L 37 της 13.2.1993, σ. 1)· κανονισμός (ΕΚ) αριθ. 396/2005 του Ευρωπαϊκού Κοινοβουλίου και του Συμβουλίου, της 23 Φεβρουαρίου 2005, για τα ανώτατα όρια καταλοίπων φυτοφαρμάκων μέσα η πάνω στα τρόφιμα και τις ζωοτροφές φυτικής και ζωικής προέλευσης και για την τροποποίηση της οδηγίας 91/414/ΕΟΚ του Συμβουλίου (ΕΕ L 70 της 16.3.2005, σ. 1) και κανονισμός (ΕΚ) αριθ. 1107/2009 του Ευρωπαϊκού Κοινοβουλίου και του Συμβουλίου, της 21ης Οκτωβρίου 2009, σχετικά με τη διάθεση φυτοπροστατευτικών προϊόντων στην αγορά και την κατάργηση των οδηγιών 79/117/ΕΟΚ και 91/414/ΕΟΚ του Συμβουλίου (ΕΕ L 309 της 24.11.2009, σ. 1).</w:t>
      </w:r>
    </w:p>
  </w:footnote>
  <w:footnote w:id="12">
    <w:p>
      <w:pPr>
        <w:pStyle w:val="FootnoteText"/>
        <w:jc w:val="left"/>
      </w:pPr>
      <w:r>
        <w:rPr>
          <w:rStyle w:val="FootnoteReference"/>
        </w:rPr>
        <w:footnoteRef/>
      </w:r>
      <w:r>
        <w:tab/>
        <w:t>Κανονισμός (ΕΕ) 2015/2283 του Ευρωπαϊκού Κοινοβουλίου και του Συμβουλίου, της 25ης Νοεμβρίου 2015, σχετικά με τα νέα τρόφιμα, την τροποποίηση του κανονισμού (ΕΕ) αριθ. 1169/2011 του Ευρωπαϊκού Κοινοβουλίου και του Συμβουλίου και την κατάργηση του κανονισμού (ΕΚ) αριθ. 258/97 του Ευρωπαϊκού Κοινοβουλίου και του Συμβουλίου και του κανονισμού (ΕΚ) αριθ. 1852/2001 της Επιτροπής (ΕΕ L 327 της 11.12.2015, σ. 1).</w:t>
      </w:r>
    </w:p>
  </w:footnote>
  <w:footnote w:id="13">
    <w:p>
      <w:pPr>
        <w:pStyle w:val="FootnoteText"/>
      </w:pPr>
      <w:r>
        <w:rPr>
          <w:rStyle w:val="FootnoteReference"/>
        </w:rPr>
        <w:footnoteRef/>
      </w:r>
      <w:r>
        <w:tab/>
        <w:t>Κανονισμός (ΕΚ) αριθ. 1137/2008 (ΕΕ L 311 της 21.11.2008, σ. 1).</w:t>
      </w:r>
    </w:p>
  </w:footnote>
  <w:footnote w:id="14">
    <w:p>
      <w:pPr>
        <w:pStyle w:val="FootnoteText"/>
      </w:pPr>
      <w:r>
        <w:rPr>
          <w:rStyle w:val="FootnoteReference"/>
        </w:rPr>
        <w:footnoteRef/>
      </w:r>
      <w:r>
        <w:tab/>
        <w:t>Υπόθεση C-88/14, Επιτροπή κατά Ευρωπαϊκού Κοινοβουλίου και Συμβουλίου, υπόθεση C-286/14, Ευρωπαϊκό Κοινοβούλιο κατά Επιτροπής και υπόθεση C-472/12, Επιτροπή κατά Ευρωπαϊκού Κοινοβουλίου και Συμβουλίου</w:t>
      </w:r>
    </w:p>
  </w:footnote>
  <w:footnote w:id="15">
    <w:p>
      <w:pPr>
        <w:pStyle w:val="FootnoteText"/>
      </w:pPr>
      <w:r>
        <w:rPr>
          <w:rStyle w:val="FootnoteReference"/>
        </w:rPr>
        <w:footnoteRef/>
      </w:r>
      <w:r>
        <w:tab/>
        <w:t>ΕΕ C  της , σ. .</w:t>
      </w:r>
    </w:p>
  </w:footnote>
  <w:footnote w:id="16">
    <w:p>
      <w:pPr>
        <w:pStyle w:val="FootnoteText"/>
      </w:pPr>
      <w:r>
        <w:rPr>
          <w:rStyle w:val="FootnoteReference"/>
        </w:rPr>
        <w:footnoteRef/>
      </w:r>
      <w:r>
        <w:tab/>
        <w:t>ΕΕ C  της , σ. .</w:t>
      </w:r>
    </w:p>
  </w:footnote>
  <w:footnote w:id="17">
    <w:p>
      <w:pPr>
        <w:pStyle w:val="FootnoteText"/>
      </w:pPr>
      <w:r>
        <w:rPr>
          <w:rStyle w:val="FootnoteReference"/>
        </w:rPr>
        <w:footnoteRef/>
      </w:r>
      <w:r>
        <w:tab/>
        <w:t>Απόφαση 1999/468/EΚ του Συμβουλίου, της 28ης Ιουνίου 1999, για τον καθορισμό των όρων άσκησης των εκτελεστικών αρμοδιοτήτων που ανατίθενται στην Επιτροπή (ΕΕ L 184 της 17.7.1999, σ. 23).</w:t>
      </w:r>
    </w:p>
  </w:footnote>
  <w:footnote w:id="18">
    <w:p>
      <w:pPr>
        <w:pStyle w:val="FootnoteText"/>
        <w:rPr>
          <w:lang w:val="pt-PT"/>
        </w:rPr>
      </w:pPr>
      <w:r>
        <w:rPr>
          <w:rStyle w:val="FootnoteReference"/>
        </w:rPr>
        <w:footnoteRef/>
      </w:r>
      <w:r>
        <w:rPr>
          <w:lang w:val="pt-PT"/>
        </w:rPr>
        <w:tab/>
        <w:t xml:space="preserve">COM(2013) 451 final, COM(2013) 452 final </w:t>
      </w:r>
      <w:r>
        <w:t>και</w:t>
      </w:r>
      <w:r>
        <w:rPr>
          <w:lang w:val="pt-PT"/>
        </w:rPr>
        <w:t xml:space="preserve"> COM(2013) 751 final</w:t>
      </w:r>
    </w:p>
  </w:footnote>
  <w:footnote w:id="19">
    <w:p>
      <w:pPr>
        <w:pStyle w:val="FootnoteText"/>
      </w:pPr>
      <w:r>
        <w:rPr>
          <w:rStyle w:val="FootnoteReference"/>
        </w:rPr>
        <w:footnoteRef/>
      </w:r>
      <w:r>
        <w:tab/>
        <w:t xml:space="preserve">(2015/C 80/08), EE C 80 της 7.2.2015, σ. 17.  </w:t>
      </w:r>
    </w:p>
  </w:footnote>
  <w:footnote w:id="20">
    <w:p>
      <w:pPr>
        <w:pStyle w:val="FootnoteText"/>
      </w:pPr>
      <w:r>
        <w:rPr>
          <w:rStyle w:val="FootnoteReference"/>
        </w:rPr>
        <w:footnoteRef/>
      </w:r>
      <w:r>
        <w:tab/>
        <w:t xml:space="preserve">ΕΕ L 123 της 12.5.2016, σ. 1. </w:t>
      </w:r>
    </w:p>
  </w:footnote>
  <w:footnote w:id="21">
    <w:p>
      <w:pPr>
        <w:pStyle w:val="FootnoteText"/>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B2A86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E020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6D2BE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4C4BB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F2A6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8C0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8EEFD2C"/>
    <w:lvl w:ilvl="0">
      <w:start w:val="1"/>
      <w:numFmt w:val="decimal"/>
      <w:pStyle w:val="ListNumber"/>
      <w:lvlText w:val="%1."/>
      <w:lvlJc w:val="left"/>
      <w:pPr>
        <w:tabs>
          <w:tab w:val="num" w:pos="360"/>
        </w:tabs>
        <w:ind w:left="360" w:hanging="360"/>
      </w:pPr>
    </w:lvl>
  </w:abstractNum>
  <w:abstractNum w:abstractNumId="7">
    <w:nsid w:val="FFFFFF89"/>
    <w:multiLevelType w:val="singleLevel"/>
    <w:tmpl w:val="ED2EC2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the Christensen">
    <w15:presenceInfo w15:providerId="Windows Live" w15:userId="456c02a2a92563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displayBackgroundShape/>
  <w:hideSpellingErrors/>
  <w:hideGrammaticalErrors/>
  <w:attachedTemplate r:id="rId1"/>
  <w:revisionView w:markup="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27 12:23: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2"/>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F01C83588AC1407EB132ECC061730105"/>
    <w:docVar w:name="LW_CROSSREFERENCE" w:val="&lt;UNUSED&gt;"/>
    <w:docVar w:name="LW_DocType" w:val="COM"/>
    <w:docVar w:name="LW_EMISSION" w:val="14.12.2016"/>
    <w:docVar w:name="LW_EMISSION_ISODATE" w:val="2016-12-14"/>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400"/>
    <w:docVar w:name="LW_REF.II.NEW.CP_YEAR" w:val="2016"/>
    <w:docVar w:name="LW_REF.INST.NEW" w:val="COM"/>
    <w:docVar w:name="LW_REF.INST.NEW_ADOPTED" w:val="final"/>
    <w:docVar w:name="LW_REF.INST.NEW_TEXT" w:val="(2016) 799"/>
    <w:docVar w:name="LW_REF.INTERNE" w:val="&lt;UNUSED&gt;"/>
    <w:docVar w:name="LW_SOUS.TITRE.OBJ.CP" w:val="&lt;UNUSED&gt;"/>
    <w:docVar w:name="LW_STATUT.CP" w:val="\u928?\u961?\u972?\u964?\u945?\u963?\u951?"/>
    <w:docVar w:name="LW_SUPERTITRE" w:val="&lt;UNUSED&gt;"/>
    <w:docVar w:name="LW_TITRE.OBJ.CP" w:val="\u947?\u953?\u945? \u964?\u951?\u957? \u960?\u961?\u959?\u963?\u945?\u961?\u956?\u959?\u947?\u942? \u948?\u953?\u945?\u966?\u972?\u961?\u969?\u957? \u957?\u959?\u956?\u953?\u954?\u974?\u957? \u960?\u961?\u940?\u958?\u949?\u969?\u957? \u959?\u953? \u959?\u960?\u959?\u943?\u949?\u962? \u960?\u961?\u959?\u946?\u955?\u941?\u960?\u959?\u965?\u957? \u964?\u951? \u967?\u961?\u942?\u963?\u951? \u964?\u951?\u962? \u954?\u945?\u957?\u959?\u957?\u953?\u963?\u964?\u953?\u954?\u942?\u962? \u948?\u953?\u945?\u948?\u953?\u954?\u945?\u963?\u943?\u945?\u962? \u956?\u949? \u941?\u955?\u949?\u947?\u967?\u959? \u963?\u964?\u945? \u940?\u961?\u952?\u961?\u945? 290 \u954?\u945?\u953? 291 \u964?\u951?\u962? \u931?\u965?\u957?\u952?\u942?\u954?\u951?\u962? \u947?\u953?\u945? \u964?\u951? \u955?\u949?\u953?\u964?\u959?\u965?\u961?\u947?\u943?\u945? \u964?\u951?\u962? \u917?\u965?\u961?\u969?\u960?\u945?\u970?\u954?\u942?\u962? \u904?\u957?\u969?\u963?\u951?\u962?"/>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45">
      <w:bodyDiv w:val="1"/>
      <w:marLeft w:val="0"/>
      <w:marRight w:val="0"/>
      <w:marTop w:val="0"/>
      <w:marBottom w:val="0"/>
      <w:divBdr>
        <w:top w:val="none" w:sz="0" w:space="0" w:color="auto"/>
        <w:left w:val="none" w:sz="0" w:space="0" w:color="auto"/>
        <w:bottom w:val="none" w:sz="0" w:space="0" w:color="auto"/>
        <w:right w:val="none" w:sz="0" w:space="0" w:color="auto"/>
      </w:divBdr>
    </w:div>
    <w:div w:id="132795430">
      <w:bodyDiv w:val="1"/>
      <w:marLeft w:val="0"/>
      <w:marRight w:val="0"/>
      <w:marTop w:val="0"/>
      <w:marBottom w:val="0"/>
      <w:divBdr>
        <w:top w:val="none" w:sz="0" w:space="0" w:color="auto"/>
        <w:left w:val="none" w:sz="0" w:space="0" w:color="auto"/>
        <w:bottom w:val="none" w:sz="0" w:space="0" w:color="auto"/>
        <w:right w:val="none" w:sz="0" w:space="0" w:color="auto"/>
      </w:divBdr>
      <w:divsChild>
        <w:div w:id="2074741547">
          <w:marLeft w:val="0"/>
          <w:marRight w:val="0"/>
          <w:marTop w:val="0"/>
          <w:marBottom w:val="0"/>
          <w:divBdr>
            <w:top w:val="none" w:sz="0" w:space="0" w:color="auto"/>
            <w:left w:val="none" w:sz="0" w:space="0" w:color="auto"/>
            <w:bottom w:val="none" w:sz="0" w:space="0" w:color="auto"/>
            <w:right w:val="none" w:sz="0" w:space="0" w:color="auto"/>
          </w:divBdr>
          <w:divsChild>
            <w:div w:id="495071122">
              <w:marLeft w:val="0"/>
              <w:marRight w:val="0"/>
              <w:marTop w:val="0"/>
              <w:marBottom w:val="0"/>
              <w:divBdr>
                <w:top w:val="none" w:sz="0" w:space="0" w:color="auto"/>
                <w:left w:val="none" w:sz="0" w:space="0" w:color="auto"/>
                <w:bottom w:val="none" w:sz="0" w:space="0" w:color="auto"/>
                <w:right w:val="none" w:sz="0" w:space="0" w:color="auto"/>
              </w:divBdr>
              <w:divsChild>
                <w:div w:id="1483498887">
                  <w:marLeft w:val="0"/>
                  <w:marRight w:val="0"/>
                  <w:marTop w:val="0"/>
                  <w:marBottom w:val="0"/>
                  <w:divBdr>
                    <w:top w:val="none" w:sz="0" w:space="0" w:color="auto"/>
                    <w:left w:val="none" w:sz="0" w:space="0" w:color="auto"/>
                    <w:bottom w:val="none" w:sz="0" w:space="0" w:color="auto"/>
                    <w:right w:val="none" w:sz="0" w:space="0" w:color="auto"/>
                  </w:divBdr>
                  <w:divsChild>
                    <w:div w:id="1243685809">
                      <w:marLeft w:val="1"/>
                      <w:marRight w:val="1"/>
                      <w:marTop w:val="0"/>
                      <w:marBottom w:val="0"/>
                      <w:divBdr>
                        <w:top w:val="none" w:sz="0" w:space="0" w:color="auto"/>
                        <w:left w:val="none" w:sz="0" w:space="0" w:color="auto"/>
                        <w:bottom w:val="none" w:sz="0" w:space="0" w:color="auto"/>
                        <w:right w:val="none" w:sz="0" w:space="0" w:color="auto"/>
                      </w:divBdr>
                      <w:divsChild>
                        <w:div w:id="1001544459">
                          <w:marLeft w:val="0"/>
                          <w:marRight w:val="0"/>
                          <w:marTop w:val="0"/>
                          <w:marBottom w:val="0"/>
                          <w:divBdr>
                            <w:top w:val="none" w:sz="0" w:space="0" w:color="auto"/>
                            <w:left w:val="none" w:sz="0" w:space="0" w:color="auto"/>
                            <w:bottom w:val="none" w:sz="0" w:space="0" w:color="auto"/>
                            <w:right w:val="none" w:sz="0" w:space="0" w:color="auto"/>
                          </w:divBdr>
                          <w:divsChild>
                            <w:div w:id="1519346943">
                              <w:marLeft w:val="0"/>
                              <w:marRight w:val="0"/>
                              <w:marTop w:val="0"/>
                              <w:marBottom w:val="360"/>
                              <w:divBdr>
                                <w:top w:val="none" w:sz="0" w:space="0" w:color="auto"/>
                                <w:left w:val="none" w:sz="0" w:space="0" w:color="auto"/>
                                <w:bottom w:val="none" w:sz="0" w:space="0" w:color="auto"/>
                                <w:right w:val="none" w:sz="0" w:space="0" w:color="auto"/>
                              </w:divBdr>
                              <w:divsChild>
                                <w:div w:id="843015925">
                                  <w:marLeft w:val="0"/>
                                  <w:marRight w:val="0"/>
                                  <w:marTop w:val="0"/>
                                  <w:marBottom w:val="0"/>
                                  <w:divBdr>
                                    <w:top w:val="none" w:sz="0" w:space="0" w:color="auto"/>
                                    <w:left w:val="none" w:sz="0" w:space="0" w:color="auto"/>
                                    <w:bottom w:val="none" w:sz="0" w:space="0" w:color="auto"/>
                                    <w:right w:val="none" w:sz="0" w:space="0" w:color="auto"/>
                                  </w:divBdr>
                                  <w:divsChild>
                                    <w:div w:id="14684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63435">
      <w:bodyDiv w:val="1"/>
      <w:marLeft w:val="0"/>
      <w:marRight w:val="0"/>
      <w:marTop w:val="0"/>
      <w:marBottom w:val="0"/>
      <w:divBdr>
        <w:top w:val="none" w:sz="0" w:space="0" w:color="auto"/>
        <w:left w:val="none" w:sz="0" w:space="0" w:color="auto"/>
        <w:bottom w:val="none" w:sz="0" w:space="0" w:color="auto"/>
        <w:right w:val="none" w:sz="0" w:space="0" w:color="auto"/>
      </w:divBdr>
      <w:divsChild>
        <w:div w:id="164394439">
          <w:marLeft w:val="0"/>
          <w:marRight w:val="0"/>
          <w:marTop w:val="0"/>
          <w:marBottom w:val="0"/>
          <w:divBdr>
            <w:top w:val="none" w:sz="0" w:space="0" w:color="auto"/>
            <w:left w:val="none" w:sz="0" w:space="0" w:color="auto"/>
            <w:bottom w:val="none" w:sz="0" w:space="0" w:color="auto"/>
            <w:right w:val="none" w:sz="0" w:space="0" w:color="auto"/>
          </w:divBdr>
          <w:divsChild>
            <w:div w:id="520708650">
              <w:marLeft w:val="0"/>
              <w:marRight w:val="0"/>
              <w:marTop w:val="0"/>
              <w:marBottom w:val="0"/>
              <w:divBdr>
                <w:top w:val="none" w:sz="0" w:space="0" w:color="auto"/>
                <w:left w:val="none" w:sz="0" w:space="0" w:color="auto"/>
                <w:bottom w:val="none" w:sz="0" w:space="0" w:color="auto"/>
                <w:right w:val="none" w:sz="0" w:space="0" w:color="auto"/>
              </w:divBdr>
              <w:divsChild>
                <w:div w:id="2025202141">
                  <w:marLeft w:val="0"/>
                  <w:marRight w:val="0"/>
                  <w:marTop w:val="0"/>
                  <w:marBottom w:val="0"/>
                  <w:divBdr>
                    <w:top w:val="none" w:sz="0" w:space="0" w:color="auto"/>
                    <w:left w:val="none" w:sz="0" w:space="0" w:color="auto"/>
                    <w:bottom w:val="none" w:sz="0" w:space="0" w:color="auto"/>
                    <w:right w:val="none" w:sz="0" w:space="0" w:color="auto"/>
                  </w:divBdr>
                  <w:divsChild>
                    <w:div w:id="956060230">
                      <w:marLeft w:val="1"/>
                      <w:marRight w:val="1"/>
                      <w:marTop w:val="0"/>
                      <w:marBottom w:val="0"/>
                      <w:divBdr>
                        <w:top w:val="none" w:sz="0" w:space="0" w:color="auto"/>
                        <w:left w:val="none" w:sz="0" w:space="0" w:color="auto"/>
                        <w:bottom w:val="none" w:sz="0" w:space="0" w:color="auto"/>
                        <w:right w:val="none" w:sz="0" w:space="0" w:color="auto"/>
                      </w:divBdr>
                      <w:divsChild>
                        <w:div w:id="1536578837">
                          <w:marLeft w:val="0"/>
                          <w:marRight w:val="0"/>
                          <w:marTop w:val="0"/>
                          <w:marBottom w:val="0"/>
                          <w:divBdr>
                            <w:top w:val="none" w:sz="0" w:space="0" w:color="auto"/>
                            <w:left w:val="none" w:sz="0" w:space="0" w:color="auto"/>
                            <w:bottom w:val="none" w:sz="0" w:space="0" w:color="auto"/>
                            <w:right w:val="none" w:sz="0" w:space="0" w:color="auto"/>
                          </w:divBdr>
                          <w:divsChild>
                            <w:div w:id="1686899124">
                              <w:marLeft w:val="0"/>
                              <w:marRight w:val="0"/>
                              <w:marTop w:val="0"/>
                              <w:marBottom w:val="360"/>
                              <w:divBdr>
                                <w:top w:val="none" w:sz="0" w:space="0" w:color="auto"/>
                                <w:left w:val="none" w:sz="0" w:space="0" w:color="auto"/>
                                <w:bottom w:val="none" w:sz="0" w:space="0" w:color="auto"/>
                                <w:right w:val="none" w:sz="0" w:space="0" w:color="auto"/>
                              </w:divBdr>
                              <w:divsChild>
                                <w:div w:id="1539780070">
                                  <w:marLeft w:val="0"/>
                                  <w:marRight w:val="0"/>
                                  <w:marTop w:val="0"/>
                                  <w:marBottom w:val="0"/>
                                  <w:divBdr>
                                    <w:top w:val="none" w:sz="0" w:space="0" w:color="auto"/>
                                    <w:left w:val="none" w:sz="0" w:space="0" w:color="auto"/>
                                    <w:bottom w:val="none" w:sz="0" w:space="0" w:color="auto"/>
                                    <w:right w:val="none" w:sz="0" w:space="0" w:color="auto"/>
                                  </w:divBdr>
                                  <w:divsChild>
                                    <w:div w:id="1861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420855">
      <w:bodyDiv w:val="1"/>
      <w:marLeft w:val="0"/>
      <w:marRight w:val="0"/>
      <w:marTop w:val="0"/>
      <w:marBottom w:val="0"/>
      <w:divBdr>
        <w:top w:val="none" w:sz="0" w:space="0" w:color="auto"/>
        <w:left w:val="none" w:sz="0" w:space="0" w:color="auto"/>
        <w:bottom w:val="none" w:sz="0" w:space="0" w:color="auto"/>
        <w:right w:val="none" w:sz="0" w:space="0" w:color="auto"/>
      </w:divBdr>
      <w:divsChild>
        <w:div w:id="2095585078">
          <w:marLeft w:val="0"/>
          <w:marRight w:val="0"/>
          <w:marTop w:val="0"/>
          <w:marBottom w:val="0"/>
          <w:divBdr>
            <w:top w:val="none" w:sz="0" w:space="0" w:color="auto"/>
            <w:left w:val="none" w:sz="0" w:space="0" w:color="auto"/>
            <w:bottom w:val="none" w:sz="0" w:space="0" w:color="auto"/>
            <w:right w:val="none" w:sz="0" w:space="0" w:color="auto"/>
          </w:divBdr>
          <w:divsChild>
            <w:div w:id="1226716794">
              <w:marLeft w:val="0"/>
              <w:marRight w:val="0"/>
              <w:marTop w:val="0"/>
              <w:marBottom w:val="0"/>
              <w:divBdr>
                <w:top w:val="none" w:sz="0" w:space="0" w:color="auto"/>
                <w:left w:val="none" w:sz="0" w:space="0" w:color="auto"/>
                <w:bottom w:val="none" w:sz="0" w:space="0" w:color="auto"/>
                <w:right w:val="none" w:sz="0" w:space="0" w:color="auto"/>
              </w:divBdr>
              <w:divsChild>
                <w:div w:id="820345573">
                  <w:marLeft w:val="0"/>
                  <w:marRight w:val="0"/>
                  <w:marTop w:val="0"/>
                  <w:marBottom w:val="0"/>
                  <w:divBdr>
                    <w:top w:val="none" w:sz="0" w:space="0" w:color="auto"/>
                    <w:left w:val="none" w:sz="0" w:space="0" w:color="auto"/>
                    <w:bottom w:val="none" w:sz="0" w:space="0" w:color="auto"/>
                    <w:right w:val="none" w:sz="0" w:space="0" w:color="auto"/>
                  </w:divBdr>
                  <w:divsChild>
                    <w:div w:id="566184516">
                      <w:marLeft w:val="1"/>
                      <w:marRight w:val="1"/>
                      <w:marTop w:val="0"/>
                      <w:marBottom w:val="0"/>
                      <w:divBdr>
                        <w:top w:val="none" w:sz="0" w:space="0" w:color="auto"/>
                        <w:left w:val="none" w:sz="0" w:space="0" w:color="auto"/>
                        <w:bottom w:val="none" w:sz="0" w:space="0" w:color="auto"/>
                        <w:right w:val="none" w:sz="0" w:space="0" w:color="auto"/>
                      </w:divBdr>
                      <w:divsChild>
                        <w:div w:id="417675572">
                          <w:marLeft w:val="0"/>
                          <w:marRight w:val="0"/>
                          <w:marTop w:val="0"/>
                          <w:marBottom w:val="0"/>
                          <w:divBdr>
                            <w:top w:val="none" w:sz="0" w:space="0" w:color="auto"/>
                            <w:left w:val="none" w:sz="0" w:space="0" w:color="auto"/>
                            <w:bottom w:val="none" w:sz="0" w:space="0" w:color="auto"/>
                            <w:right w:val="none" w:sz="0" w:space="0" w:color="auto"/>
                          </w:divBdr>
                          <w:divsChild>
                            <w:div w:id="2100565454">
                              <w:marLeft w:val="0"/>
                              <w:marRight w:val="0"/>
                              <w:marTop w:val="0"/>
                              <w:marBottom w:val="360"/>
                              <w:divBdr>
                                <w:top w:val="none" w:sz="0" w:space="0" w:color="auto"/>
                                <w:left w:val="none" w:sz="0" w:space="0" w:color="auto"/>
                                <w:bottom w:val="none" w:sz="0" w:space="0" w:color="auto"/>
                                <w:right w:val="none" w:sz="0" w:space="0" w:color="auto"/>
                              </w:divBdr>
                              <w:divsChild>
                                <w:div w:id="64114453">
                                  <w:marLeft w:val="0"/>
                                  <w:marRight w:val="0"/>
                                  <w:marTop w:val="0"/>
                                  <w:marBottom w:val="0"/>
                                  <w:divBdr>
                                    <w:top w:val="none" w:sz="0" w:space="0" w:color="auto"/>
                                    <w:left w:val="none" w:sz="0" w:space="0" w:color="auto"/>
                                    <w:bottom w:val="none" w:sz="0" w:space="0" w:color="auto"/>
                                    <w:right w:val="none" w:sz="0" w:space="0" w:color="auto"/>
                                  </w:divBdr>
                                  <w:divsChild>
                                    <w:div w:id="338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248042">
      <w:bodyDiv w:val="1"/>
      <w:marLeft w:val="0"/>
      <w:marRight w:val="0"/>
      <w:marTop w:val="0"/>
      <w:marBottom w:val="0"/>
      <w:divBdr>
        <w:top w:val="none" w:sz="0" w:space="0" w:color="auto"/>
        <w:left w:val="none" w:sz="0" w:space="0" w:color="auto"/>
        <w:bottom w:val="none" w:sz="0" w:space="0" w:color="auto"/>
        <w:right w:val="none" w:sz="0" w:space="0" w:color="auto"/>
      </w:divBdr>
      <w:divsChild>
        <w:div w:id="1171604886">
          <w:marLeft w:val="0"/>
          <w:marRight w:val="0"/>
          <w:marTop w:val="0"/>
          <w:marBottom w:val="0"/>
          <w:divBdr>
            <w:top w:val="none" w:sz="0" w:space="0" w:color="auto"/>
            <w:left w:val="none" w:sz="0" w:space="0" w:color="auto"/>
            <w:bottom w:val="none" w:sz="0" w:space="0" w:color="auto"/>
            <w:right w:val="none" w:sz="0" w:space="0" w:color="auto"/>
          </w:divBdr>
          <w:divsChild>
            <w:div w:id="2111854446">
              <w:marLeft w:val="0"/>
              <w:marRight w:val="0"/>
              <w:marTop w:val="0"/>
              <w:marBottom w:val="0"/>
              <w:divBdr>
                <w:top w:val="none" w:sz="0" w:space="0" w:color="auto"/>
                <w:left w:val="none" w:sz="0" w:space="0" w:color="auto"/>
                <w:bottom w:val="none" w:sz="0" w:space="0" w:color="auto"/>
                <w:right w:val="none" w:sz="0" w:space="0" w:color="auto"/>
              </w:divBdr>
              <w:divsChild>
                <w:div w:id="513886293">
                  <w:marLeft w:val="0"/>
                  <w:marRight w:val="0"/>
                  <w:marTop w:val="0"/>
                  <w:marBottom w:val="0"/>
                  <w:divBdr>
                    <w:top w:val="none" w:sz="0" w:space="0" w:color="auto"/>
                    <w:left w:val="none" w:sz="0" w:space="0" w:color="auto"/>
                    <w:bottom w:val="none" w:sz="0" w:space="0" w:color="auto"/>
                    <w:right w:val="none" w:sz="0" w:space="0" w:color="auto"/>
                  </w:divBdr>
                  <w:divsChild>
                    <w:div w:id="1646158515">
                      <w:marLeft w:val="1"/>
                      <w:marRight w:val="1"/>
                      <w:marTop w:val="0"/>
                      <w:marBottom w:val="0"/>
                      <w:divBdr>
                        <w:top w:val="none" w:sz="0" w:space="0" w:color="auto"/>
                        <w:left w:val="none" w:sz="0" w:space="0" w:color="auto"/>
                        <w:bottom w:val="none" w:sz="0" w:space="0" w:color="auto"/>
                        <w:right w:val="none" w:sz="0" w:space="0" w:color="auto"/>
                      </w:divBdr>
                      <w:divsChild>
                        <w:div w:id="745416482">
                          <w:marLeft w:val="0"/>
                          <w:marRight w:val="0"/>
                          <w:marTop w:val="0"/>
                          <w:marBottom w:val="0"/>
                          <w:divBdr>
                            <w:top w:val="none" w:sz="0" w:space="0" w:color="auto"/>
                            <w:left w:val="none" w:sz="0" w:space="0" w:color="auto"/>
                            <w:bottom w:val="none" w:sz="0" w:space="0" w:color="auto"/>
                            <w:right w:val="none" w:sz="0" w:space="0" w:color="auto"/>
                          </w:divBdr>
                          <w:divsChild>
                            <w:div w:id="550654339">
                              <w:marLeft w:val="0"/>
                              <w:marRight w:val="0"/>
                              <w:marTop w:val="0"/>
                              <w:marBottom w:val="360"/>
                              <w:divBdr>
                                <w:top w:val="none" w:sz="0" w:space="0" w:color="auto"/>
                                <w:left w:val="none" w:sz="0" w:space="0" w:color="auto"/>
                                <w:bottom w:val="none" w:sz="0" w:space="0" w:color="auto"/>
                                <w:right w:val="none" w:sz="0" w:space="0" w:color="auto"/>
                              </w:divBdr>
                              <w:divsChild>
                                <w:div w:id="1580479432">
                                  <w:marLeft w:val="0"/>
                                  <w:marRight w:val="0"/>
                                  <w:marTop w:val="0"/>
                                  <w:marBottom w:val="0"/>
                                  <w:divBdr>
                                    <w:top w:val="none" w:sz="0" w:space="0" w:color="auto"/>
                                    <w:left w:val="none" w:sz="0" w:space="0" w:color="auto"/>
                                    <w:bottom w:val="none" w:sz="0" w:space="0" w:color="auto"/>
                                    <w:right w:val="none" w:sz="0" w:space="0" w:color="auto"/>
                                  </w:divBdr>
                                  <w:divsChild>
                                    <w:div w:id="9464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573464">
      <w:bodyDiv w:val="1"/>
      <w:marLeft w:val="0"/>
      <w:marRight w:val="0"/>
      <w:marTop w:val="0"/>
      <w:marBottom w:val="0"/>
      <w:divBdr>
        <w:top w:val="none" w:sz="0" w:space="0" w:color="auto"/>
        <w:left w:val="none" w:sz="0" w:space="0" w:color="auto"/>
        <w:bottom w:val="none" w:sz="0" w:space="0" w:color="auto"/>
        <w:right w:val="none" w:sz="0" w:space="0" w:color="auto"/>
      </w:divBdr>
      <w:divsChild>
        <w:div w:id="174154713">
          <w:marLeft w:val="0"/>
          <w:marRight w:val="0"/>
          <w:marTop w:val="0"/>
          <w:marBottom w:val="0"/>
          <w:divBdr>
            <w:top w:val="none" w:sz="0" w:space="0" w:color="auto"/>
            <w:left w:val="none" w:sz="0" w:space="0" w:color="auto"/>
            <w:bottom w:val="none" w:sz="0" w:space="0" w:color="auto"/>
            <w:right w:val="none" w:sz="0" w:space="0" w:color="auto"/>
          </w:divBdr>
          <w:divsChild>
            <w:div w:id="1536384293">
              <w:marLeft w:val="0"/>
              <w:marRight w:val="0"/>
              <w:marTop w:val="0"/>
              <w:marBottom w:val="0"/>
              <w:divBdr>
                <w:top w:val="none" w:sz="0" w:space="0" w:color="auto"/>
                <w:left w:val="none" w:sz="0" w:space="0" w:color="auto"/>
                <w:bottom w:val="none" w:sz="0" w:space="0" w:color="auto"/>
                <w:right w:val="none" w:sz="0" w:space="0" w:color="auto"/>
              </w:divBdr>
              <w:divsChild>
                <w:div w:id="2146313137">
                  <w:marLeft w:val="0"/>
                  <w:marRight w:val="0"/>
                  <w:marTop w:val="0"/>
                  <w:marBottom w:val="0"/>
                  <w:divBdr>
                    <w:top w:val="none" w:sz="0" w:space="0" w:color="auto"/>
                    <w:left w:val="none" w:sz="0" w:space="0" w:color="auto"/>
                    <w:bottom w:val="none" w:sz="0" w:space="0" w:color="auto"/>
                    <w:right w:val="none" w:sz="0" w:space="0" w:color="auto"/>
                  </w:divBdr>
                  <w:divsChild>
                    <w:div w:id="760836704">
                      <w:marLeft w:val="1"/>
                      <w:marRight w:val="1"/>
                      <w:marTop w:val="0"/>
                      <w:marBottom w:val="0"/>
                      <w:divBdr>
                        <w:top w:val="none" w:sz="0" w:space="0" w:color="auto"/>
                        <w:left w:val="none" w:sz="0" w:space="0" w:color="auto"/>
                        <w:bottom w:val="none" w:sz="0" w:space="0" w:color="auto"/>
                        <w:right w:val="none" w:sz="0" w:space="0" w:color="auto"/>
                      </w:divBdr>
                      <w:divsChild>
                        <w:div w:id="1770005354">
                          <w:marLeft w:val="0"/>
                          <w:marRight w:val="0"/>
                          <w:marTop w:val="0"/>
                          <w:marBottom w:val="0"/>
                          <w:divBdr>
                            <w:top w:val="none" w:sz="0" w:space="0" w:color="auto"/>
                            <w:left w:val="none" w:sz="0" w:space="0" w:color="auto"/>
                            <w:bottom w:val="none" w:sz="0" w:space="0" w:color="auto"/>
                            <w:right w:val="none" w:sz="0" w:space="0" w:color="auto"/>
                          </w:divBdr>
                          <w:divsChild>
                            <w:div w:id="703136834">
                              <w:marLeft w:val="0"/>
                              <w:marRight w:val="0"/>
                              <w:marTop w:val="0"/>
                              <w:marBottom w:val="360"/>
                              <w:divBdr>
                                <w:top w:val="none" w:sz="0" w:space="0" w:color="auto"/>
                                <w:left w:val="none" w:sz="0" w:space="0" w:color="auto"/>
                                <w:bottom w:val="none" w:sz="0" w:space="0" w:color="auto"/>
                                <w:right w:val="none" w:sz="0" w:space="0" w:color="auto"/>
                              </w:divBdr>
                              <w:divsChild>
                                <w:div w:id="1249463683">
                                  <w:marLeft w:val="0"/>
                                  <w:marRight w:val="0"/>
                                  <w:marTop w:val="0"/>
                                  <w:marBottom w:val="0"/>
                                  <w:divBdr>
                                    <w:top w:val="none" w:sz="0" w:space="0" w:color="auto"/>
                                    <w:left w:val="none" w:sz="0" w:space="0" w:color="auto"/>
                                    <w:bottom w:val="none" w:sz="0" w:space="0" w:color="auto"/>
                                    <w:right w:val="none" w:sz="0" w:space="0" w:color="auto"/>
                                  </w:divBdr>
                                  <w:divsChild>
                                    <w:div w:id="10723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45170">
      <w:bodyDiv w:val="1"/>
      <w:marLeft w:val="0"/>
      <w:marRight w:val="0"/>
      <w:marTop w:val="0"/>
      <w:marBottom w:val="0"/>
      <w:divBdr>
        <w:top w:val="none" w:sz="0" w:space="0" w:color="auto"/>
        <w:left w:val="none" w:sz="0" w:space="0" w:color="auto"/>
        <w:bottom w:val="none" w:sz="0" w:space="0" w:color="auto"/>
        <w:right w:val="none" w:sz="0" w:space="0" w:color="auto"/>
      </w:divBdr>
      <w:divsChild>
        <w:div w:id="1336111019">
          <w:marLeft w:val="0"/>
          <w:marRight w:val="0"/>
          <w:marTop w:val="0"/>
          <w:marBottom w:val="0"/>
          <w:divBdr>
            <w:top w:val="none" w:sz="0" w:space="0" w:color="auto"/>
            <w:left w:val="none" w:sz="0" w:space="0" w:color="auto"/>
            <w:bottom w:val="none" w:sz="0" w:space="0" w:color="auto"/>
            <w:right w:val="none" w:sz="0" w:space="0" w:color="auto"/>
          </w:divBdr>
          <w:divsChild>
            <w:div w:id="376398396">
              <w:marLeft w:val="0"/>
              <w:marRight w:val="0"/>
              <w:marTop w:val="0"/>
              <w:marBottom w:val="0"/>
              <w:divBdr>
                <w:top w:val="none" w:sz="0" w:space="0" w:color="auto"/>
                <w:left w:val="none" w:sz="0" w:space="0" w:color="auto"/>
                <w:bottom w:val="none" w:sz="0" w:space="0" w:color="auto"/>
                <w:right w:val="none" w:sz="0" w:space="0" w:color="auto"/>
              </w:divBdr>
              <w:divsChild>
                <w:div w:id="159466912">
                  <w:marLeft w:val="0"/>
                  <w:marRight w:val="0"/>
                  <w:marTop w:val="0"/>
                  <w:marBottom w:val="0"/>
                  <w:divBdr>
                    <w:top w:val="none" w:sz="0" w:space="0" w:color="auto"/>
                    <w:left w:val="none" w:sz="0" w:space="0" w:color="auto"/>
                    <w:bottom w:val="none" w:sz="0" w:space="0" w:color="auto"/>
                    <w:right w:val="none" w:sz="0" w:space="0" w:color="auto"/>
                  </w:divBdr>
                  <w:divsChild>
                    <w:div w:id="1270120083">
                      <w:marLeft w:val="1"/>
                      <w:marRight w:val="1"/>
                      <w:marTop w:val="0"/>
                      <w:marBottom w:val="0"/>
                      <w:divBdr>
                        <w:top w:val="none" w:sz="0" w:space="0" w:color="auto"/>
                        <w:left w:val="none" w:sz="0" w:space="0" w:color="auto"/>
                        <w:bottom w:val="none" w:sz="0" w:space="0" w:color="auto"/>
                        <w:right w:val="none" w:sz="0" w:space="0" w:color="auto"/>
                      </w:divBdr>
                      <w:divsChild>
                        <w:div w:id="1624994526">
                          <w:marLeft w:val="0"/>
                          <w:marRight w:val="0"/>
                          <w:marTop w:val="0"/>
                          <w:marBottom w:val="0"/>
                          <w:divBdr>
                            <w:top w:val="none" w:sz="0" w:space="0" w:color="auto"/>
                            <w:left w:val="none" w:sz="0" w:space="0" w:color="auto"/>
                            <w:bottom w:val="none" w:sz="0" w:space="0" w:color="auto"/>
                            <w:right w:val="none" w:sz="0" w:space="0" w:color="auto"/>
                          </w:divBdr>
                          <w:divsChild>
                            <w:div w:id="18046081">
                              <w:marLeft w:val="0"/>
                              <w:marRight w:val="0"/>
                              <w:marTop w:val="0"/>
                              <w:marBottom w:val="360"/>
                              <w:divBdr>
                                <w:top w:val="none" w:sz="0" w:space="0" w:color="auto"/>
                                <w:left w:val="none" w:sz="0" w:space="0" w:color="auto"/>
                                <w:bottom w:val="none" w:sz="0" w:space="0" w:color="auto"/>
                                <w:right w:val="none" w:sz="0" w:space="0" w:color="auto"/>
                              </w:divBdr>
                              <w:divsChild>
                                <w:div w:id="1357078948">
                                  <w:marLeft w:val="0"/>
                                  <w:marRight w:val="0"/>
                                  <w:marTop w:val="0"/>
                                  <w:marBottom w:val="0"/>
                                  <w:divBdr>
                                    <w:top w:val="none" w:sz="0" w:space="0" w:color="auto"/>
                                    <w:left w:val="none" w:sz="0" w:space="0" w:color="auto"/>
                                    <w:bottom w:val="none" w:sz="0" w:space="0" w:color="auto"/>
                                    <w:right w:val="none" w:sz="0" w:space="0" w:color="auto"/>
                                  </w:divBdr>
                                  <w:divsChild>
                                    <w:div w:id="776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555">
      <w:bodyDiv w:val="1"/>
      <w:marLeft w:val="0"/>
      <w:marRight w:val="0"/>
      <w:marTop w:val="0"/>
      <w:marBottom w:val="0"/>
      <w:divBdr>
        <w:top w:val="none" w:sz="0" w:space="0" w:color="auto"/>
        <w:left w:val="none" w:sz="0" w:space="0" w:color="auto"/>
        <w:bottom w:val="none" w:sz="0" w:space="0" w:color="auto"/>
        <w:right w:val="none" w:sz="0" w:space="0" w:color="auto"/>
      </w:divBdr>
    </w:div>
    <w:div w:id="1012338114">
      <w:bodyDiv w:val="1"/>
      <w:marLeft w:val="0"/>
      <w:marRight w:val="0"/>
      <w:marTop w:val="0"/>
      <w:marBottom w:val="0"/>
      <w:divBdr>
        <w:top w:val="none" w:sz="0" w:space="0" w:color="auto"/>
        <w:left w:val="none" w:sz="0" w:space="0" w:color="auto"/>
        <w:bottom w:val="none" w:sz="0" w:space="0" w:color="auto"/>
        <w:right w:val="none" w:sz="0" w:space="0" w:color="auto"/>
      </w:divBdr>
      <w:divsChild>
        <w:div w:id="1596471835">
          <w:marLeft w:val="0"/>
          <w:marRight w:val="0"/>
          <w:marTop w:val="0"/>
          <w:marBottom w:val="0"/>
          <w:divBdr>
            <w:top w:val="none" w:sz="0" w:space="0" w:color="auto"/>
            <w:left w:val="none" w:sz="0" w:space="0" w:color="auto"/>
            <w:bottom w:val="none" w:sz="0" w:space="0" w:color="auto"/>
            <w:right w:val="none" w:sz="0" w:space="0" w:color="auto"/>
          </w:divBdr>
          <w:divsChild>
            <w:div w:id="450907034">
              <w:marLeft w:val="0"/>
              <w:marRight w:val="0"/>
              <w:marTop w:val="0"/>
              <w:marBottom w:val="0"/>
              <w:divBdr>
                <w:top w:val="none" w:sz="0" w:space="0" w:color="auto"/>
                <w:left w:val="none" w:sz="0" w:space="0" w:color="auto"/>
                <w:bottom w:val="none" w:sz="0" w:space="0" w:color="auto"/>
                <w:right w:val="none" w:sz="0" w:space="0" w:color="auto"/>
              </w:divBdr>
              <w:divsChild>
                <w:div w:id="1958752707">
                  <w:marLeft w:val="0"/>
                  <w:marRight w:val="0"/>
                  <w:marTop w:val="0"/>
                  <w:marBottom w:val="0"/>
                  <w:divBdr>
                    <w:top w:val="none" w:sz="0" w:space="0" w:color="auto"/>
                    <w:left w:val="none" w:sz="0" w:space="0" w:color="auto"/>
                    <w:bottom w:val="none" w:sz="0" w:space="0" w:color="auto"/>
                    <w:right w:val="none" w:sz="0" w:space="0" w:color="auto"/>
                  </w:divBdr>
                  <w:divsChild>
                    <w:div w:id="1842113400">
                      <w:marLeft w:val="1"/>
                      <w:marRight w:val="1"/>
                      <w:marTop w:val="0"/>
                      <w:marBottom w:val="0"/>
                      <w:divBdr>
                        <w:top w:val="none" w:sz="0" w:space="0" w:color="auto"/>
                        <w:left w:val="none" w:sz="0" w:space="0" w:color="auto"/>
                        <w:bottom w:val="none" w:sz="0" w:space="0" w:color="auto"/>
                        <w:right w:val="none" w:sz="0" w:space="0" w:color="auto"/>
                      </w:divBdr>
                      <w:divsChild>
                        <w:div w:id="788627084">
                          <w:marLeft w:val="0"/>
                          <w:marRight w:val="0"/>
                          <w:marTop w:val="0"/>
                          <w:marBottom w:val="0"/>
                          <w:divBdr>
                            <w:top w:val="none" w:sz="0" w:space="0" w:color="auto"/>
                            <w:left w:val="none" w:sz="0" w:space="0" w:color="auto"/>
                            <w:bottom w:val="none" w:sz="0" w:space="0" w:color="auto"/>
                            <w:right w:val="none" w:sz="0" w:space="0" w:color="auto"/>
                          </w:divBdr>
                          <w:divsChild>
                            <w:div w:id="465516339">
                              <w:marLeft w:val="0"/>
                              <w:marRight w:val="0"/>
                              <w:marTop w:val="0"/>
                              <w:marBottom w:val="360"/>
                              <w:divBdr>
                                <w:top w:val="none" w:sz="0" w:space="0" w:color="auto"/>
                                <w:left w:val="none" w:sz="0" w:space="0" w:color="auto"/>
                                <w:bottom w:val="none" w:sz="0" w:space="0" w:color="auto"/>
                                <w:right w:val="none" w:sz="0" w:space="0" w:color="auto"/>
                              </w:divBdr>
                              <w:divsChild>
                                <w:div w:id="1043561324">
                                  <w:marLeft w:val="0"/>
                                  <w:marRight w:val="0"/>
                                  <w:marTop w:val="0"/>
                                  <w:marBottom w:val="0"/>
                                  <w:divBdr>
                                    <w:top w:val="none" w:sz="0" w:space="0" w:color="auto"/>
                                    <w:left w:val="none" w:sz="0" w:space="0" w:color="auto"/>
                                    <w:bottom w:val="none" w:sz="0" w:space="0" w:color="auto"/>
                                    <w:right w:val="none" w:sz="0" w:space="0" w:color="auto"/>
                                  </w:divBdr>
                                  <w:divsChild>
                                    <w:div w:id="15093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854567">
      <w:bodyDiv w:val="1"/>
      <w:marLeft w:val="0"/>
      <w:marRight w:val="0"/>
      <w:marTop w:val="0"/>
      <w:marBottom w:val="0"/>
      <w:divBdr>
        <w:top w:val="none" w:sz="0" w:space="0" w:color="auto"/>
        <w:left w:val="none" w:sz="0" w:space="0" w:color="auto"/>
        <w:bottom w:val="none" w:sz="0" w:space="0" w:color="auto"/>
        <w:right w:val="none" w:sz="0" w:space="0" w:color="auto"/>
      </w:divBdr>
      <w:divsChild>
        <w:div w:id="1247497213">
          <w:marLeft w:val="0"/>
          <w:marRight w:val="0"/>
          <w:marTop w:val="0"/>
          <w:marBottom w:val="0"/>
          <w:divBdr>
            <w:top w:val="none" w:sz="0" w:space="0" w:color="auto"/>
            <w:left w:val="none" w:sz="0" w:space="0" w:color="auto"/>
            <w:bottom w:val="none" w:sz="0" w:space="0" w:color="auto"/>
            <w:right w:val="none" w:sz="0" w:space="0" w:color="auto"/>
          </w:divBdr>
          <w:divsChild>
            <w:div w:id="915938675">
              <w:marLeft w:val="0"/>
              <w:marRight w:val="0"/>
              <w:marTop w:val="0"/>
              <w:marBottom w:val="0"/>
              <w:divBdr>
                <w:top w:val="none" w:sz="0" w:space="0" w:color="auto"/>
                <w:left w:val="none" w:sz="0" w:space="0" w:color="auto"/>
                <w:bottom w:val="none" w:sz="0" w:space="0" w:color="auto"/>
                <w:right w:val="none" w:sz="0" w:space="0" w:color="auto"/>
              </w:divBdr>
              <w:divsChild>
                <w:div w:id="1316883118">
                  <w:marLeft w:val="0"/>
                  <w:marRight w:val="0"/>
                  <w:marTop w:val="0"/>
                  <w:marBottom w:val="0"/>
                  <w:divBdr>
                    <w:top w:val="none" w:sz="0" w:space="0" w:color="auto"/>
                    <w:left w:val="none" w:sz="0" w:space="0" w:color="auto"/>
                    <w:bottom w:val="none" w:sz="0" w:space="0" w:color="auto"/>
                    <w:right w:val="none" w:sz="0" w:space="0" w:color="auto"/>
                  </w:divBdr>
                  <w:divsChild>
                    <w:div w:id="396317934">
                      <w:marLeft w:val="1"/>
                      <w:marRight w:val="1"/>
                      <w:marTop w:val="0"/>
                      <w:marBottom w:val="0"/>
                      <w:divBdr>
                        <w:top w:val="none" w:sz="0" w:space="0" w:color="auto"/>
                        <w:left w:val="none" w:sz="0" w:space="0" w:color="auto"/>
                        <w:bottom w:val="none" w:sz="0" w:space="0" w:color="auto"/>
                        <w:right w:val="none" w:sz="0" w:space="0" w:color="auto"/>
                      </w:divBdr>
                      <w:divsChild>
                        <w:div w:id="1268779243">
                          <w:marLeft w:val="0"/>
                          <w:marRight w:val="0"/>
                          <w:marTop w:val="0"/>
                          <w:marBottom w:val="0"/>
                          <w:divBdr>
                            <w:top w:val="none" w:sz="0" w:space="0" w:color="auto"/>
                            <w:left w:val="none" w:sz="0" w:space="0" w:color="auto"/>
                            <w:bottom w:val="none" w:sz="0" w:space="0" w:color="auto"/>
                            <w:right w:val="none" w:sz="0" w:space="0" w:color="auto"/>
                          </w:divBdr>
                          <w:divsChild>
                            <w:div w:id="195048964">
                              <w:marLeft w:val="0"/>
                              <w:marRight w:val="0"/>
                              <w:marTop w:val="0"/>
                              <w:marBottom w:val="360"/>
                              <w:divBdr>
                                <w:top w:val="none" w:sz="0" w:space="0" w:color="auto"/>
                                <w:left w:val="none" w:sz="0" w:space="0" w:color="auto"/>
                                <w:bottom w:val="none" w:sz="0" w:space="0" w:color="auto"/>
                                <w:right w:val="none" w:sz="0" w:space="0" w:color="auto"/>
                              </w:divBdr>
                              <w:divsChild>
                                <w:div w:id="701395839">
                                  <w:marLeft w:val="0"/>
                                  <w:marRight w:val="0"/>
                                  <w:marTop w:val="0"/>
                                  <w:marBottom w:val="0"/>
                                  <w:divBdr>
                                    <w:top w:val="none" w:sz="0" w:space="0" w:color="auto"/>
                                    <w:left w:val="none" w:sz="0" w:space="0" w:color="auto"/>
                                    <w:bottom w:val="none" w:sz="0" w:space="0" w:color="auto"/>
                                    <w:right w:val="none" w:sz="0" w:space="0" w:color="auto"/>
                                  </w:divBdr>
                                  <w:divsChild>
                                    <w:div w:id="19655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525438">
      <w:bodyDiv w:val="1"/>
      <w:marLeft w:val="0"/>
      <w:marRight w:val="0"/>
      <w:marTop w:val="0"/>
      <w:marBottom w:val="0"/>
      <w:divBdr>
        <w:top w:val="none" w:sz="0" w:space="0" w:color="auto"/>
        <w:left w:val="none" w:sz="0" w:space="0" w:color="auto"/>
        <w:bottom w:val="none" w:sz="0" w:space="0" w:color="auto"/>
        <w:right w:val="none" w:sz="0" w:space="0" w:color="auto"/>
      </w:divBdr>
      <w:divsChild>
        <w:div w:id="1623489190">
          <w:marLeft w:val="0"/>
          <w:marRight w:val="0"/>
          <w:marTop w:val="0"/>
          <w:marBottom w:val="0"/>
          <w:divBdr>
            <w:top w:val="none" w:sz="0" w:space="0" w:color="auto"/>
            <w:left w:val="none" w:sz="0" w:space="0" w:color="auto"/>
            <w:bottom w:val="none" w:sz="0" w:space="0" w:color="auto"/>
            <w:right w:val="none" w:sz="0" w:space="0" w:color="auto"/>
          </w:divBdr>
          <w:divsChild>
            <w:div w:id="1196313357">
              <w:marLeft w:val="0"/>
              <w:marRight w:val="0"/>
              <w:marTop w:val="0"/>
              <w:marBottom w:val="0"/>
              <w:divBdr>
                <w:top w:val="none" w:sz="0" w:space="0" w:color="auto"/>
                <w:left w:val="none" w:sz="0" w:space="0" w:color="auto"/>
                <w:bottom w:val="none" w:sz="0" w:space="0" w:color="auto"/>
                <w:right w:val="none" w:sz="0" w:space="0" w:color="auto"/>
              </w:divBdr>
              <w:divsChild>
                <w:div w:id="1299216094">
                  <w:marLeft w:val="0"/>
                  <w:marRight w:val="0"/>
                  <w:marTop w:val="0"/>
                  <w:marBottom w:val="0"/>
                  <w:divBdr>
                    <w:top w:val="none" w:sz="0" w:space="0" w:color="auto"/>
                    <w:left w:val="none" w:sz="0" w:space="0" w:color="auto"/>
                    <w:bottom w:val="none" w:sz="0" w:space="0" w:color="auto"/>
                    <w:right w:val="none" w:sz="0" w:space="0" w:color="auto"/>
                  </w:divBdr>
                  <w:divsChild>
                    <w:div w:id="1416978611">
                      <w:marLeft w:val="1"/>
                      <w:marRight w:val="1"/>
                      <w:marTop w:val="0"/>
                      <w:marBottom w:val="0"/>
                      <w:divBdr>
                        <w:top w:val="none" w:sz="0" w:space="0" w:color="auto"/>
                        <w:left w:val="none" w:sz="0" w:space="0" w:color="auto"/>
                        <w:bottom w:val="none" w:sz="0" w:space="0" w:color="auto"/>
                        <w:right w:val="none" w:sz="0" w:space="0" w:color="auto"/>
                      </w:divBdr>
                      <w:divsChild>
                        <w:div w:id="985817384">
                          <w:marLeft w:val="0"/>
                          <w:marRight w:val="0"/>
                          <w:marTop w:val="0"/>
                          <w:marBottom w:val="0"/>
                          <w:divBdr>
                            <w:top w:val="none" w:sz="0" w:space="0" w:color="auto"/>
                            <w:left w:val="none" w:sz="0" w:space="0" w:color="auto"/>
                            <w:bottom w:val="none" w:sz="0" w:space="0" w:color="auto"/>
                            <w:right w:val="none" w:sz="0" w:space="0" w:color="auto"/>
                          </w:divBdr>
                          <w:divsChild>
                            <w:div w:id="1802765324">
                              <w:marLeft w:val="0"/>
                              <w:marRight w:val="0"/>
                              <w:marTop w:val="0"/>
                              <w:marBottom w:val="360"/>
                              <w:divBdr>
                                <w:top w:val="none" w:sz="0" w:space="0" w:color="auto"/>
                                <w:left w:val="none" w:sz="0" w:space="0" w:color="auto"/>
                                <w:bottom w:val="none" w:sz="0" w:space="0" w:color="auto"/>
                                <w:right w:val="none" w:sz="0" w:space="0" w:color="auto"/>
                              </w:divBdr>
                              <w:divsChild>
                                <w:div w:id="1820149577">
                                  <w:marLeft w:val="0"/>
                                  <w:marRight w:val="0"/>
                                  <w:marTop w:val="0"/>
                                  <w:marBottom w:val="0"/>
                                  <w:divBdr>
                                    <w:top w:val="none" w:sz="0" w:space="0" w:color="auto"/>
                                    <w:left w:val="none" w:sz="0" w:space="0" w:color="auto"/>
                                    <w:bottom w:val="none" w:sz="0" w:space="0" w:color="auto"/>
                                    <w:right w:val="none" w:sz="0" w:space="0" w:color="auto"/>
                                  </w:divBdr>
                                  <w:divsChild>
                                    <w:div w:id="9073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40940">
      <w:bodyDiv w:val="1"/>
      <w:marLeft w:val="0"/>
      <w:marRight w:val="0"/>
      <w:marTop w:val="0"/>
      <w:marBottom w:val="0"/>
      <w:divBdr>
        <w:top w:val="none" w:sz="0" w:space="0" w:color="auto"/>
        <w:left w:val="none" w:sz="0" w:space="0" w:color="auto"/>
        <w:bottom w:val="none" w:sz="0" w:space="0" w:color="auto"/>
        <w:right w:val="none" w:sz="0" w:space="0" w:color="auto"/>
      </w:divBdr>
      <w:divsChild>
        <w:div w:id="260839084">
          <w:marLeft w:val="0"/>
          <w:marRight w:val="0"/>
          <w:marTop w:val="0"/>
          <w:marBottom w:val="0"/>
          <w:divBdr>
            <w:top w:val="none" w:sz="0" w:space="0" w:color="auto"/>
            <w:left w:val="none" w:sz="0" w:space="0" w:color="auto"/>
            <w:bottom w:val="none" w:sz="0" w:space="0" w:color="auto"/>
            <w:right w:val="none" w:sz="0" w:space="0" w:color="auto"/>
          </w:divBdr>
          <w:divsChild>
            <w:div w:id="385837164">
              <w:marLeft w:val="0"/>
              <w:marRight w:val="0"/>
              <w:marTop w:val="0"/>
              <w:marBottom w:val="0"/>
              <w:divBdr>
                <w:top w:val="none" w:sz="0" w:space="0" w:color="auto"/>
                <w:left w:val="none" w:sz="0" w:space="0" w:color="auto"/>
                <w:bottom w:val="none" w:sz="0" w:space="0" w:color="auto"/>
                <w:right w:val="none" w:sz="0" w:space="0" w:color="auto"/>
              </w:divBdr>
              <w:divsChild>
                <w:div w:id="2106269812">
                  <w:marLeft w:val="0"/>
                  <w:marRight w:val="0"/>
                  <w:marTop w:val="0"/>
                  <w:marBottom w:val="0"/>
                  <w:divBdr>
                    <w:top w:val="none" w:sz="0" w:space="0" w:color="auto"/>
                    <w:left w:val="none" w:sz="0" w:space="0" w:color="auto"/>
                    <w:bottom w:val="none" w:sz="0" w:space="0" w:color="auto"/>
                    <w:right w:val="none" w:sz="0" w:space="0" w:color="auto"/>
                  </w:divBdr>
                  <w:divsChild>
                    <w:div w:id="969827178">
                      <w:marLeft w:val="1"/>
                      <w:marRight w:val="1"/>
                      <w:marTop w:val="0"/>
                      <w:marBottom w:val="0"/>
                      <w:divBdr>
                        <w:top w:val="none" w:sz="0" w:space="0" w:color="auto"/>
                        <w:left w:val="none" w:sz="0" w:space="0" w:color="auto"/>
                        <w:bottom w:val="none" w:sz="0" w:space="0" w:color="auto"/>
                        <w:right w:val="none" w:sz="0" w:space="0" w:color="auto"/>
                      </w:divBdr>
                      <w:divsChild>
                        <w:div w:id="1222906806">
                          <w:marLeft w:val="0"/>
                          <w:marRight w:val="0"/>
                          <w:marTop w:val="0"/>
                          <w:marBottom w:val="0"/>
                          <w:divBdr>
                            <w:top w:val="none" w:sz="0" w:space="0" w:color="auto"/>
                            <w:left w:val="none" w:sz="0" w:space="0" w:color="auto"/>
                            <w:bottom w:val="none" w:sz="0" w:space="0" w:color="auto"/>
                            <w:right w:val="none" w:sz="0" w:space="0" w:color="auto"/>
                          </w:divBdr>
                          <w:divsChild>
                            <w:div w:id="1967542676">
                              <w:marLeft w:val="0"/>
                              <w:marRight w:val="0"/>
                              <w:marTop w:val="0"/>
                              <w:marBottom w:val="360"/>
                              <w:divBdr>
                                <w:top w:val="none" w:sz="0" w:space="0" w:color="auto"/>
                                <w:left w:val="none" w:sz="0" w:space="0" w:color="auto"/>
                                <w:bottom w:val="none" w:sz="0" w:space="0" w:color="auto"/>
                                <w:right w:val="none" w:sz="0" w:space="0" w:color="auto"/>
                              </w:divBdr>
                              <w:divsChild>
                                <w:div w:id="827328949">
                                  <w:marLeft w:val="0"/>
                                  <w:marRight w:val="0"/>
                                  <w:marTop w:val="0"/>
                                  <w:marBottom w:val="0"/>
                                  <w:divBdr>
                                    <w:top w:val="none" w:sz="0" w:space="0" w:color="auto"/>
                                    <w:left w:val="none" w:sz="0" w:space="0" w:color="auto"/>
                                    <w:bottom w:val="none" w:sz="0" w:space="0" w:color="auto"/>
                                    <w:right w:val="none" w:sz="0" w:space="0" w:color="auto"/>
                                  </w:divBdr>
                                  <w:divsChild>
                                    <w:div w:id="9040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0758">
      <w:bodyDiv w:val="1"/>
      <w:marLeft w:val="0"/>
      <w:marRight w:val="0"/>
      <w:marTop w:val="0"/>
      <w:marBottom w:val="0"/>
      <w:divBdr>
        <w:top w:val="none" w:sz="0" w:space="0" w:color="auto"/>
        <w:left w:val="none" w:sz="0" w:space="0" w:color="auto"/>
        <w:bottom w:val="none" w:sz="0" w:space="0" w:color="auto"/>
        <w:right w:val="none" w:sz="0" w:space="0" w:color="auto"/>
      </w:divBdr>
      <w:divsChild>
        <w:div w:id="36128482">
          <w:marLeft w:val="0"/>
          <w:marRight w:val="0"/>
          <w:marTop w:val="0"/>
          <w:marBottom w:val="0"/>
          <w:divBdr>
            <w:top w:val="none" w:sz="0" w:space="0" w:color="auto"/>
            <w:left w:val="none" w:sz="0" w:space="0" w:color="auto"/>
            <w:bottom w:val="none" w:sz="0" w:space="0" w:color="auto"/>
            <w:right w:val="none" w:sz="0" w:space="0" w:color="auto"/>
          </w:divBdr>
          <w:divsChild>
            <w:div w:id="1770200223">
              <w:marLeft w:val="0"/>
              <w:marRight w:val="0"/>
              <w:marTop w:val="0"/>
              <w:marBottom w:val="0"/>
              <w:divBdr>
                <w:top w:val="none" w:sz="0" w:space="0" w:color="auto"/>
                <w:left w:val="none" w:sz="0" w:space="0" w:color="auto"/>
                <w:bottom w:val="none" w:sz="0" w:space="0" w:color="auto"/>
                <w:right w:val="none" w:sz="0" w:space="0" w:color="auto"/>
              </w:divBdr>
              <w:divsChild>
                <w:div w:id="176043735">
                  <w:marLeft w:val="0"/>
                  <w:marRight w:val="0"/>
                  <w:marTop w:val="0"/>
                  <w:marBottom w:val="0"/>
                  <w:divBdr>
                    <w:top w:val="none" w:sz="0" w:space="0" w:color="auto"/>
                    <w:left w:val="none" w:sz="0" w:space="0" w:color="auto"/>
                    <w:bottom w:val="none" w:sz="0" w:space="0" w:color="auto"/>
                    <w:right w:val="none" w:sz="0" w:space="0" w:color="auto"/>
                  </w:divBdr>
                  <w:divsChild>
                    <w:div w:id="1096755553">
                      <w:marLeft w:val="1"/>
                      <w:marRight w:val="1"/>
                      <w:marTop w:val="0"/>
                      <w:marBottom w:val="0"/>
                      <w:divBdr>
                        <w:top w:val="none" w:sz="0" w:space="0" w:color="auto"/>
                        <w:left w:val="none" w:sz="0" w:space="0" w:color="auto"/>
                        <w:bottom w:val="none" w:sz="0" w:space="0" w:color="auto"/>
                        <w:right w:val="none" w:sz="0" w:space="0" w:color="auto"/>
                      </w:divBdr>
                      <w:divsChild>
                        <w:div w:id="838889321">
                          <w:marLeft w:val="0"/>
                          <w:marRight w:val="0"/>
                          <w:marTop w:val="0"/>
                          <w:marBottom w:val="0"/>
                          <w:divBdr>
                            <w:top w:val="none" w:sz="0" w:space="0" w:color="auto"/>
                            <w:left w:val="none" w:sz="0" w:space="0" w:color="auto"/>
                            <w:bottom w:val="none" w:sz="0" w:space="0" w:color="auto"/>
                            <w:right w:val="none" w:sz="0" w:space="0" w:color="auto"/>
                          </w:divBdr>
                          <w:divsChild>
                            <w:div w:id="1183208695">
                              <w:marLeft w:val="0"/>
                              <w:marRight w:val="0"/>
                              <w:marTop w:val="0"/>
                              <w:marBottom w:val="360"/>
                              <w:divBdr>
                                <w:top w:val="none" w:sz="0" w:space="0" w:color="auto"/>
                                <w:left w:val="none" w:sz="0" w:space="0" w:color="auto"/>
                                <w:bottom w:val="none" w:sz="0" w:space="0" w:color="auto"/>
                                <w:right w:val="none" w:sz="0" w:space="0" w:color="auto"/>
                              </w:divBdr>
                              <w:divsChild>
                                <w:div w:id="905846488">
                                  <w:marLeft w:val="0"/>
                                  <w:marRight w:val="0"/>
                                  <w:marTop w:val="0"/>
                                  <w:marBottom w:val="0"/>
                                  <w:divBdr>
                                    <w:top w:val="none" w:sz="0" w:space="0" w:color="auto"/>
                                    <w:left w:val="none" w:sz="0" w:space="0" w:color="auto"/>
                                    <w:bottom w:val="none" w:sz="0" w:space="0" w:color="auto"/>
                                    <w:right w:val="none" w:sz="0" w:space="0" w:color="auto"/>
                                  </w:divBdr>
                                  <w:divsChild>
                                    <w:div w:id="13857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725845">
      <w:bodyDiv w:val="1"/>
      <w:marLeft w:val="0"/>
      <w:marRight w:val="0"/>
      <w:marTop w:val="0"/>
      <w:marBottom w:val="0"/>
      <w:divBdr>
        <w:top w:val="none" w:sz="0" w:space="0" w:color="auto"/>
        <w:left w:val="none" w:sz="0" w:space="0" w:color="auto"/>
        <w:bottom w:val="none" w:sz="0" w:space="0" w:color="auto"/>
        <w:right w:val="none" w:sz="0" w:space="0" w:color="auto"/>
      </w:divBdr>
      <w:divsChild>
        <w:div w:id="1629580689">
          <w:marLeft w:val="0"/>
          <w:marRight w:val="0"/>
          <w:marTop w:val="0"/>
          <w:marBottom w:val="0"/>
          <w:divBdr>
            <w:top w:val="none" w:sz="0" w:space="0" w:color="auto"/>
            <w:left w:val="none" w:sz="0" w:space="0" w:color="auto"/>
            <w:bottom w:val="none" w:sz="0" w:space="0" w:color="auto"/>
            <w:right w:val="none" w:sz="0" w:space="0" w:color="auto"/>
          </w:divBdr>
          <w:divsChild>
            <w:div w:id="1448157335">
              <w:marLeft w:val="0"/>
              <w:marRight w:val="0"/>
              <w:marTop w:val="0"/>
              <w:marBottom w:val="0"/>
              <w:divBdr>
                <w:top w:val="none" w:sz="0" w:space="0" w:color="auto"/>
                <w:left w:val="none" w:sz="0" w:space="0" w:color="auto"/>
                <w:bottom w:val="none" w:sz="0" w:space="0" w:color="auto"/>
                <w:right w:val="none" w:sz="0" w:space="0" w:color="auto"/>
              </w:divBdr>
              <w:divsChild>
                <w:div w:id="979461993">
                  <w:marLeft w:val="0"/>
                  <w:marRight w:val="0"/>
                  <w:marTop w:val="0"/>
                  <w:marBottom w:val="0"/>
                  <w:divBdr>
                    <w:top w:val="none" w:sz="0" w:space="0" w:color="auto"/>
                    <w:left w:val="none" w:sz="0" w:space="0" w:color="auto"/>
                    <w:bottom w:val="none" w:sz="0" w:space="0" w:color="auto"/>
                    <w:right w:val="none" w:sz="0" w:space="0" w:color="auto"/>
                  </w:divBdr>
                  <w:divsChild>
                    <w:div w:id="1197424479">
                      <w:marLeft w:val="1"/>
                      <w:marRight w:val="1"/>
                      <w:marTop w:val="0"/>
                      <w:marBottom w:val="0"/>
                      <w:divBdr>
                        <w:top w:val="none" w:sz="0" w:space="0" w:color="auto"/>
                        <w:left w:val="none" w:sz="0" w:space="0" w:color="auto"/>
                        <w:bottom w:val="none" w:sz="0" w:space="0" w:color="auto"/>
                        <w:right w:val="none" w:sz="0" w:space="0" w:color="auto"/>
                      </w:divBdr>
                      <w:divsChild>
                        <w:div w:id="759060341">
                          <w:marLeft w:val="0"/>
                          <w:marRight w:val="0"/>
                          <w:marTop w:val="0"/>
                          <w:marBottom w:val="0"/>
                          <w:divBdr>
                            <w:top w:val="none" w:sz="0" w:space="0" w:color="auto"/>
                            <w:left w:val="none" w:sz="0" w:space="0" w:color="auto"/>
                            <w:bottom w:val="none" w:sz="0" w:space="0" w:color="auto"/>
                            <w:right w:val="none" w:sz="0" w:space="0" w:color="auto"/>
                          </w:divBdr>
                          <w:divsChild>
                            <w:div w:id="2110656738">
                              <w:marLeft w:val="0"/>
                              <w:marRight w:val="0"/>
                              <w:marTop w:val="0"/>
                              <w:marBottom w:val="360"/>
                              <w:divBdr>
                                <w:top w:val="none" w:sz="0" w:space="0" w:color="auto"/>
                                <w:left w:val="none" w:sz="0" w:space="0" w:color="auto"/>
                                <w:bottom w:val="none" w:sz="0" w:space="0" w:color="auto"/>
                                <w:right w:val="none" w:sz="0" w:space="0" w:color="auto"/>
                              </w:divBdr>
                              <w:divsChild>
                                <w:div w:id="1889101934">
                                  <w:marLeft w:val="0"/>
                                  <w:marRight w:val="0"/>
                                  <w:marTop w:val="0"/>
                                  <w:marBottom w:val="0"/>
                                  <w:divBdr>
                                    <w:top w:val="none" w:sz="0" w:space="0" w:color="auto"/>
                                    <w:left w:val="none" w:sz="0" w:space="0" w:color="auto"/>
                                    <w:bottom w:val="none" w:sz="0" w:space="0" w:color="auto"/>
                                    <w:right w:val="none" w:sz="0" w:space="0" w:color="auto"/>
                                  </w:divBdr>
                                  <w:divsChild>
                                    <w:div w:id="14948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74952">
      <w:bodyDiv w:val="1"/>
      <w:marLeft w:val="0"/>
      <w:marRight w:val="0"/>
      <w:marTop w:val="0"/>
      <w:marBottom w:val="0"/>
      <w:divBdr>
        <w:top w:val="none" w:sz="0" w:space="0" w:color="auto"/>
        <w:left w:val="none" w:sz="0" w:space="0" w:color="auto"/>
        <w:bottom w:val="none" w:sz="0" w:space="0" w:color="auto"/>
        <w:right w:val="none" w:sz="0" w:space="0" w:color="auto"/>
      </w:divBdr>
    </w:div>
    <w:div w:id="2010519221">
      <w:bodyDiv w:val="1"/>
      <w:marLeft w:val="0"/>
      <w:marRight w:val="0"/>
      <w:marTop w:val="0"/>
      <w:marBottom w:val="0"/>
      <w:divBdr>
        <w:top w:val="none" w:sz="0" w:space="0" w:color="auto"/>
        <w:left w:val="none" w:sz="0" w:space="0" w:color="auto"/>
        <w:bottom w:val="none" w:sz="0" w:space="0" w:color="auto"/>
        <w:right w:val="none" w:sz="0" w:space="0" w:color="auto"/>
      </w:divBdr>
      <w:divsChild>
        <w:div w:id="258298338">
          <w:marLeft w:val="0"/>
          <w:marRight w:val="0"/>
          <w:marTop w:val="0"/>
          <w:marBottom w:val="0"/>
          <w:divBdr>
            <w:top w:val="none" w:sz="0" w:space="0" w:color="auto"/>
            <w:left w:val="none" w:sz="0" w:space="0" w:color="auto"/>
            <w:bottom w:val="none" w:sz="0" w:space="0" w:color="auto"/>
            <w:right w:val="none" w:sz="0" w:space="0" w:color="auto"/>
          </w:divBdr>
          <w:divsChild>
            <w:div w:id="917835324">
              <w:marLeft w:val="0"/>
              <w:marRight w:val="0"/>
              <w:marTop w:val="0"/>
              <w:marBottom w:val="0"/>
              <w:divBdr>
                <w:top w:val="none" w:sz="0" w:space="0" w:color="auto"/>
                <w:left w:val="none" w:sz="0" w:space="0" w:color="auto"/>
                <w:bottom w:val="none" w:sz="0" w:space="0" w:color="auto"/>
                <w:right w:val="none" w:sz="0" w:space="0" w:color="auto"/>
              </w:divBdr>
              <w:divsChild>
                <w:div w:id="1223103254">
                  <w:marLeft w:val="0"/>
                  <w:marRight w:val="0"/>
                  <w:marTop w:val="0"/>
                  <w:marBottom w:val="0"/>
                  <w:divBdr>
                    <w:top w:val="none" w:sz="0" w:space="0" w:color="auto"/>
                    <w:left w:val="none" w:sz="0" w:space="0" w:color="auto"/>
                    <w:bottom w:val="none" w:sz="0" w:space="0" w:color="auto"/>
                    <w:right w:val="none" w:sz="0" w:space="0" w:color="auto"/>
                  </w:divBdr>
                  <w:divsChild>
                    <w:div w:id="108671732">
                      <w:marLeft w:val="1"/>
                      <w:marRight w:val="1"/>
                      <w:marTop w:val="0"/>
                      <w:marBottom w:val="0"/>
                      <w:divBdr>
                        <w:top w:val="none" w:sz="0" w:space="0" w:color="auto"/>
                        <w:left w:val="none" w:sz="0" w:space="0" w:color="auto"/>
                        <w:bottom w:val="none" w:sz="0" w:space="0" w:color="auto"/>
                        <w:right w:val="none" w:sz="0" w:space="0" w:color="auto"/>
                      </w:divBdr>
                      <w:divsChild>
                        <w:div w:id="1684554630">
                          <w:marLeft w:val="0"/>
                          <w:marRight w:val="0"/>
                          <w:marTop w:val="0"/>
                          <w:marBottom w:val="0"/>
                          <w:divBdr>
                            <w:top w:val="none" w:sz="0" w:space="0" w:color="auto"/>
                            <w:left w:val="none" w:sz="0" w:space="0" w:color="auto"/>
                            <w:bottom w:val="none" w:sz="0" w:space="0" w:color="auto"/>
                            <w:right w:val="none" w:sz="0" w:space="0" w:color="auto"/>
                          </w:divBdr>
                          <w:divsChild>
                            <w:div w:id="1214346271">
                              <w:marLeft w:val="0"/>
                              <w:marRight w:val="0"/>
                              <w:marTop w:val="0"/>
                              <w:marBottom w:val="360"/>
                              <w:divBdr>
                                <w:top w:val="none" w:sz="0" w:space="0" w:color="auto"/>
                                <w:left w:val="none" w:sz="0" w:space="0" w:color="auto"/>
                                <w:bottom w:val="none" w:sz="0" w:space="0" w:color="auto"/>
                                <w:right w:val="none" w:sz="0" w:space="0" w:color="auto"/>
                              </w:divBdr>
                              <w:divsChild>
                                <w:div w:id="1101561413">
                                  <w:marLeft w:val="0"/>
                                  <w:marRight w:val="0"/>
                                  <w:marTop w:val="0"/>
                                  <w:marBottom w:val="0"/>
                                  <w:divBdr>
                                    <w:top w:val="none" w:sz="0" w:space="0" w:color="auto"/>
                                    <w:left w:val="none" w:sz="0" w:space="0" w:color="auto"/>
                                    <w:bottom w:val="none" w:sz="0" w:space="0" w:color="auto"/>
                                    <w:right w:val="none" w:sz="0" w:space="0" w:color="auto"/>
                                  </w:divBdr>
                                  <w:divsChild>
                                    <w:div w:id="10668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917D-58B3-481B-8D44-D0CD9D6F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201</TotalTime>
  <Pages>15</Pages>
  <Words>4872</Words>
  <Characters>28994</Characters>
  <Application>Microsoft Office Word</Application>
  <DocSecurity>0</DocSecurity>
  <Lines>630</Lines>
  <Paragraphs>275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2016-11-29T16:21:00Z</cp:lastPrinted>
  <dcterms:created xsi:type="dcterms:W3CDTF">2017-02-27T11:23:00Z</dcterms:created>
  <dcterms:modified xsi:type="dcterms:W3CDTF">2017-03-06T16:35:00Z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