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4EF8CB6B26940D99ABE6C46076D6840" style="width:451.15pt;height:447.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1" w:name="_GoBack"/>
      <w:bookmarkEnd w:id="1"/>
      <w:r>
        <w:rPr>
          <w:b/>
          <w:noProof/>
        </w:rPr>
        <w:lastRenderedPageBreak/>
        <w:t>Bilaga 2: Omplaceringar från Italien per den 28 februari 2017</w:t>
      </w:r>
    </w:p>
    <w:p>
      <w:pPr>
        <w:jc w:val="center"/>
        <w:rPr>
          <w:b/>
          <w:noProof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655"/>
        <w:gridCol w:w="1963"/>
        <w:gridCol w:w="1919"/>
        <w:gridCol w:w="1659"/>
      </w:tblGrid>
      <w:tr>
        <w:trPr>
          <w:trHeight w:val="1153"/>
          <w:tblHeader/>
          <w:jc w:val="center"/>
        </w:trPr>
        <w:tc>
          <w:tcPr>
            <w:tcW w:w="2092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Medlemsstat</w:t>
            </w:r>
          </w:p>
        </w:tc>
        <w:tc>
          <w:tcPr>
            <w:tcW w:w="1655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Formell utfästelse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1"/>
            </w:r>
          </w:p>
        </w:tc>
        <w:tc>
          <w:tcPr>
            <w:tcW w:w="1963" w:type="dxa"/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Faktiskt omplacerade</w:t>
            </w:r>
          </w:p>
        </w:tc>
        <w:tc>
          <w:tcPr>
            <w:tcW w:w="1919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Åtaganden som föreskrivs i rådsbesluten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1659" w:type="dxa"/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Procentandel av åtagandena som faktiskt genomförts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Österrike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462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Belgien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58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1 397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Bulgarien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471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Kroatien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36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374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2 %</w:t>
            </w:r>
          </w:p>
        </w:tc>
      </w:tr>
      <w:tr>
        <w:trPr>
          <w:trHeight w:val="357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Cypern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139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7 %</w:t>
            </w:r>
          </w:p>
        </w:tc>
      </w:tr>
      <w:tr>
        <w:trPr>
          <w:trHeight w:val="357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Tjeckien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1 036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57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Estland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125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Finland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630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504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779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65 %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Frankrike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920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282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7 115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Tyskland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3 010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1 070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10 327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Ungern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Island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Irland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360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Lettland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186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Liechtenstein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Litauen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251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Luxemburg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110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61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46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53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87 %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Nederländerna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575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2 150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22 %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Norge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690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415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Polen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1 861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Portugal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388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275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1 173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Rumänien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680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1 608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Slovakien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250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Slovenien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45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23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Spanien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150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144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2 676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  <w:hideMark/>
          </w:tcPr>
          <w:p>
            <w:pPr>
              <w:spacing w:after="120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Sverige</w:t>
            </w:r>
            <w:r>
              <w:rPr>
                <w:rStyle w:val="FootnoteReference"/>
                <w:b/>
                <w:noProof/>
                <w:color w:val="000000"/>
                <w:sz w:val="20"/>
              </w:rPr>
              <w:footnoteReference w:id="4"/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50</w:t>
            </w:r>
          </w:p>
        </w:tc>
        <w:tc>
          <w:tcPr>
            <w:tcW w:w="1963" w:type="dxa"/>
            <w:shd w:val="clear" w:color="auto" w:fill="auto"/>
            <w:hideMark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39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1 388</w:t>
            </w: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3 %</w:t>
            </w: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auto"/>
            <w:vAlign w:val="center"/>
          </w:tcPr>
          <w:p>
            <w:pPr>
              <w:spacing w:after="120"/>
              <w:rPr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b/>
                <w:i/>
                <w:noProof/>
                <w:color w:val="000000"/>
                <w:sz w:val="20"/>
              </w:rPr>
              <w:t>Schweiz</w:t>
            </w:r>
          </w:p>
        </w:tc>
        <w:tc>
          <w:tcPr>
            <w:tcW w:w="1655" w:type="dxa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830</w:t>
            </w:r>
          </w:p>
        </w:tc>
        <w:tc>
          <w:tcPr>
            <w:tcW w:w="1963" w:type="dxa"/>
            <w:shd w:val="clear" w:color="auto" w:fill="auto"/>
          </w:tcPr>
          <w:p>
            <w:pPr>
              <w:spacing w:after="120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471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AF1DD" w:themeFill="accent3" w:themeFillTint="33"/>
          </w:tcPr>
          <w:p>
            <w:pPr>
              <w:spacing w:after="120"/>
              <w:jc w:val="center"/>
              <w:rPr>
                <w:noProof/>
                <w:sz w:val="20"/>
                <w:szCs w:val="20"/>
              </w:rPr>
            </w:pPr>
          </w:p>
        </w:tc>
      </w:tr>
      <w:tr>
        <w:trPr>
          <w:trHeight w:val="313"/>
          <w:jc w:val="center"/>
        </w:trPr>
        <w:tc>
          <w:tcPr>
            <w:tcW w:w="2092" w:type="dxa"/>
            <w:shd w:val="clear" w:color="auto" w:fill="CCC0D9" w:themeFill="accent4" w:themeFillTint="66"/>
            <w:vAlign w:val="center"/>
          </w:tcPr>
          <w:p>
            <w:pPr>
              <w:spacing w:after="12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TOTALT</w:t>
            </w:r>
          </w:p>
        </w:tc>
        <w:tc>
          <w:tcPr>
            <w:tcW w:w="1655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8 804</w:t>
            </w:r>
          </w:p>
        </w:tc>
        <w:tc>
          <w:tcPr>
            <w:tcW w:w="1963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3 936</w:t>
            </w:r>
          </w:p>
        </w:tc>
        <w:tc>
          <w:tcPr>
            <w:tcW w:w="1919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34 953</w:t>
            </w:r>
          </w:p>
        </w:tc>
        <w:tc>
          <w:tcPr>
            <w:tcW w:w="1659" w:type="dxa"/>
            <w:shd w:val="clear" w:color="auto" w:fill="CCC0D9" w:themeFill="accent4" w:themeFillTint="66"/>
          </w:tcPr>
          <w:p>
            <w:pPr>
              <w:spacing w:after="12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11 %</w:t>
            </w:r>
          </w:p>
        </w:tc>
      </w:tr>
    </w:tbl>
    <w:p>
      <w:pPr>
        <w:rPr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1987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2</w:t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Inlämnad via DubliNet enligt artikel 5.2 i rådets beslut.</w:t>
      </w: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Inkluderar inte ca 8 000 personer som ännu inte fördelats inom ramen för rådets första beslut och inte heller fördelningen inom ramen för de 54 000 platserna.</w:t>
      </w:r>
    </w:p>
  </w:footnote>
  <w:footnote w:id="3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Rådets genomförandebeslut (EU) 2016/408 av den 10 mars 2016 om tillfälligt upphävande av omplaceringen av 30 % av sökande som tilldelats Österrike enligt beslut (EU) 2015/1601 om fastställande av provisoriska åtgärder på området internationellt skydd till förmån för Italien och Grekland.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Rådets beslut (EU) 2016/946 av den 9 juni 2016 om fastställande av provisoriska åtgärder på området för internationellt skydd till förmån för Sverige i enlighet med artikel 9 i beslut (EU) 2015/1523 och artikel 9 i beslut (EU) 2015/1601 om fastställande av provisoriska åtgärder på området internationellt skydd till förmån för Italien och Grekland.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ill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F4EF8CB6B26940D99ABE6C46076D6840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yssel den "/>
    <w:docVar w:name="LW_EMISSION_SUFFIX" w:val=" "/>
    <w:docVar w:name="LW_ID_DOCTYPE_NONLW" w:val="CP-039"/>
    <w:docVar w:name="LW_LANGUE" w:val="SV"/>
    <w:docVar w:name="LW_MARKING" w:val="&lt;UNUSED&gt;"/>
    <w:docVar w:name="LW_NOM.INST" w:val="EUROPEISKA KOMMISSIONEN"/>
    <w:docVar w:name="LW_NOM.INST_JOINTDOC" w:val="&lt;EMPTY&gt;"/>
    <w:docVar w:name="LW_OBJETACTEPRINCIPAL.CP" w:val="Tionde rapporten om omplacering och vidarebosättning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BILAGA_x000b_"/>
    <w:docVar w:name="LW_TYPEACTEPRINCIPAL.CP" w:val="RAPPORT FRÅN KOMMISSIONEN TILL EUROPAPARLAMENTET, EUROPEISKA RÅDET OCH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sv-SE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sv-SE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rFonts w:eastAsiaTheme="minorHAnsi"/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rFonts w:eastAsiaTheme="minorHAnsi"/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rFonts w:eastAsiaTheme="minorHAnsi"/>
      <w:b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32E7-0601-423E-A185-6F5A5FA4B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9B9C0-FA3E-474C-84D6-1CEA028FC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27E5A-34A0-48FD-8E53-BB635C018241}">
  <ds:schemaRefs>
    <ds:schemaRef ds:uri="http://schemas.microsoft.com/office/2006/documentManagement/types"/>
    <ds:schemaRef ds:uri="http://purl.org/dc/terms/"/>
    <ds:schemaRef ds:uri="47eefe9a-f81e-47cf-b703-dc75e53a6b28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C99D49-311D-4B4C-ACD3-0BA62F3F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704</Characters>
  <Application>Microsoft Office Word</Application>
  <DocSecurity>0</DocSecurity>
  <Lines>176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15</cp:revision>
  <cp:lastPrinted>2017-02-28T16:37:00Z</cp:lastPrinted>
  <dcterms:created xsi:type="dcterms:W3CDTF">2017-02-28T16:37:00Z</dcterms:created>
  <dcterms:modified xsi:type="dcterms:W3CDTF">2017-03-27T10:54:00Z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