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B4235C818E54CF08AE16E751A080F39" style="width:450.75pt;height:461.2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Anexa 3: Transferuri din Italia și Grecia până la data de 28 februarie 2017 </w:t>
      </w:r>
    </w:p>
    <w:tbl>
      <w:tblPr>
        <w:tblW w:w="1021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544"/>
        <w:gridCol w:w="1545"/>
        <w:gridCol w:w="1545"/>
        <w:gridCol w:w="2160"/>
        <w:gridCol w:w="1934"/>
      </w:tblGrid>
      <w:tr>
        <w:trPr>
          <w:trHeight w:val="313"/>
          <w:tblHeader/>
          <w:jc w:val="center"/>
        </w:trPr>
        <w:tc>
          <w:tcPr>
            <w:tcW w:w="1486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Stat membru</w:t>
            </w:r>
          </w:p>
        </w:tc>
        <w:tc>
          <w:tcPr>
            <w:tcW w:w="1544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Transferuri efective din Italia</w:t>
            </w:r>
          </w:p>
        </w:tc>
        <w:tc>
          <w:tcPr>
            <w:tcW w:w="1545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Transferuri efective din Grecia</w:t>
            </w:r>
          </w:p>
        </w:tc>
        <w:tc>
          <w:tcPr>
            <w:tcW w:w="1545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Numărul total de transferuri efective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Angajament conform prevederilor legale ale deciziilor Consiliului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1934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% din angajamentul conform prevederilor legale unde transferurile au avut loc efectiv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Austria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vertAlign w:val="superscript"/>
              </w:rPr>
              <w:footnoteReference w:id="3"/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1 953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Belgia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58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338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396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3812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Bulgaria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1 302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Croația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968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57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Cipru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65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20 %</w:t>
            </w:r>
          </w:p>
        </w:tc>
      </w:tr>
      <w:tr>
        <w:trPr>
          <w:trHeight w:val="357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Republica Cehă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2 691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57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Estonia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87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87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329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26 %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Finlanda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504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560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1 064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2 078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51 %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Franța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282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2 476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2 758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19 714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Germania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1 070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1 556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2 626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27 536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Ungaria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1 294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Islanda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Irlanda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600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53 %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Letonia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219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228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481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47 %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Liechtenstein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Lituania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229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229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671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Luxemburg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61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164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225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557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46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96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131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73 %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Țările de Jos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475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1 011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1 486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5 947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25 % 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Norvegia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415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249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664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Polonia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6 182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Portugalia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275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810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1 085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2 951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37 %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România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45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523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568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4 180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14 % 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Slovacia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902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Slovenia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23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124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567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Spania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144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707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851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9 323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Suedia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vertAlign w:val="superscript"/>
              </w:rPr>
              <w:footnoteReference w:id="4"/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39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39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3 766</w:t>
            </w: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1 %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Elveția</w:t>
            </w:r>
          </w:p>
        </w:tc>
        <w:tc>
          <w:tcPr>
            <w:tcW w:w="154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471</w:t>
            </w:r>
          </w:p>
        </w:tc>
        <w:tc>
          <w:tcPr>
            <w:tcW w:w="1545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78</w:t>
            </w:r>
          </w:p>
        </w:tc>
        <w:tc>
          <w:tcPr>
            <w:tcW w:w="1545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549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486" w:type="dxa"/>
            <w:shd w:val="clear" w:color="auto" w:fill="CCC0D9" w:themeFill="accent4" w:themeFillTint="66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TOTAL</w:t>
            </w:r>
          </w:p>
        </w:tc>
        <w:tc>
          <w:tcPr>
            <w:tcW w:w="1544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3 936</w:t>
            </w:r>
          </w:p>
        </w:tc>
        <w:tc>
          <w:tcPr>
            <w:tcW w:w="1545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9 610</w:t>
            </w:r>
          </w:p>
        </w:tc>
        <w:tc>
          <w:tcPr>
            <w:tcW w:w="1545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13 546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98 255</w:t>
            </w:r>
          </w:p>
        </w:tc>
        <w:tc>
          <w:tcPr>
            <w:tcW w:w="1934" w:type="dxa"/>
            <w:shd w:val="clear" w:color="auto" w:fill="CCC0D9" w:themeFill="accent4" w:themeFillTint="66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14 %</w:t>
            </w:r>
          </w:p>
        </w:tc>
      </w:tr>
    </w:tbl>
    <w:p>
      <w:pPr>
        <w:spacing w:after="120"/>
        <w:rPr>
          <w:rFonts w:ascii="Times New Roman" w:hAnsi="Times New Roman" w:cs="Times New Roman"/>
          <w:b/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20" w:bottom="284" w:left="72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0400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Nu sunt incluse aproximativ 8 000 de persoane care urmează să fie alocate în temeiul primei decizii a Consiliului și alocările aferente celor 54 000 de locuri rămase.</w:t>
      </w:r>
    </w:p>
  </w:footnote>
  <w:footnote w:id="3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Decizia de punere în aplicare (UE) 2016/408 a Consiliului din 10 martie 2016 privind suspendarea temporară a transferului a 30 % din numărul de solicitanți care i-a fost alocat Austriei în temeiul Deciziei (UE) 2015/1601 de instituire a unor măsuri provizorii în domeniul protecției internaționale în beneficiul Italiei și al Greciei.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Decizia (UE) 2016/946 a Consiliului din 9 iunie 2016 de instituire a unor măsuri provizorii în domeniul protecției internaționale în beneficiul Suediei în conformitate cu articolul 9 din Decizia (UE) 2015/1523 și cu articolul 9 din Decizia (UE) 2015/1601 de instituire a unor măsuri provizorii în domeniul protecției internaționale în beneficiul Italiei și al Greciei.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69F"/>
    <w:multiLevelType w:val="hybridMultilevel"/>
    <w:tmpl w:val="EBBC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la "/>
    <w:docVar w:name="LW_ANNEX_NBR_FIRST" w:val="3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2B4235C818E54CF08AE16E751A080F39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RO"/>
    <w:docVar w:name="LW_MARKING" w:val="&lt;UNUSED&gt;"/>
    <w:docVar w:name="LW_NOM.INST" w:val="COMISIA EUROPEAN\u258?"/>
    <w:docVar w:name="LW_NOM.INST_JOINTDOC" w:val="&lt;EMPTY&gt;"/>
    <w:docVar w:name="LW_OBJETACTEPRINCIPAL.CP" w:val="   Al zecelea raport privind transferul \u537?i relocarea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ANEX\u258?_x000b_"/>
    <w:docVar w:name="LW_TYPEACTEPRINCIPAL.CP" w:val="RAPORTUL COMISIEI C\u258?TRE PARLAMENTUL EUROPEAN, CONSILIUL EUROPEAN \u536?I CONSILIU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number xmlns="47eefe9a-f81e-47cf-b703-dc75e53a6b28" xsi:nil="true"/>
    <Deadline_x0020_DIR xmlns="47eefe9a-f81e-47cf-b703-dc75e53a6b28">2016-03-02T15:55:01+00:00</Deadline_x0020_DIR>
    <EC_Collab_Reference xmlns="47eefe9a-f81e-47cf-b703-dc75e53a6b28" xsi:nil="true"/>
    <CF xmlns="47eefe9a-f81e-47cf-b703-dc75e53a6b28">C</CF>
    <_Status xmlns="http://schemas.microsoft.com/sharepoint/v3/fields">Not Started</_Status>
    <EC_Collab_DocumentLanguage xmlns="47eefe9a-f81e-47cf-b703-dc75e53a6b28">EN</EC_Collab_DocumentLanguage>
    <Deadline xmlns="47eefe9a-f81e-47cf-b703-dc75e53a6b28">2016-03-02T15:55:01+00:00</Deadline>
    <ASOC xmlns="47eefe9a-f81e-47cf-b703-dc75e53a6b28">C</ASOC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632A-5407-43A6-AE38-F1A1F9C01E0C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47eefe9a-f81e-47cf-b703-dc75e53a6b28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F3C3AD-AB64-4306-89E7-3CA82C6F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68647-51AB-4EB5-B59E-0F8D0631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CAED8-2808-45D2-A78E-966A5D16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263</Words>
  <Characters>916</Characters>
  <Application>Microsoft Office Word</Application>
  <DocSecurity>0</DocSecurity>
  <Lines>229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SELMAYR Martin (PRES-ELECT)</dc:creator>
  <cp:lastModifiedBy>DIGIT/A3</cp:lastModifiedBy>
  <cp:revision>16</cp:revision>
  <cp:lastPrinted>2017-02-28T16:38:00Z</cp:lastPrinted>
  <dcterms:created xsi:type="dcterms:W3CDTF">2017-02-28T16:38:00Z</dcterms:created>
  <dcterms:modified xsi:type="dcterms:W3CDTF">2017-03-27T10:55:00Z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First annex">
    <vt:lpwstr>3</vt:lpwstr>
  </property>
  <property fmtid="{D5CDD505-2E9C-101B-9397-08002B2CF9AE}" pid="4" name="Last annex">
    <vt:lpwstr>3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  <property fmtid="{D5CDD505-2E9C-101B-9397-08002B2CF9AE}" pid="8" name="DocStatus">
    <vt:lpwstr>Green</vt:lpwstr>
  </property>
</Properties>
</file>